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71EAA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>项目需求书</w:t>
      </w:r>
      <w:r>
        <w:rPr>
          <w:rFonts w:ascii="Times New Roman" w:hAnsi="Times New Roman"/>
          <w:highlight w:val="yellow"/>
        </w:rPr>
        <w:t>（</w:t>
      </w:r>
      <w:r>
        <w:rPr>
          <w:rFonts w:hint="eastAsia" w:ascii="Times New Roman" w:hAnsi="Times New Roman"/>
          <w:highlight w:val="yellow"/>
          <w:lang w:val="en-US" w:eastAsia="zh-CN"/>
        </w:rPr>
        <w:t>监护仪</w:t>
      </w:r>
      <w:r>
        <w:rPr>
          <w:rFonts w:ascii="Times New Roman" w:hAnsi="Times New Roman"/>
          <w:highlight w:val="yellow"/>
        </w:rPr>
        <w:t>）</w:t>
      </w:r>
    </w:p>
    <w:p w14:paraId="7D10BE6C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医疗器械项目需求书应至少包括以下各点，请采购人按此标准填写，谢谢。</w:t>
      </w:r>
    </w:p>
    <w:p w14:paraId="56D1345F">
      <w:pPr>
        <w:spacing w:line="360" w:lineRule="auto"/>
        <w:ind w:firstLine="482" w:firstLineChars="200"/>
        <w:rPr>
          <w:b/>
          <w:sz w:val="24"/>
        </w:rPr>
      </w:pPr>
      <w:r>
        <w:rPr>
          <w:b/>
          <w:sz w:val="24"/>
        </w:rPr>
        <w:t>一、项目背景</w:t>
      </w:r>
    </w:p>
    <w:p w14:paraId="308AF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eastAsia="宋体"/>
          <w:b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购置监护仪</w:t>
      </w:r>
      <w:r>
        <w:rPr>
          <w:rFonts w:hint="eastAsia" w:ascii="宋体" w:hAnsi="宋体"/>
          <w:sz w:val="24"/>
        </w:rPr>
        <w:t>实时监测病人生命体征</w:t>
      </w:r>
      <w:r>
        <w:rPr>
          <w:rFonts w:hint="eastAsia" w:ascii="宋体" w:hAnsi="宋体"/>
          <w:sz w:val="24"/>
          <w:lang w:eastAsia="zh-CN"/>
        </w:rPr>
        <w:t>。</w:t>
      </w:r>
    </w:p>
    <w:p w14:paraId="66CE3673">
      <w:pPr>
        <w:spacing w:line="360" w:lineRule="auto"/>
        <w:ind w:firstLine="482" w:firstLineChars="200"/>
        <w:rPr>
          <w:b/>
          <w:sz w:val="24"/>
        </w:rPr>
      </w:pPr>
      <w:r>
        <w:rPr>
          <w:b/>
          <w:sz w:val="24"/>
        </w:rPr>
        <w:t>二、项目预算</w:t>
      </w:r>
    </w:p>
    <w:p w14:paraId="513B5C83">
      <w:pPr>
        <w:spacing w:line="360" w:lineRule="auto"/>
        <w:ind w:firstLine="480" w:firstLineChars="200"/>
        <w:rPr>
          <w:sz w:val="24"/>
        </w:rPr>
      </w:pPr>
      <w:r>
        <w:rPr>
          <w:sz w:val="24"/>
          <w:highlight w:val="yellow"/>
        </w:rPr>
        <w:t>第一包：</w:t>
      </w:r>
      <w:r>
        <w:rPr>
          <w:rFonts w:hint="eastAsia"/>
          <w:sz w:val="24"/>
          <w:highlight w:val="yellow"/>
          <w:lang w:val="en-US" w:eastAsia="zh-CN"/>
        </w:rPr>
        <w:t>60万</w:t>
      </w:r>
      <w:r>
        <w:rPr>
          <w:sz w:val="24"/>
          <w:highlight w:val="yellow"/>
        </w:rPr>
        <w:t>元</w:t>
      </w:r>
      <w:r>
        <w:rPr>
          <w:sz w:val="24"/>
        </w:rPr>
        <w:t>；</w:t>
      </w:r>
    </w:p>
    <w:p w14:paraId="0F763330"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三</w:t>
      </w:r>
      <w:r>
        <w:rPr>
          <w:b/>
          <w:sz w:val="24"/>
        </w:rPr>
        <w:t>、资格要求</w:t>
      </w:r>
    </w:p>
    <w:p w14:paraId="3238D2E1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（一）产品：</w:t>
      </w:r>
    </w:p>
    <w:p w14:paraId="62789282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医疗器械产品分为医疗器械备案证明和医疗器械注册证两种资质。</w:t>
      </w:r>
    </w:p>
    <w:p w14:paraId="6B61EFEF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（1）属于医疗器械第一类中的产品应提供医疗器械备案证明。</w:t>
      </w:r>
    </w:p>
    <w:p w14:paraId="7E4AF47E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（2）属于医疗器械第二类和第三类中的产品应提供医疗器械注册证。</w:t>
      </w:r>
    </w:p>
    <w:p w14:paraId="315564A4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（二）供应商：</w:t>
      </w:r>
    </w:p>
    <w:p w14:paraId="0E66EE0C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1.制造商：</w:t>
      </w:r>
    </w:p>
    <w:p w14:paraId="082E8234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（1）所投产品属于医疗器械分类管理中第一类的产品，应提供医疗器械生产企业备案证明文件。</w:t>
      </w:r>
    </w:p>
    <w:p w14:paraId="7E5A5731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（2）所投产品属于医疗器械分类管理中第二类和第三类的产品，应提供医疗器械生产企业许可证。</w:t>
      </w:r>
    </w:p>
    <w:p w14:paraId="454AF65F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2.销售商：</w:t>
      </w:r>
    </w:p>
    <w:p w14:paraId="7C5F8843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（1）所投产品属于医疗器械分类管理中第一类，无须提供任何资质</w:t>
      </w:r>
    </w:p>
    <w:p w14:paraId="66DF7D2F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（2）所投产品属于医疗器械分类管理中第二类的产品，应提供医疗器械经营企业备案证明文件</w:t>
      </w:r>
    </w:p>
    <w:p w14:paraId="1DED3337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sz w:val="24"/>
        </w:rPr>
        <w:t>（3）所投产品属于医疗器械分类管理中第三类的产品，应提供医疗器械经营企业许可证。</w:t>
      </w:r>
    </w:p>
    <w:p w14:paraId="56A00823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（三）投标人须具备《中华人民共和国政府采购法》第二十二条第一款规定的条件。</w:t>
      </w:r>
    </w:p>
    <w:p w14:paraId="0E753A5C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（四）本项目</w:t>
      </w:r>
      <w:r>
        <w:rPr>
          <w:rFonts w:hint="eastAsia"/>
          <w:color w:val="FF0000"/>
          <w:sz w:val="24"/>
          <w:highlight w:val="yellow"/>
        </w:rPr>
        <w:t>不接受</w:t>
      </w:r>
      <w:r>
        <w:rPr>
          <w:rFonts w:hint="eastAsia"/>
          <w:sz w:val="24"/>
        </w:rPr>
        <w:t>联合体。</w:t>
      </w:r>
    </w:p>
    <w:p w14:paraId="2D486C5C"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四</w:t>
      </w:r>
      <w:r>
        <w:rPr>
          <w:b/>
          <w:sz w:val="24"/>
        </w:rPr>
        <w:t>、技术要求</w:t>
      </w:r>
    </w:p>
    <w:p w14:paraId="3065CDB3">
      <w:pPr>
        <w:spacing w:line="360" w:lineRule="auto"/>
        <w:ind w:firstLine="720" w:firstLineChars="300"/>
        <w:rPr>
          <w:sz w:val="24"/>
        </w:rPr>
      </w:pPr>
      <w:r>
        <w:rPr>
          <w:sz w:val="24"/>
        </w:rPr>
        <w:t>本项目共</w:t>
      </w:r>
      <w:r>
        <w:rPr>
          <w:rFonts w:hint="eastAsia"/>
          <w:color w:val="FF0000"/>
          <w:sz w:val="24"/>
          <w:highlight w:val="yellow"/>
          <w:lang w:val="en-US" w:eastAsia="zh-CN"/>
        </w:rPr>
        <w:t>1</w:t>
      </w:r>
      <w:r>
        <w:rPr>
          <w:sz w:val="24"/>
        </w:rPr>
        <w:t>包。</w:t>
      </w:r>
    </w:p>
    <w:p w14:paraId="31ACC20D">
      <w:pPr>
        <w:spacing w:line="360" w:lineRule="auto"/>
        <w:ind w:firstLine="720" w:firstLineChars="300"/>
        <w:rPr>
          <w:rFonts w:hint="default" w:eastAsia="宋体"/>
          <w:sz w:val="24"/>
          <w:lang w:val="en-US" w:eastAsia="zh-CN"/>
        </w:rPr>
      </w:pPr>
      <w:r>
        <w:rPr>
          <w:sz w:val="24"/>
        </w:rPr>
        <w:t>第一包：</w:t>
      </w:r>
      <w:r>
        <w:rPr>
          <w:rFonts w:hint="eastAsia"/>
          <w:sz w:val="24"/>
          <w:lang w:val="en-US" w:eastAsia="zh-CN"/>
        </w:rPr>
        <w:t>监护仪</w:t>
      </w:r>
      <w:bookmarkStart w:id="0" w:name="_GoBack"/>
      <w:bookmarkEnd w:id="0"/>
    </w:p>
    <w:p w14:paraId="21C1426A">
      <w:pPr>
        <w:spacing w:line="360" w:lineRule="auto"/>
        <w:jc w:val="center"/>
        <w:rPr>
          <w:rFonts w:hint="default" w:ascii="宋体" w:hAnsi="宋体" w:cs="仿宋"/>
          <w:sz w:val="24"/>
          <w:szCs w:val="24"/>
          <w:lang w:val="en-US" w:eastAsia="zh-CN"/>
        </w:rPr>
      </w:pPr>
    </w:p>
    <w:tbl>
      <w:tblPr>
        <w:tblStyle w:val="3"/>
        <w:tblW w:w="53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799"/>
        <w:gridCol w:w="6575"/>
        <w:gridCol w:w="425"/>
        <w:gridCol w:w="561"/>
      </w:tblGrid>
      <w:tr w14:paraId="227C2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vAlign w:val="center"/>
          </w:tcPr>
          <w:p w14:paraId="4769719B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440" w:type="pct"/>
            <w:vAlign w:val="center"/>
          </w:tcPr>
          <w:p w14:paraId="0CB81735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名称</w:t>
            </w:r>
          </w:p>
        </w:tc>
        <w:tc>
          <w:tcPr>
            <w:tcW w:w="3621" w:type="pct"/>
            <w:vAlign w:val="center"/>
          </w:tcPr>
          <w:p w14:paraId="46C4C4A2">
            <w:pPr>
              <w:spacing w:line="360" w:lineRule="auto"/>
              <w:jc w:val="center"/>
              <w:rPr>
                <w:rFonts w:hint="default" w:ascii="宋体" w:hAnsi="宋体" w:eastAsia="宋体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采购需求</w:t>
            </w:r>
          </w:p>
        </w:tc>
        <w:tc>
          <w:tcPr>
            <w:tcW w:w="234" w:type="pct"/>
            <w:vAlign w:val="center"/>
          </w:tcPr>
          <w:p w14:paraId="3552C685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单位</w:t>
            </w:r>
          </w:p>
        </w:tc>
        <w:tc>
          <w:tcPr>
            <w:tcW w:w="308" w:type="pct"/>
            <w:vAlign w:val="center"/>
          </w:tcPr>
          <w:p w14:paraId="1651D3C3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数量</w:t>
            </w:r>
          </w:p>
        </w:tc>
      </w:tr>
      <w:tr w14:paraId="6AF2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vMerge w:val="restart"/>
            <w:vAlign w:val="center"/>
          </w:tcPr>
          <w:p w14:paraId="718A3BEC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ascii="宋体" w:hAnsi="宋体" w:eastAsia="宋体" w:cs="仿宋"/>
                <w:sz w:val="24"/>
                <w:szCs w:val="24"/>
              </w:rPr>
              <w:t>1</w:t>
            </w:r>
          </w:p>
        </w:tc>
        <w:tc>
          <w:tcPr>
            <w:tcW w:w="440" w:type="pct"/>
            <w:vMerge w:val="restart"/>
            <w:vAlign w:val="center"/>
          </w:tcPr>
          <w:p w14:paraId="70AF2E95">
            <w:pPr>
              <w:spacing w:line="360" w:lineRule="auto"/>
              <w:jc w:val="center"/>
              <w:rPr>
                <w:rFonts w:hint="default" w:ascii="宋体" w:hAnsi="宋体" w:eastAsia="宋体" w:cs="仿宋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仿宋"/>
                <w:sz w:val="24"/>
                <w:szCs w:val="24"/>
                <w:lang w:val="en-US" w:eastAsia="zh-CN"/>
              </w:rPr>
              <w:t>监护仪1</w:t>
            </w:r>
          </w:p>
        </w:tc>
        <w:tc>
          <w:tcPr>
            <w:tcW w:w="3621" w:type="pct"/>
            <w:vAlign w:val="center"/>
          </w:tcPr>
          <w:p w14:paraId="022521D4">
            <w:pPr>
              <w:pStyle w:val="6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产品用途：</w:t>
            </w:r>
          </w:p>
          <w:p w14:paraId="20C5058A">
            <w:pPr>
              <w:pStyle w:val="6"/>
              <w:numPr>
                <w:ilvl w:val="0"/>
                <w:numId w:val="2"/>
              </w:numPr>
              <w:ind w:left="630" w:leftChars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实时监测病人生命体征</w:t>
            </w:r>
          </w:p>
        </w:tc>
        <w:tc>
          <w:tcPr>
            <w:tcW w:w="234" w:type="pct"/>
            <w:vMerge w:val="restart"/>
            <w:vAlign w:val="center"/>
          </w:tcPr>
          <w:p w14:paraId="7D25738C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台</w:t>
            </w:r>
          </w:p>
        </w:tc>
        <w:tc>
          <w:tcPr>
            <w:tcW w:w="308" w:type="pct"/>
            <w:vMerge w:val="restart"/>
            <w:vAlign w:val="center"/>
          </w:tcPr>
          <w:p w14:paraId="77B746D0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1</w:t>
            </w:r>
          </w:p>
        </w:tc>
      </w:tr>
      <w:tr w14:paraId="0241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vMerge w:val="continue"/>
            <w:vAlign w:val="center"/>
          </w:tcPr>
          <w:p w14:paraId="559AB5C7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440" w:type="pct"/>
            <w:vMerge w:val="continue"/>
            <w:vAlign w:val="center"/>
          </w:tcPr>
          <w:p w14:paraId="6D7BFFB4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3621" w:type="pct"/>
            <w:vAlign w:val="center"/>
          </w:tcPr>
          <w:p w14:paraId="074C0C91">
            <w:pPr>
              <w:spacing w:line="360" w:lineRule="auto"/>
              <w:jc w:val="lef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二、技术参数：</w:t>
            </w:r>
          </w:p>
          <w:p w14:paraId="57B6F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1.主机集成附件收纳槽，方便附件进行收纳放置。</w:t>
            </w:r>
          </w:p>
          <w:p w14:paraId="126F4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2.≥12英寸彩色LED背光屏，屏幕分辨率800*600。</w:t>
            </w:r>
          </w:p>
          <w:p w14:paraId="1ED88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3.标配锂电池工作时间≥4小时，可选大容量锂电池工作时间≥8小时。</w:t>
            </w:r>
          </w:p>
          <w:p w14:paraId="361FD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4.安全规格：ECG, RESP、TEMP, SpO2 , NIBP监测参数抗电击程度为防除颤CF型。</w:t>
            </w:r>
          </w:p>
          <w:p w14:paraId="6F546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5.主机使用寿命≥10年。</w:t>
            </w:r>
          </w:p>
          <w:p w14:paraId="3AE50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6.整机防水等级IPX1，SPO2模块IPX2。</w:t>
            </w:r>
          </w:p>
          <w:p w14:paraId="7EDB6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7.★标配5导心电；可升级12导心电，可升级12导心电静息分析功能。</w:t>
            </w:r>
          </w:p>
          <w:p w14:paraId="70C9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8.★具备HRV心率变异性分析功能。</w:t>
            </w:r>
          </w:p>
          <w:p w14:paraId="3A65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9.具有多导同步分析功能。</w:t>
            </w:r>
          </w:p>
          <w:p w14:paraId="1540F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10.★共模抑制能力＞106db。</w:t>
            </w:r>
          </w:p>
          <w:p w14:paraId="0C5B6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11.具备心拍类型识别功能，可区分正常心拍、异常心拍、起搏心拍。</w:t>
            </w:r>
          </w:p>
          <w:p w14:paraId="5D0FE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12.≥35种心律失常分析，包括房颤、室颤、停搏、SVCs/min等。</w:t>
            </w:r>
          </w:p>
          <w:p w14:paraId="4781D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13.具有ST段分析和ST View功能，可实时监测ST段，评估心肌缺血情况。</w:t>
            </w:r>
          </w:p>
          <w:p w14:paraId="4A151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14.具有QT/QTc测量功能。</w:t>
            </w:r>
          </w:p>
          <w:p w14:paraId="3CF88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15.★支持升级masimo血氧。</w:t>
            </w:r>
          </w:p>
          <w:p w14:paraId="10875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16.标配PI血氧灌注指数。</w:t>
            </w:r>
          </w:p>
          <w:p w14:paraId="100B6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17.NIBP测量范围：10 mmHg-290mmHg。</w:t>
            </w:r>
          </w:p>
          <w:p w14:paraId="7D036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18.具有24小时血压动态分析功能。</w:t>
            </w:r>
          </w:p>
          <w:p w14:paraId="042A7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19.★具有辅助静脉穿刺功能。</w:t>
            </w:r>
          </w:p>
          <w:p w14:paraId="098CF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20.支持计时器功能，可以同时显示最多4个计时器。</w:t>
            </w:r>
          </w:p>
          <w:p w14:paraId="60CB3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21.支持监测参数报警限一键自动设置功能。</w:t>
            </w:r>
          </w:p>
          <w:p w14:paraId="348B5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22.★支持升级临床辅助工具：脓毒血症指南、EWS早期预警评分、GCS格拉斯哥昏迷指数、24小时心电概览、CCHD先心病筛查。</w:t>
            </w:r>
          </w:p>
        </w:tc>
        <w:tc>
          <w:tcPr>
            <w:tcW w:w="234" w:type="pct"/>
            <w:vMerge w:val="continue"/>
            <w:vAlign w:val="center"/>
          </w:tcPr>
          <w:p w14:paraId="551334B1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308" w:type="pct"/>
            <w:vMerge w:val="continue"/>
            <w:vAlign w:val="center"/>
          </w:tcPr>
          <w:p w14:paraId="4A1797DB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3480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vMerge w:val="restart"/>
            <w:vAlign w:val="center"/>
          </w:tcPr>
          <w:p w14:paraId="11B89ED6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ascii="宋体" w:hAnsi="宋体" w:eastAsia="宋体" w:cs="仿宋"/>
                <w:sz w:val="24"/>
                <w:szCs w:val="24"/>
              </w:rPr>
              <w:t>1</w:t>
            </w:r>
          </w:p>
        </w:tc>
        <w:tc>
          <w:tcPr>
            <w:tcW w:w="440" w:type="pct"/>
            <w:vMerge w:val="restart"/>
            <w:vAlign w:val="center"/>
          </w:tcPr>
          <w:p w14:paraId="3CB39A30">
            <w:pPr>
              <w:spacing w:line="360" w:lineRule="auto"/>
              <w:jc w:val="center"/>
              <w:rPr>
                <w:rFonts w:hint="default" w:ascii="宋体" w:hAnsi="宋体" w:eastAsia="宋体" w:cs="仿宋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仿宋"/>
                <w:sz w:val="24"/>
                <w:szCs w:val="24"/>
                <w:lang w:val="en-US" w:eastAsia="zh-CN"/>
              </w:rPr>
              <w:t>监护仪2</w:t>
            </w:r>
          </w:p>
        </w:tc>
        <w:tc>
          <w:tcPr>
            <w:tcW w:w="3621" w:type="pct"/>
            <w:vAlign w:val="center"/>
          </w:tcPr>
          <w:p w14:paraId="4E643879">
            <w:pPr>
              <w:pStyle w:val="6"/>
              <w:numPr>
                <w:ilvl w:val="0"/>
                <w:numId w:val="1"/>
              </w:numPr>
              <w:spacing w:line="360" w:lineRule="auto"/>
              <w:ind w:firstLineChars="0"/>
              <w:jc w:val="left"/>
              <w:rPr>
                <w:rFonts w:ascii="宋体" w:hAnsi="宋体" w:cs="仿宋"/>
                <w:sz w:val="24"/>
                <w:szCs w:val="24"/>
              </w:rPr>
            </w:pPr>
            <w:r>
              <w:rPr>
                <w:rFonts w:hint="eastAsia" w:ascii="宋体" w:hAnsi="宋体" w:cs="仿宋"/>
                <w:sz w:val="24"/>
                <w:szCs w:val="24"/>
              </w:rPr>
              <w:t>产品用途：</w:t>
            </w:r>
          </w:p>
          <w:p w14:paraId="6356090F">
            <w:pPr>
              <w:pStyle w:val="6"/>
              <w:numPr>
                <w:ilvl w:val="0"/>
                <w:numId w:val="0"/>
              </w:numPr>
              <w:ind w:left="210" w:leftChars="0"/>
              <w:jc w:val="lef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1.实时监测病人生命体征</w:t>
            </w:r>
          </w:p>
        </w:tc>
        <w:tc>
          <w:tcPr>
            <w:tcW w:w="234" w:type="pct"/>
            <w:vMerge w:val="restart"/>
            <w:vAlign w:val="center"/>
          </w:tcPr>
          <w:p w14:paraId="2F570B9C">
            <w:pPr>
              <w:spacing w:line="360" w:lineRule="auto"/>
              <w:jc w:val="center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台</w:t>
            </w:r>
          </w:p>
        </w:tc>
        <w:tc>
          <w:tcPr>
            <w:tcW w:w="308" w:type="pct"/>
            <w:vMerge w:val="restart"/>
            <w:vAlign w:val="center"/>
          </w:tcPr>
          <w:p w14:paraId="43D1054A">
            <w:pPr>
              <w:spacing w:line="360" w:lineRule="auto"/>
              <w:jc w:val="center"/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lang w:val="en-US" w:eastAsia="zh-CN"/>
              </w:rPr>
              <w:t>9</w:t>
            </w:r>
          </w:p>
        </w:tc>
      </w:tr>
      <w:tr w14:paraId="10D2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vMerge w:val="continue"/>
            <w:vAlign w:val="center"/>
          </w:tcPr>
          <w:p w14:paraId="5ABF1EFC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440" w:type="pct"/>
            <w:vMerge w:val="continue"/>
            <w:vAlign w:val="center"/>
          </w:tcPr>
          <w:p w14:paraId="2B3B665A">
            <w:pPr>
              <w:spacing w:line="360" w:lineRule="auto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3621" w:type="pct"/>
            <w:vAlign w:val="center"/>
          </w:tcPr>
          <w:p w14:paraId="7DC11121">
            <w:pPr>
              <w:spacing w:line="360" w:lineRule="auto"/>
              <w:jc w:val="left"/>
              <w:rPr>
                <w:rFonts w:hint="eastAsia"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二、技术参数：</w:t>
            </w:r>
          </w:p>
          <w:p w14:paraId="44DAF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1.≥12英寸彩色电容触摸屏，分辨率1280×800像素。</w:t>
            </w:r>
          </w:p>
          <w:p w14:paraId="49FED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2.屏幕亮度自动调节，根据环境光自动调节屏幕亮度功能。</w:t>
            </w:r>
          </w:p>
          <w:p w14:paraId="4944D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3.具有单独的电池仓，免螺丝刀拆卸更换电池。</w:t>
            </w:r>
          </w:p>
          <w:p w14:paraId="07291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4.安全规格：ECG, RESP、TEMP, SpO2 , NIBP监测参数抗电击程度为防除颤CF型。</w:t>
            </w:r>
          </w:p>
          <w:p w14:paraId="2B024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5.主机使用寿命≥10年。</w:t>
            </w:r>
          </w:p>
          <w:p w14:paraId="423C1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6.整机防水等级IPX1，SPO2模块IPX2。</w:t>
            </w:r>
          </w:p>
          <w:p w14:paraId="7525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7.具备监护模式、演示模式、待机模式、夜间模式、隐私模式、体外循环模式、插管模式。</w:t>
            </w:r>
          </w:p>
          <w:p w14:paraId="48D57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8.★标配5导心电；可升级12导心电，可升级12导心电静息分析功能。</w:t>
            </w:r>
          </w:p>
          <w:p w14:paraId="1981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9.★具备HRV心率变异性分析功能。</w:t>
            </w:r>
          </w:p>
          <w:p w14:paraId="51750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10.具有多导同步分析功能。</w:t>
            </w:r>
          </w:p>
          <w:p w14:paraId="63037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11.★共模抑制能力＞106db。</w:t>
            </w:r>
          </w:p>
          <w:p w14:paraId="1F340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12.具备心拍类型识别功能，可区分正常心拍、异常心拍、起搏心拍。</w:t>
            </w:r>
          </w:p>
          <w:p w14:paraId="57F38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13.≥27种心律失常分析，包括房颤、室颤、停搏等。</w:t>
            </w:r>
          </w:p>
          <w:p w14:paraId="31193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14.具有ST段分析和ST View功能，可实时监测ST段，评估心肌缺血情况。</w:t>
            </w:r>
          </w:p>
          <w:p w14:paraId="30FA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15.具有QT/QTc测量功能。</w:t>
            </w:r>
          </w:p>
          <w:p w14:paraId="08812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16.★支持升级masimor血氧。</w:t>
            </w:r>
          </w:p>
          <w:p w14:paraId="0DB2A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17.标配PI血氧灌注指数。</w:t>
            </w:r>
          </w:p>
          <w:p w14:paraId="07006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18.NIBP测量范围：10 mmHg-290mmHg。</w:t>
            </w:r>
          </w:p>
          <w:p w14:paraId="25694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19.★支持双通道有创压IBP监测。</w:t>
            </w:r>
          </w:p>
          <w:p w14:paraId="4E7DB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20.具有24小时血压动态分析功能。</w:t>
            </w:r>
          </w:p>
          <w:p w14:paraId="75A09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21.★具有辅助静脉穿刺功能。</w:t>
            </w:r>
          </w:p>
          <w:p w14:paraId="3290B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22.支持计时器功能，可以同时显示最多4个计时器。</w:t>
            </w:r>
          </w:p>
          <w:p w14:paraId="14688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23.支持监测参数报警限一键自动设置功能。</w:t>
            </w:r>
          </w:p>
          <w:p w14:paraId="5578E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24.支持升级临床辅助工具：脓毒血症指南、EWS早期预警评分、GCS格拉斯哥昏迷指数、24小时心电概览、CCHD先心病筛查。</w:t>
            </w:r>
          </w:p>
          <w:p w14:paraId="01399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25.可通过有线或者无线连接网络，可通过HL7协议传输实时数据。</w:t>
            </w:r>
          </w:p>
          <w:p w14:paraId="7CDFD5D1">
            <w:pPr>
              <w:spacing w:line="360" w:lineRule="auto"/>
              <w:jc w:val="left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  <w:tc>
          <w:tcPr>
            <w:tcW w:w="234" w:type="pct"/>
            <w:vMerge w:val="continue"/>
            <w:vAlign w:val="center"/>
          </w:tcPr>
          <w:p w14:paraId="3789E049">
            <w:pPr>
              <w:spacing w:line="360" w:lineRule="auto"/>
              <w:jc w:val="center"/>
              <w:rPr>
                <w:rFonts w:hint="eastAsia" w:ascii="宋体" w:hAnsi="宋体" w:eastAsia="宋体" w:cs="仿宋"/>
                <w:sz w:val="24"/>
                <w:szCs w:val="24"/>
              </w:rPr>
            </w:pPr>
          </w:p>
        </w:tc>
        <w:tc>
          <w:tcPr>
            <w:tcW w:w="308" w:type="pct"/>
            <w:vMerge w:val="continue"/>
            <w:vAlign w:val="center"/>
          </w:tcPr>
          <w:p w14:paraId="4E073EE0">
            <w:pPr>
              <w:spacing w:line="360" w:lineRule="auto"/>
              <w:jc w:val="center"/>
              <w:rPr>
                <w:rFonts w:hint="eastAsia" w:ascii="宋体" w:hAnsi="宋体" w:eastAsia="宋体" w:cs="仿宋"/>
                <w:sz w:val="24"/>
                <w:szCs w:val="24"/>
                <w:lang w:eastAsia="zh-CN"/>
              </w:rPr>
            </w:pPr>
          </w:p>
        </w:tc>
      </w:tr>
    </w:tbl>
    <w:p w14:paraId="72455E8F">
      <w:pPr>
        <w:spacing w:line="360" w:lineRule="auto"/>
        <w:ind w:firstLine="480" w:firstLineChars="200"/>
        <w:outlineLvl w:val="0"/>
        <w:rPr>
          <w:rFonts w:hint="eastAsia"/>
          <w:sz w:val="24"/>
        </w:rPr>
      </w:pPr>
      <w:r>
        <w:rPr>
          <w:sz w:val="24"/>
        </w:rPr>
        <w:t>加注“</w:t>
      </w:r>
      <w:r>
        <w:rPr>
          <w:rFonts w:hint="eastAsia" w:ascii="宋体" w:hAnsi="宋体" w:cs="宋体"/>
          <w:sz w:val="24"/>
        </w:rPr>
        <w:t>★</w:t>
      </w:r>
      <w:r>
        <w:rPr>
          <w:sz w:val="24"/>
        </w:rPr>
        <w:t>”号条款为实质性条款，不得出现负偏离，发生负偏离即做无效标处理。</w:t>
      </w:r>
    </w:p>
    <w:p w14:paraId="2B7CE463"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hint="eastAsia"/>
          <w:sz w:val="24"/>
        </w:rPr>
        <w:t>加注“▲”号的产品为核心产品（如项目需求书中未明确核心产品，则视为全部产品均为核心产品）。</w:t>
      </w:r>
    </w:p>
    <w:p w14:paraId="5D0A3271">
      <w:pPr>
        <w:spacing w:line="360" w:lineRule="auto"/>
        <w:ind w:firstLine="482" w:firstLineChars="200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五、</w:t>
      </w:r>
      <w:r>
        <w:rPr>
          <w:b/>
          <w:sz w:val="24"/>
        </w:rPr>
        <w:t>商务要求</w:t>
      </w:r>
    </w:p>
    <w:p w14:paraId="2FD47AA5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1. 提供所投产</w:t>
      </w:r>
      <w:r>
        <w:rPr>
          <w:rFonts w:hint="eastAsia"/>
          <w:sz w:val="24"/>
          <w:highlight w:val="none"/>
        </w:rPr>
        <w:t>品</w:t>
      </w:r>
      <w:r>
        <w:rPr>
          <w:rFonts w:hint="eastAsia"/>
          <w:color w:val="FF0000"/>
          <w:sz w:val="24"/>
          <w:highlight w:val="yellow"/>
          <w:lang w:val="en-US" w:eastAsia="zh-CN"/>
        </w:rPr>
        <w:t>3</w:t>
      </w:r>
      <w:r>
        <w:rPr>
          <w:rFonts w:hint="eastAsia"/>
          <w:color w:val="FF0000"/>
          <w:sz w:val="24"/>
          <w:highlight w:val="yellow"/>
        </w:rPr>
        <w:t>年</w:t>
      </w:r>
      <w:r>
        <w:rPr>
          <w:rFonts w:hint="eastAsia"/>
          <w:sz w:val="24"/>
        </w:rPr>
        <w:t>的免费上门保修。</w:t>
      </w:r>
    </w:p>
    <w:p w14:paraId="48BC6A59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 国产产品：签订合同之日起</w:t>
      </w:r>
      <w:r>
        <w:rPr>
          <w:rFonts w:hint="eastAsia"/>
          <w:color w:val="FF0000"/>
          <w:sz w:val="24"/>
          <w:lang w:val="en-US" w:eastAsia="zh-CN"/>
        </w:rPr>
        <w:t>30</w:t>
      </w:r>
      <w:r>
        <w:rPr>
          <w:rFonts w:hint="eastAsia"/>
          <w:color w:val="FF0000"/>
          <w:sz w:val="24"/>
        </w:rPr>
        <w:t>日</w:t>
      </w:r>
      <w:r>
        <w:rPr>
          <w:rFonts w:hint="eastAsia"/>
          <w:sz w:val="24"/>
        </w:rPr>
        <w:t>内到货（特殊情况以合同为准）。</w:t>
      </w:r>
    </w:p>
    <w:p w14:paraId="6D78160F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进口产品：签订合同之日起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90</w:t>
      </w:r>
      <w:r>
        <w:rPr>
          <w:rFonts w:hint="eastAsia"/>
          <w:color w:val="FF0000"/>
          <w:sz w:val="24"/>
        </w:rPr>
        <w:t>日</w:t>
      </w:r>
      <w:r>
        <w:rPr>
          <w:rFonts w:hint="eastAsia"/>
          <w:sz w:val="24"/>
        </w:rPr>
        <w:t>内到货（特殊情况以合同为准）。</w:t>
      </w:r>
    </w:p>
    <w:p w14:paraId="5D7DBCC6">
      <w:pPr>
        <w:spacing w:line="360" w:lineRule="auto"/>
        <w:ind w:firstLine="480" w:firstLineChars="200"/>
        <w:outlineLvl w:val="0"/>
        <w:rPr>
          <w:rFonts w:hint="default" w:eastAsia="宋体"/>
          <w:sz w:val="24"/>
          <w:highlight w:val="yellow"/>
          <w:lang w:val="en-US" w:eastAsia="zh-CN"/>
        </w:rPr>
      </w:pPr>
      <w:r>
        <w:rPr>
          <w:rFonts w:hint="eastAsia"/>
          <w:sz w:val="24"/>
          <w:highlight w:val="yellow"/>
        </w:rPr>
        <w:t>3.付款方式：</w:t>
      </w:r>
      <w:r>
        <w:rPr>
          <w:rFonts w:hint="eastAsia"/>
          <w:sz w:val="24"/>
          <w:highlight w:val="yellow"/>
          <w:lang w:val="en-US" w:eastAsia="zh-CN"/>
        </w:rPr>
        <w:t>按照政采要求支付</w:t>
      </w:r>
    </w:p>
    <w:p w14:paraId="2BBC6F92">
      <w:pPr>
        <w:autoSpaceDE w:val="0"/>
        <w:autoSpaceDN w:val="0"/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六、验收标准</w:t>
      </w:r>
    </w:p>
    <w:p w14:paraId="228A6C42">
      <w:pPr>
        <w:autoSpaceDE w:val="0"/>
        <w:autoSpaceDN w:val="0"/>
        <w:spacing w:line="360" w:lineRule="auto"/>
        <w:ind w:firstLine="480" w:firstLineChars="200"/>
        <w:rPr>
          <w:b/>
          <w:sz w:val="24"/>
        </w:rPr>
      </w:pPr>
      <w:r>
        <w:rPr>
          <w:rFonts w:hint="eastAsia"/>
          <w:sz w:val="24"/>
        </w:rPr>
        <w:t>符合现行国家标准要求。</w:t>
      </w:r>
    </w:p>
    <w:p w14:paraId="237EDEB7">
      <w:pPr>
        <w:spacing w:line="360" w:lineRule="auto"/>
        <w:ind w:firstLine="480" w:firstLineChars="200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（采购人可根据项目情况填写）</w:t>
      </w:r>
    </w:p>
    <w:p w14:paraId="4582F29A">
      <w:pPr>
        <w:spacing w:line="360" w:lineRule="auto"/>
        <w:ind w:firstLine="482" w:firstLineChars="200"/>
        <w:outlineLvl w:val="0"/>
        <w:rPr>
          <w:b/>
          <w:sz w:val="24"/>
        </w:rPr>
      </w:pPr>
      <w:r>
        <w:rPr>
          <w:rFonts w:hint="eastAsia"/>
          <w:b/>
          <w:sz w:val="24"/>
        </w:rPr>
        <w:t>七、其他要求</w:t>
      </w:r>
    </w:p>
    <w:p w14:paraId="693764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76BE6"/>
    <w:multiLevelType w:val="multilevel"/>
    <w:tmpl w:val="1B676BE6"/>
    <w:lvl w:ilvl="0" w:tentative="0">
      <w:start w:val="1"/>
      <w:numFmt w:val="decimal"/>
      <w:lvlText w:val="%1."/>
      <w:lvlJc w:val="left"/>
      <w:pPr>
        <w:ind w:left="63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4B339D"/>
    <w:multiLevelType w:val="multilevel"/>
    <w:tmpl w:val="654B339D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F095C"/>
    <w:rsid w:val="16307BFA"/>
    <w:rsid w:val="38B9386D"/>
    <w:rsid w:val="46FF095C"/>
    <w:rsid w:val="4BA97195"/>
    <w:rsid w:val="5CD5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1711</Words>
  <Characters>1980</Characters>
  <Lines>0</Lines>
  <Paragraphs>0</Paragraphs>
  <TotalTime>30</TotalTime>
  <ScaleCrop>false</ScaleCrop>
  <LinksUpToDate>false</LinksUpToDate>
  <CharactersWithSpaces>1994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2025-11-27T07:00:00Z</dcterms:created>
  <dc:creator>admin</dc:creator>
  <cp:lastModifiedBy>Lin</cp:lastModifiedBy>
  <dcterms:modified xsi:type="dcterms:W3CDTF">2026-09-20T07:48:49Z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99A875E2D1A64770BA095CECA67DDEF7_13</vt:lpwstr>
  </property>
  <property fmtid="{D5CDD505-2E9C-101B-9397-08002B2CF9AE}" pid="4" name="KSOTemplateDocerSaveRecord">
    <vt:lpwstr>eyJoZGlkIjoiNWNlNjQ5OTA4ODJhNmU2NzZiZGZmNmI5OWI4YTUxODIiLCJ1c2VySWQiOiIyMzYyOTk3NzgifQ==</vt:lpwstr>
  </property>
</Properties>
</file>