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2A1922">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0" w:name="_Toc256000019"/>
      <w:bookmarkStart w:id="25" w:name="_GoBack"/>
      <w:bookmarkEnd w:id="25"/>
      <w:r>
        <w:rPr>
          <w:rFonts w:ascii="仿宋_GB2312" w:hAnsi="仿宋_GB2312" w:eastAsia="仿宋_GB2312" w:cs="仿宋_GB2312"/>
          <w:color w:val="auto"/>
          <w:kern w:val="36"/>
        </w:rPr>
        <w:t>3项目需求</w:t>
      </w:r>
      <w:bookmarkEnd w:id="0"/>
    </w:p>
    <w:p w14:paraId="192AE822">
      <w:pPr>
        <w:pStyle w:val="3"/>
        <w:keepNext w:val="0"/>
        <w:shd w:val="clear"/>
        <w:spacing w:before="0" w:after="0" w:line="360" w:lineRule="auto"/>
        <w:rPr>
          <w:rFonts w:ascii="仿宋_GB2312" w:hAnsi="仿宋_GB2312" w:eastAsia="仿宋_GB2312" w:cs="仿宋_GB2312"/>
          <w:b/>
          <w:bCs/>
          <w:color w:val="auto"/>
          <w:sz w:val="28"/>
          <w:szCs w:val="28"/>
        </w:rPr>
      </w:pPr>
      <w:bookmarkStart w:id="1" w:name="_Toc256000020"/>
      <w:r>
        <w:rPr>
          <w:rFonts w:ascii="仿宋_GB2312" w:hAnsi="仿宋_GB2312" w:eastAsia="仿宋_GB2312" w:cs="仿宋_GB2312"/>
          <w:i w:val="0"/>
          <w:iCs w:val="0"/>
          <w:color w:val="auto"/>
        </w:rPr>
        <w:t>3.1总体要求</w:t>
      </w:r>
      <w:bookmarkEnd w:id="1"/>
    </w:p>
    <w:p w14:paraId="5C16AC18">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 xml:space="preserve">  </w:t>
      </w:r>
      <w:r>
        <w:rPr>
          <w:rFonts w:hint="eastAsia" w:ascii="仿宋_GB2312" w:hAnsi="仿宋_GB2312" w:eastAsia="仿宋_GB2312" w:cs="仿宋_GB2312"/>
          <w:color w:val="auto"/>
          <w:sz w:val="28"/>
          <w:szCs w:val="28"/>
          <w:lang w:val="en-US" w:eastAsia="zh-CN"/>
        </w:rPr>
        <w:t xml:space="preserve">  </w:t>
      </w:r>
      <w:r>
        <w:rPr>
          <w:rFonts w:ascii="仿宋_GB2312" w:hAnsi="仿宋_GB2312" w:eastAsia="仿宋_GB2312" w:cs="仿宋_GB2312"/>
          <w:color w:val="auto"/>
          <w:sz w:val="28"/>
          <w:szCs w:val="28"/>
        </w:rPr>
        <w:t>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14:paraId="376BAA9E">
      <w:pPr>
        <w:pStyle w:val="3"/>
        <w:keepNext w:val="0"/>
        <w:shd w:val="clear"/>
        <w:spacing w:before="0" w:after="0" w:line="360" w:lineRule="auto"/>
        <w:rPr>
          <w:rFonts w:ascii="仿宋_GB2312" w:hAnsi="仿宋_GB2312" w:eastAsia="仿宋_GB2312" w:cs="仿宋_GB2312"/>
          <w:b/>
          <w:bCs/>
          <w:color w:val="auto"/>
          <w:sz w:val="28"/>
          <w:szCs w:val="28"/>
        </w:rPr>
      </w:pPr>
      <w:bookmarkStart w:id="2" w:name="_Toc256000021"/>
      <w:r>
        <w:rPr>
          <w:rFonts w:ascii="仿宋_GB2312" w:hAnsi="仿宋_GB2312" w:eastAsia="仿宋_GB2312" w:cs="仿宋_GB2312"/>
          <w:i w:val="0"/>
          <w:iCs w:val="0"/>
          <w:color w:val="auto"/>
        </w:rPr>
        <w:t>3.2采购产品一览表</w:t>
      </w:r>
      <w:bookmarkEnd w:id="2"/>
    </w:p>
    <w:p w14:paraId="789FB71A">
      <w:pPr>
        <w:pStyle w:val="4"/>
        <w:keepNext w:val="0"/>
        <w:shd w:val="clear"/>
        <w:spacing w:before="0" w:after="0" w:line="360" w:lineRule="auto"/>
        <w:rPr>
          <w:rFonts w:ascii="仿宋_GB2312" w:hAnsi="仿宋_GB2312" w:eastAsia="仿宋_GB2312" w:cs="仿宋_GB2312"/>
          <w:b/>
          <w:bCs/>
          <w:color w:val="auto"/>
          <w:sz w:val="28"/>
          <w:szCs w:val="28"/>
        </w:rPr>
      </w:pPr>
      <w:bookmarkStart w:id="3" w:name="_Toc256000022"/>
      <w:r>
        <w:rPr>
          <w:rFonts w:ascii="仿宋_GB2312" w:hAnsi="仿宋_GB2312" w:eastAsia="仿宋_GB2312" w:cs="仿宋_GB2312"/>
          <w:color w:val="auto"/>
          <w:sz w:val="28"/>
          <w:szCs w:val="28"/>
        </w:rPr>
        <w:t>3.2.1采购产品一览表</w:t>
      </w:r>
      <w:bookmarkEnd w:id="3"/>
    </w:p>
    <w:p w14:paraId="4D82E300">
      <w:pPr>
        <w:pStyle w:val="3"/>
        <w:keepNext w:val="0"/>
        <w:shd w:val="clear"/>
        <w:spacing w:before="0" w:after="0" w:line="360" w:lineRule="auto"/>
        <w:rPr>
          <w:rFonts w:ascii="Times New Roman" w:hAnsi="Times New Roman" w:eastAsia="Times New Roman" w:cs="Times New Roman"/>
          <w:b/>
          <w:bCs/>
          <w:color w:val="auto"/>
          <w:sz w:val="36"/>
          <w:szCs w:val="36"/>
        </w:rPr>
      </w:pPr>
      <w:r>
        <w:rPr>
          <w:rFonts w:ascii="Times New Roman" w:hAnsi="Times New Roman" w:eastAsia="Times New Roman" w:cs="Times New Roman"/>
          <w:i w:val="0"/>
          <w:iCs w:val="0"/>
          <w:color w:val="auto"/>
          <w:sz w:val="36"/>
          <w:szCs w:val="36"/>
        </w:rPr>
        <w:t> </w:t>
      </w:r>
    </w:p>
    <w:tbl>
      <w:tblPr>
        <w:tblStyle w:val="15"/>
        <w:tblW w:w="5000" w:type="pct"/>
        <w:tblCellSpacing w:w="0" w:type="dxa"/>
        <w:tblInd w:w="158" w:type="dxa"/>
        <w:tblLayout w:type="autofit"/>
        <w:tblCellMar>
          <w:top w:w="15" w:type="dxa"/>
          <w:left w:w="15" w:type="dxa"/>
          <w:bottom w:w="15" w:type="dxa"/>
          <w:right w:w="15" w:type="dxa"/>
        </w:tblCellMar>
      </w:tblPr>
      <w:tblGrid>
        <w:gridCol w:w="913"/>
        <w:gridCol w:w="1826"/>
        <w:gridCol w:w="1826"/>
        <w:gridCol w:w="1826"/>
        <w:gridCol w:w="1826"/>
        <w:gridCol w:w="913"/>
      </w:tblGrid>
      <w:tr w14:paraId="348D3866">
        <w:tblPrEx>
          <w:tblCellMar>
            <w:top w:w="15" w:type="dxa"/>
            <w:left w:w="15" w:type="dxa"/>
            <w:bottom w:w="15" w:type="dxa"/>
            <w:right w:w="15" w:type="dxa"/>
          </w:tblCellMar>
        </w:tblPrEx>
        <w:trPr>
          <w:tblCellSpacing w:w="0" w:type="dxa"/>
        </w:trPr>
        <w:tc>
          <w:tcPr>
            <w:tcW w:w="500" w:type="pct"/>
            <w:tcBorders>
              <w:top w:val="single" w:color="000000" w:sz="8" w:space="0"/>
              <w:left w:val="single" w:color="000000" w:sz="8" w:space="0"/>
              <w:bottom w:val="single" w:color="000000" w:sz="8" w:space="0"/>
              <w:right w:val="single" w:color="000000" w:sz="8" w:space="0"/>
            </w:tcBorders>
            <w:shd w:val="clear" w:color="auto" w:fill="D3D3D3"/>
            <w:noWrap w:val="0"/>
            <w:tcMar>
              <w:top w:w="32" w:type="dxa"/>
              <w:left w:w="32" w:type="dxa"/>
              <w:bottom w:w="32" w:type="dxa"/>
              <w:right w:w="32" w:type="dxa"/>
            </w:tcMar>
            <w:vAlign w:val="center"/>
          </w:tcPr>
          <w:p w14:paraId="226256E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序号</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3A3198B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产品类别</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42BBD6F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产品名称</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5334D91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数量</w:t>
            </w:r>
          </w:p>
        </w:tc>
        <w:tc>
          <w:tcPr>
            <w:tcW w:w="10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16C88D5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单位</w:t>
            </w:r>
          </w:p>
        </w:tc>
        <w:tc>
          <w:tcPr>
            <w:tcW w:w="50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14:paraId="6636282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bCs/>
                <w:i w:val="0"/>
                <w:iCs w:val="0"/>
                <w:smallCaps w:val="0"/>
                <w:color w:val="auto"/>
                <w:sz w:val="21"/>
                <w:szCs w:val="21"/>
              </w:rPr>
              <w:t>备注</w:t>
            </w:r>
          </w:p>
        </w:tc>
      </w:tr>
      <w:tr w14:paraId="1D45BAD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80A4F4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387CB8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264013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黄喉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7EF081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1331BA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DB0E98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6F2721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97EB0A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D98A3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E088EC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毛肚</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83F3E1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7432EA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3FEE39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30294E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1E53B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C359D1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668E1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牛肚</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B307B7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761</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79F647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F05362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ED6387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3B488A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F3197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B73054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牛腹条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A7A1EE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760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FAD626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B827E5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2DFA34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9D247F8">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F9379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6A529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牛骨</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C466C2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755993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9EE42F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B8D4D2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B5509A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7A269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01D5F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牛腱子</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7C7B29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1795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705F3D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172FE7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0F9007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64769F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7827EF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27AAF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牛肋条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C7061E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1495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E05AE1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F15110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A1CA4B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5682A3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BFBAC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3CA55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牛柳</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61ED35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364.5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44BC66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1A21E1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832A95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CB05F7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66A30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7B614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牛腩</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0D81F1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2060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5C2EF1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6CD02A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4E0947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728CD0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2EBAEC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E1638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4A8A58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301</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B47416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9DC2F5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90388A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9FAE26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21210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1084E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牛肉馅</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DAA291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C00FF2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DA478B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6766F2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E41DA1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8C9DE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B23AA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牛窝骨</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11630B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175169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04C4F9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24BBE1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BD378E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65C2D2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4BDF1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牛杂</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CB2727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47</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6AD8DD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646434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3965F1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A528BF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F9641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牛肉及各部件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C9612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其他牛肉类</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53C2CF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600D38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C57F61F">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6C90DE4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520ACE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BF6B34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1FB5E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带皮五花肉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BD05988">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883.2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C0F5EB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34D059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C6942C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6D9628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F4980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DEBFC6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精瘦肉片</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66DA9C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155.2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39CE0B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EBC42E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CF7401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3E29DF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DB3E46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3FB81C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腊肉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4B6803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C12D44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2614030">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脊骨、带肉棒骨</w:t>
            </w:r>
          </w:p>
        </w:tc>
      </w:tr>
      <w:tr w14:paraId="19029A2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681210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716D75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159BE3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毛毛肉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823A00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B6634C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箱</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52CC25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729EA3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05350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0E443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F93AEA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肉丁</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E96128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0CEACD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AF95F3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3AFD98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B624E6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0B57F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8C10C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生猪头</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3608AA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654.8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7CB82C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9862D3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2975CF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BEEC55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B93B0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5DB075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挑刺五花</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BBC737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270.2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CF1818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872A36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DBB73F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268F48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17B9FC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1134D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鲜肉馅</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1F36F8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2876.6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CF6329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B4CBF6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858CB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FE3D93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7BDFE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00CD2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小炖肉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639EDE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1322.3</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4E4073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0EF310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FC4B2A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7B5FE5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8E24E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AD359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肘子肉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69F371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225.5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A171C5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7DCC22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BEA0AA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0ABC3F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76DF3F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9EA44B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猪棒骨</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CC2F03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644.7</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D14058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F44BF1C">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猪肝、大油、猪大肠等</w:t>
            </w:r>
          </w:p>
        </w:tc>
      </w:tr>
      <w:tr w14:paraId="23DDF48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B0E160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D4BE26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0494F8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猪肚</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CDBA4C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31033E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F8D37DD">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猪蹄、蹄筋</w:t>
            </w:r>
          </w:p>
        </w:tc>
      </w:tr>
      <w:tr w14:paraId="0CC5346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96ABBF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DEF59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0828D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猪精瘦肉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B68661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229</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CEAB26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415FE1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FA3218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81CB4A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4ECEE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220EE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猪排骨</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84386C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3520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7F5851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A9CFD3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BA8F2E9">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F34A40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676FE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CF9A0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E9F661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1839.8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3948C5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7F7284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B600B7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D9170D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D8BDB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D4AEDC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猪肉皮</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EDB2BB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3B0091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76251A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EAE795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809EF2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471020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4B34F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猪肉片</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9A3C49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448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9FD5A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47DA3A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92C97A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0E9117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7B5238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BB854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猪肉丝</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DC0A3E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213</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86A654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6E0E8F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762F7F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7015D6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1A0A5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7377D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猪蹄</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4AC7A7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2620.4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9DA0EF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C9A409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6CDD02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5759B68">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2BD296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76722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猪头</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952710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695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05EC3A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21B848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19CF6A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1823F0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FB81C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772AF2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猪五花</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66E0EE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1726.1</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764C5C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BE9D92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3C9E8C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96DE98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03B5FA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865EF9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猪下水</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F1FCD9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232.9</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B5EF23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8BA188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81532A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376583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F62D71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C7490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猪腰子</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F7DB56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129.2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1F6FAC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A2DD47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007403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61896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68F30A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7D765A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猪肘子</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0F14AC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1346.2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19BEC8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D17F6F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B0D7B6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34D0B7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7ABDFF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猪脏器及副产品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34E048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其它猪肉、脏器及副产品</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BA7C2E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77</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08F179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FBD4351">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21B448B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641275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AAAEA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EE7FE7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羊棒骨</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9AB216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DA2168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96858D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2C05E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6815378">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31B6E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53CBCE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羊肋排</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1F41B8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1635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247EF4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3675BB2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8BD666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EDADD5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4ED532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2D533D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羊肉卷</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F81AC4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1455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1C0BB6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3B18DC8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5513A9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87B520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4342D4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205D4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9B0FA0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510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720EDC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49511E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9D0BB4D">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A8A0AA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405E8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52E164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羊腿肉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71873E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565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F6A1D6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E2BF17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70E2D88">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AEAE82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2CCE24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538392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羊蝎子</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AE6284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826CEA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26FEBF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9214C4A">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18483B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76F55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60AA6A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羊杂</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AD562D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1215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A5DDCA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8C5219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3A2641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61BD9D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5430CA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羊肉及各部件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142C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其他羊肉类</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D6CD6E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AFBED6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5A93DCC">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年采购量低于20品类</w:t>
            </w:r>
          </w:p>
        </w:tc>
      </w:tr>
      <w:tr w14:paraId="6CE81D3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C72017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23E2F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7FA32C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翅中</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CEFD81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310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E31E06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F4C2CD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092EE5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85D85C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28C20F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38AD2A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大排腿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134244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1977D0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3786F9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791CF1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508EF7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43870B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7DD03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鸡丁</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45D930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922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53AE83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4B0614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1D400E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7C153D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6A3ED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14DB01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鸡架子</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461CFF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341</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8C297F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35E433D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D02EFB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AF2345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EEE8B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0EAFE4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鸡排</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107DE2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99</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FC12DE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37661D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1EA3CB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0FD659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A4900A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59698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鸡片</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28FD47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1144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EE4AD0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3272849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A62F0F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CE862D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C23AC2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AF3D92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鸡全翅</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C2EAEA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C0E16E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B422D3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12B94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1BD8E3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C6EFF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6AE8D7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E359C0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140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7A7442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4D5D89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102861E">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CDB04B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8F3A8C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43E86D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鸡丝</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1F358C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474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7AA420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4D831D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33BB1C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61D99E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5C5F9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F6EFF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38F2C7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351</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757E3F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405061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A8092B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A0DFE69">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395B1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21CC5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鸡腿堡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2B3AC3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49ECFC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DC0DE2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662C8C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1F9F2F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845AD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BF1FBD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鸡腿肉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C696788">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550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790788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23F0C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87D9F1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591CDD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490D6D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0442DE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鸡五连腿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E5C15B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107</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C82F00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35E5D3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E8AE041">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AA6FBA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55994F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16D825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鸡胸</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E83B9A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27.5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F4AC7E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030AB41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12A91F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5A86CC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CCDCCA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957796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鸡胗</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2A6CAA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54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B587B4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836211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5A92FE4">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8D1FF1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0867E8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34D0C8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老鸡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7656EE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925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1BBEA0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3D1CF9A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11365D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4B3DF4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58ADD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E41163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琵琶腿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3E537F1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E5CC57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412579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080E25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728B35F">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297DA2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3349EF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去骨腿肉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DCDB70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2FE573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A7F40B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D06A49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C6A744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EEBBB1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F4EA11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去皮去骨腿肉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D705E86">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7377CC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80F57C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D73FA3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429D93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E9907E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5FA5CF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土鸡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A361A1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03AC51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个</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5E9150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2B60783">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5DC3D6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FEB7E3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BC3F4B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土鸡肉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C07848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FFD64E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7FC30BE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77B4F21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47E8FCD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69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D0E8BC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CAF2F2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乌鸡</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CD7F00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23</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686F2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EB78AF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CC38A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30B15B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0EF8EED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8490E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鲜鸡块</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72CC83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1750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523AE9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45E487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662A1EA7">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06E0BD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16FCC5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701CA83">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鸭腿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76CA2E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72</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F2334B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788B39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21F2127C">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024A16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8E9032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0B12D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鸭血</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E98834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D63CF0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盒</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9690E3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2AB744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7D7920E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73</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F29D0E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禽肉及各部件</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200B4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其它禽肉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C47BD00">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128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35C563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895E5FB">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w:t>
            </w:r>
            <w:r>
              <w:rPr>
                <w:rStyle w:val="14"/>
                <w:rFonts w:ascii="仿宋_GB2312" w:hAnsi="仿宋_GB2312" w:eastAsia="仿宋_GB2312" w:cs="仿宋_GB2312"/>
                <w:b w:val="0"/>
                <w:bCs w:val="0"/>
                <w:i w:val="0"/>
                <w:iCs w:val="0"/>
                <w:smallCaps w:val="0"/>
                <w:color w:val="auto"/>
                <w:sz w:val="21"/>
                <w:szCs w:val="21"/>
              </w:rPr>
              <w:t>20</w:t>
            </w:r>
            <w:r>
              <w:rPr>
                <w:rFonts w:ascii="仿宋_GB2312" w:hAnsi="仿宋_GB2312" w:eastAsia="仿宋_GB2312" w:cs="仿宋_GB2312"/>
                <w:b w:val="0"/>
                <w:bCs w:val="0"/>
                <w:i w:val="0"/>
                <w:iCs w:val="0"/>
                <w:smallCaps w:val="0"/>
                <w:color w:val="auto"/>
                <w:sz w:val="21"/>
                <w:szCs w:val="21"/>
              </w:rPr>
              <w:t>品类</w:t>
            </w:r>
          </w:p>
        </w:tc>
      </w:tr>
      <w:tr w14:paraId="064DC08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F65D6B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74</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0074C8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34C6798C">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火腿</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841BEA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2472.5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DAFF5E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3EED6C2">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老火腿、玫瑰肠、粉肠等</w:t>
            </w:r>
          </w:p>
        </w:tc>
      </w:tr>
      <w:tr w14:paraId="0A03A10B">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5D90459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75</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F721AA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4CAD0B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鸡块</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56E4202">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196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B5609B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881F3B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06A1BC2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2794A55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76</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4088B151">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F7315F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烤肠</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753C2327">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88</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1A12F2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5BCF6A7F">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ADF2D25">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817194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77</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8D6E480">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9A6242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腊肠</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95B440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400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0298111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4E7E1304">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4A7E6D16">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3DB22903">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78</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4C409F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655B614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目鱼花</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568A8E8B">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186</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6F4247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AAE541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324F5070">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129E166C">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79</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2D184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13CE57A6">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熟酱货</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A3C0AA4">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265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63A64E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C181498">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酱头肉、酱猪耳、酱肝、熟猪肚等</w:t>
            </w:r>
          </w:p>
        </w:tc>
      </w:tr>
      <w:tr w14:paraId="215342B2">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6720A2A">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80</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B42BBFE">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E8A252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午餐肉</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40949D1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25</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B38CF8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箱</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19035D6D">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58AFC87F">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0C5CA2EE">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81</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9444A39">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59981D75">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鱼丸</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246426D">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94</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61E5950A">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袋</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21800042">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 </w:t>
            </w:r>
          </w:p>
        </w:tc>
      </w:tr>
      <w:tr w14:paraId="1462999D">
        <w:tblPrEx>
          <w:tblCellMar>
            <w:top w:w="15" w:type="dxa"/>
            <w:left w:w="15" w:type="dxa"/>
            <w:bottom w:w="15" w:type="dxa"/>
            <w:right w:w="15" w:type="dxa"/>
          </w:tblCellMar>
        </w:tblPrEx>
        <w:trPr>
          <w:tblCellSpacing w:w="0" w:type="dxa"/>
        </w:trPr>
        <w:tc>
          <w:tcPr>
            <w:tcW w:w="500"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bottom"/>
          </w:tcPr>
          <w:p w14:paraId="61168885">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82</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71532A3B">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肉制品/半成品</w:t>
            </w:r>
          </w:p>
        </w:tc>
        <w:tc>
          <w:tcPr>
            <w:tcW w:w="1000" w:type="pct"/>
            <w:tcBorders>
              <w:bottom w:val="single" w:color="000000" w:sz="8" w:space="0"/>
              <w:right w:val="single" w:color="000000" w:sz="8" w:space="0"/>
            </w:tcBorders>
            <w:noWrap w:val="0"/>
            <w:tcMar>
              <w:top w:w="22" w:type="dxa"/>
              <w:left w:w="22" w:type="dxa"/>
              <w:bottom w:w="32" w:type="dxa"/>
              <w:right w:w="32" w:type="dxa"/>
            </w:tcMar>
            <w:vAlign w:val="bottom"/>
          </w:tcPr>
          <w:p w14:paraId="2A286B18">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其他</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1FA33141">
            <w:pPr>
              <w:pStyle w:val="13"/>
              <w:shd w:val="clear"/>
              <w:jc w:val="cente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20</w:t>
            </w:r>
          </w:p>
        </w:tc>
        <w:tc>
          <w:tcPr>
            <w:tcW w:w="1868" w:type="dxa"/>
            <w:tcBorders>
              <w:bottom w:val="single" w:color="000000" w:sz="8" w:space="0"/>
              <w:right w:val="single" w:color="000000" w:sz="8" w:space="0"/>
            </w:tcBorders>
            <w:noWrap w:val="0"/>
            <w:tcMar>
              <w:top w:w="22" w:type="dxa"/>
              <w:left w:w="22" w:type="dxa"/>
              <w:bottom w:w="32" w:type="dxa"/>
              <w:right w:w="32" w:type="dxa"/>
            </w:tcMar>
            <w:vAlign w:val="bottom"/>
          </w:tcPr>
          <w:p w14:paraId="2B20B2F7">
            <w:pPr>
              <w:pStyle w:val="13"/>
              <w:shd w:val="clear"/>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斤/袋/件</w:t>
            </w:r>
          </w:p>
        </w:tc>
        <w:tc>
          <w:tcPr>
            <w:tcW w:w="961" w:type="dxa"/>
            <w:tcBorders>
              <w:bottom w:val="single" w:color="000000" w:sz="8" w:space="0"/>
              <w:right w:val="single" w:color="000000" w:sz="8" w:space="0"/>
            </w:tcBorders>
            <w:noWrap w:val="0"/>
            <w:tcMar>
              <w:top w:w="22" w:type="dxa"/>
              <w:left w:w="22" w:type="dxa"/>
              <w:bottom w:w="32" w:type="dxa"/>
              <w:right w:w="32" w:type="dxa"/>
            </w:tcMar>
            <w:vAlign w:val="bottom"/>
          </w:tcPr>
          <w:p w14:paraId="659996F5">
            <w:pPr>
              <w:pStyle w:val="13"/>
              <w:shd w:val="clear"/>
              <w:textAlignment w:val="bottom"/>
              <w:rPr>
                <w:rFonts w:ascii="Times New Roman" w:hAnsi="Times New Roman" w:eastAsia="Times New Roman" w:cs="Times New Roman"/>
                <w:b w:val="0"/>
                <w:bCs w:val="0"/>
                <w:i w:val="0"/>
                <w:iCs w:val="0"/>
                <w:smallCaps w:val="0"/>
                <w:color w:val="auto"/>
              </w:rPr>
            </w:pPr>
            <w:r>
              <w:rPr>
                <w:rFonts w:ascii="仿宋_GB2312" w:hAnsi="仿宋_GB2312" w:eastAsia="仿宋_GB2312" w:cs="仿宋_GB2312"/>
                <w:b w:val="0"/>
                <w:bCs w:val="0"/>
                <w:i w:val="0"/>
                <w:iCs w:val="0"/>
                <w:smallCaps w:val="0"/>
                <w:color w:val="auto"/>
                <w:sz w:val="21"/>
                <w:szCs w:val="21"/>
              </w:rPr>
              <w:t>年采购量低于</w:t>
            </w:r>
            <w:r>
              <w:rPr>
                <w:rStyle w:val="14"/>
                <w:rFonts w:ascii="仿宋_GB2312" w:hAnsi="仿宋_GB2312" w:eastAsia="仿宋_GB2312" w:cs="仿宋_GB2312"/>
                <w:b w:val="0"/>
                <w:bCs w:val="0"/>
                <w:i w:val="0"/>
                <w:iCs w:val="0"/>
                <w:smallCaps w:val="0"/>
                <w:color w:val="auto"/>
                <w:sz w:val="21"/>
                <w:szCs w:val="21"/>
              </w:rPr>
              <w:t>20</w:t>
            </w:r>
            <w:r>
              <w:rPr>
                <w:rFonts w:ascii="仿宋_GB2312" w:hAnsi="仿宋_GB2312" w:eastAsia="仿宋_GB2312" w:cs="仿宋_GB2312"/>
                <w:b w:val="0"/>
                <w:bCs w:val="0"/>
                <w:i w:val="0"/>
                <w:iCs w:val="0"/>
                <w:smallCaps w:val="0"/>
                <w:color w:val="auto"/>
                <w:sz w:val="21"/>
                <w:szCs w:val="21"/>
              </w:rPr>
              <w:t>品类</w:t>
            </w:r>
          </w:p>
        </w:tc>
      </w:tr>
    </w:tbl>
    <w:p w14:paraId="00E089DA">
      <w:pPr>
        <w:pStyle w:val="3"/>
        <w:keepNext w:val="0"/>
        <w:shd w:val="clear"/>
        <w:spacing w:before="0" w:after="0" w:line="360" w:lineRule="auto"/>
        <w:rPr>
          <w:rFonts w:ascii="仿宋_GB2312" w:hAnsi="仿宋_GB2312" w:eastAsia="仿宋_GB2312" w:cs="仿宋_GB2312"/>
          <w:b/>
          <w:bCs/>
          <w:color w:val="auto"/>
          <w:sz w:val="28"/>
          <w:szCs w:val="28"/>
        </w:rPr>
      </w:pPr>
      <w:bookmarkStart w:id="4" w:name="_Toc256000024"/>
      <w:r>
        <w:rPr>
          <w:rFonts w:ascii="仿宋_GB2312" w:hAnsi="仿宋_GB2312" w:eastAsia="仿宋_GB2312" w:cs="仿宋_GB2312"/>
          <w:i w:val="0"/>
          <w:iCs w:val="0"/>
          <w:color w:val="auto"/>
        </w:rPr>
        <w:t>3.3采购产品详细清单及技术指标</w:t>
      </w:r>
      <w:bookmarkEnd w:id="4"/>
    </w:p>
    <w:p w14:paraId="0543390B">
      <w:pPr>
        <w:shd w:val="clea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采购文件（技术部分）中有标注★号的，为必备要求，必须满足，如未作出响应，将导致响应无效；#为重要内容、△为一般内容。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68DCE489">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19019AE">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42841AE">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C1B843E">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A85477F">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F882B78">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D97E9E1">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是否需要证明材料</w:t>
            </w:r>
          </w:p>
        </w:tc>
      </w:tr>
      <w:tr w14:paraId="001B8B1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F2780E">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序号</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93D1F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指标种类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D4C3A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指标名称</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39AC8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指标内容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6C7D3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重要性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A7729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是否需要证明材料</w:t>
            </w:r>
          </w:p>
        </w:tc>
      </w:tr>
      <w:tr w14:paraId="4FB23E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5A4554">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3275B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B8F5E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421F9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（1）肉类的理化指标及卫生标准符合国家或采购人所在地区最新标准执行。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BC5A6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622D5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C8D49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0F5A1F">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927E3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D5269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46779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（2）对于没有国家标准的应符合行业标准或企业标准，其中国家有强制性技术标准要求的产品，还应符合国家强制性技术标准，确保配送的货物安全、卫生。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319B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C4ECF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637F5B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FC61CC">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A293B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ABF08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134C5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（3）肉类供应商供应的动物类食品必须经过检验检疫，供货时一并提交出厂合格证复印件，必要时应按采购人要求提供生产厂家的卫生许可证。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380E0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74390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5ECD259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14C866">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5D5D5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61F7C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B4130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（4）所供生鲜肉确保为出厂后48小时内；冻肉确保为出厂后3个月内。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FE02B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4AA4F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43C3054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F2C385">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86469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219A5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881E0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（5）保证所供肉类渠道来源正规可溯，参考正规市场品质及来源。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C8D17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E74E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0D0266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BA735F">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69BD7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08E88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356BD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A8599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0636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0B13B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8ACFEF">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A000C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0B021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44D1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（2）冻品外包装需密封、完整，无破损，商品合格证齐全。冻品在解冻后，发现质量问题承诺退货。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55B34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1AE06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14C159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DC3F72">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00200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E4C6D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鲜猪肉通用质量要求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EC12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13C31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02435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C9D6B6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28BDF">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77C86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10AEE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五花肉质量要求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9E233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一级五花肉，肥膘厚度≤2.0cm，肥瘦相间，肉质细腻，三层见花。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09C8A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FA52B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651AEFB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D5BD4">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35F5A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29AE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肋排质量要求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66E84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肋排去剔前排后11-13根肋骨，整块重量1.2KG-1.8KG，纹理清晰，边缘整齐。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5F2B8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9D7F3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597712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4C870B">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376C7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BCB20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猪脏器及副产品质量要求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CC269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心肝、腰子类：品质新鲜、外形完整、无异味、无病变、无凝血块、无血污、泥污、颜色正常。</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耳：品质新鲜、外形完整、无溃烂、病斑、无破损。</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蹄爪类：品质新鲜、去蹄壳、不带蹄筋、刮除粗毛、细毛及趾间黑垢、无松香残留。</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蹄筋类：品质新鲜、无色透明、表面光亮、无油脂、无精肉、无充血现象、顺直、干燥。</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猪尾：品质新鲜，去毛洁净，不带毛根或绒毛。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FDEF4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63E6D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41E3005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0E0DF3">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D47EC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35682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鲜牛肉通用质量要求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562BB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精修牛肉，颜色呈正常鲜红状，脂肪微黄，表面有光泽有正常油脂分泌，触摸略感粘稠，按压有弹性，无发酸发臭气味，无腐坏变色现象，挤压无水溢出。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A17BD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F0A41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38E295C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55119A">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9F729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2672A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牛腩质量要求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6640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精修牛腩肉，牛腹部及靠近牛肋处的松软肌肉，带有筋、肉、油花的肉块。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92012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95218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4C1994B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099D66">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25348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D33A0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鲜羊肉质量要求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332BD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5EC19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47C62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14F100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A9A189">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3075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6A795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冻畜肉质量要求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2EEE7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气味：化冻时，有肉的正常味，略潮，没有熟肉味。</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包装：按标准部位分割外包装无破损有生产日期。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2DE4A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7E094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6A3F57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5FAA8B">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732BE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36B20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鲜鸡（鸭、鹅）类质量要求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90031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眼球：无干缩凹陷或晶体状浑浊现象。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外表：具有其固有表皮颜色、肌肉切面有光泽、无绿、紫等异常颜色、无残羽（在脖、翅等处无较长细毛）、无破损、无残缺、新切面不发粘。</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气味：具有其固有气味、无异味。</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弹性：指压后凹陷、能恢复。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6C79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7535C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B24226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28861">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AF257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461AD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鲜鸡类各部件质量要求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FF048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鸡爪：品质新鲜、呈白色或灰白色、无黄皮趾壳、无血污、血水、无残缺、脚趾根上无黑斑、允许有少量红斑。</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鸡脖：品质新鲜、去劲部皮、无羽毛、无血污。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鸡头：品质新鲜、外形完整、无伤斑、无溃烂、无血污。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蹄筋：品质新鲜，无色透明，表面光亮，无油脂，无精肉，无充血现顺直、干燥。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AF91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AE2CD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460519E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B01260">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013B4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31AEF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禽肉(冻)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EDFB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色泽：外观滋润，呈乳白或微黄色。</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气味：无腐臭气味</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包装：分割部件应符合标准，外包装完好、商标规格、产品说明清晰完整。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6F0F2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791DD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39238A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65AEA6">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93A29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D36F8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E24C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17AF1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E7CA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47AD76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A4490">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57F3A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17DDE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28EC7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F5254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D7914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bl>
    <w:p w14:paraId="4B3EE11F">
      <w:pPr>
        <w:pStyle w:val="3"/>
        <w:keepNext w:val="0"/>
        <w:shd w:val="clear"/>
        <w:spacing w:before="0" w:after="0" w:line="360" w:lineRule="auto"/>
        <w:rPr>
          <w:rFonts w:ascii="仿宋_GB2312" w:hAnsi="仿宋_GB2312" w:eastAsia="仿宋_GB2312" w:cs="仿宋_GB2312"/>
          <w:b/>
          <w:bCs/>
          <w:color w:val="auto"/>
          <w:sz w:val="28"/>
          <w:szCs w:val="28"/>
        </w:rPr>
      </w:pPr>
      <w:bookmarkStart w:id="5" w:name="_Toc256000025"/>
      <w:r>
        <w:rPr>
          <w:rFonts w:ascii="仿宋_GB2312" w:hAnsi="仿宋_GB2312" w:eastAsia="仿宋_GB2312" w:cs="仿宋_GB2312"/>
          <w:i w:val="0"/>
          <w:iCs w:val="0"/>
          <w:color w:val="auto"/>
        </w:rPr>
        <w:t>3.4服务要求</w:t>
      </w:r>
      <w:bookmarkEnd w:id="5"/>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61DE784E">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5470C5E">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6FDE153">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F4FA389">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872B460">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9E54751">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DF9ACFB">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是否需要证明材料</w:t>
            </w:r>
          </w:p>
        </w:tc>
      </w:tr>
      <w:tr w14:paraId="5EF78C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17EE3A">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B3EEC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27F66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仓储物流设施要求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745E3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投标人自有或租赁库房，面积不小于300平米；投标人自有或租赁冷库，吨位不小于200吨（或冷库面积不小于80平米）。能够满足按采购人需求完成配送任务，确保两个办公区同时送货。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DB6CC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A4F6C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612640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8BC7A5">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34718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04736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87D97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投标人应自有或固定租赁2台以上冷藏车辆，确保24小时响应，按采购人需求完成配送任务，确保两个办公区同时送货。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EC7CB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5D9BF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1B7A977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4DA99">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6837B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1DE8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猪肉供应链能力要求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0C5F4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具有自有、签约的猪肉屠宰、加工厂或者直销、代理、经销商资格之一。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64109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530D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4BC26B5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7EF74">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CB6A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9B5F0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牛肉供应链能力要求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6A6EC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具有自有、签约的牛肉屠宰、加工厂或者直销、代理、经销商资格之一。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8B24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CD495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1E63D9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064BEA">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DBF5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92C8F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羊肉供应链能力要求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B8B6C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具有自有、签约的羊肉屠宰、加工厂或者直销、代理、经销商资格之一。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5CA58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F4011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281204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88010D">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CA335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80EB4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禽肉供应链能力要求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179DF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具有自有、签约的禽肉屠宰、加工厂或者直销、代理、经销商资格之一。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0A5D3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73495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7AB06BD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71FA55">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60476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1411C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4A120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能够完成本合同采购鲜冻禽畜肉的简易加工，如切丝、丁、块、片等。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FE6E1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CD1FF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1A2E2F98">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23D697">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EA05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F53D5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FB21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整个运输过程应采用符合卫生要求的外包装和运载工具，对运输工具做到每日清洗消毒，车厢内无不良气味、异味，确保运输过程安全卫生。冷冻制品、冷冻家禽、鲜猪肉、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2B1F3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D350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75DBD49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F806F">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724A8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43623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BDCA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5A956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640E5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08C4FA2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D09DDD">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9E518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0572B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安全完整包装要求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AB0C7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0A09E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4225F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否</w:t>
            </w:r>
          </w:p>
        </w:tc>
      </w:tr>
      <w:tr w14:paraId="36A02B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B8B298">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D087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0DFD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2AB19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采购人按期（日）向投标人发布采购内容，投标人应在送货前一个工作日与采购人核对确认采购内容无误后，在次日6点前配送至采购人指定验收地点。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BDE456">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2514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r w14:paraId="3CF3EC2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7F9852">
            <w:pPr>
              <w:shd w:val="clear"/>
              <w:jc w:val="center"/>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F9EAE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7A17A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58355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C9CF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F16F9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是</w:t>
            </w:r>
          </w:p>
        </w:tc>
      </w:tr>
    </w:tbl>
    <w:p w14:paraId="181D17DE">
      <w:pPr>
        <w:pStyle w:val="3"/>
        <w:keepNext w:val="0"/>
        <w:shd w:val="clear"/>
        <w:spacing w:before="0" w:after="0" w:line="360" w:lineRule="auto"/>
        <w:rPr>
          <w:rFonts w:ascii="仿宋_GB2312" w:hAnsi="仿宋_GB2312" w:eastAsia="仿宋_GB2312" w:cs="仿宋_GB2312"/>
          <w:b/>
          <w:bCs/>
          <w:color w:val="auto"/>
          <w:sz w:val="28"/>
          <w:szCs w:val="28"/>
        </w:rPr>
      </w:pPr>
      <w:bookmarkStart w:id="6" w:name="_Toc256000026"/>
      <w:r>
        <w:rPr>
          <w:rFonts w:ascii="仿宋_GB2312" w:hAnsi="仿宋_GB2312" w:eastAsia="仿宋_GB2312" w:cs="仿宋_GB2312"/>
          <w:i w:val="0"/>
          <w:iCs w:val="0"/>
          <w:color w:val="auto"/>
        </w:rPr>
        <w:t>3.5其他要求</w:t>
      </w:r>
      <w:bookmarkEnd w:id="6"/>
    </w:p>
    <w:p w14:paraId="0B21D390">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 xml:space="preserve">    </w:t>
      </w:r>
      <w:r>
        <w:rPr>
          <w:rFonts w:hint="eastAsia" w:ascii="仿宋_GB2312" w:hAnsi="仿宋_GB2312" w:eastAsia="仿宋_GB2312" w:cs="仿宋_GB2312"/>
          <w:color w:val="auto"/>
          <w:sz w:val="28"/>
          <w:szCs w:val="28"/>
          <w:lang w:val="en-US" w:eastAsia="zh-CN"/>
        </w:rPr>
        <w:t xml:space="preserve"> </w:t>
      </w:r>
      <w:r>
        <w:rPr>
          <w:rFonts w:ascii="仿宋_GB2312" w:hAnsi="仿宋_GB2312" w:eastAsia="仿宋_GB2312" w:cs="仿宋_GB2312"/>
          <w:color w:val="auto"/>
          <w:sz w:val="28"/>
          <w:szCs w:val="28"/>
        </w:rPr>
        <w:t>根据《政府采购货物和服务招标投标管理办法》（财政部令第87号）第六十条的规定，评标委员会认为投标人的报价明显低于其他通过符合性审查投标人的报价，有可能影响产品质量或者不能诚信履约的，应当启动异常低价投标审查程序，要求该投标人在评标现场合理的时间内提供书面说明，必要时提交相关证明材料；该投标人不能证明其报价合理性的，评标委员会应当将其作为无效投标处理。</w:t>
      </w:r>
    </w:p>
    <w:p w14:paraId="3F61CD48">
      <w:pPr>
        <w:pStyle w:val="4"/>
        <w:keepNext w:val="0"/>
        <w:shd w:val="clear"/>
        <w:spacing w:before="0" w:after="0" w:line="360" w:lineRule="auto"/>
        <w:rPr>
          <w:rFonts w:ascii="Times New Roman" w:hAnsi="Times New Roman" w:eastAsia="Times New Roman" w:cs="Times New Roman"/>
          <w:b/>
          <w:bCs/>
          <w:color w:val="auto"/>
          <w:sz w:val="28"/>
          <w:szCs w:val="28"/>
        </w:rPr>
      </w:pPr>
      <w:bookmarkStart w:id="7" w:name="_Toc256000027"/>
      <w:r>
        <w:rPr>
          <w:rFonts w:ascii="仿宋_GB2312" w:hAnsi="仿宋_GB2312" w:eastAsia="仿宋_GB2312" w:cs="仿宋_GB2312"/>
          <w:color w:val="auto"/>
          <w:sz w:val="28"/>
          <w:szCs w:val="28"/>
        </w:rPr>
        <w:t>3.6.1质量安全把控方案要求</w:t>
      </w:r>
      <w:bookmarkEnd w:id="7"/>
    </w:p>
    <w:p w14:paraId="48D87615">
      <w:pPr>
        <w:pStyle w:val="12"/>
        <w:shd w:val="clear"/>
        <w:spacing w:before="0" w:after="0" w:line="360" w:lineRule="auto"/>
        <w:ind w:firstLine="642"/>
        <w:rPr>
          <w:rFonts w:ascii="Times New Roman" w:hAnsi="Times New Roman" w:eastAsia="Times New Roman" w:cs="Times New Roman"/>
          <w:color w:val="auto"/>
        </w:rPr>
      </w:pPr>
      <w:r>
        <w:rPr>
          <w:rFonts w:ascii="仿宋_GB2312" w:hAnsi="仿宋_GB2312" w:eastAsia="仿宋_GB2312" w:cs="仿宋_GB2312"/>
          <w:b/>
          <w:bCs/>
          <w:color w:val="auto"/>
          <w:sz w:val="28"/>
          <w:szCs w:val="28"/>
        </w:rPr>
        <w:t>1.投标人应提供质量安全把控方案。</w:t>
      </w:r>
      <w:r>
        <w:rPr>
          <w:rFonts w:ascii="仿宋_GB2312" w:hAnsi="仿宋_GB2312" w:eastAsia="仿宋_GB2312" w:cs="仿宋_GB2312"/>
          <w:color w:val="auto"/>
          <w:sz w:val="28"/>
          <w:szCs w:val="28"/>
        </w:rPr>
        <w:t>方案内容详细描述供应货物质量把控措施、检验检疫关键环节把控、不符合质量标准货品处置等内容，确保提供食材安全可靠。</w:t>
      </w:r>
    </w:p>
    <w:p w14:paraId="2B61EE23">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2.投标人供应以下食品的，采购人全部退货，投标人承担由此造成的一切经济责任和法律责任：</w:t>
      </w:r>
    </w:p>
    <w:p w14:paraId="3A1834CB">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（1）腐败变质、油脂酸败、霉变、生虫、污秽不洁、混有异物或者其他感官性状异常，对人体健康有害的；</w:t>
      </w:r>
    </w:p>
    <w:p w14:paraId="20924B8A">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（2）含有毒、有害物质或者被有毒、有害物质污染，对人体健康有害的；</w:t>
      </w:r>
    </w:p>
    <w:p w14:paraId="5049E1CA">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（3）含有致病性寄生虫、微生物或者微生物含量超过国家限定标准的；</w:t>
      </w:r>
    </w:p>
    <w:p w14:paraId="03D9890D">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（4）未经动物检疫部门检疫、检验或者检疫、检验不合格的肉类及其制品；</w:t>
      </w:r>
    </w:p>
    <w:p w14:paraId="185A9BAE">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（5）病死、毒死或者死因不明的禽、畜、兽等及其制品；</w:t>
      </w:r>
    </w:p>
    <w:p w14:paraId="0D5A59D9">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（6）掺假、掺杂、伪造，影响营养、卫生的；</w:t>
      </w:r>
    </w:p>
    <w:p w14:paraId="316702CC">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（7）用非食品原料加工的，加入非食品用化学物质或者将非食品当作食品的；</w:t>
      </w:r>
    </w:p>
    <w:p w14:paraId="40FD011C">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（8）超过保质期限的；</w:t>
      </w:r>
    </w:p>
    <w:p w14:paraId="3B094589">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（9）使用有色、有毒塑料制品、包装食材的；</w:t>
      </w:r>
    </w:p>
    <w:p w14:paraId="7BE29FFD">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（10）其他不符合《食品安全法》、《产品质量法》和《动物检疫管理办法》等相关规定的。</w:t>
      </w:r>
    </w:p>
    <w:p w14:paraId="340B57C4">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3.凡投标人所供应货物应为原箱包装，拆包或重组包装的应提前向采购人说明，定量包装批量误差不应超过实际标示的5%。</w:t>
      </w:r>
    </w:p>
    <w:p w14:paraId="3AD722F0">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3.6.2供应方案要求</w:t>
      </w:r>
    </w:p>
    <w:p w14:paraId="4015EBB9">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    投标人应提交科学合理的供应方案。方案应包含服务团队管理措施、内部采购管理措施、储存分拣管理措施、科学合理运输措施等。</w:t>
      </w:r>
    </w:p>
    <w:p w14:paraId="614DF947">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8" w:name="_Toc256000028"/>
      <w:r>
        <w:rPr>
          <w:rFonts w:ascii="仿宋_GB2312" w:hAnsi="仿宋_GB2312" w:eastAsia="仿宋_GB2312" w:cs="仿宋_GB2312"/>
          <w:color w:val="auto"/>
          <w:kern w:val="36"/>
        </w:rPr>
        <w:t>4人员要求</w:t>
      </w:r>
      <w:bookmarkEnd w:id="8"/>
    </w:p>
    <w:p w14:paraId="51F4B20F">
      <w:pPr>
        <w:pStyle w:val="3"/>
        <w:keepNext w:val="0"/>
        <w:shd w:val="clear"/>
        <w:spacing w:before="0" w:after="0" w:line="360" w:lineRule="auto"/>
        <w:rPr>
          <w:rFonts w:ascii="仿宋_GB2312" w:hAnsi="仿宋_GB2312" w:eastAsia="仿宋_GB2312" w:cs="仿宋_GB2312"/>
          <w:b/>
          <w:bCs/>
          <w:color w:val="auto"/>
          <w:sz w:val="28"/>
          <w:szCs w:val="28"/>
        </w:rPr>
      </w:pPr>
      <w:bookmarkStart w:id="9" w:name="_Toc256000029"/>
      <w:r>
        <w:rPr>
          <w:rFonts w:ascii="仿宋_GB2312" w:hAnsi="仿宋_GB2312" w:eastAsia="仿宋_GB2312" w:cs="仿宋_GB2312"/>
          <w:i w:val="0"/>
          <w:iCs w:val="0"/>
          <w:color w:val="auto"/>
        </w:rPr>
        <w:t>4.1团队要求</w:t>
      </w:r>
      <w:bookmarkEnd w:id="9"/>
    </w:p>
    <w:p w14:paraId="63FAD81F">
      <w:pPr>
        <w:pStyle w:val="4"/>
        <w:keepNext w:val="0"/>
        <w:shd w:val="clear"/>
        <w:spacing w:before="0" w:after="0" w:line="360" w:lineRule="auto"/>
        <w:rPr>
          <w:rFonts w:ascii="仿宋_GB2312" w:hAnsi="仿宋_GB2312" w:eastAsia="仿宋_GB2312" w:cs="仿宋_GB2312"/>
          <w:b/>
          <w:bCs/>
          <w:color w:val="auto"/>
          <w:sz w:val="28"/>
          <w:szCs w:val="28"/>
        </w:rPr>
      </w:pPr>
      <w:bookmarkStart w:id="10" w:name="_Toc256000030"/>
      <w:r>
        <w:rPr>
          <w:rFonts w:ascii="仿宋_GB2312" w:hAnsi="仿宋_GB2312" w:eastAsia="仿宋_GB2312" w:cs="仿宋_GB2312"/>
          <w:color w:val="auto"/>
          <w:sz w:val="28"/>
          <w:szCs w:val="28"/>
        </w:rPr>
        <w:t>4.1.1基本要求</w:t>
      </w:r>
      <w:bookmarkEnd w:id="10"/>
    </w:p>
    <w:p w14:paraId="21424481">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1.投标人应提供专业的管理和采购团队，团队编制和人员资质务必保证运营服务质量。提供的服务团队应保持稳定，承诺项目执行期间人员变动不超过20%。</w:t>
      </w:r>
    </w:p>
    <w:p w14:paraId="5BC80B2A">
      <w:pPr>
        <w:pStyle w:val="17"/>
        <w:shd w:val="clear"/>
        <w:spacing w:before="0" w:after="0" w:line="360" w:lineRule="auto"/>
        <w:ind w:firstLine="642"/>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2.投标人服务团队须配有以下人员，出具盖有投标人公章的服务团队人员名单。</w:t>
      </w:r>
    </w:p>
    <w:p w14:paraId="40617510">
      <w:pPr>
        <w:pStyle w:val="17"/>
        <w:shd w:val="clear"/>
        <w:spacing w:before="0" w:after="0" w:line="360" w:lineRule="auto"/>
        <w:ind w:firstLine="642"/>
        <w:jc w:val="both"/>
        <w:rPr>
          <w:rFonts w:ascii="Times New Roman" w:hAnsi="Times New Roman" w:eastAsia="Times New Roman" w:cs="Times New Roman"/>
          <w:color w:val="auto"/>
        </w:rPr>
      </w:pPr>
      <w:r>
        <w:rPr>
          <w:rFonts w:ascii="仿宋_GB2312" w:hAnsi="仿宋_GB2312" w:eastAsia="仿宋_GB2312" w:cs="仿宋_GB2312"/>
          <w:b/>
          <w:bCs/>
          <w:color w:val="auto"/>
          <w:sz w:val="28"/>
          <w:szCs w:val="28"/>
        </w:rPr>
        <w:t>为本项目提供的服务团队中所有人员必须提供缴纳社保证明材料，</w:t>
      </w:r>
      <w:r>
        <w:rPr>
          <w:rStyle w:val="14"/>
          <w:rFonts w:ascii="仿宋_GB2312" w:hAnsi="仿宋_GB2312" w:eastAsia="仿宋_GB2312" w:cs="仿宋_GB2312"/>
          <w:b/>
          <w:bCs/>
          <w:color w:val="auto"/>
          <w:spacing w:val="0"/>
          <w:sz w:val="28"/>
          <w:szCs w:val="28"/>
        </w:rPr>
        <w:t>具有从业人员健康证明，</w:t>
      </w:r>
      <w:r>
        <w:rPr>
          <w:rFonts w:ascii="仿宋_GB2312" w:hAnsi="仿宋_GB2312" w:eastAsia="仿宋_GB2312" w:cs="仿宋_GB2312"/>
          <w:b/>
          <w:bCs/>
          <w:color w:val="auto"/>
          <w:sz w:val="28"/>
          <w:szCs w:val="28"/>
        </w:rPr>
        <w:t>否则不予认可。</w:t>
      </w:r>
    </w:p>
    <w:p w14:paraId="60E58C27">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符合以下工作经验要求的应出具工作简历，予以加分考虑。</w:t>
      </w:r>
    </w:p>
    <w:p w14:paraId="4221D8B9">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（1）经理1人，具有5年及以上食材供应项目管理工作经验。</w:t>
      </w:r>
    </w:p>
    <w:p w14:paraId="6A72E3C9">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（2）供应业务员2人，具有3年及以上食材供应项目工作经验。</w:t>
      </w:r>
    </w:p>
    <w:p w14:paraId="7B777B31">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（3）食品安全管理员1人，具有3年及以上食品安全管理工作经验。</w:t>
      </w:r>
    </w:p>
    <w:p w14:paraId="1FE1E66F">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（4）采购员2人，具有3年及以上食材采购工作经验。</w:t>
      </w:r>
    </w:p>
    <w:p w14:paraId="12DCDC6F">
      <w:pPr>
        <w:pStyle w:val="16"/>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（5）配送司机2名，具有3年及以上相关工作经验。</w:t>
      </w:r>
    </w:p>
    <w:p w14:paraId="7227E741">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以上人员在服务过程中应热情服务、遵规守法，具备较强的沟通能力和临时紧急配送调换的处置能力。</w:t>
      </w:r>
    </w:p>
    <w:p w14:paraId="3557380F">
      <w:pPr>
        <w:pStyle w:val="4"/>
        <w:keepNext w:val="0"/>
        <w:shd w:val="clear"/>
        <w:spacing w:before="0" w:after="0" w:line="360" w:lineRule="auto"/>
        <w:rPr>
          <w:rFonts w:ascii="仿宋_GB2312" w:hAnsi="仿宋_GB2312" w:eastAsia="仿宋_GB2312" w:cs="仿宋_GB2312"/>
          <w:b/>
          <w:bCs/>
          <w:color w:val="auto"/>
          <w:sz w:val="28"/>
          <w:szCs w:val="28"/>
        </w:rPr>
      </w:pPr>
      <w:bookmarkStart w:id="11" w:name="_Toc256000031"/>
      <w:r>
        <w:rPr>
          <w:rFonts w:ascii="仿宋_GB2312" w:hAnsi="仿宋_GB2312" w:eastAsia="仿宋_GB2312" w:cs="仿宋_GB2312"/>
          <w:color w:val="auto"/>
          <w:sz w:val="28"/>
          <w:szCs w:val="28"/>
        </w:rPr>
        <w:t>4.1.2优选资质/优选指标</w:t>
      </w:r>
      <w:bookmarkEnd w:id="11"/>
    </w:p>
    <w:p w14:paraId="02FD55FD">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12" w:name="_Toc256000032"/>
      <w:r>
        <w:rPr>
          <w:rFonts w:ascii="仿宋_GB2312" w:hAnsi="仿宋_GB2312" w:eastAsia="仿宋_GB2312" w:cs="仿宋_GB2312"/>
          <w:color w:val="auto"/>
          <w:kern w:val="36"/>
        </w:rPr>
        <w:t>5管理实施要求</w:t>
      </w:r>
      <w:bookmarkEnd w:id="12"/>
    </w:p>
    <w:p w14:paraId="4A326B5C">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    建立成熟完善的透明化责任体系,明确经理、供应业务员、食品安全管理员、采购员、司机等各岗位工作职责，制定岗位工作说明，确保制度能有效运转。</w:t>
      </w:r>
    </w:p>
    <w:p w14:paraId="5D626354">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13" w:name="_Toc256000033"/>
      <w:r>
        <w:rPr>
          <w:rFonts w:ascii="仿宋_GB2312" w:hAnsi="仿宋_GB2312" w:eastAsia="仿宋_GB2312" w:cs="仿宋_GB2312"/>
          <w:color w:val="auto"/>
          <w:kern w:val="36"/>
        </w:rPr>
        <w:t>6风险管控要求</w:t>
      </w:r>
      <w:bookmarkEnd w:id="13"/>
    </w:p>
    <w:p w14:paraId="77275113">
      <w:pPr>
        <w:pStyle w:val="12"/>
        <w:shd w:val="clear"/>
        <w:spacing w:before="0" w:after="0" w:line="360" w:lineRule="auto"/>
        <w:ind w:firstLine="642"/>
        <w:rPr>
          <w:rFonts w:ascii="Times New Roman" w:hAnsi="Times New Roman" w:eastAsia="Times New Roman" w:cs="Times New Roman"/>
          <w:color w:val="auto"/>
        </w:rPr>
      </w:pPr>
      <w:r>
        <w:rPr>
          <w:rFonts w:ascii="Times New Roman" w:hAnsi="Times New Roman" w:eastAsia="Times New Roman" w:cs="Times New Roman"/>
          <w:b/>
          <w:bCs/>
          <w:color w:val="auto"/>
        </w:rPr>
        <w:t>（一）应急保障方案要求</w:t>
      </w:r>
    </w:p>
    <w:p w14:paraId="27839ADE">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投标人应提供在自然灾害、极端事件、市场关闭、物资紧缺等突发紧急情况下拟采取的应急保障方案，包括充分供应、按时保障等措施，确保采购人食材及时供应不间断。</w:t>
      </w:r>
    </w:p>
    <w:p w14:paraId="61B71F4F">
      <w:pPr>
        <w:pStyle w:val="16"/>
        <w:shd w:val="clear"/>
        <w:spacing w:before="0" w:after="0" w:line="360" w:lineRule="auto"/>
        <w:ind w:firstLine="642"/>
        <w:rPr>
          <w:rFonts w:ascii="Times New Roman" w:hAnsi="Times New Roman" w:eastAsia="Times New Roman" w:cs="Times New Roman"/>
          <w:color w:val="auto"/>
        </w:rPr>
      </w:pPr>
      <w:r>
        <w:rPr>
          <w:rFonts w:ascii="Times New Roman" w:hAnsi="Times New Roman" w:eastAsia="Times New Roman" w:cs="Times New Roman"/>
          <w:b/>
          <w:bCs/>
          <w:color w:val="auto"/>
        </w:rPr>
        <w:t>（二）违约风险管控要求</w:t>
      </w:r>
    </w:p>
    <w:p w14:paraId="27F39E0B">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1.投标人中标后采用先送货后结账的模式，不收取履约保证金。有下列情形之一的，采购人有权按照以下约定及合同违约相关条款处理：</w:t>
      </w:r>
    </w:p>
    <w:p w14:paraId="0515F98D">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（1）因投标人配送不及时导致采购人供餐延误并造成重大影响的；</w:t>
      </w:r>
    </w:p>
    <w:p w14:paraId="55A20578">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14:paraId="062166BF">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（3）除不可抗力及采购人原因外，因投标人配送不及时导致采购人伙食供应延时，但经投标人采取补救措施未造成采购人不良影响的，出现三次终止供货合同；</w:t>
      </w:r>
    </w:p>
    <w:p w14:paraId="679582D5">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（4）凡投标人向采购人提供产品发生质量问题影响食用，并拒绝退换的；</w:t>
      </w:r>
    </w:p>
    <w:p w14:paraId="6D8D7DEE">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（5）采购人将不定期组织专人对食材进行抽检，若发现质量不符，采购人有权要求予以退换货。</w:t>
      </w:r>
    </w:p>
    <w:p w14:paraId="13011041">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2.投标人有下列情形之一的，采购人有权解除合同，由投标人承担全部经济损失和相关责任：</w:t>
      </w:r>
    </w:p>
    <w:p w14:paraId="6A3C2095">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（1）投标人以书面、微信、短信等方式通知采购人不再供货，包括对部分食材不再供货；</w:t>
      </w:r>
    </w:p>
    <w:p w14:paraId="719564B2">
      <w:pPr>
        <w:pStyle w:val="17"/>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（2）投标人虽未通知采购人不再供货，但1天没有供应采购人采购的货物，包括对部分食材没有供货；</w:t>
      </w:r>
    </w:p>
    <w:p w14:paraId="7266EFFC">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（3）投标人未经采购人同意单方面提价的。</w:t>
      </w:r>
    </w:p>
    <w:p w14:paraId="20B38C16">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14" w:name="_Toc256000034"/>
      <w:r>
        <w:rPr>
          <w:rFonts w:ascii="仿宋_GB2312" w:hAnsi="仿宋_GB2312" w:eastAsia="仿宋_GB2312" w:cs="仿宋_GB2312"/>
          <w:color w:val="auto"/>
          <w:kern w:val="36"/>
        </w:rPr>
        <w:t>7履约验收要求</w:t>
      </w:r>
      <w:bookmarkEnd w:id="14"/>
    </w:p>
    <w:p w14:paraId="7A117A25">
      <w:pPr>
        <w:pStyle w:val="3"/>
        <w:keepNext w:val="0"/>
        <w:shd w:val="clear"/>
        <w:spacing w:before="0" w:after="0" w:line="360" w:lineRule="auto"/>
        <w:rPr>
          <w:rFonts w:ascii="仿宋_GB2312" w:hAnsi="仿宋_GB2312" w:eastAsia="仿宋_GB2312" w:cs="仿宋_GB2312"/>
          <w:b/>
          <w:bCs/>
          <w:color w:val="auto"/>
          <w:sz w:val="28"/>
          <w:szCs w:val="28"/>
        </w:rPr>
      </w:pPr>
      <w:bookmarkStart w:id="15" w:name="_Toc256000035"/>
      <w:r>
        <w:rPr>
          <w:rFonts w:ascii="仿宋_GB2312" w:hAnsi="仿宋_GB2312" w:eastAsia="仿宋_GB2312" w:cs="仿宋_GB2312"/>
          <w:i w:val="0"/>
          <w:iCs w:val="0"/>
          <w:color w:val="auto"/>
        </w:rPr>
        <w:t>7.1总体要求</w:t>
      </w:r>
      <w:bookmarkEnd w:id="15"/>
    </w:p>
    <w:tbl>
      <w:tblPr>
        <w:tblStyle w:val="9"/>
        <w:tblW w:w="5000" w:type="pct"/>
        <w:tblInd w:w="30" w:type="dxa"/>
        <w:tblLayout w:type="autofit"/>
        <w:tblCellMar>
          <w:top w:w="15" w:type="dxa"/>
          <w:left w:w="15" w:type="dxa"/>
          <w:bottom w:w="15" w:type="dxa"/>
          <w:right w:w="15" w:type="dxa"/>
        </w:tblCellMar>
      </w:tblPr>
      <w:tblGrid>
        <w:gridCol w:w="4535"/>
        <w:gridCol w:w="4535"/>
      </w:tblGrid>
      <w:tr w14:paraId="75BAC5B0">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B61FFAA">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FBF5B8E">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验收要求</w:t>
            </w:r>
          </w:p>
        </w:tc>
      </w:tr>
      <w:tr w14:paraId="26D28401">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E2A45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07426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（一）总体要求</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1.验收人员：由采购人食堂管理人员、库房管理人员组成验收小组，投标人送货人员应积极配合验收。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2.验收时间和地点</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（1）验收时间：到货当天。</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地点：国家税务总局天津市南开区税务局食堂（天津市南开区白堤路96号）、国家税务总局天津市南开区税务局海光寺办公区食堂（天津市南开区南门外大街新泉大厦B座）。（3）验收组织形式：采购人组织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（4）验收方式：现场验收。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（5）验收内容</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（a）质量是否符合约定标准；</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（b）重量、数量、价格是否与采购人的预定量一致。</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（二）具体要求</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1.验收场所的准备</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应当在固定的场所进行验收，采购人定期清扫消毒，保持清洁，保证无积尘、无食品残渣，无霉斑、鼠迹、苍蝇、蟑螂，验收场所不准存放有毒、有害物品及个人生活用品。</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2.验收小组按订单对采购货物的品种、质量、数量进行检查验收，对货不对版、质量不好、价格明显过于偏高的食材不予验收且有权拒收，对于数量不足的食材，按照实际数量入账，填制验收记录和验收单。</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3.验收流程</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（1）投标人应在验收时提供与送货内容一致的送货单，并加盖公章。</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（2）卸货前的检查。验收人员卸货前应对货物的外观质量进行初步了解。</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（3）采取当场验收的方式，验收人认真检查货物，按核对品种→索证→抽查(检测）→数量、重量、质量、价格验收→签名确认→入库的程序完成验收。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要求投标人提供产品质量检测报告及卫生合格报告书，肉类产品应提供当地卫生部门开具的动物检验检疫合格票、产品检疫合格证，证明内容与产品内容要一致。投标人以提供原件为主，不能留原件的提供复印件。</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（4）发现食品安全质量问题的处理：</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抽查时发现食品质量不过关或影响食用安全的，对当日所送同批次产品全部退货。</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若抽查未发现问题，按储藏要求储藏后在加工食用前发现产品质量问题的，投标人必须退货或更换。</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4.退（补）货流程</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r>
              <w:rPr>
                <w:rFonts w:ascii="仿宋_GB2312" w:hAnsi="仿宋_GB2312" w:eastAsia="仿宋_GB2312" w:cs="仿宋_GB2312"/>
                <w:b w:val="0"/>
                <w:bCs w:val="0"/>
                <w:i w:val="0"/>
                <w:iCs w:val="0"/>
                <w:smallCaps w:val="0"/>
                <w:color w:val="auto"/>
                <w:sz w:val="21"/>
                <w:szCs w:val="21"/>
              </w:rPr>
              <w:br w:type="textWrapping"/>
            </w:r>
            <w:r>
              <w:rPr>
                <w:rFonts w:ascii="仿宋_GB2312" w:hAnsi="仿宋_GB2312" w:eastAsia="仿宋_GB2312" w:cs="仿宋_GB2312"/>
                <w:b w:val="0"/>
                <w:bCs w:val="0"/>
                <w:i w:val="0"/>
                <w:iCs w:val="0"/>
                <w:smallCaps w:val="0"/>
                <w:color w:val="auto"/>
                <w:sz w:val="21"/>
                <w:szCs w:val="21"/>
              </w:rPr>
              <w:t>包装带箱、筐的食材按照去除箱、筐后的重量计算。投标人需配合采购人库管人员进行倒筐称重，共同签字确认。</w:t>
            </w:r>
          </w:p>
        </w:tc>
      </w:tr>
    </w:tbl>
    <w:p w14:paraId="7A6C96B6">
      <w:pPr>
        <w:pStyle w:val="3"/>
        <w:keepNext w:val="0"/>
        <w:shd w:val="clear"/>
        <w:spacing w:before="0" w:after="0" w:line="360" w:lineRule="auto"/>
        <w:rPr>
          <w:rFonts w:ascii="仿宋_GB2312" w:hAnsi="仿宋_GB2312" w:eastAsia="仿宋_GB2312" w:cs="仿宋_GB2312"/>
          <w:b/>
          <w:bCs/>
          <w:color w:val="auto"/>
          <w:sz w:val="28"/>
          <w:szCs w:val="28"/>
        </w:rPr>
      </w:pPr>
      <w:bookmarkStart w:id="16" w:name="_Toc256000036"/>
      <w:r>
        <w:rPr>
          <w:rFonts w:ascii="仿宋_GB2312" w:hAnsi="仿宋_GB2312" w:eastAsia="仿宋_GB2312" w:cs="仿宋_GB2312"/>
          <w:i w:val="0"/>
          <w:iCs w:val="0"/>
          <w:color w:val="auto"/>
        </w:rPr>
        <w:t>7.2具体要求</w:t>
      </w:r>
      <w:bookmarkEnd w:id="16"/>
    </w:p>
    <w:p w14:paraId="71AF891D">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1.验收场所的准备</w:t>
      </w:r>
    </w:p>
    <w:p w14:paraId="191D1EBD">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应当在固定的场所进行验收，采购人定期清扫消毒，保持清洁，保证无积尘、无食品残渣，无霉斑、鼠迹、苍蝇、蟑螂，验收场所不准存放有毒、有害物品及个人生活用品。</w:t>
      </w:r>
    </w:p>
    <w:p w14:paraId="4E0E7984">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2.验收小组按订单对采购货物的品种、质量、数量进行检查验收，对货不对版、质量不好、价格明显过于偏高的食材不予验收且有权拒收，对于数量不足的食材，按照实际数量入账，填制验收记录和验收单。</w:t>
      </w:r>
    </w:p>
    <w:p w14:paraId="04C95672">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3.验收流程</w:t>
      </w:r>
    </w:p>
    <w:p w14:paraId="2BE4E3E7">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（1）投标人应在验收时提供与送货内容一致的送货单，并加盖公章。</w:t>
      </w:r>
    </w:p>
    <w:p w14:paraId="3FC2AC27">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（2）卸货前的检查。验收人员卸货前应对货物的外观质量进行初步了解。</w:t>
      </w:r>
    </w:p>
    <w:p w14:paraId="41289675">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14:paraId="12F29A50">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（3）采取当场验收的方式，验收人认真检查货物，按核对品种→索证→抽查(检测）→数量、重量、质量、价格验收→签名确认→入库的程序完成验收。</w:t>
      </w:r>
    </w:p>
    <w:p w14:paraId="7501C3E5">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14:paraId="1B96BD00">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w:t>
      </w:r>
    </w:p>
    <w:p w14:paraId="5038F0B5">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（4）发现食品安全质量问题的处理：</w:t>
      </w:r>
    </w:p>
    <w:p w14:paraId="56799E1E">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抽查时发现食品质量不过关或影响食用安全的，对当日所送同批次产品全部退货。</w:t>
      </w:r>
    </w:p>
    <w:p w14:paraId="17C0FB96">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若抽查未发现问题，按储藏要求储藏后在加工食用前发现产品质量问题的，投标人必须退货或更换。</w:t>
      </w:r>
    </w:p>
    <w:p w14:paraId="1829FB91">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4.退（补）货流程</w:t>
      </w:r>
    </w:p>
    <w:p w14:paraId="6067F2B5">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6204F62F">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包装带箱、筐的食材按照去除箱、筐后的重量计算。投标人需配合采购人库管人员进行倒筐称重，共同签字确认。</w:t>
      </w:r>
    </w:p>
    <w:p w14:paraId="017C5688">
      <w:pPr>
        <w:pStyle w:val="2"/>
        <w:keepNext w:val="0"/>
        <w:shd w:val="clear"/>
        <w:spacing w:before="0" w:after="0" w:line="360" w:lineRule="auto"/>
        <w:jc w:val="center"/>
        <w:rPr>
          <w:rFonts w:ascii="仿宋_GB2312" w:hAnsi="仿宋_GB2312" w:eastAsia="仿宋_GB2312" w:cs="仿宋_GB2312"/>
          <w:b/>
          <w:bCs/>
          <w:color w:val="auto"/>
          <w:sz w:val="32"/>
          <w:szCs w:val="32"/>
        </w:rPr>
      </w:pPr>
      <w:bookmarkStart w:id="17" w:name="_Toc256000037"/>
      <w:r>
        <w:rPr>
          <w:rFonts w:ascii="仿宋_GB2312" w:hAnsi="仿宋_GB2312" w:eastAsia="仿宋_GB2312" w:cs="仿宋_GB2312"/>
          <w:color w:val="auto"/>
          <w:kern w:val="36"/>
        </w:rPr>
        <w:t>8其他要求</w:t>
      </w:r>
      <w:bookmarkEnd w:id="17"/>
    </w:p>
    <w:p w14:paraId="313C8207">
      <w:pPr>
        <w:pStyle w:val="3"/>
        <w:keepNext w:val="0"/>
        <w:shd w:val="clear"/>
        <w:spacing w:before="0" w:after="0" w:line="360" w:lineRule="auto"/>
        <w:rPr>
          <w:rFonts w:ascii="仿宋_GB2312" w:hAnsi="仿宋_GB2312" w:eastAsia="仿宋_GB2312" w:cs="仿宋_GB2312"/>
          <w:b/>
          <w:bCs/>
          <w:color w:val="auto"/>
          <w:sz w:val="28"/>
          <w:szCs w:val="28"/>
        </w:rPr>
      </w:pPr>
      <w:bookmarkStart w:id="18" w:name="_Toc256000038"/>
      <w:r>
        <w:rPr>
          <w:rFonts w:ascii="仿宋_GB2312" w:hAnsi="仿宋_GB2312" w:eastAsia="仿宋_GB2312" w:cs="仿宋_GB2312"/>
          <w:i w:val="0"/>
          <w:iCs w:val="0"/>
          <w:color w:val="auto"/>
        </w:rPr>
        <w:t>8.1定价和结算要求</w:t>
      </w:r>
      <w:bookmarkEnd w:id="18"/>
    </w:p>
    <w:p w14:paraId="321F779A">
      <w:pPr>
        <w:pStyle w:val="16"/>
        <w:shd w:val="clear"/>
        <w:spacing w:before="0" w:after="0" w:line="360" w:lineRule="auto"/>
        <w:ind w:left="0" w:right="0" w:firstLine="480"/>
        <w:jc w:val="both"/>
        <w:rPr>
          <w:rFonts w:ascii="Times New Roman" w:hAnsi="Times New Roman" w:eastAsia="Times New Roman" w:cs="Times New Roman"/>
          <w:color w:val="auto"/>
        </w:rPr>
      </w:pPr>
      <w:r>
        <w:rPr>
          <w:rFonts w:ascii="Times New Roman" w:hAnsi="Times New Roman" w:eastAsia="Times New Roman" w:cs="Times New Roman"/>
          <w:color w:val="auto"/>
          <w:sz w:val="28"/>
          <w:szCs w:val="28"/>
        </w:rPr>
        <w:t>（一）报价要求</w:t>
      </w:r>
    </w:p>
    <w:p w14:paraId="2225CE7E">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1.投标价格应包括：人员费用、食材费用、配送费用、运输保险费用、装卸费用、管理费、利润税金等为完成招标文件规定的一切工作所需的全部费用。</w:t>
      </w:r>
    </w:p>
    <w:p w14:paraId="27652319">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2.投标报价规则：</w:t>
      </w:r>
    </w:p>
    <w:p w14:paraId="32B924A7">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（1）投标报价以费率填列。</w:t>
      </w:r>
    </w:p>
    <w:p w14:paraId="63373A3E">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（2）在服务期内，采购人有权在不超过采购预算的前提下，向中标供应商下达每日具体采购订单。</w:t>
      </w:r>
    </w:p>
    <w:p w14:paraId="7C6AD0E2">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（3）按以下原则确定结算价格</w:t>
      </w:r>
    </w:p>
    <w:p w14:paraId="415EFFCB">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结算价格=中标供应商所报费率×基础价格A×1.1。</w:t>
      </w:r>
    </w:p>
    <w:p w14:paraId="28CAC412">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结算价格=中标供应商所报费率×基础价格B×1.0。</w:t>
      </w:r>
    </w:p>
    <w:p w14:paraId="0A842E82">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A.基础价格A：依次参照“全国农产品批发市场价格信息系统（https://pfsc.argi.cn/portal-app/#/indexpage）”食材配送当日发布的天津市金钟河蔬菜贸易中心、天津韩家墅海吉星农产品批发市场、天津何庄子农产品批发市场同等食材的“大宗价”确定为“基础价格A”，定价单位为500克。</w:t>
      </w:r>
    </w:p>
    <w:p w14:paraId="6F2F0BAE">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B.基础价格B：当“全国农产品批发市场价格信息系统”上述3个市场中没有列明所采购食材的大宗价格时，依次参照食材配送当日的多点APP、七鲜APP、华润万家超市的同等食材价格确定为“基础价格B”，定价单位为500克。零售商品有多个规格的，以最大规格的每500克价格为定价依据。</w:t>
      </w:r>
    </w:p>
    <w:p w14:paraId="41720C45">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所报费率＞100%的，视为无效投标。</w:t>
      </w:r>
    </w:p>
    <w:p w14:paraId="0E7BC30D">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注：网上应答报价仅填写费率%左侧数字，如所报费率为95%，网上应答仅填写“95”。</w:t>
      </w:r>
    </w:p>
    <w:p w14:paraId="5F37917F">
      <w:pPr>
        <w:pStyle w:val="13"/>
        <w:shd w:val="clear"/>
        <w:spacing w:before="0" w:after="0" w:line="360" w:lineRule="auto"/>
        <w:rPr>
          <w:rFonts w:ascii="Times New Roman" w:hAnsi="Times New Roman" w:eastAsia="Times New Roman" w:cs="Times New Roman"/>
          <w:color w:val="auto"/>
          <w:highlight w:val="none"/>
          <w:shd w:val="clear" w:color="auto" w:fill="auto"/>
        </w:rPr>
      </w:pPr>
      <w:r>
        <w:rPr>
          <w:rFonts w:ascii="仿宋_GB2312" w:hAnsi="仿宋_GB2312" w:eastAsia="仿宋_GB2312" w:cs="仿宋_GB2312"/>
          <w:color w:val="auto"/>
          <w:sz w:val="28"/>
          <w:szCs w:val="28"/>
          <w:highlight w:val="none"/>
          <w:shd w:val="clear" w:color="auto" w:fill="auto"/>
        </w:rPr>
        <w:t>（4）投标人提供书面承诺，承诺使用采购人指定账号采购并向采购人提供脱贫地区农副产品，采购额度为55万元。脱贫地区农副产品按平台实际销售价据实结算，不适用于以上费率。</w:t>
      </w:r>
    </w:p>
    <w:p w14:paraId="42157C81">
      <w:pPr>
        <w:pStyle w:val="3"/>
        <w:keepNext w:val="0"/>
        <w:shd w:val="clear"/>
        <w:spacing w:before="0" w:after="0" w:line="360" w:lineRule="auto"/>
        <w:rPr>
          <w:rFonts w:ascii="仿宋_GB2312" w:hAnsi="仿宋_GB2312" w:eastAsia="仿宋_GB2312" w:cs="仿宋_GB2312"/>
          <w:b/>
          <w:bCs/>
          <w:color w:val="auto"/>
          <w:sz w:val="28"/>
          <w:szCs w:val="28"/>
        </w:rPr>
      </w:pPr>
      <w:bookmarkStart w:id="19" w:name="_Toc256000039"/>
      <w:r>
        <w:rPr>
          <w:rFonts w:ascii="仿宋_GB2312" w:hAnsi="仿宋_GB2312" w:eastAsia="仿宋_GB2312" w:cs="仿宋_GB2312"/>
          <w:i w:val="0"/>
          <w:iCs w:val="0"/>
          <w:color w:val="auto"/>
        </w:rPr>
        <w:t>8.2必备要求</w:t>
      </w:r>
      <w:bookmarkEnd w:id="19"/>
    </w:p>
    <w:p w14:paraId="5354200A">
      <w:pPr>
        <w:pStyle w:val="4"/>
        <w:keepNext w:val="0"/>
        <w:shd w:val="clear"/>
        <w:spacing w:before="0" w:after="0" w:line="360" w:lineRule="auto"/>
        <w:rPr>
          <w:rFonts w:ascii="仿宋_GB2312" w:hAnsi="仿宋_GB2312" w:eastAsia="仿宋_GB2312" w:cs="仿宋_GB2312"/>
          <w:b/>
          <w:bCs/>
          <w:color w:val="auto"/>
          <w:sz w:val="28"/>
          <w:szCs w:val="28"/>
        </w:rPr>
      </w:pPr>
      <w:bookmarkStart w:id="20" w:name="_Toc256000040"/>
      <w:r>
        <w:rPr>
          <w:rFonts w:ascii="仿宋_GB2312" w:hAnsi="仿宋_GB2312" w:eastAsia="仿宋_GB2312" w:cs="仿宋_GB2312"/>
          <w:color w:val="auto"/>
          <w:sz w:val="28"/>
          <w:szCs w:val="28"/>
        </w:rPr>
        <w:t>8.2.1通用必备要求</w:t>
      </w:r>
      <w:bookmarkEnd w:id="20"/>
    </w:p>
    <w:p w14:paraId="4871F854">
      <w:pPr>
        <w:shd w:val="clea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14:paraId="148CAD2B">
      <w:pPr>
        <w:shd w:val="clea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14:paraId="2F0617C3">
      <w:pPr>
        <w:shd w:val="clea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 xml:space="preserve">3.本项目中如涉及国家强制性产品认证证书（CCC 认证证书）、电信设备进网许可证、无线电发射设备核准证等市场准入类资质的，应严格执行国家相关法律法规的要求。 </w:t>
      </w:r>
    </w:p>
    <w:p w14:paraId="21A6865A">
      <w:pPr>
        <w:shd w:val="clear"/>
        <w:spacing w:before="0" w:after="0" w:line="360" w:lineRule="auto"/>
        <w:ind w:firstLine="561"/>
        <w:rPr>
          <w:rFonts w:ascii="仿宋_GB2312" w:hAnsi="仿宋_GB2312" w:eastAsia="仿宋_GB2312" w:cs="仿宋_GB2312"/>
          <w:color w:val="auto"/>
          <w:sz w:val="28"/>
          <w:szCs w:val="28"/>
        </w:rPr>
      </w:pPr>
      <w:r>
        <w:rPr>
          <w:rFonts w:ascii="仿宋_GB2312" w:hAnsi="仿宋_GB2312" w:eastAsia="仿宋_GB2312" w:cs="仿宋_GB2312"/>
          <w:color w:val="auto"/>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14:paraId="3560EC4E">
      <w:pPr>
        <w:pStyle w:val="3"/>
        <w:keepNext w:val="0"/>
        <w:shd w:val="clear"/>
        <w:spacing w:before="0" w:after="0" w:line="360" w:lineRule="auto"/>
        <w:rPr>
          <w:rFonts w:ascii="仿宋_GB2312" w:hAnsi="仿宋_GB2312" w:eastAsia="仿宋_GB2312" w:cs="仿宋_GB2312"/>
          <w:b/>
          <w:bCs/>
          <w:color w:val="auto"/>
          <w:sz w:val="28"/>
          <w:szCs w:val="28"/>
        </w:rPr>
      </w:pPr>
      <w:bookmarkStart w:id="21" w:name="_Toc256000041"/>
      <w:r>
        <w:rPr>
          <w:rFonts w:ascii="仿宋_GB2312" w:hAnsi="仿宋_GB2312" w:eastAsia="仿宋_GB2312" w:cs="仿宋_GB2312"/>
          <w:i w:val="0"/>
          <w:iCs w:val="0"/>
          <w:color w:val="auto"/>
        </w:rPr>
        <w:t>8.3付款安排建议</w:t>
      </w:r>
      <w:bookmarkEnd w:id="21"/>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14:paraId="345E6CA4">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8B516C7">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299215A">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4AFEB25">
            <w:pPr>
              <w:shd w:val="clear"/>
              <w:jc w:val="center"/>
              <w:rPr>
                <w:rFonts w:ascii="仿宋_GB2312" w:hAnsi="仿宋_GB2312" w:eastAsia="仿宋_GB2312" w:cs="仿宋_GB2312"/>
                <w:b/>
                <w:bCs/>
                <w:i w:val="0"/>
                <w:iCs w:val="0"/>
                <w:smallCaps w:val="0"/>
                <w:color w:val="auto"/>
                <w:sz w:val="21"/>
                <w:szCs w:val="21"/>
              </w:rPr>
            </w:pPr>
            <w:r>
              <w:rPr>
                <w:rFonts w:ascii="仿宋_GB2312" w:hAnsi="仿宋_GB2312" w:eastAsia="仿宋_GB2312" w:cs="仿宋_GB2312"/>
                <w:b/>
                <w:bCs/>
                <w:i w:val="0"/>
                <w:iCs w:val="0"/>
                <w:smallCaps w:val="0"/>
                <w:color w:val="auto"/>
                <w:sz w:val="21"/>
                <w:szCs w:val="21"/>
              </w:rPr>
              <w:t>付款比例(%)</w:t>
            </w:r>
          </w:p>
        </w:tc>
      </w:tr>
      <w:tr w14:paraId="658A4129">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C41C9">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DEB25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8C54F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6935585B">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B10D8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5F2F8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604281">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4493CEEC">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E5597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06C32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27B91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418CC63D">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877DF5">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2347B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9987C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50D079D0">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36A54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756D9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4D68B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58E6C09A">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0F5F17">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3B44B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8E46E">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240D287E">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7E2F9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E4114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D1F0B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CB4C973">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17D67A">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FC7E6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76BE6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77C74B6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077BEB">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7EC242">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9EDDD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4349820">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36D17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A02914">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881338">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A3D5875">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C1711F">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A31C0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16FB53">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8.33</w:t>
            </w:r>
          </w:p>
        </w:tc>
      </w:tr>
      <w:tr w14:paraId="05AD3C11">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2FC9EC">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60B830">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D683AD">
            <w:pPr>
              <w:shd w:val="clear"/>
              <w:jc w:val="left"/>
              <w:rPr>
                <w:rFonts w:ascii="仿宋_GB2312" w:hAnsi="仿宋_GB2312" w:eastAsia="仿宋_GB2312" w:cs="仿宋_GB2312"/>
                <w:b w:val="0"/>
                <w:bCs w:val="0"/>
                <w:i w:val="0"/>
                <w:iCs w:val="0"/>
                <w:smallCaps w:val="0"/>
                <w:color w:val="auto"/>
                <w:sz w:val="21"/>
                <w:szCs w:val="21"/>
              </w:rPr>
            </w:pPr>
            <w:r>
              <w:rPr>
                <w:rFonts w:ascii="仿宋_GB2312" w:hAnsi="仿宋_GB2312" w:eastAsia="仿宋_GB2312" w:cs="仿宋_GB2312"/>
                <w:b w:val="0"/>
                <w:bCs w:val="0"/>
                <w:i w:val="0"/>
                <w:iCs w:val="0"/>
                <w:smallCaps w:val="0"/>
                <w:color w:val="auto"/>
                <w:sz w:val="21"/>
                <w:szCs w:val="21"/>
              </w:rPr>
              <w:t>8.37</w:t>
            </w:r>
          </w:p>
        </w:tc>
      </w:tr>
    </w:tbl>
    <w:p w14:paraId="5A13B5BF">
      <w:pPr>
        <w:pStyle w:val="3"/>
        <w:keepNext w:val="0"/>
        <w:shd w:val="clear"/>
        <w:spacing w:before="0" w:after="0" w:line="360" w:lineRule="auto"/>
        <w:rPr>
          <w:rFonts w:ascii="仿宋_GB2312" w:hAnsi="仿宋_GB2312" w:eastAsia="仿宋_GB2312" w:cs="仿宋_GB2312"/>
          <w:b/>
          <w:bCs/>
          <w:color w:val="auto"/>
          <w:sz w:val="28"/>
          <w:szCs w:val="28"/>
        </w:rPr>
      </w:pPr>
      <w:bookmarkStart w:id="22" w:name="_Toc256000042"/>
      <w:r>
        <w:rPr>
          <w:rFonts w:ascii="仿宋_GB2312" w:hAnsi="仿宋_GB2312" w:eastAsia="仿宋_GB2312" w:cs="仿宋_GB2312"/>
          <w:i w:val="0"/>
          <w:iCs w:val="0"/>
          <w:color w:val="auto"/>
        </w:rPr>
        <w:t>8.4其他要求</w:t>
      </w:r>
      <w:bookmarkEnd w:id="22"/>
    </w:p>
    <w:p w14:paraId="56B7EB6F">
      <w:pPr>
        <w:pStyle w:val="4"/>
        <w:keepNext w:val="0"/>
        <w:shd w:val="clear"/>
        <w:spacing w:before="0" w:after="0" w:line="360" w:lineRule="auto"/>
        <w:rPr>
          <w:rFonts w:ascii="仿宋_GB2312" w:hAnsi="仿宋_GB2312" w:eastAsia="仿宋_GB2312" w:cs="仿宋_GB2312"/>
          <w:b/>
          <w:bCs/>
          <w:color w:val="auto"/>
          <w:sz w:val="28"/>
          <w:szCs w:val="28"/>
        </w:rPr>
      </w:pPr>
      <w:bookmarkStart w:id="23" w:name="_Toc256000043"/>
      <w:r>
        <w:rPr>
          <w:rFonts w:ascii="仿宋_GB2312" w:hAnsi="仿宋_GB2312" w:eastAsia="仿宋_GB2312" w:cs="仿宋_GB2312"/>
          <w:color w:val="auto"/>
          <w:sz w:val="28"/>
          <w:szCs w:val="28"/>
        </w:rPr>
        <w:t>8.4.1保密要求</w:t>
      </w:r>
      <w:bookmarkEnd w:id="23"/>
    </w:p>
    <w:p w14:paraId="7F6932F9">
      <w:pPr>
        <w:pStyle w:val="12"/>
        <w:shd w:val="clear"/>
        <w:spacing w:before="0" w:after="0" w:line="360" w:lineRule="auto"/>
        <w:ind w:left="0" w:firstLine="560"/>
        <w:jc w:val="both"/>
        <w:rPr>
          <w:rFonts w:ascii="Times New Roman" w:hAnsi="Times New Roman" w:eastAsia="Times New Roman" w:cs="Times New Roman"/>
          <w:color w:val="auto"/>
        </w:rPr>
      </w:pPr>
      <w:r>
        <w:rPr>
          <w:rFonts w:ascii="仿宋_GB2312" w:hAnsi="仿宋_GB2312" w:eastAsia="仿宋_GB2312" w:cs="仿宋_GB2312"/>
          <w:color w:val="auto"/>
          <w:sz w:val="28"/>
          <w:szCs w:val="28"/>
        </w:rPr>
        <w:t>中标供应商应提供遵守国家税务总局天津市南开区税务局相关安全保密制度规定的承诺函，并签订保密协议。若中标供应商服务人员违反信息安全保密制度相关规定，对税务机关造成利益损害的，中标供应商应承担相关法律责任。</w:t>
      </w:r>
    </w:p>
    <w:p w14:paraId="548838ED">
      <w:pPr>
        <w:pStyle w:val="4"/>
        <w:keepNext w:val="0"/>
        <w:shd w:val="clear"/>
        <w:spacing w:before="0" w:after="0" w:line="360" w:lineRule="auto"/>
        <w:rPr>
          <w:rFonts w:ascii="仿宋_GB2312" w:hAnsi="仿宋_GB2312" w:eastAsia="仿宋_GB2312" w:cs="仿宋_GB2312"/>
          <w:b/>
          <w:bCs/>
          <w:color w:val="auto"/>
          <w:sz w:val="28"/>
          <w:szCs w:val="28"/>
        </w:rPr>
      </w:pPr>
      <w:bookmarkStart w:id="24" w:name="_Toc256000044"/>
      <w:r>
        <w:rPr>
          <w:rFonts w:ascii="仿宋_GB2312" w:hAnsi="仿宋_GB2312" w:eastAsia="仿宋_GB2312" w:cs="仿宋_GB2312"/>
          <w:color w:val="auto"/>
          <w:sz w:val="28"/>
          <w:szCs w:val="28"/>
        </w:rPr>
        <w:t>8.4.2知识产权要求</w:t>
      </w:r>
      <w:bookmarkEnd w:id="24"/>
    </w:p>
    <w:p w14:paraId="78AB08D0">
      <w:pPr>
        <w:pStyle w:val="13"/>
        <w:shd w:val="clear"/>
        <w:spacing w:before="0" w:after="0" w:line="360" w:lineRule="auto"/>
        <w:rPr>
          <w:rFonts w:ascii="Times New Roman" w:hAnsi="Times New Roman" w:eastAsia="Times New Roman" w:cs="Times New Roman"/>
          <w:color w:val="auto"/>
        </w:rPr>
      </w:pPr>
      <w:r>
        <w:rPr>
          <w:rFonts w:ascii="仿宋_GB2312" w:hAnsi="仿宋_GB2312" w:eastAsia="仿宋_GB2312" w:cs="仿宋_GB2312"/>
          <w:color w:val="auto"/>
          <w:sz w:val="28"/>
          <w:szCs w:val="28"/>
        </w:rPr>
        <w:t>无</w:t>
      </w:r>
    </w:p>
    <w:p w14:paraId="1276F67D">
      <w:pPr>
        <w:shd w:val="clear"/>
        <w:spacing w:before="0" w:after="0" w:line="360" w:lineRule="auto"/>
        <w:ind w:firstLine="561"/>
        <w:rPr>
          <w:rFonts w:ascii="仿宋_GB2312" w:hAnsi="仿宋_GB2312" w:eastAsia="仿宋_GB2312" w:cs="仿宋_GB2312"/>
          <w:color w:val="auto"/>
          <w:sz w:val="28"/>
          <w:szCs w:val="28"/>
        </w:rPr>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FBD705">
    <w:pPr>
      <w:spacing w:before="0" w:after="0" w:line="360" w:lineRule="auto"/>
      <w:jc w:val="center"/>
    </w:pPr>
    <w:r>
      <w:fldChar w:fldCharType="begin"/>
    </w:r>
    <w:r>
      <w:instrText xml:space="preserve"> PAGE </w:instrText>
    </w:r>
    <w:r>
      <w:fldChar w:fldCharType="separate"/>
    </w:r>
    <w:r>
      <w:t>19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A77B3E"/>
    <w:rsid w:val="00CA2A55"/>
    <w:rsid w:val="075D7460"/>
    <w:rsid w:val="10C91971"/>
    <w:rsid w:val="208051AE"/>
    <w:rsid w:val="21A526CC"/>
    <w:rsid w:val="33B85AC0"/>
    <w:rsid w:val="46090085"/>
    <w:rsid w:val="6A6918F1"/>
    <w:rsid w:val="718B464E"/>
    <w:rsid w:val="78B720CE"/>
    <w:rsid w:val="79FB59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toc 3"/>
    <w:basedOn w:val="1"/>
    <w:next w:val="1"/>
    <w:qFormat/>
    <w:uiPriority w:val="0"/>
    <w:pPr>
      <w:ind w:left="480"/>
    </w:pPr>
  </w:style>
  <w:style w:type="paragraph" w:styleId="7">
    <w:name w:val="toc 1"/>
    <w:basedOn w:val="1"/>
    <w:next w:val="1"/>
    <w:qFormat/>
    <w:uiPriority w:val="0"/>
  </w:style>
  <w:style w:type="paragraph" w:styleId="8">
    <w:name w:val="toc 2"/>
    <w:basedOn w:val="1"/>
    <w:next w:val="1"/>
    <w:qFormat/>
    <w:uiPriority w:val="0"/>
    <w:pPr>
      <w:ind w:left="240"/>
    </w:pPr>
  </w:style>
  <w:style w:type="character" w:styleId="11">
    <w:name w:val="Hyperlink"/>
    <w:basedOn w:val="10"/>
    <w:qFormat/>
    <w:uiPriority w:val="0"/>
    <w:rPr>
      <w:color w:val="0000FF"/>
      <w:u w:val="single"/>
    </w:rPr>
  </w:style>
  <w:style w:type="paragraph" w:customStyle="1" w:styleId="12">
    <w:name w:val="15"/>
    <w:basedOn w:val="1"/>
    <w:qFormat/>
    <w:uiPriority w:val="0"/>
  </w:style>
  <w:style w:type="paragraph" w:customStyle="1" w:styleId="13">
    <w:name w:val="MsoNormal"/>
    <w:basedOn w:val="1"/>
    <w:qFormat/>
    <w:uiPriority w:val="0"/>
  </w:style>
  <w:style w:type="character" w:customStyle="1" w:styleId="14">
    <w:name w:val="15 Character"/>
    <w:basedOn w:val="10"/>
    <w:qFormat/>
    <w:uiPriority w:val="0"/>
  </w:style>
  <w:style w:type="table" w:customStyle="1" w:styleId="15">
    <w:name w:val="MsoNormalTable"/>
    <w:basedOn w:val="9"/>
    <w:qFormat/>
    <w:uiPriority w:val="0"/>
  </w:style>
  <w:style w:type="paragraph" w:customStyle="1" w:styleId="16">
    <w:name w:val="16"/>
    <w:basedOn w:val="1"/>
    <w:qFormat/>
    <w:uiPriority w:val="0"/>
  </w:style>
  <w:style w:type="paragraph" w:customStyle="1" w:styleId="17">
    <w:name w:val="17"/>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22</Pages>
  <Words>1674</Words>
  <Characters>1946</Characters>
  <Lines>1</Lines>
  <Paragraphs>1</Paragraphs>
  <TotalTime>2</TotalTime>
  <ScaleCrop>false</ScaleCrop>
  <LinksUpToDate>false</LinksUpToDate>
  <CharactersWithSpaces>2022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2025-10-24T10:51:00Z</dcterms:created>
  <dc:creator>nkds</dc:creator>
  <cp:lastModifiedBy>Lin</cp:lastModifiedBy>
  <dcterms:modified xsi:type="dcterms:W3CDTF">2025-11-18T08:19:22Z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eyJoZGlkIjoiNzJiNWQ2NDYxNjMyZjMyNjg5NzU4Mzk3MzM0YTk1ODQiLCJ1c2VySWQiOiI2NzI5MTcyNDcifQ==</vt:lpwstr>
  </property>
  <property fmtid="{D5CDD505-2E9C-101B-9397-08002B2CF9AE}" pid="4" name="ICV">
    <vt:lpwstr>2CDABC0DD86049B9957D3EC6DA5EF2E8_12</vt:lpwstr>
  </property>
</Properties>
</file>