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09558">
      <w:pPr>
        <w:pStyle w:val="2"/>
        <w:widowControl/>
        <w:spacing w:beforeAutospacing="0" w:afterAutospacing="0" w:line="360" w:lineRule="atLeast"/>
        <w:jc w:val="center"/>
        <w:rPr>
          <w:rFonts w:hint="eastAsia"/>
          <w:color w:val="000000"/>
          <w:sz w:val="44"/>
          <w:szCs w:val="44"/>
          <w:lang w:val="en-US" w:eastAsia="zh-CN"/>
        </w:rPr>
      </w:pPr>
    </w:p>
    <w:p w14:paraId="385488D3">
      <w:pPr>
        <w:pStyle w:val="2"/>
        <w:widowControl/>
        <w:spacing w:beforeAutospacing="0" w:afterAutospacing="0" w:line="360" w:lineRule="atLeast"/>
        <w:jc w:val="center"/>
        <w:rPr>
          <w:rFonts w:hint="default"/>
          <w:color w:val="000000"/>
          <w:sz w:val="44"/>
          <w:szCs w:val="44"/>
        </w:rPr>
      </w:pPr>
      <w:r>
        <w:rPr>
          <w:rFonts w:hint="eastAsia"/>
          <w:color w:val="000000"/>
          <w:sz w:val="44"/>
          <w:szCs w:val="44"/>
          <w:lang w:val="en-US" w:eastAsia="zh-CN"/>
        </w:rPr>
        <w:t>天津市公安局滨海分局</w:t>
      </w:r>
      <w:r>
        <w:rPr>
          <w:color w:val="000000"/>
          <w:sz w:val="44"/>
          <w:szCs w:val="44"/>
        </w:rPr>
        <w:t>采购</w:t>
      </w:r>
      <w:r>
        <w:rPr>
          <w:rFonts w:hint="eastAsia"/>
          <w:color w:val="000000"/>
          <w:sz w:val="44"/>
          <w:szCs w:val="44"/>
          <w:lang w:val="en-US" w:eastAsia="zh-CN"/>
        </w:rPr>
        <w:t>执法执勤</w:t>
      </w:r>
      <w:r>
        <w:rPr>
          <w:color w:val="000000"/>
          <w:sz w:val="44"/>
          <w:szCs w:val="44"/>
        </w:rPr>
        <w:t>警用</w:t>
      </w:r>
      <w:r>
        <w:rPr>
          <w:rFonts w:hint="eastAsia"/>
          <w:color w:val="000000"/>
          <w:sz w:val="44"/>
          <w:szCs w:val="44"/>
          <w:lang w:val="en-US" w:eastAsia="zh-CN"/>
        </w:rPr>
        <w:t>车辆</w:t>
      </w:r>
      <w:r>
        <w:rPr>
          <w:color w:val="000000"/>
          <w:sz w:val="44"/>
          <w:szCs w:val="44"/>
        </w:rPr>
        <w:t>项目需求书</w:t>
      </w:r>
    </w:p>
    <w:p w14:paraId="5BA27441">
      <w:pPr>
        <w:widowControl/>
        <w:spacing w:line="360" w:lineRule="atLeast"/>
        <w:jc w:val="left"/>
        <w:rPr>
          <w:rFonts w:ascii="宋体" w:hAnsi="宋体" w:eastAsia="宋体" w:cs="宋体"/>
          <w:color w:val="000000"/>
          <w:kern w:val="0"/>
          <w:sz w:val="24"/>
          <w:szCs w:val="24"/>
        </w:rPr>
      </w:pPr>
      <w:bookmarkStart w:id="0" w:name="_GoBack"/>
      <w:bookmarkEnd w:id="0"/>
    </w:p>
    <w:p w14:paraId="7C8D3258">
      <w:pPr>
        <w:widowControl/>
        <w:spacing w:line="360" w:lineRule="atLeast"/>
        <w:jc w:val="left"/>
        <w:rPr>
          <w:color w:val="000000"/>
          <w:sz w:val="24"/>
          <w:szCs w:val="24"/>
        </w:rPr>
      </w:pPr>
    </w:p>
    <w:p w14:paraId="6228753C">
      <w:pPr>
        <w:pStyle w:val="3"/>
        <w:widowControl/>
        <w:spacing w:beforeAutospacing="0" w:afterAutospacing="0" w:line="360" w:lineRule="auto"/>
        <w:rPr>
          <w:rFonts w:hint="default"/>
          <w:color w:val="000000"/>
          <w:sz w:val="24"/>
          <w:szCs w:val="24"/>
        </w:rPr>
      </w:pPr>
      <w:r>
        <w:rPr>
          <w:color w:val="000000"/>
          <w:sz w:val="24"/>
          <w:szCs w:val="24"/>
        </w:rPr>
        <w:t>一、项目背景</w:t>
      </w:r>
    </w:p>
    <w:p w14:paraId="25F2EEE6">
      <w:pPr>
        <w:spacing w:line="360" w:lineRule="auto"/>
        <w:ind w:firstLine="480" w:firstLineChars="200"/>
        <w:rPr>
          <w:color w:val="000000"/>
          <w:sz w:val="24"/>
          <w:szCs w:val="24"/>
        </w:rPr>
      </w:pPr>
      <w:r>
        <w:rPr>
          <w:rFonts w:hint="eastAsia" w:ascii="Times New Roman" w:hAnsi="Times New Roman" w:cs="Times New Roman"/>
          <w:sz w:val="24"/>
          <w:szCs w:val="24"/>
        </w:rPr>
        <w:t>天津市公安局滨海分局</w:t>
      </w:r>
      <w:r>
        <w:rPr>
          <w:rFonts w:ascii="宋体" w:hAnsi="宋体" w:eastAsia="宋体" w:cs="宋体"/>
          <w:color w:val="000000"/>
          <w:kern w:val="0"/>
          <w:sz w:val="24"/>
          <w:szCs w:val="24"/>
        </w:rPr>
        <w:t>为满足本局日常违法嫌疑人、涉案人员短途押解、看守所及办案区人员转运勤务工作需求，提升执法押解安全、规范执法办案流程，拟采购1台汽油版警用囚车，用于常态化涉案人员转运、短途押解执勤。本项目资金为财政预算资金，</w:t>
      </w:r>
      <w:r>
        <w:rPr>
          <w:rFonts w:ascii="宋体" w:hAnsi="宋体" w:eastAsia="宋体" w:cs="宋体"/>
          <w:color w:val="000000"/>
          <w:kern w:val="0"/>
          <w:sz w:val="24"/>
          <w:szCs w:val="24"/>
          <w:highlight w:val="green"/>
        </w:rPr>
        <w:t>严格按照政府采购相关规定执行</w:t>
      </w:r>
      <w:r>
        <w:rPr>
          <w:rFonts w:ascii="宋体" w:hAnsi="宋体" w:eastAsia="宋体" w:cs="宋体"/>
          <w:color w:val="000000"/>
          <w:kern w:val="0"/>
          <w:sz w:val="24"/>
          <w:szCs w:val="24"/>
        </w:rPr>
        <w:t>。</w:t>
      </w:r>
    </w:p>
    <w:p w14:paraId="194CED1F">
      <w:pPr>
        <w:pStyle w:val="3"/>
        <w:widowControl/>
        <w:spacing w:beforeAutospacing="0" w:afterAutospacing="0" w:line="360" w:lineRule="auto"/>
        <w:rPr>
          <w:rFonts w:hint="default"/>
          <w:color w:val="000000"/>
          <w:sz w:val="24"/>
          <w:szCs w:val="24"/>
        </w:rPr>
      </w:pPr>
      <w:r>
        <w:rPr>
          <w:color w:val="000000"/>
          <w:sz w:val="24"/>
          <w:szCs w:val="24"/>
        </w:rPr>
        <w:t>二、项目预算</w:t>
      </w:r>
    </w:p>
    <w:p w14:paraId="7A057DAA">
      <w:pPr>
        <w:widowControl/>
        <w:spacing w:line="360" w:lineRule="auto"/>
        <w:ind w:firstLine="480" w:firstLineChars="200"/>
        <w:jc w:val="left"/>
        <w:rPr>
          <w:color w:val="000000"/>
          <w:sz w:val="24"/>
          <w:szCs w:val="24"/>
        </w:rPr>
      </w:pPr>
      <w:r>
        <w:rPr>
          <w:rFonts w:ascii="宋体" w:hAnsi="宋体" w:eastAsia="宋体" w:cs="宋体"/>
          <w:color w:val="000000"/>
          <w:kern w:val="0"/>
          <w:sz w:val="24"/>
          <w:szCs w:val="24"/>
        </w:rPr>
        <w:t>本项目采购总体预算：</w:t>
      </w:r>
      <w:r>
        <w:rPr>
          <w:rStyle w:val="12"/>
          <w:rFonts w:hint="eastAsia" w:ascii="宋体" w:hAnsi="宋体" w:eastAsia="宋体" w:cs="宋体"/>
          <w:color w:val="000000"/>
          <w:kern w:val="0"/>
          <w:sz w:val="24"/>
          <w:szCs w:val="24"/>
          <w:lang w:val="en-US" w:eastAsia="zh-CN"/>
        </w:rPr>
        <w:t>17.75万</w:t>
      </w:r>
      <w:r>
        <w:rPr>
          <w:rStyle w:val="12"/>
          <w:rFonts w:ascii="宋体" w:hAnsi="宋体" w:eastAsia="宋体" w:cs="宋体"/>
          <w:color w:val="000000"/>
          <w:kern w:val="0"/>
          <w:sz w:val="24"/>
          <w:szCs w:val="24"/>
        </w:rPr>
        <w:t>元</w:t>
      </w:r>
      <w:r>
        <w:rPr>
          <w:rFonts w:ascii="宋体" w:hAnsi="宋体" w:eastAsia="宋体" w:cs="宋体"/>
          <w:color w:val="000000"/>
          <w:kern w:val="0"/>
          <w:sz w:val="24"/>
          <w:szCs w:val="24"/>
        </w:rPr>
        <w:t>，预算包含</w:t>
      </w:r>
      <w:r>
        <w:rPr>
          <w:rFonts w:hint="eastAsia" w:ascii="宋体" w:hAnsi="宋体" w:eastAsia="宋体" w:cs="宋体"/>
          <w:color w:val="000000"/>
          <w:kern w:val="0"/>
          <w:sz w:val="24"/>
          <w:szCs w:val="24"/>
          <w:lang w:val="en-US" w:eastAsia="zh-CN"/>
        </w:rPr>
        <w:t>整车</w:t>
      </w:r>
      <w:r>
        <w:rPr>
          <w:rFonts w:ascii="宋体" w:hAnsi="宋体" w:eastAsia="宋体" w:cs="宋体"/>
          <w:color w:val="000000"/>
          <w:kern w:val="0"/>
          <w:sz w:val="24"/>
          <w:szCs w:val="24"/>
        </w:rPr>
        <w:t>、警用外观喷涂、随车工具、质保、运输、调试、</w:t>
      </w:r>
      <w:r>
        <w:rPr>
          <w:rFonts w:hint="eastAsia" w:ascii="宋体" w:hAnsi="宋体" w:eastAsia="宋体" w:cs="宋体"/>
          <w:color w:val="000000"/>
          <w:kern w:val="0"/>
          <w:sz w:val="24"/>
          <w:szCs w:val="24"/>
          <w:highlight w:val="yellow"/>
          <w:lang w:val="en-US" w:eastAsia="zh-CN"/>
        </w:rPr>
        <w:t>检测</w:t>
      </w:r>
      <w:r>
        <w:rPr>
          <w:rFonts w:hint="eastAsia" w:ascii="宋体" w:hAnsi="宋体" w:eastAsia="宋体" w:cs="宋体"/>
          <w:color w:val="000000"/>
          <w:kern w:val="0"/>
          <w:sz w:val="24"/>
          <w:szCs w:val="24"/>
          <w:lang w:val="en-US" w:eastAsia="zh-CN"/>
        </w:rPr>
        <w:t>、</w:t>
      </w:r>
      <w:r>
        <w:rPr>
          <w:rFonts w:hint="eastAsia" w:ascii="宋体" w:hAnsi="宋体" w:eastAsia="宋体" w:cs="宋体"/>
          <w:color w:val="000000"/>
          <w:kern w:val="0"/>
          <w:sz w:val="24"/>
          <w:szCs w:val="24"/>
        </w:rPr>
        <w:t>牌照费、购置税、</w:t>
      </w:r>
      <w:r>
        <w:rPr>
          <w:rFonts w:hint="eastAsia" w:ascii="宋体" w:hAnsi="宋体" w:eastAsia="宋体" w:cs="宋体"/>
          <w:color w:val="000000"/>
          <w:kern w:val="0"/>
          <w:sz w:val="24"/>
          <w:szCs w:val="24"/>
          <w:highlight w:val="yellow"/>
          <w:lang w:val="en-US" w:eastAsia="zh-CN"/>
        </w:rPr>
        <w:t>一年车辆</w:t>
      </w:r>
      <w:r>
        <w:rPr>
          <w:rFonts w:hint="eastAsia" w:ascii="宋体" w:hAnsi="宋体" w:eastAsia="宋体" w:cs="宋体"/>
          <w:color w:val="000000"/>
          <w:kern w:val="0"/>
          <w:sz w:val="24"/>
          <w:szCs w:val="24"/>
          <w:highlight w:val="yellow"/>
        </w:rPr>
        <w:t>保险</w:t>
      </w:r>
      <w:r>
        <w:rPr>
          <w:rFonts w:hint="eastAsia" w:ascii="宋体" w:hAnsi="宋体" w:eastAsia="宋体" w:cs="宋体"/>
          <w:color w:val="000000"/>
          <w:kern w:val="0"/>
          <w:sz w:val="24"/>
          <w:szCs w:val="24"/>
          <w:highlight w:val="yellow"/>
          <w:lang w:eastAsia="zh-CN"/>
        </w:rPr>
        <w:t>（</w:t>
      </w:r>
      <w:r>
        <w:rPr>
          <w:rFonts w:hint="eastAsia" w:ascii="宋体" w:hAnsi="宋体" w:eastAsia="宋体" w:cs="宋体"/>
          <w:color w:val="000000"/>
          <w:kern w:val="0"/>
          <w:sz w:val="24"/>
          <w:szCs w:val="24"/>
          <w:highlight w:val="yellow"/>
          <w:lang w:val="en-US" w:eastAsia="zh-CN"/>
        </w:rPr>
        <w:t>包括：交强险、200万元三者险、车损险、车上人员责任险（每座5万元），不计免赔附加险</w:t>
      </w:r>
      <w:r>
        <w:rPr>
          <w:rFonts w:hint="eastAsia" w:ascii="宋体" w:hAnsi="宋体" w:eastAsia="宋体" w:cs="宋体"/>
          <w:color w:val="000000"/>
          <w:kern w:val="0"/>
          <w:sz w:val="24"/>
          <w:szCs w:val="24"/>
          <w:highlight w:val="yellow"/>
          <w:lang w:eastAsia="zh-CN"/>
        </w:rPr>
        <w:t>）</w:t>
      </w:r>
      <w:r>
        <w:rPr>
          <w:rFonts w:hint="eastAsia" w:ascii="宋体" w:hAnsi="宋体" w:eastAsia="宋体" w:cs="宋体"/>
          <w:color w:val="000000"/>
          <w:kern w:val="0"/>
          <w:sz w:val="24"/>
          <w:szCs w:val="24"/>
          <w:highlight w:val="yellow"/>
          <w:lang w:val="en-US" w:eastAsia="zh-CN"/>
        </w:rPr>
        <w:t>及车船税</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highlight w:val="yellow"/>
          <w:lang w:val="en-US" w:eastAsia="zh-CN"/>
        </w:rPr>
        <w:t>警灯警报</w:t>
      </w:r>
      <w:r>
        <w:rPr>
          <w:rFonts w:hint="eastAsia" w:ascii="宋体" w:hAnsi="宋体" w:eastAsia="宋体" w:cs="宋体"/>
          <w:color w:val="000000"/>
          <w:kern w:val="0"/>
          <w:sz w:val="24"/>
          <w:szCs w:val="24"/>
        </w:rPr>
        <w:t>等</w:t>
      </w:r>
      <w:r>
        <w:rPr>
          <w:rFonts w:ascii="宋体" w:hAnsi="宋体" w:eastAsia="宋体" w:cs="宋体"/>
          <w:color w:val="000000"/>
          <w:kern w:val="0"/>
          <w:sz w:val="24"/>
          <w:szCs w:val="24"/>
        </w:rPr>
        <w:t>相关全部费用，采购人无需额外支付其他费用。</w:t>
      </w:r>
    </w:p>
    <w:p w14:paraId="3C64BCC8">
      <w:pPr>
        <w:pStyle w:val="3"/>
        <w:widowControl/>
        <w:spacing w:beforeAutospacing="0" w:afterAutospacing="0" w:line="360" w:lineRule="auto"/>
        <w:rPr>
          <w:rFonts w:hint="default"/>
          <w:color w:val="000000"/>
          <w:sz w:val="24"/>
          <w:szCs w:val="24"/>
        </w:rPr>
      </w:pPr>
      <w:r>
        <w:rPr>
          <w:color w:val="000000"/>
          <w:sz w:val="24"/>
          <w:szCs w:val="24"/>
        </w:rPr>
        <w:t>三、投标人资格要求</w:t>
      </w:r>
    </w:p>
    <w:p w14:paraId="010838E6">
      <w:pPr>
        <w:widowControl/>
        <w:spacing w:line="360" w:lineRule="auto"/>
        <w:ind w:firstLine="480" w:firstLineChars="20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（一）投标人须具备《中华人民共和国政府采购法》第二十二条第一款规定全部条件，提供对应证明材料。 </w:t>
      </w:r>
    </w:p>
    <w:p w14:paraId="35B52E34">
      <w:pPr>
        <w:widowControl/>
        <w:spacing w:line="360" w:lineRule="auto"/>
        <w:ind w:firstLine="480" w:firstLineChars="200"/>
        <w:jc w:val="left"/>
        <w:rPr>
          <w:rFonts w:ascii="宋体" w:hAnsi="宋体" w:eastAsia="宋体" w:cs="宋体"/>
          <w:color w:val="000000"/>
          <w:kern w:val="0"/>
          <w:sz w:val="24"/>
          <w:szCs w:val="24"/>
        </w:rPr>
      </w:pPr>
      <w:r>
        <w:rPr>
          <w:rFonts w:ascii="宋体" w:hAnsi="宋体" w:eastAsia="宋体" w:cs="宋体"/>
          <w:color w:val="000000"/>
          <w:kern w:val="0"/>
          <w:sz w:val="24"/>
          <w:szCs w:val="24"/>
        </w:rPr>
        <w:t xml:space="preserve">（二）本项目不接受联合体投标，不允许分包、转包。 </w:t>
      </w:r>
    </w:p>
    <w:p w14:paraId="6C60738A">
      <w:pPr>
        <w:pStyle w:val="3"/>
        <w:widowControl/>
        <w:spacing w:beforeAutospacing="0" w:afterAutospacing="0" w:line="360" w:lineRule="auto"/>
        <w:rPr>
          <w:rFonts w:hint="default"/>
          <w:color w:val="000000"/>
          <w:sz w:val="24"/>
          <w:szCs w:val="24"/>
        </w:rPr>
      </w:pPr>
      <w:r>
        <w:rPr>
          <w:color w:val="000000"/>
          <w:sz w:val="24"/>
          <w:szCs w:val="24"/>
        </w:rPr>
        <w:t>四、售后服务要求</w:t>
      </w:r>
    </w:p>
    <w:p w14:paraId="598A73F0">
      <w:pPr>
        <w:widowControl/>
        <w:spacing w:line="360" w:lineRule="auto"/>
        <w:ind w:firstLine="480" w:firstLineChars="200"/>
        <w:jc w:val="left"/>
        <w:rPr>
          <w:color w:val="000000"/>
          <w:sz w:val="24"/>
          <w:szCs w:val="24"/>
        </w:rPr>
      </w:pPr>
      <w:r>
        <w:rPr>
          <w:rFonts w:hint="eastAsia"/>
          <w:color w:val="000000"/>
          <w:sz w:val="24"/>
          <w:szCs w:val="24"/>
        </w:rPr>
        <w:t xml:space="preserve">1. </w:t>
      </w:r>
      <w:r>
        <w:rPr>
          <w:color w:val="000000"/>
          <w:sz w:val="24"/>
          <w:szCs w:val="24"/>
        </w:rPr>
        <w:t>整车包修期限不低于</w:t>
      </w:r>
      <w:r>
        <w:rPr>
          <w:rStyle w:val="12"/>
          <w:rFonts w:hint="eastAsia"/>
          <w:color w:val="000000"/>
          <w:sz w:val="24"/>
          <w:szCs w:val="24"/>
        </w:rPr>
        <w:t>2</w:t>
      </w:r>
      <w:r>
        <w:rPr>
          <w:rStyle w:val="12"/>
          <w:color w:val="000000"/>
          <w:sz w:val="24"/>
          <w:szCs w:val="24"/>
        </w:rPr>
        <w:t>年或行驶</w:t>
      </w:r>
      <w:r>
        <w:rPr>
          <w:rStyle w:val="12"/>
          <w:rFonts w:hint="eastAsia"/>
          <w:color w:val="000000"/>
          <w:sz w:val="24"/>
          <w:szCs w:val="24"/>
        </w:rPr>
        <w:t>5</w:t>
      </w:r>
      <w:r>
        <w:rPr>
          <w:rStyle w:val="12"/>
          <w:color w:val="000000"/>
          <w:sz w:val="24"/>
          <w:szCs w:val="24"/>
        </w:rPr>
        <w:t>0000公里</w:t>
      </w:r>
      <w:r>
        <w:rPr>
          <w:color w:val="000000"/>
          <w:sz w:val="24"/>
          <w:szCs w:val="24"/>
        </w:rPr>
        <w:t>，以先到者为准；车辆三包（修理、更换、退货）有效期限不低于</w:t>
      </w:r>
      <w:r>
        <w:rPr>
          <w:rStyle w:val="12"/>
          <w:color w:val="000000"/>
          <w:sz w:val="24"/>
          <w:szCs w:val="24"/>
        </w:rPr>
        <w:t>2年或50000公里</w:t>
      </w:r>
      <w:r>
        <w:rPr>
          <w:color w:val="000000"/>
          <w:sz w:val="24"/>
          <w:szCs w:val="24"/>
        </w:rPr>
        <w:t>，以先到者为准。保修期、三包有效期自采购人开具购车发票当日起计算。</w:t>
      </w:r>
    </w:p>
    <w:p w14:paraId="3CEDAA5D">
      <w:pPr>
        <w:widowControl/>
        <w:spacing w:line="360" w:lineRule="auto"/>
        <w:ind w:firstLine="480" w:firstLineChars="200"/>
        <w:jc w:val="left"/>
        <w:rPr>
          <w:color w:val="000000"/>
          <w:sz w:val="24"/>
          <w:szCs w:val="24"/>
        </w:rPr>
      </w:pPr>
      <w:r>
        <w:rPr>
          <w:rFonts w:hint="eastAsia"/>
          <w:color w:val="000000"/>
          <w:sz w:val="24"/>
          <w:szCs w:val="24"/>
        </w:rPr>
        <w:t xml:space="preserve">2. </w:t>
      </w:r>
      <w:r>
        <w:rPr>
          <w:color w:val="000000"/>
          <w:sz w:val="24"/>
          <w:szCs w:val="24"/>
        </w:rPr>
        <w:t>质保期内车辆出现原厂底盘、改装囚舱、警灯</w:t>
      </w:r>
      <w:r>
        <w:rPr>
          <w:color w:val="000000"/>
          <w:sz w:val="24"/>
          <w:szCs w:val="24"/>
          <w:highlight w:val="yellow"/>
        </w:rPr>
        <w:t>警报</w:t>
      </w:r>
      <w:r>
        <w:rPr>
          <w:color w:val="000000"/>
          <w:sz w:val="24"/>
          <w:szCs w:val="24"/>
        </w:rPr>
        <w:t>等全部产品质量问题，供应商免费维修，承担全部工时费、材料费、配件更换费用。</w:t>
      </w:r>
    </w:p>
    <w:p w14:paraId="62246AC5">
      <w:pPr>
        <w:widowControl/>
        <w:spacing w:line="360" w:lineRule="auto"/>
        <w:ind w:firstLine="480" w:firstLineChars="200"/>
        <w:jc w:val="left"/>
        <w:rPr>
          <w:color w:val="000000"/>
          <w:sz w:val="24"/>
          <w:szCs w:val="24"/>
          <w:highlight w:val="yellow"/>
        </w:rPr>
      </w:pPr>
      <w:r>
        <w:rPr>
          <w:rFonts w:hint="eastAsia"/>
          <w:color w:val="000000"/>
          <w:sz w:val="24"/>
          <w:szCs w:val="24"/>
        </w:rPr>
        <w:t xml:space="preserve">3. </w:t>
      </w:r>
      <w:r>
        <w:rPr>
          <w:color w:val="000000"/>
          <w:sz w:val="24"/>
          <w:szCs w:val="24"/>
          <w:highlight w:val="yellow"/>
        </w:rPr>
        <w:t>供应</w:t>
      </w:r>
      <w:r>
        <w:rPr>
          <w:rFonts w:hint="eastAsia"/>
          <w:color w:val="000000"/>
          <w:sz w:val="24"/>
          <w:szCs w:val="24"/>
          <w:highlight w:val="yellow"/>
          <w:lang w:val="en-US" w:eastAsia="zh-CN"/>
        </w:rPr>
        <w:t>商</w:t>
      </w:r>
      <w:r>
        <w:rPr>
          <w:color w:val="000000"/>
          <w:sz w:val="24"/>
          <w:szCs w:val="24"/>
          <w:highlight w:val="yellow"/>
        </w:rPr>
        <w:t>24小时救援联系电话、维修技术人员数量</w:t>
      </w:r>
      <w:r>
        <w:rPr>
          <w:rFonts w:hint="eastAsia"/>
          <w:color w:val="000000"/>
          <w:sz w:val="24"/>
          <w:szCs w:val="24"/>
          <w:highlight w:val="yellow"/>
          <w:lang w:val="en-US" w:eastAsia="zh-CN"/>
        </w:rPr>
        <w:t>及情况</w:t>
      </w:r>
      <w:r>
        <w:rPr>
          <w:color w:val="000000"/>
          <w:sz w:val="24"/>
          <w:szCs w:val="24"/>
          <w:highlight w:val="yellow"/>
        </w:rPr>
        <w:t>、配件库存保障能力。</w:t>
      </w:r>
    </w:p>
    <w:p w14:paraId="0A90DC23">
      <w:pPr>
        <w:widowControl/>
        <w:spacing w:line="360" w:lineRule="auto"/>
        <w:ind w:firstLine="480" w:firstLineChars="200"/>
        <w:jc w:val="left"/>
        <w:rPr>
          <w:color w:val="000000"/>
          <w:sz w:val="24"/>
          <w:szCs w:val="24"/>
        </w:rPr>
      </w:pPr>
      <w:r>
        <w:rPr>
          <w:rFonts w:hint="eastAsia"/>
          <w:color w:val="000000"/>
          <w:sz w:val="24"/>
          <w:szCs w:val="24"/>
        </w:rPr>
        <w:t xml:space="preserve">4. </w:t>
      </w:r>
      <w:r>
        <w:rPr>
          <w:color w:val="000000"/>
          <w:sz w:val="24"/>
          <w:szCs w:val="24"/>
        </w:rPr>
        <w:t>终身提供车辆常规保养、配件更换优惠服务，故障报修市区4小时内到场处置，县域8小时内到场。</w:t>
      </w:r>
    </w:p>
    <w:p w14:paraId="51E4E6BF">
      <w:pPr>
        <w:pStyle w:val="3"/>
        <w:widowControl/>
        <w:spacing w:beforeAutospacing="0" w:afterAutospacing="0" w:line="360" w:lineRule="auto"/>
        <w:rPr>
          <w:rFonts w:hint="default"/>
          <w:color w:val="000000"/>
          <w:sz w:val="24"/>
          <w:szCs w:val="24"/>
        </w:rPr>
      </w:pPr>
      <w:r>
        <w:rPr>
          <w:color w:val="000000"/>
          <w:sz w:val="24"/>
          <w:szCs w:val="24"/>
        </w:rPr>
        <w:t>五、交货、资料及合规要求</w:t>
      </w:r>
    </w:p>
    <w:p w14:paraId="29F61BCC">
      <w:pPr>
        <w:widowControl/>
        <w:spacing w:line="360" w:lineRule="auto"/>
        <w:ind w:firstLine="480" w:firstLineChars="200"/>
        <w:jc w:val="left"/>
        <w:rPr>
          <w:color w:val="000000"/>
          <w:sz w:val="24"/>
          <w:szCs w:val="24"/>
        </w:rPr>
      </w:pPr>
      <w:r>
        <w:rPr>
          <w:rFonts w:hint="eastAsia"/>
          <w:color w:val="000000"/>
          <w:sz w:val="24"/>
          <w:szCs w:val="24"/>
        </w:rPr>
        <w:t xml:space="preserve">1. </w:t>
      </w:r>
      <w:r>
        <w:rPr>
          <w:color w:val="000000"/>
          <w:sz w:val="24"/>
          <w:szCs w:val="24"/>
        </w:rPr>
        <w:t>交货周期：合同签订后</w:t>
      </w:r>
      <w:r>
        <w:rPr>
          <w:rFonts w:hint="eastAsia"/>
          <w:color w:val="000000"/>
          <w:sz w:val="24"/>
          <w:szCs w:val="24"/>
          <w:lang w:val="en-US" w:eastAsia="zh-CN"/>
        </w:rPr>
        <w:t>3</w:t>
      </w:r>
      <w:r>
        <w:rPr>
          <w:rFonts w:hint="eastAsia"/>
          <w:color w:val="000000"/>
          <w:sz w:val="24"/>
          <w:szCs w:val="24"/>
        </w:rPr>
        <w:t>0</w:t>
      </w:r>
      <w:r>
        <w:rPr>
          <w:color w:val="000000"/>
          <w:sz w:val="24"/>
          <w:szCs w:val="24"/>
        </w:rPr>
        <w:t>日内完成整车</w:t>
      </w:r>
      <w:r>
        <w:rPr>
          <w:rFonts w:hint="eastAsia"/>
          <w:color w:val="000000"/>
          <w:sz w:val="24"/>
          <w:szCs w:val="24"/>
          <w:highlight w:val="none"/>
          <w:lang w:val="en-US" w:eastAsia="zh-CN"/>
        </w:rPr>
        <w:t>交付、</w:t>
      </w:r>
      <w:r>
        <w:rPr>
          <w:color w:val="000000"/>
          <w:sz w:val="24"/>
          <w:szCs w:val="24"/>
        </w:rPr>
        <w:t>调试并交付采购人；特殊情况以双方签订采购合同约定为准。</w:t>
      </w:r>
    </w:p>
    <w:p w14:paraId="7711266C">
      <w:pPr>
        <w:widowControl/>
        <w:spacing w:line="360" w:lineRule="auto"/>
        <w:ind w:firstLine="480" w:firstLineChars="200"/>
        <w:jc w:val="left"/>
        <w:rPr>
          <w:color w:val="000000"/>
          <w:sz w:val="24"/>
          <w:szCs w:val="24"/>
        </w:rPr>
      </w:pPr>
      <w:r>
        <w:rPr>
          <w:rFonts w:hint="eastAsia"/>
          <w:color w:val="000000"/>
          <w:sz w:val="24"/>
          <w:szCs w:val="24"/>
        </w:rPr>
        <w:t xml:space="preserve">2. </w:t>
      </w:r>
      <w:r>
        <w:rPr>
          <w:color w:val="000000"/>
          <w:sz w:val="24"/>
          <w:szCs w:val="24"/>
        </w:rPr>
        <w:t>交货地点：采购人指定</w:t>
      </w:r>
      <w:r>
        <w:rPr>
          <w:rFonts w:hint="eastAsia"/>
          <w:color w:val="000000"/>
          <w:sz w:val="24"/>
          <w:szCs w:val="24"/>
        </w:rPr>
        <w:t>地点</w:t>
      </w:r>
      <w:r>
        <w:rPr>
          <w:color w:val="000000"/>
          <w:sz w:val="24"/>
          <w:szCs w:val="24"/>
        </w:rPr>
        <w:t>，含车辆落地、现场调试、功能验收全流程服务</w:t>
      </w:r>
      <w:r>
        <w:rPr>
          <w:rFonts w:hint="eastAsia" w:ascii="Times New Roman" w:hAnsi="Times New Roman" w:cs="Times New Roman"/>
          <w:sz w:val="24"/>
          <w:szCs w:val="24"/>
        </w:rPr>
        <w:t>（特殊情况以合同为准）</w:t>
      </w:r>
      <w:r>
        <w:rPr>
          <w:color w:val="000000"/>
          <w:sz w:val="24"/>
          <w:szCs w:val="24"/>
        </w:rPr>
        <w:t>。</w:t>
      </w:r>
    </w:p>
    <w:p w14:paraId="1292643F">
      <w:pPr>
        <w:widowControl/>
        <w:spacing w:line="360" w:lineRule="auto"/>
        <w:ind w:firstLine="480" w:firstLineChars="200"/>
        <w:jc w:val="left"/>
        <w:rPr>
          <w:color w:val="000000"/>
          <w:sz w:val="24"/>
          <w:szCs w:val="24"/>
        </w:rPr>
      </w:pPr>
      <w:r>
        <w:rPr>
          <w:rFonts w:hint="eastAsia"/>
          <w:color w:val="000000"/>
          <w:sz w:val="24"/>
          <w:szCs w:val="24"/>
        </w:rPr>
        <w:t xml:space="preserve">3. </w:t>
      </w:r>
      <w:r>
        <w:rPr>
          <w:color w:val="000000"/>
          <w:sz w:val="24"/>
          <w:szCs w:val="24"/>
        </w:rPr>
        <w:t>随车完整资料：整车机动车合格证</w:t>
      </w:r>
      <w:r>
        <w:rPr>
          <w:rFonts w:hint="eastAsia"/>
          <w:color w:val="000000"/>
          <w:sz w:val="24"/>
          <w:szCs w:val="24"/>
        </w:rPr>
        <w:t>、</w:t>
      </w:r>
      <w:r>
        <w:rPr>
          <w:color w:val="000000"/>
          <w:sz w:val="24"/>
          <w:szCs w:val="24"/>
        </w:rPr>
        <w:t>车辆一致性证书、使用维修手册、环保清单、购车发票等全套上牌资料。</w:t>
      </w:r>
    </w:p>
    <w:p w14:paraId="20960FA3">
      <w:pPr>
        <w:widowControl/>
        <w:spacing w:line="360" w:lineRule="auto"/>
        <w:ind w:firstLine="480" w:firstLineChars="200"/>
        <w:jc w:val="left"/>
        <w:rPr>
          <w:color w:val="000000"/>
          <w:sz w:val="24"/>
          <w:szCs w:val="24"/>
        </w:rPr>
      </w:pPr>
      <w:r>
        <w:rPr>
          <w:rFonts w:hint="eastAsia"/>
          <w:color w:val="000000"/>
          <w:sz w:val="24"/>
          <w:szCs w:val="24"/>
        </w:rPr>
        <w:t xml:space="preserve">4. </w:t>
      </w:r>
      <w:r>
        <w:rPr>
          <w:color w:val="000000"/>
          <w:sz w:val="24"/>
          <w:szCs w:val="24"/>
        </w:rPr>
        <w:t>供货渠道要求：投标人须承诺车辆</w:t>
      </w:r>
      <w:r>
        <w:rPr>
          <w:rFonts w:hint="eastAsia"/>
          <w:color w:val="000000"/>
          <w:sz w:val="24"/>
          <w:szCs w:val="24"/>
        </w:rPr>
        <w:t>为</w:t>
      </w:r>
      <w:r>
        <w:rPr>
          <w:color w:val="000000"/>
          <w:sz w:val="24"/>
          <w:szCs w:val="24"/>
        </w:rPr>
        <w:t>正规渠道整车，若查实车辆为非法渠道、套公告，视为投标欺诈，</w:t>
      </w:r>
      <w:r>
        <w:rPr>
          <w:color w:val="000000"/>
          <w:sz w:val="24"/>
          <w:szCs w:val="24"/>
          <w:highlight w:val="yellow"/>
        </w:rPr>
        <w:t>供应商</w:t>
      </w:r>
      <w:r>
        <w:rPr>
          <w:rFonts w:ascii="宋体" w:hAnsi="宋体" w:eastAsia="宋体" w:cs="宋体"/>
          <w:sz w:val="24"/>
          <w:szCs w:val="24"/>
          <w:highlight w:val="yellow"/>
        </w:rPr>
        <w:t>据实赔偿</w:t>
      </w:r>
      <w:r>
        <w:rPr>
          <w:color w:val="000000"/>
          <w:sz w:val="24"/>
          <w:szCs w:val="24"/>
          <w:highlight w:val="yellow"/>
        </w:rPr>
        <w:t>采购人</w:t>
      </w:r>
      <w:r>
        <w:rPr>
          <w:rFonts w:ascii="宋体" w:hAnsi="宋体" w:eastAsia="宋体" w:cs="宋体"/>
          <w:sz w:val="24"/>
          <w:szCs w:val="24"/>
          <w:highlight w:val="yellow"/>
        </w:rPr>
        <w:t>实际损失</w:t>
      </w:r>
      <w:r>
        <w:rPr>
          <w:color w:val="000000"/>
          <w:sz w:val="24"/>
          <w:szCs w:val="24"/>
        </w:rPr>
        <w:t>，并承担全部法律责任。</w:t>
      </w:r>
    </w:p>
    <w:p w14:paraId="6EDF8A11">
      <w:pPr>
        <w:widowControl/>
        <w:spacing w:line="360" w:lineRule="auto"/>
        <w:ind w:firstLine="480" w:firstLineChars="200"/>
        <w:jc w:val="left"/>
        <w:rPr>
          <w:color w:val="000000"/>
          <w:sz w:val="24"/>
          <w:szCs w:val="24"/>
        </w:rPr>
      </w:pPr>
      <w:r>
        <w:rPr>
          <w:rFonts w:hint="eastAsia"/>
          <w:color w:val="000000"/>
          <w:sz w:val="24"/>
          <w:szCs w:val="24"/>
        </w:rPr>
        <w:t xml:space="preserve">5. </w:t>
      </w:r>
      <w:r>
        <w:rPr>
          <w:color w:val="000000"/>
          <w:sz w:val="24"/>
          <w:szCs w:val="24"/>
        </w:rPr>
        <w:t>上牌保障：整车所有参数、外观喷涂完全满足天津市机动车注册上牌全部标准，供应商配合完成车辆上牌前期资料核验，上牌产生合规工本费由供应商承担。</w:t>
      </w:r>
    </w:p>
    <w:p w14:paraId="66018CA1">
      <w:pPr>
        <w:widowControl/>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color w:val="000000"/>
          <w:sz w:val="24"/>
          <w:szCs w:val="24"/>
          <w:lang w:val="en-US" w:eastAsia="zh-CN"/>
        </w:rPr>
        <w:t>6.</w:t>
      </w:r>
      <w:r>
        <w:rPr>
          <w:rFonts w:ascii="宋体" w:hAnsi="宋体" w:eastAsia="宋体" w:cs="宋体"/>
          <w:color w:val="000000"/>
          <w:kern w:val="0"/>
          <w:sz w:val="24"/>
          <w:szCs w:val="24"/>
          <w:highlight w:val="none"/>
        </w:rPr>
        <w:t>本项目不接受进口车辆、进口配件投标，全部整车及零部件须为国产合规产品</w:t>
      </w:r>
      <w:r>
        <w:rPr>
          <w:rFonts w:hint="eastAsia" w:ascii="宋体" w:hAnsi="宋体" w:eastAsia="宋体" w:cs="宋体"/>
          <w:color w:val="000000"/>
          <w:kern w:val="0"/>
          <w:sz w:val="24"/>
          <w:szCs w:val="24"/>
          <w:highlight w:val="none"/>
          <w:lang w:eastAsia="zh-CN"/>
        </w:rPr>
        <w:t>。</w:t>
      </w:r>
    </w:p>
    <w:p w14:paraId="3FE7D6D3">
      <w:pPr>
        <w:widowControl/>
        <w:spacing w:line="360" w:lineRule="auto"/>
        <w:ind w:firstLine="480" w:firstLineChars="200"/>
        <w:jc w:val="left"/>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7.</w:t>
      </w:r>
      <w:r>
        <w:rPr>
          <w:rFonts w:ascii="宋体" w:hAnsi="宋体" w:eastAsia="宋体" w:cs="宋体"/>
          <w:color w:val="000000"/>
          <w:kern w:val="0"/>
          <w:sz w:val="24"/>
          <w:szCs w:val="24"/>
        </w:rPr>
        <w:t>投标人须出具正规整车公告、机动车合格证，承诺车辆可在天津市正常注册登记上牌</w:t>
      </w:r>
      <w:r>
        <w:rPr>
          <w:rFonts w:hint="eastAsia" w:ascii="宋体" w:hAnsi="宋体" w:eastAsia="宋体" w:cs="宋体"/>
          <w:color w:val="000000"/>
          <w:kern w:val="0"/>
          <w:sz w:val="24"/>
          <w:szCs w:val="24"/>
          <w:lang w:eastAsia="zh-CN"/>
        </w:rPr>
        <w:t>。</w:t>
      </w:r>
    </w:p>
    <w:p w14:paraId="521065B2">
      <w:pPr>
        <w:pStyle w:val="3"/>
        <w:widowControl/>
        <w:spacing w:beforeAutospacing="0" w:afterAutospacing="0" w:line="360" w:lineRule="auto"/>
        <w:rPr>
          <w:rFonts w:hint="default"/>
          <w:color w:val="000000"/>
          <w:sz w:val="24"/>
          <w:szCs w:val="24"/>
        </w:rPr>
      </w:pPr>
      <w:r>
        <w:rPr>
          <w:color w:val="000000"/>
          <w:sz w:val="24"/>
          <w:szCs w:val="24"/>
        </w:rPr>
        <w:t>六、付款方式</w:t>
      </w:r>
    </w:p>
    <w:p w14:paraId="646C8B9F">
      <w:pPr>
        <w:widowControl/>
        <w:spacing w:line="360" w:lineRule="auto"/>
        <w:ind w:firstLine="480" w:firstLineChars="200"/>
        <w:jc w:val="left"/>
        <w:rPr>
          <w:color w:val="000000"/>
          <w:sz w:val="24"/>
          <w:szCs w:val="24"/>
        </w:rPr>
      </w:pPr>
      <w:r>
        <w:rPr>
          <w:rFonts w:hint="eastAsia"/>
          <w:color w:val="000000"/>
          <w:sz w:val="24"/>
          <w:szCs w:val="24"/>
        </w:rPr>
        <w:t xml:space="preserve">1. </w:t>
      </w:r>
      <w:r>
        <w:rPr>
          <w:color w:val="000000"/>
          <w:sz w:val="24"/>
          <w:szCs w:val="24"/>
        </w:rPr>
        <w:t>整车到货、现场安装调试完成，全部设备、囚舱、警用功能无质量缺陷，采购人组织验收合格并出具验收单后15个工作日内，支付合同总金额100%全款。</w:t>
      </w:r>
    </w:p>
    <w:p w14:paraId="4D3D045B">
      <w:pPr>
        <w:widowControl/>
        <w:spacing w:line="360" w:lineRule="auto"/>
        <w:ind w:firstLine="480" w:firstLineChars="200"/>
        <w:jc w:val="left"/>
        <w:rPr>
          <w:color w:val="000000"/>
          <w:sz w:val="24"/>
          <w:szCs w:val="24"/>
        </w:rPr>
      </w:pPr>
      <w:r>
        <w:rPr>
          <w:rFonts w:hint="eastAsia"/>
          <w:color w:val="000000"/>
          <w:sz w:val="24"/>
          <w:szCs w:val="24"/>
        </w:rPr>
        <w:t xml:space="preserve">2. </w:t>
      </w:r>
      <w:r>
        <w:rPr>
          <w:color w:val="000000"/>
          <w:sz w:val="24"/>
          <w:szCs w:val="24"/>
        </w:rPr>
        <w:t>本项目资金来源为财政专项拨款，实际付款时限以财政审批、国库拨款流程为准，供应商不得以此为由延迟维保、售后服务。</w:t>
      </w:r>
    </w:p>
    <w:p w14:paraId="516708D2">
      <w:pPr>
        <w:widowControl/>
        <w:spacing w:line="360" w:lineRule="auto"/>
        <w:ind w:firstLine="480" w:firstLineChars="200"/>
        <w:jc w:val="left"/>
        <w:rPr>
          <w:color w:val="000000"/>
          <w:sz w:val="24"/>
          <w:szCs w:val="24"/>
        </w:rPr>
      </w:pPr>
    </w:p>
    <w:p w14:paraId="14BF1947">
      <w:pPr>
        <w:pStyle w:val="4"/>
        <w:widowControl/>
        <w:spacing w:beforeAutospacing="0" w:afterAutospacing="0" w:line="360" w:lineRule="auto"/>
        <w:rPr>
          <w:rFonts w:hint="default"/>
          <w:color w:val="000000"/>
          <w:sz w:val="24"/>
          <w:szCs w:val="24"/>
        </w:rPr>
      </w:pPr>
      <w:r>
        <w:rPr>
          <w:color w:val="000000"/>
          <w:sz w:val="24"/>
          <w:szCs w:val="24"/>
        </w:rPr>
        <w:t>整车基础技术参数表</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88"/>
        <w:gridCol w:w="530"/>
        <w:gridCol w:w="3748"/>
        <w:gridCol w:w="2897"/>
      </w:tblGrid>
      <w:tr w14:paraId="0F45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blHeader/>
          <w:jc w:val="center"/>
        </w:trPr>
        <w:tc>
          <w:tcPr>
            <w:tcW w:w="267" w:type="pct"/>
            <w:vAlign w:val="center"/>
          </w:tcPr>
          <w:p w14:paraId="5BD4E06C">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序号</w:t>
            </w:r>
          </w:p>
        </w:tc>
        <w:tc>
          <w:tcPr>
            <w:tcW w:w="521" w:type="pct"/>
            <w:vAlign w:val="center"/>
          </w:tcPr>
          <w:p w14:paraId="16769DD1">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采购项名称</w:t>
            </w:r>
          </w:p>
        </w:tc>
        <w:tc>
          <w:tcPr>
            <w:tcW w:w="311" w:type="pct"/>
            <w:vAlign w:val="center"/>
          </w:tcPr>
          <w:p w14:paraId="7CF0A879">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数量</w:t>
            </w:r>
          </w:p>
        </w:tc>
        <w:tc>
          <w:tcPr>
            <w:tcW w:w="2199" w:type="pct"/>
            <w:vAlign w:val="center"/>
          </w:tcPr>
          <w:p w14:paraId="779E742D">
            <w:pPr>
              <w:widowControl/>
              <w:snapToGrid w:val="0"/>
              <w:spacing w:line="360" w:lineRule="auto"/>
              <w:jc w:val="center"/>
              <w:rPr>
                <w:rFonts w:ascii="Times New Roman" w:hAnsi="Times New Roman" w:cs="Times New Roman"/>
                <w:kern w:val="0"/>
                <w:sz w:val="24"/>
                <w:szCs w:val="24"/>
              </w:rPr>
            </w:pPr>
            <w:r>
              <w:rPr>
                <w:rFonts w:ascii="Times New Roman" w:hAnsi="Times New Roman" w:cs="Times New Roman"/>
                <w:kern w:val="0"/>
                <w:sz w:val="24"/>
                <w:szCs w:val="24"/>
              </w:rPr>
              <w:t>需求条款</w:t>
            </w:r>
          </w:p>
        </w:tc>
        <w:tc>
          <w:tcPr>
            <w:tcW w:w="1700" w:type="pct"/>
            <w:vAlign w:val="center"/>
          </w:tcPr>
          <w:p w14:paraId="247C9828">
            <w:pPr>
              <w:widowControl/>
              <w:snapToGrid w:val="0"/>
              <w:spacing w:line="360" w:lineRule="auto"/>
              <w:jc w:val="center"/>
              <w:rPr>
                <w:rFonts w:hint="eastAsia"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lang w:val="en-US" w:eastAsia="zh-CN"/>
              </w:rPr>
              <w:t>最高限价（万元）</w:t>
            </w:r>
          </w:p>
        </w:tc>
      </w:tr>
      <w:tr w14:paraId="7283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restart"/>
            <w:vAlign w:val="center"/>
          </w:tcPr>
          <w:p w14:paraId="7D1259D4">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1</w:t>
            </w:r>
          </w:p>
        </w:tc>
        <w:tc>
          <w:tcPr>
            <w:tcW w:w="521" w:type="pct"/>
            <w:vMerge w:val="restart"/>
            <w:vAlign w:val="center"/>
          </w:tcPr>
          <w:p w14:paraId="375D3287">
            <w:pPr>
              <w:widowControl/>
              <w:snapToGrid w:val="0"/>
              <w:jc w:val="center"/>
              <w:rPr>
                <w:rFonts w:hint="eastAsia" w:ascii="Times New Roman" w:hAnsi="Times New Roman" w:cs="Times New Roman"/>
                <w:color w:val="FF0000"/>
                <w:kern w:val="0"/>
                <w:sz w:val="24"/>
                <w:szCs w:val="24"/>
                <w:highlight w:val="yellow"/>
                <w:lang w:val="en-US" w:eastAsia="zh-CN"/>
              </w:rPr>
            </w:pPr>
          </w:p>
          <w:p w14:paraId="3123671C">
            <w:pPr>
              <w:widowControl/>
              <w:snapToGrid w:val="0"/>
              <w:jc w:val="center"/>
              <w:rPr>
                <w:rFonts w:hint="eastAsia" w:ascii="Times New Roman" w:hAnsi="Times New Roman" w:cs="Times New Roman"/>
                <w:color w:val="FF0000"/>
                <w:kern w:val="0"/>
                <w:sz w:val="24"/>
                <w:szCs w:val="24"/>
                <w:highlight w:val="yellow"/>
                <w:lang w:val="en-US" w:eastAsia="zh-CN"/>
              </w:rPr>
            </w:pPr>
          </w:p>
          <w:p w14:paraId="393924A3">
            <w:pPr>
              <w:widowControl/>
              <w:snapToGrid w:val="0"/>
              <w:jc w:val="center"/>
              <w:rPr>
                <w:rFonts w:hint="eastAsia" w:ascii="Times New Roman" w:hAnsi="Times New Roman" w:cs="Times New Roman"/>
                <w:color w:val="FF0000"/>
                <w:kern w:val="0"/>
                <w:sz w:val="24"/>
                <w:szCs w:val="24"/>
                <w:highlight w:val="yellow"/>
                <w:lang w:val="en-US" w:eastAsia="zh-CN"/>
              </w:rPr>
            </w:pPr>
          </w:p>
          <w:p w14:paraId="3A040E77">
            <w:pPr>
              <w:widowControl/>
              <w:snapToGrid w:val="0"/>
              <w:jc w:val="center"/>
              <w:rPr>
                <w:rFonts w:hint="eastAsia" w:ascii="Times New Roman" w:hAnsi="Times New Roman" w:cs="Times New Roman"/>
                <w:color w:val="FF0000"/>
                <w:kern w:val="0"/>
                <w:sz w:val="24"/>
                <w:szCs w:val="24"/>
                <w:highlight w:val="yellow"/>
                <w:lang w:val="en-US" w:eastAsia="zh-CN"/>
              </w:rPr>
            </w:pPr>
          </w:p>
          <w:p w14:paraId="5D28F9F0">
            <w:pPr>
              <w:widowControl/>
              <w:snapToGrid w:val="0"/>
              <w:jc w:val="center"/>
              <w:rPr>
                <w:rFonts w:hint="eastAsia" w:ascii="Times New Roman" w:hAnsi="Times New Roman" w:cs="Times New Roman"/>
                <w:color w:val="FF0000"/>
                <w:kern w:val="0"/>
                <w:sz w:val="24"/>
                <w:szCs w:val="24"/>
                <w:highlight w:val="yellow"/>
                <w:lang w:val="en-US" w:eastAsia="zh-CN"/>
              </w:rPr>
            </w:pPr>
          </w:p>
          <w:p w14:paraId="259D8F22">
            <w:pPr>
              <w:widowControl/>
              <w:snapToGrid w:val="0"/>
              <w:jc w:val="center"/>
              <w:rPr>
                <w:rFonts w:hint="eastAsia" w:ascii="Times New Roman" w:hAnsi="Times New Roman" w:cs="Times New Roman"/>
                <w:color w:val="FF0000"/>
                <w:kern w:val="0"/>
                <w:sz w:val="24"/>
                <w:szCs w:val="24"/>
                <w:highlight w:val="yellow"/>
                <w:lang w:val="en-US" w:eastAsia="zh-CN"/>
              </w:rPr>
            </w:pPr>
          </w:p>
          <w:p w14:paraId="0FCFAB98">
            <w:pPr>
              <w:widowControl/>
              <w:snapToGrid w:val="0"/>
              <w:jc w:val="center"/>
              <w:rPr>
                <w:rFonts w:hint="eastAsia" w:ascii="Times New Roman" w:hAnsi="Times New Roman" w:cs="Times New Roman"/>
                <w:color w:val="FF0000"/>
                <w:kern w:val="0"/>
                <w:sz w:val="24"/>
                <w:szCs w:val="24"/>
                <w:highlight w:val="yellow"/>
                <w:lang w:val="en-US" w:eastAsia="zh-CN"/>
              </w:rPr>
            </w:pPr>
          </w:p>
          <w:p w14:paraId="6CAA828A">
            <w:pPr>
              <w:widowControl/>
              <w:snapToGrid w:val="0"/>
              <w:jc w:val="center"/>
              <w:rPr>
                <w:rFonts w:hint="eastAsia" w:ascii="Times New Roman" w:hAnsi="Times New Roman" w:cs="Times New Roman"/>
                <w:color w:val="FF0000"/>
                <w:kern w:val="0"/>
                <w:sz w:val="24"/>
                <w:szCs w:val="24"/>
                <w:highlight w:val="yellow"/>
                <w:lang w:val="en-US" w:eastAsia="zh-CN"/>
              </w:rPr>
            </w:pPr>
          </w:p>
          <w:p w14:paraId="1A8B7494">
            <w:pPr>
              <w:widowControl/>
              <w:snapToGrid w:val="0"/>
              <w:jc w:val="center"/>
              <w:rPr>
                <w:rFonts w:hint="eastAsia" w:ascii="Times New Roman" w:hAnsi="Times New Roman" w:cs="Times New Roman"/>
                <w:color w:val="FF0000"/>
                <w:kern w:val="0"/>
                <w:sz w:val="24"/>
                <w:szCs w:val="24"/>
                <w:highlight w:val="yellow"/>
                <w:lang w:val="en-US" w:eastAsia="zh-CN"/>
              </w:rPr>
            </w:pPr>
          </w:p>
          <w:p w14:paraId="3C31242F">
            <w:pPr>
              <w:widowControl/>
              <w:snapToGrid w:val="0"/>
              <w:jc w:val="center"/>
              <w:rPr>
                <w:rFonts w:hint="eastAsia" w:ascii="Times New Roman" w:hAnsi="Times New Roman" w:cs="Times New Roman"/>
                <w:color w:val="FF0000"/>
                <w:kern w:val="0"/>
                <w:sz w:val="24"/>
                <w:szCs w:val="24"/>
                <w:highlight w:val="yellow"/>
                <w:lang w:val="en-US" w:eastAsia="zh-CN"/>
              </w:rPr>
            </w:pPr>
          </w:p>
          <w:p w14:paraId="1301C846">
            <w:pPr>
              <w:widowControl/>
              <w:snapToGrid w:val="0"/>
              <w:jc w:val="center"/>
              <w:rPr>
                <w:rFonts w:hint="eastAsia" w:ascii="Times New Roman" w:hAnsi="Times New Roman" w:cs="Times New Roman"/>
                <w:color w:val="FF0000"/>
                <w:kern w:val="0"/>
                <w:sz w:val="24"/>
                <w:szCs w:val="24"/>
                <w:highlight w:val="yellow"/>
                <w:lang w:val="en-US" w:eastAsia="zh-CN"/>
              </w:rPr>
            </w:pPr>
          </w:p>
          <w:p w14:paraId="2BCF019B">
            <w:pPr>
              <w:widowControl/>
              <w:snapToGrid w:val="0"/>
              <w:jc w:val="center"/>
              <w:rPr>
                <w:rFonts w:hint="eastAsia" w:ascii="Times New Roman" w:hAnsi="Times New Roman" w:cs="Times New Roman"/>
                <w:color w:val="FF0000"/>
                <w:kern w:val="0"/>
                <w:sz w:val="24"/>
                <w:szCs w:val="24"/>
                <w:highlight w:val="yellow"/>
                <w:lang w:val="en-US" w:eastAsia="zh-CN"/>
              </w:rPr>
            </w:pPr>
          </w:p>
          <w:p w14:paraId="0D913692">
            <w:pPr>
              <w:widowControl/>
              <w:snapToGrid w:val="0"/>
              <w:jc w:val="center"/>
              <w:rPr>
                <w:rFonts w:hint="eastAsia" w:ascii="Times New Roman" w:hAnsi="Times New Roman" w:cs="Times New Roman"/>
                <w:color w:val="FF0000"/>
                <w:kern w:val="0"/>
                <w:sz w:val="24"/>
                <w:szCs w:val="24"/>
                <w:highlight w:val="yellow"/>
                <w:lang w:val="en-US" w:eastAsia="zh-CN"/>
              </w:rPr>
            </w:pPr>
          </w:p>
          <w:p w14:paraId="75C920DC">
            <w:pPr>
              <w:widowControl/>
              <w:snapToGrid w:val="0"/>
              <w:jc w:val="center"/>
              <w:rPr>
                <w:rFonts w:hint="eastAsia" w:ascii="Times New Roman" w:hAnsi="Times New Roman" w:cs="Times New Roman"/>
                <w:color w:val="FF0000"/>
                <w:kern w:val="0"/>
                <w:sz w:val="24"/>
                <w:szCs w:val="24"/>
                <w:highlight w:val="yellow"/>
                <w:lang w:val="en-US" w:eastAsia="zh-CN"/>
              </w:rPr>
            </w:pPr>
          </w:p>
          <w:p w14:paraId="2A0F5D37">
            <w:pPr>
              <w:widowControl/>
              <w:snapToGrid w:val="0"/>
              <w:jc w:val="center"/>
              <w:rPr>
                <w:rFonts w:hint="eastAsia" w:ascii="Times New Roman" w:hAnsi="Times New Roman" w:cs="Times New Roman"/>
                <w:color w:val="FF0000"/>
                <w:kern w:val="0"/>
                <w:sz w:val="24"/>
                <w:szCs w:val="24"/>
                <w:highlight w:val="yellow"/>
                <w:lang w:val="en-US" w:eastAsia="zh-CN"/>
              </w:rPr>
            </w:pPr>
          </w:p>
          <w:p w14:paraId="7E8D9B0E">
            <w:pPr>
              <w:widowControl/>
              <w:snapToGrid w:val="0"/>
              <w:jc w:val="center"/>
              <w:rPr>
                <w:rFonts w:hint="eastAsia" w:ascii="Times New Roman" w:hAnsi="Times New Roman" w:cs="Times New Roman"/>
                <w:color w:val="FF0000"/>
                <w:kern w:val="0"/>
                <w:sz w:val="24"/>
                <w:szCs w:val="24"/>
                <w:highlight w:val="yellow"/>
                <w:lang w:val="en-US" w:eastAsia="zh-CN"/>
              </w:rPr>
            </w:pPr>
          </w:p>
          <w:p w14:paraId="774DC424">
            <w:pPr>
              <w:widowControl/>
              <w:snapToGrid w:val="0"/>
              <w:jc w:val="center"/>
              <w:rPr>
                <w:rFonts w:hint="eastAsia" w:ascii="Times New Roman" w:hAnsi="Times New Roman" w:cs="Times New Roman" w:eastAsiaTheme="minorEastAsia"/>
                <w:kern w:val="0"/>
                <w:sz w:val="24"/>
                <w:szCs w:val="24"/>
                <w:lang w:eastAsia="zh-CN"/>
              </w:rPr>
            </w:pPr>
            <w:r>
              <w:rPr>
                <w:rFonts w:hint="eastAsia" w:ascii="Times New Roman" w:hAnsi="Times New Roman" w:cs="Times New Roman"/>
                <w:color w:val="FF0000"/>
                <w:kern w:val="0"/>
                <w:sz w:val="24"/>
                <w:szCs w:val="24"/>
                <w:highlight w:val="yellow"/>
                <w:lang w:val="en-US" w:eastAsia="zh-CN"/>
              </w:rPr>
              <w:t>囚车</w:t>
            </w:r>
          </w:p>
        </w:tc>
        <w:tc>
          <w:tcPr>
            <w:tcW w:w="311" w:type="pct"/>
            <w:vMerge w:val="restart"/>
            <w:vAlign w:val="center"/>
          </w:tcPr>
          <w:p w14:paraId="1867D987">
            <w:pPr>
              <w:widowControl/>
              <w:snapToGrid w:val="0"/>
              <w:jc w:val="center"/>
              <w:rPr>
                <w:rFonts w:hint="eastAsia" w:ascii="Times New Roman" w:hAnsi="Times New Roman" w:cs="Times New Roman"/>
                <w:kern w:val="0"/>
                <w:sz w:val="24"/>
                <w:szCs w:val="24"/>
                <w:highlight w:val="yellow"/>
              </w:rPr>
            </w:pPr>
          </w:p>
          <w:p w14:paraId="6B2B9527">
            <w:pPr>
              <w:widowControl/>
              <w:snapToGrid w:val="0"/>
              <w:jc w:val="center"/>
              <w:rPr>
                <w:rFonts w:hint="eastAsia" w:ascii="Times New Roman" w:hAnsi="Times New Roman" w:cs="Times New Roman"/>
                <w:kern w:val="0"/>
                <w:sz w:val="24"/>
                <w:szCs w:val="24"/>
                <w:highlight w:val="yellow"/>
              </w:rPr>
            </w:pPr>
          </w:p>
          <w:p w14:paraId="2243ABAC">
            <w:pPr>
              <w:widowControl/>
              <w:snapToGrid w:val="0"/>
              <w:jc w:val="center"/>
              <w:rPr>
                <w:rFonts w:hint="eastAsia" w:ascii="Times New Roman" w:hAnsi="Times New Roman" w:cs="Times New Roman"/>
                <w:kern w:val="0"/>
                <w:sz w:val="24"/>
                <w:szCs w:val="24"/>
                <w:highlight w:val="yellow"/>
              </w:rPr>
            </w:pPr>
          </w:p>
          <w:p w14:paraId="2F31A2FA">
            <w:pPr>
              <w:widowControl/>
              <w:snapToGrid w:val="0"/>
              <w:jc w:val="center"/>
              <w:rPr>
                <w:rFonts w:hint="eastAsia" w:ascii="Times New Roman" w:hAnsi="Times New Roman" w:cs="Times New Roman"/>
                <w:kern w:val="0"/>
                <w:sz w:val="24"/>
                <w:szCs w:val="24"/>
                <w:highlight w:val="yellow"/>
              </w:rPr>
            </w:pPr>
          </w:p>
          <w:p w14:paraId="6B017C30">
            <w:pPr>
              <w:widowControl/>
              <w:snapToGrid w:val="0"/>
              <w:jc w:val="center"/>
              <w:rPr>
                <w:rFonts w:hint="eastAsia" w:ascii="Times New Roman" w:hAnsi="Times New Roman" w:cs="Times New Roman"/>
                <w:kern w:val="0"/>
                <w:sz w:val="24"/>
                <w:szCs w:val="24"/>
                <w:highlight w:val="yellow"/>
              </w:rPr>
            </w:pPr>
          </w:p>
          <w:p w14:paraId="123CB04E">
            <w:pPr>
              <w:widowControl/>
              <w:snapToGrid w:val="0"/>
              <w:jc w:val="center"/>
              <w:rPr>
                <w:rFonts w:hint="eastAsia" w:ascii="Times New Roman" w:hAnsi="Times New Roman" w:cs="Times New Roman"/>
                <w:kern w:val="0"/>
                <w:sz w:val="24"/>
                <w:szCs w:val="24"/>
                <w:highlight w:val="yellow"/>
              </w:rPr>
            </w:pPr>
          </w:p>
          <w:p w14:paraId="3B74A5F3">
            <w:pPr>
              <w:widowControl/>
              <w:snapToGrid w:val="0"/>
              <w:jc w:val="center"/>
              <w:rPr>
                <w:rFonts w:hint="eastAsia" w:ascii="Times New Roman" w:hAnsi="Times New Roman" w:cs="Times New Roman"/>
                <w:kern w:val="0"/>
                <w:sz w:val="24"/>
                <w:szCs w:val="24"/>
                <w:highlight w:val="yellow"/>
              </w:rPr>
            </w:pPr>
          </w:p>
          <w:p w14:paraId="67B97FF9">
            <w:pPr>
              <w:widowControl/>
              <w:snapToGrid w:val="0"/>
              <w:jc w:val="center"/>
              <w:rPr>
                <w:rFonts w:hint="eastAsia" w:ascii="Times New Roman" w:hAnsi="Times New Roman" w:cs="Times New Roman"/>
                <w:kern w:val="0"/>
                <w:sz w:val="24"/>
                <w:szCs w:val="24"/>
                <w:highlight w:val="yellow"/>
              </w:rPr>
            </w:pPr>
          </w:p>
          <w:p w14:paraId="256F44DF">
            <w:pPr>
              <w:widowControl/>
              <w:snapToGrid w:val="0"/>
              <w:jc w:val="center"/>
              <w:rPr>
                <w:rFonts w:hint="eastAsia" w:ascii="Times New Roman" w:hAnsi="Times New Roman" w:cs="Times New Roman"/>
                <w:kern w:val="0"/>
                <w:sz w:val="24"/>
                <w:szCs w:val="24"/>
                <w:highlight w:val="yellow"/>
              </w:rPr>
            </w:pPr>
          </w:p>
          <w:p w14:paraId="475FBCE0">
            <w:pPr>
              <w:widowControl/>
              <w:snapToGrid w:val="0"/>
              <w:jc w:val="center"/>
              <w:rPr>
                <w:rFonts w:hint="eastAsia" w:ascii="Times New Roman" w:hAnsi="Times New Roman" w:cs="Times New Roman"/>
                <w:kern w:val="0"/>
                <w:sz w:val="24"/>
                <w:szCs w:val="24"/>
                <w:highlight w:val="yellow"/>
              </w:rPr>
            </w:pPr>
          </w:p>
          <w:p w14:paraId="7E3EE700">
            <w:pPr>
              <w:widowControl/>
              <w:snapToGrid w:val="0"/>
              <w:jc w:val="center"/>
              <w:rPr>
                <w:rFonts w:hint="eastAsia" w:ascii="Times New Roman" w:hAnsi="Times New Roman" w:cs="Times New Roman"/>
                <w:kern w:val="0"/>
                <w:sz w:val="24"/>
                <w:szCs w:val="24"/>
                <w:highlight w:val="yellow"/>
              </w:rPr>
            </w:pPr>
          </w:p>
          <w:p w14:paraId="6BCB2DE8">
            <w:pPr>
              <w:widowControl/>
              <w:snapToGrid w:val="0"/>
              <w:jc w:val="center"/>
              <w:rPr>
                <w:rFonts w:hint="eastAsia" w:ascii="Times New Roman" w:hAnsi="Times New Roman" w:cs="Times New Roman"/>
                <w:kern w:val="0"/>
                <w:sz w:val="24"/>
                <w:szCs w:val="24"/>
                <w:highlight w:val="yellow"/>
              </w:rPr>
            </w:pPr>
          </w:p>
          <w:p w14:paraId="55C212F9">
            <w:pPr>
              <w:widowControl/>
              <w:snapToGrid w:val="0"/>
              <w:jc w:val="center"/>
              <w:rPr>
                <w:rFonts w:hint="eastAsia" w:ascii="Times New Roman" w:hAnsi="Times New Roman" w:cs="Times New Roman"/>
                <w:kern w:val="0"/>
                <w:sz w:val="24"/>
                <w:szCs w:val="24"/>
                <w:highlight w:val="yellow"/>
              </w:rPr>
            </w:pPr>
          </w:p>
          <w:p w14:paraId="1A90AA05">
            <w:pPr>
              <w:widowControl/>
              <w:snapToGrid w:val="0"/>
              <w:jc w:val="center"/>
              <w:rPr>
                <w:rFonts w:hint="eastAsia" w:ascii="Times New Roman" w:hAnsi="Times New Roman" w:cs="Times New Roman"/>
                <w:kern w:val="0"/>
                <w:sz w:val="24"/>
                <w:szCs w:val="24"/>
                <w:highlight w:val="yellow"/>
              </w:rPr>
            </w:pPr>
          </w:p>
          <w:p w14:paraId="32FBB139">
            <w:pPr>
              <w:widowControl/>
              <w:snapToGrid w:val="0"/>
              <w:jc w:val="center"/>
              <w:rPr>
                <w:rFonts w:hint="eastAsia" w:ascii="Times New Roman" w:hAnsi="Times New Roman" w:cs="Times New Roman"/>
                <w:kern w:val="0"/>
                <w:sz w:val="24"/>
                <w:szCs w:val="24"/>
                <w:highlight w:val="yellow"/>
              </w:rPr>
            </w:pPr>
          </w:p>
          <w:p w14:paraId="7B8895C6">
            <w:pPr>
              <w:widowControl/>
              <w:snapToGrid w:val="0"/>
              <w:jc w:val="center"/>
              <w:rPr>
                <w:rFonts w:hint="eastAsia"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highlight w:val="yellow"/>
              </w:rPr>
              <w:t>1</w:t>
            </w:r>
            <w:r>
              <w:rPr>
                <w:rFonts w:hint="eastAsia" w:ascii="Times New Roman" w:hAnsi="Times New Roman" w:cs="Times New Roman"/>
                <w:kern w:val="0"/>
                <w:sz w:val="24"/>
                <w:szCs w:val="24"/>
                <w:highlight w:val="yellow"/>
                <w:lang w:val="en-US" w:eastAsia="zh-CN"/>
              </w:rPr>
              <w:t>辆</w:t>
            </w:r>
          </w:p>
        </w:tc>
        <w:tc>
          <w:tcPr>
            <w:tcW w:w="2199" w:type="pct"/>
            <w:vAlign w:val="center"/>
          </w:tcPr>
          <w:p w14:paraId="0591FE78">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w:t>
            </w:r>
            <w:r>
              <w:rPr>
                <w:rFonts w:hint="eastAsia" w:ascii="宋体" w:hAnsi="宋体" w:eastAsia="宋体" w:cs="宋体"/>
                <w:kern w:val="0"/>
                <w:sz w:val="24"/>
                <w:szCs w:val="24"/>
              </w:rPr>
              <w:t>燃油</w:t>
            </w:r>
            <w:r>
              <w:rPr>
                <w:rFonts w:hint="eastAsia" w:ascii="宋体" w:hAnsi="宋体" w:eastAsia="宋体" w:cs="宋体"/>
                <w:color w:val="000000"/>
                <w:kern w:val="0"/>
                <w:sz w:val="24"/>
                <w:szCs w:val="24"/>
              </w:rPr>
              <w:t>类型：汽油,国六B</w:t>
            </w:r>
          </w:p>
        </w:tc>
        <w:tc>
          <w:tcPr>
            <w:tcW w:w="1700" w:type="pct"/>
            <w:vMerge w:val="restart"/>
            <w:vAlign w:val="center"/>
          </w:tcPr>
          <w:p w14:paraId="108DFDEC">
            <w:pPr>
              <w:widowControl/>
              <w:spacing w:line="360" w:lineRule="auto"/>
              <w:jc w:val="center"/>
              <w:rPr>
                <w:rFonts w:hint="eastAsia" w:ascii="宋体" w:hAnsi="宋体" w:eastAsia="宋体" w:cs="宋体"/>
                <w:color w:val="000000"/>
                <w:kern w:val="0"/>
                <w:sz w:val="24"/>
                <w:szCs w:val="24"/>
                <w:lang w:val="en-US" w:eastAsia="zh-CN"/>
              </w:rPr>
            </w:pPr>
          </w:p>
          <w:p w14:paraId="3BCADB68">
            <w:pPr>
              <w:widowControl/>
              <w:spacing w:line="360" w:lineRule="auto"/>
              <w:jc w:val="center"/>
              <w:rPr>
                <w:rFonts w:hint="eastAsia" w:ascii="宋体" w:hAnsi="宋体" w:eastAsia="宋体" w:cs="宋体"/>
                <w:color w:val="000000"/>
                <w:kern w:val="0"/>
                <w:sz w:val="24"/>
                <w:szCs w:val="24"/>
                <w:lang w:val="en-US" w:eastAsia="zh-CN"/>
              </w:rPr>
            </w:pPr>
          </w:p>
          <w:p w14:paraId="690D33F6">
            <w:pPr>
              <w:widowControl/>
              <w:spacing w:line="360" w:lineRule="auto"/>
              <w:jc w:val="center"/>
              <w:rPr>
                <w:rFonts w:hint="eastAsia" w:ascii="宋体" w:hAnsi="宋体" w:eastAsia="宋体" w:cs="宋体"/>
                <w:color w:val="000000"/>
                <w:kern w:val="0"/>
                <w:sz w:val="24"/>
                <w:szCs w:val="24"/>
                <w:lang w:val="en-US" w:eastAsia="zh-CN"/>
              </w:rPr>
            </w:pPr>
          </w:p>
          <w:p w14:paraId="5EEE291E">
            <w:pPr>
              <w:widowControl/>
              <w:spacing w:line="360" w:lineRule="auto"/>
              <w:jc w:val="center"/>
              <w:rPr>
                <w:rFonts w:hint="eastAsia" w:ascii="宋体" w:hAnsi="宋体" w:eastAsia="宋体" w:cs="宋体"/>
                <w:color w:val="000000"/>
                <w:kern w:val="0"/>
                <w:sz w:val="24"/>
                <w:szCs w:val="24"/>
                <w:lang w:val="en-US" w:eastAsia="zh-CN"/>
              </w:rPr>
            </w:pPr>
          </w:p>
          <w:p w14:paraId="7C99BBAA">
            <w:pPr>
              <w:widowControl/>
              <w:spacing w:line="360" w:lineRule="auto"/>
              <w:jc w:val="center"/>
              <w:rPr>
                <w:rFonts w:hint="eastAsia" w:ascii="宋体" w:hAnsi="宋体" w:eastAsia="宋体" w:cs="宋体"/>
                <w:color w:val="000000"/>
                <w:kern w:val="0"/>
                <w:sz w:val="24"/>
                <w:szCs w:val="24"/>
                <w:lang w:val="en-US" w:eastAsia="zh-CN"/>
              </w:rPr>
            </w:pPr>
          </w:p>
          <w:p w14:paraId="13B99DC9">
            <w:pPr>
              <w:widowControl/>
              <w:spacing w:line="360" w:lineRule="auto"/>
              <w:jc w:val="center"/>
              <w:rPr>
                <w:rFonts w:hint="eastAsia" w:ascii="宋体" w:hAnsi="宋体" w:eastAsia="宋体" w:cs="宋体"/>
                <w:color w:val="000000"/>
                <w:kern w:val="0"/>
                <w:sz w:val="24"/>
                <w:szCs w:val="24"/>
                <w:lang w:val="en-US" w:eastAsia="zh-CN"/>
              </w:rPr>
            </w:pPr>
          </w:p>
          <w:p w14:paraId="37249E24">
            <w:pPr>
              <w:widowControl/>
              <w:spacing w:line="360" w:lineRule="auto"/>
              <w:jc w:val="center"/>
              <w:rPr>
                <w:rFonts w:hint="eastAsia" w:ascii="宋体" w:hAnsi="宋体" w:eastAsia="宋体" w:cs="宋体"/>
                <w:color w:val="000000"/>
                <w:kern w:val="0"/>
                <w:sz w:val="24"/>
                <w:szCs w:val="24"/>
                <w:lang w:val="en-US" w:eastAsia="zh-CN"/>
              </w:rPr>
            </w:pPr>
          </w:p>
          <w:p w14:paraId="288A36A7">
            <w:pPr>
              <w:widowControl/>
              <w:spacing w:line="360" w:lineRule="auto"/>
              <w:jc w:val="center"/>
              <w:rPr>
                <w:rFonts w:hint="eastAsia" w:ascii="宋体" w:hAnsi="宋体" w:eastAsia="宋体" w:cs="宋体"/>
                <w:color w:val="000000"/>
                <w:kern w:val="0"/>
                <w:sz w:val="24"/>
                <w:szCs w:val="24"/>
                <w:lang w:val="en-US" w:eastAsia="zh-CN"/>
              </w:rPr>
            </w:pPr>
          </w:p>
          <w:p w14:paraId="409524AF">
            <w:pPr>
              <w:widowControl/>
              <w:spacing w:line="360" w:lineRule="auto"/>
              <w:jc w:val="center"/>
              <w:rPr>
                <w:rFonts w:hint="eastAsia" w:ascii="宋体" w:hAnsi="宋体" w:eastAsia="宋体" w:cs="宋体"/>
                <w:color w:val="000000"/>
                <w:kern w:val="0"/>
                <w:sz w:val="24"/>
                <w:szCs w:val="24"/>
                <w:lang w:val="en-US" w:eastAsia="zh-CN"/>
              </w:rPr>
            </w:pPr>
          </w:p>
          <w:p w14:paraId="031A8F80">
            <w:pPr>
              <w:widowControl/>
              <w:spacing w:line="360" w:lineRule="auto"/>
              <w:jc w:val="center"/>
              <w:rPr>
                <w:rFonts w:hint="eastAsia" w:ascii="宋体" w:hAnsi="宋体" w:eastAsia="宋体" w:cs="宋体"/>
                <w:color w:val="000000"/>
                <w:kern w:val="0"/>
                <w:sz w:val="24"/>
                <w:szCs w:val="24"/>
                <w:lang w:val="en-US" w:eastAsia="zh-CN"/>
              </w:rPr>
            </w:pPr>
          </w:p>
          <w:p w14:paraId="1A240871">
            <w:pPr>
              <w:widowControl/>
              <w:spacing w:line="36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17.75</w:t>
            </w:r>
          </w:p>
        </w:tc>
      </w:tr>
      <w:tr w14:paraId="32A8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35923F71">
            <w:pPr>
              <w:widowControl/>
              <w:snapToGrid w:val="0"/>
              <w:jc w:val="center"/>
              <w:rPr>
                <w:rFonts w:ascii="Times New Roman" w:hAnsi="Times New Roman" w:cs="Times New Roman"/>
                <w:kern w:val="0"/>
                <w:sz w:val="24"/>
                <w:szCs w:val="24"/>
              </w:rPr>
            </w:pPr>
          </w:p>
        </w:tc>
        <w:tc>
          <w:tcPr>
            <w:tcW w:w="521" w:type="pct"/>
            <w:vMerge w:val="continue"/>
            <w:vAlign w:val="center"/>
          </w:tcPr>
          <w:p w14:paraId="304CFF01">
            <w:pPr>
              <w:widowControl/>
              <w:snapToGrid w:val="0"/>
              <w:jc w:val="center"/>
              <w:rPr>
                <w:rFonts w:ascii="Times New Roman" w:hAnsi="Times New Roman" w:cs="Times New Roman"/>
                <w:kern w:val="0"/>
                <w:sz w:val="24"/>
                <w:szCs w:val="24"/>
              </w:rPr>
            </w:pPr>
          </w:p>
        </w:tc>
        <w:tc>
          <w:tcPr>
            <w:tcW w:w="311" w:type="pct"/>
            <w:vMerge w:val="continue"/>
            <w:vAlign w:val="center"/>
          </w:tcPr>
          <w:p w14:paraId="7098C922">
            <w:pPr>
              <w:widowControl/>
              <w:snapToGrid w:val="0"/>
              <w:jc w:val="center"/>
              <w:rPr>
                <w:rFonts w:ascii="Times New Roman" w:hAnsi="Times New Roman" w:cs="Times New Roman"/>
                <w:kern w:val="0"/>
                <w:sz w:val="24"/>
                <w:szCs w:val="24"/>
              </w:rPr>
            </w:pPr>
          </w:p>
        </w:tc>
        <w:tc>
          <w:tcPr>
            <w:tcW w:w="2199" w:type="pct"/>
            <w:vAlign w:val="center"/>
          </w:tcPr>
          <w:p w14:paraId="33226A25">
            <w:pPr>
              <w:widowControl/>
              <w:spacing w:line="360" w:lineRule="auto"/>
              <w:jc w:val="left"/>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★车身结构：7座，</w:t>
            </w:r>
            <w:r>
              <w:rPr>
                <w:rFonts w:hint="eastAsia" w:ascii="宋体" w:hAnsi="宋体" w:eastAsia="宋体" w:cs="宋体"/>
                <w:color w:val="000000"/>
                <w:kern w:val="0"/>
                <w:sz w:val="24"/>
                <w:szCs w:val="24"/>
                <w:highlight w:val="yellow"/>
                <w:lang w:val="en-US" w:eastAsia="zh-CN"/>
              </w:rPr>
              <w:t>MPV</w:t>
            </w:r>
          </w:p>
        </w:tc>
        <w:tc>
          <w:tcPr>
            <w:tcW w:w="1700" w:type="pct"/>
            <w:vMerge w:val="continue"/>
            <w:vAlign w:val="center"/>
          </w:tcPr>
          <w:p w14:paraId="7196C177">
            <w:pPr>
              <w:widowControl/>
              <w:spacing w:line="360" w:lineRule="auto"/>
              <w:jc w:val="left"/>
              <w:rPr>
                <w:rFonts w:hint="eastAsia" w:ascii="宋体" w:hAnsi="宋体" w:eastAsia="宋体" w:cs="宋体"/>
                <w:color w:val="000000"/>
                <w:kern w:val="0"/>
                <w:sz w:val="24"/>
                <w:szCs w:val="24"/>
              </w:rPr>
            </w:pPr>
          </w:p>
        </w:tc>
      </w:tr>
      <w:tr w14:paraId="6AE4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61B4370C">
            <w:pPr>
              <w:widowControl/>
              <w:snapToGrid w:val="0"/>
              <w:jc w:val="center"/>
              <w:rPr>
                <w:rFonts w:ascii="Times New Roman" w:hAnsi="Times New Roman" w:cs="Times New Roman"/>
                <w:kern w:val="0"/>
                <w:sz w:val="24"/>
                <w:szCs w:val="24"/>
              </w:rPr>
            </w:pPr>
          </w:p>
        </w:tc>
        <w:tc>
          <w:tcPr>
            <w:tcW w:w="521" w:type="pct"/>
            <w:vMerge w:val="continue"/>
            <w:vAlign w:val="center"/>
          </w:tcPr>
          <w:p w14:paraId="48577544">
            <w:pPr>
              <w:widowControl/>
              <w:snapToGrid w:val="0"/>
              <w:jc w:val="center"/>
              <w:rPr>
                <w:rFonts w:ascii="Times New Roman" w:hAnsi="Times New Roman" w:cs="Times New Roman"/>
                <w:kern w:val="0"/>
                <w:sz w:val="24"/>
                <w:szCs w:val="24"/>
              </w:rPr>
            </w:pPr>
          </w:p>
        </w:tc>
        <w:tc>
          <w:tcPr>
            <w:tcW w:w="311" w:type="pct"/>
            <w:vMerge w:val="continue"/>
            <w:vAlign w:val="center"/>
          </w:tcPr>
          <w:p w14:paraId="67533818">
            <w:pPr>
              <w:widowControl/>
              <w:snapToGrid w:val="0"/>
              <w:jc w:val="center"/>
              <w:rPr>
                <w:rFonts w:ascii="Times New Roman" w:hAnsi="Times New Roman" w:cs="Times New Roman"/>
                <w:kern w:val="0"/>
                <w:sz w:val="24"/>
                <w:szCs w:val="24"/>
              </w:rPr>
            </w:pPr>
          </w:p>
        </w:tc>
        <w:tc>
          <w:tcPr>
            <w:tcW w:w="2199" w:type="pct"/>
            <w:vAlign w:val="center"/>
          </w:tcPr>
          <w:p w14:paraId="0BD1E670">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车身长度（mm）:4825</w:t>
            </w:r>
            <w:r>
              <w:rPr>
                <w:rFonts w:hint="eastAsia" w:ascii="宋体" w:hAnsi="宋体" w:eastAsia="宋体" w:cs="宋体"/>
                <w:sz w:val="24"/>
                <w:szCs w:val="24"/>
              </w:rPr>
              <w:t>≤</w:t>
            </w:r>
            <w:r>
              <w:rPr>
                <w:rFonts w:hint="eastAsia" w:ascii="宋体" w:hAnsi="宋体" w:eastAsia="宋体" w:cs="宋体"/>
                <w:kern w:val="0"/>
                <w:sz w:val="24"/>
                <w:szCs w:val="24"/>
              </w:rPr>
              <w:t>长</w:t>
            </w:r>
            <w:r>
              <w:rPr>
                <w:rFonts w:hint="eastAsia" w:ascii="宋体" w:hAnsi="宋体" w:eastAsia="宋体" w:cs="宋体"/>
                <w:sz w:val="24"/>
                <w:szCs w:val="24"/>
              </w:rPr>
              <w:t>≤5200</w:t>
            </w:r>
          </w:p>
        </w:tc>
        <w:tc>
          <w:tcPr>
            <w:tcW w:w="1700" w:type="pct"/>
            <w:vMerge w:val="continue"/>
            <w:vAlign w:val="center"/>
          </w:tcPr>
          <w:p w14:paraId="5EA8705C">
            <w:pPr>
              <w:widowControl/>
              <w:spacing w:line="360" w:lineRule="auto"/>
              <w:jc w:val="left"/>
              <w:rPr>
                <w:rFonts w:hint="eastAsia" w:ascii="宋体" w:hAnsi="宋体" w:eastAsia="宋体" w:cs="宋体"/>
                <w:color w:val="000000"/>
                <w:kern w:val="0"/>
                <w:sz w:val="24"/>
                <w:szCs w:val="24"/>
              </w:rPr>
            </w:pPr>
          </w:p>
        </w:tc>
      </w:tr>
      <w:tr w14:paraId="74D0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536830FC">
            <w:pPr>
              <w:widowControl/>
              <w:snapToGrid w:val="0"/>
              <w:jc w:val="center"/>
              <w:rPr>
                <w:rFonts w:ascii="Times New Roman" w:hAnsi="Times New Roman" w:cs="Times New Roman"/>
                <w:kern w:val="0"/>
                <w:sz w:val="24"/>
                <w:szCs w:val="24"/>
              </w:rPr>
            </w:pPr>
          </w:p>
        </w:tc>
        <w:tc>
          <w:tcPr>
            <w:tcW w:w="521" w:type="pct"/>
            <w:vMerge w:val="continue"/>
            <w:vAlign w:val="center"/>
          </w:tcPr>
          <w:p w14:paraId="11BA8E85">
            <w:pPr>
              <w:widowControl/>
              <w:snapToGrid w:val="0"/>
              <w:jc w:val="center"/>
              <w:rPr>
                <w:rFonts w:ascii="Times New Roman" w:hAnsi="Times New Roman" w:cs="Times New Roman"/>
                <w:kern w:val="0"/>
                <w:sz w:val="24"/>
                <w:szCs w:val="24"/>
              </w:rPr>
            </w:pPr>
          </w:p>
        </w:tc>
        <w:tc>
          <w:tcPr>
            <w:tcW w:w="311" w:type="pct"/>
            <w:vMerge w:val="continue"/>
            <w:vAlign w:val="center"/>
          </w:tcPr>
          <w:p w14:paraId="3B46F950">
            <w:pPr>
              <w:widowControl/>
              <w:snapToGrid w:val="0"/>
              <w:jc w:val="center"/>
              <w:rPr>
                <w:rFonts w:ascii="Times New Roman" w:hAnsi="Times New Roman" w:cs="Times New Roman"/>
                <w:kern w:val="0"/>
                <w:sz w:val="24"/>
                <w:szCs w:val="24"/>
              </w:rPr>
            </w:pPr>
          </w:p>
        </w:tc>
        <w:tc>
          <w:tcPr>
            <w:tcW w:w="2199" w:type="pct"/>
            <w:vAlign w:val="center"/>
          </w:tcPr>
          <w:p w14:paraId="28C82C64">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车身宽度（mm）:1825</w:t>
            </w:r>
            <w:r>
              <w:rPr>
                <w:rFonts w:hint="eastAsia" w:ascii="宋体" w:hAnsi="宋体" w:eastAsia="宋体" w:cs="宋体"/>
                <w:kern w:val="0"/>
                <w:sz w:val="24"/>
                <w:szCs w:val="24"/>
              </w:rPr>
              <w:t>≤宽≤1890</w:t>
            </w:r>
          </w:p>
        </w:tc>
        <w:tc>
          <w:tcPr>
            <w:tcW w:w="1700" w:type="pct"/>
            <w:vMerge w:val="continue"/>
            <w:vAlign w:val="center"/>
          </w:tcPr>
          <w:p w14:paraId="0E553F20">
            <w:pPr>
              <w:widowControl/>
              <w:spacing w:line="360" w:lineRule="auto"/>
              <w:jc w:val="left"/>
              <w:rPr>
                <w:rFonts w:hint="eastAsia" w:ascii="宋体" w:hAnsi="宋体" w:eastAsia="宋体" w:cs="宋体"/>
                <w:color w:val="000000"/>
                <w:kern w:val="0"/>
                <w:sz w:val="24"/>
                <w:szCs w:val="24"/>
              </w:rPr>
            </w:pPr>
          </w:p>
        </w:tc>
      </w:tr>
      <w:tr w14:paraId="1B2D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0E9E509D">
            <w:pPr>
              <w:widowControl/>
              <w:snapToGrid w:val="0"/>
              <w:jc w:val="center"/>
              <w:rPr>
                <w:rFonts w:ascii="Times New Roman" w:hAnsi="Times New Roman" w:cs="Times New Roman"/>
                <w:kern w:val="0"/>
                <w:sz w:val="24"/>
                <w:szCs w:val="24"/>
              </w:rPr>
            </w:pPr>
          </w:p>
        </w:tc>
        <w:tc>
          <w:tcPr>
            <w:tcW w:w="521" w:type="pct"/>
            <w:vMerge w:val="continue"/>
            <w:vAlign w:val="center"/>
          </w:tcPr>
          <w:p w14:paraId="7AB2C74F">
            <w:pPr>
              <w:widowControl/>
              <w:snapToGrid w:val="0"/>
              <w:jc w:val="center"/>
              <w:rPr>
                <w:rFonts w:ascii="Times New Roman" w:hAnsi="Times New Roman" w:cs="Times New Roman"/>
                <w:kern w:val="0"/>
                <w:sz w:val="24"/>
                <w:szCs w:val="24"/>
              </w:rPr>
            </w:pPr>
          </w:p>
        </w:tc>
        <w:tc>
          <w:tcPr>
            <w:tcW w:w="311" w:type="pct"/>
            <w:vMerge w:val="continue"/>
            <w:vAlign w:val="center"/>
          </w:tcPr>
          <w:p w14:paraId="46915C27">
            <w:pPr>
              <w:widowControl/>
              <w:snapToGrid w:val="0"/>
              <w:jc w:val="center"/>
              <w:rPr>
                <w:rFonts w:ascii="Times New Roman" w:hAnsi="Times New Roman" w:cs="Times New Roman"/>
                <w:kern w:val="0"/>
                <w:sz w:val="24"/>
                <w:szCs w:val="24"/>
              </w:rPr>
            </w:pPr>
          </w:p>
        </w:tc>
        <w:tc>
          <w:tcPr>
            <w:tcW w:w="2199" w:type="pct"/>
            <w:vAlign w:val="center"/>
          </w:tcPr>
          <w:p w14:paraId="1C212F04">
            <w:pPr>
              <w:widowControl/>
              <w:spacing w:line="360" w:lineRule="auto"/>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车身高度（mm）：1935</w:t>
            </w:r>
            <w:r>
              <w:rPr>
                <w:rFonts w:hint="eastAsia" w:ascii="宋体" w:hAnsi="宋体" w:eastAsia="宋体" w:cs="宋体"/>
                <w:kern w:val="0"/>
                <w:sz w:val="24"/>
                <w:szCs w:val="24"/>
              </w:rPr>
              <w:t>≤高≤2160</w:t>
            </w:r>
          </w:p>
        </w:tc>
        <w:tc>
          <w:tcPr>
            <w:tcW w:w="1700" w:type="pct"/>
            <w:vMerge w:val="continue"/>
            <w:vAlign w:val="center"/>
          </w:tcPr>
          <w:p w14:paraId="69607D49">
            <w:pPr>
              <w:widowControl/>
              <w:spacing w:line="360" w:lineRule="auto"/>
              <w:jc w:val="left"/>
              <w:rPr>
                <w:rFonts w:hint="eastAsia" w:ascii="宋体" w:hAnsi="宋体" w:eastAsia="宋体" w:cs="宋体"/>
                <w:color w:val="000000"/>
                <w:kern w:val="0"/>
                <w:sz w:val="24"/>
                <w:szCs w:val="24"/>
              </w:rPr>
            </w:pPr>
          </w:p>
        </w:tc>
      </w:tr>
      <w:tr w14:paraId="19A5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5EEF9D77">
            <w:pPr>
              <w:widowControl/>
              <w:snapToGrid w:val="0"/>
              <w:jc w:val="center"/>
              <w:rPr>
                <w:rFonts w:ascii="Times New Roman" w:hAnsi="Times New Roman" w:cs="Times New Roman"/>
                <w:kern w:val="0"/>
                <w:sz w:val="24"/>
                <w:szCs w:val="24"/>
              </w:rPr>
            </w:pPr>
          </w:p>
        </w:tc>
        <w:tc>
          <w:tcPr>
            <w:tcW w:w="521" w:type="pct"/>
            <w:vMerge w:val="continue"/>
            <w:vAlign w:val="center"/>
          </w:tcPr>
          <w:p w14:paraId="7A588362">
            <w:pPr>
              <w:widowControl/>
              <w:snapToGrid w:val="0"/>
              <w:jc w:val="center"/>
              <w:rPr>
                <w:rFonts w:ascii="Times New Roman" w:hAnsi="Times New Roman" w:cs="Times New Roman"/>
                <w:kern w:val="0"/>
                <w:sz w:val="24"/>
                <w:szCs w:val="24"/>
              </w:rPr>
            </w:pPr>
          </w:p>
        </w:tc>
        <w:tc>
          <w:tcPr>
            <w:tcW w:w="311" w:type="pct"/>
            <w:vMerge w:val="continue"/>
            <w:vAlign w:val="center"/>
          </w:tcPr>
          <w:p w14:paraId="2E6C689B">
            <w:pPr>
              <w:widowControl/>
              <w:snapToGrid w:val="0"/>
              <w:jc w:val="center"/>
              <w:rPr>
                <w:rFonts w:ascii="Times New Roman" w:hAnsi="Times New Roman" w:cs="Times New Roman"/>
                <w:kern w:val="0"/>
                <w:sz w:val="24"/>
                <w:szCs w:val="24"/>
              </w:rPr>
            </w:pPr>
          </w:p>
        </w:tc>
        <w:tc>
          <w:tcPr>
            <w:tcW w:w="2199" w:type="pct"/>
            <w:vAlign w:val="center"/>
          </w:tcPr>
          <w:p w14:paraId="2E64FFE9">
            <w:pPr>
              <w:widowControl/>
              <w:spacing w:line="360" w:lineRule="auto"/>
              <w:jc w:val="left"/>
              <w:rPr>
                <w:rFonts w:ascii="Times New Roman" w:hAnsi="Times New Roman" w:eastAsia="宋体" w:cs="Times New Roman"/>
                <w:color w:val="000000"/>
                <w:kern w:val="0"/>
                <w:sz w:val="24"/>
                <w:szCs w:val="24"/>
              </w:rPr>
            </w:pPr>
            <w:r>
              <w:rPr>
                <w:rFonts w:ascii="Times New Roman" w:hAnsi="Times New Roman" w:cs="Times New Roman"/>
                <w:color w:val="000000"/>
                <w:kern w:val="0"/>
                <w:sz w:val="24"/>
                <w:szCs w:val="24"/>
              </w:rPr>
              <w:t>轴距（mm）：</w:t>
            </w:r>
            <w:r>
              <w:rPr>
                <w:rFonts w:hint="eastAsia" w:ascii="宋体" w:hAnsi="宋体" w:eastAsia="宋体" w:cs="宋体"/>
                <w:kern w:val="0"/>
                <w:sz w:val="24"/>
                <w:szCs w:val="24"/>
              </w:rPr>
              <w:t>≥2800</w:t>
            </w:r>
          </w:p>
        </w:tc>
        <w:tc>
          <w:tcPr>
            <w:tcW w:w="1700" w:type="pct"/>
            <w:vMerge w:val="continue"/>
            <w:vAlign w:val="center"/>
          </w:tcPr>
          <w:p w14:paraId="53ACD407">
            <w:pPr>
              <w:widowControl/>
              <w:spacing w:line="360" w:lineRule="auto"/>
              <w:jc w:val="left"/>
              <w:rPr>
                <w:rFonts w:ascii="Times New Roman" w:hAnsi="Times New Roman" w:cs="Times New Roman"/>
                <w:color w:val="000000"/>
                <w:kern w:val="0"/>
                <w:sz w:val="24"/>
                <w:szCs w:val="24"/>
              </w:rPr>
            </w:pPr>
          </w:p>
        </w:tc>
      </w:tr>
      <w:tr w14:paraId="08C4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0F92FB23">
            <w:pPr>
              <w:widowControl/>
              <w:snapToGrid w:val="0"/>
              <w:jc w:val="center"/>
              <w:rPr>
                <w:rFonts w:ascii="Times New Roman" w:hAnsi="Times New Roman" w:cs="Times New Roman"/>
                <w:kern w:val="0"/>
                <w:sz w:val="24"/>
                <w:szCs w:val="24"/>
              </w:rPr>
            </w:pPr>
          </w:p>
        </w:tc>
        <w:tc>
          <w:tcPr>
            <w:tcW w:w="521" w:type="pct"/>
            <w:vMerge w:val="continue"/>
            <w:vAlign w:val="center"/>
          </w:tcPr>
          <w:p w14:paraId="17249394">
            <w:pPr>
              <w:widowControl/>
              <w:snapToGrid w:val="0"/>
              <w:jc w:val="center"/>
              <w:rPr>
                <w:rFonts w:ascii="Times New Roman" w:hAnsi="Times New Roman" w:cs="Times New Roman"/>
                <w:kern w:val="0"/>
                <w:sz w:val="24"/>
                <w:szCs w:val="24"/>
              </w:rPr>
            </w:pPr>
          </w:p>
        </w:tc>
        <w:tc>
          <w:tcPr>
            <w:tcW w:w="311" w:type="pct"/>
            <w:vMerge w:val="continue"/>
            <w:vAlign w:val="center"/>
          </w:tcPr>
          <w:p w14:paraId="0EAE3995">
            <w:pPr>
              <w:widowControl/>
              <w:snapToGrid w:val="0"/>
              <w:jc w:val="center"/>
              <w:rPr>
                <w:rFonts w:ascii="Times New Roman" w:hAnsi="Times New Roman" w:cs="Times New Roman"/>
                <w:kern w:val="0"/>
                <w:sz w:val="24"/>
                <w:szCs w:val="24"/>
              </w:rPr>
            </w:pPr>
          </w:p>
        </w:tc>
        <w:tc>
          <w:tcPr>
            <w:tcW w:w="2199" w:type="pct"/>
            <w:vAlign w:val="center"/>
          </w:tcPr>
          <w:p w14:paraId="5A4980E3">
            <w:pPr>
              <w:widowControl/>
              <w:spacing w:line="360" w:lineRule="auto"/>
              <w:jc w:val="left"/>
              <w:rPr>
                <w:rFonts w:ascii="Times New Roman" w:hAnsi="Times New Roman" w:eastAsia="宋体" w:cs="Times New Roman"/>
                <w:color w:val="000000"/>
                <w:kern w:val="0"/>
                <w:sz w:val="24"/>
                <w:szCs w:val="24"/>
              </w:rPr>
            </w:pPr>
            <w:r>
              <w:rPr>
                <w:rFonts w:ascii="Times New Roman" w:hAnsi="Times New Roman" w:cs="Times New Roman"/>
                <w:color w:val="000000"/>
                <w:kern w:val="0"/>
                <w:sz w:val="24"/>
                <w:szCs w:val="24"/>
              </w:rPr>
              <w:t>发动机排量（ml）：</w:t>
            </w:r>
            <w:r>
              <w:rPr>
                <w:rFonts w:hint="eastAsia" w:ascii="宋体" w:hAnsi="宋体" w:eastAsia="宋体" w:cs="宋体"/>
                <w:kern w:val="0"/>
                <w:sz w:val="24"/>
                <w:szCs w:val="24"/>
              </w:rPr>
              <w:t>≤1999</w:t>
            </w:r>
          </w:p>
        </w:tc>
        <w:tc>
          <w:tcPr>
            <w:tcW w:w="1700" w:type="pct"/>
            <w:vMerge w:val="continue"/>
            <w:vAlign w:val="center"/>
          </w:tcPr>
          <w:p w14:paraId="29594A29">
            <w:pPr>
              <w:widowControl/>
              <w:spacing w:line="360" w:lineRule="auto"/>
              <w:jc w:val="left"/>
              <w:rPr>
                <w:rFonts w:ascii="Times New Roman" w:hAnsi="Times New Roman" w:cs="Times New Roman"/>
                <w:color w:val="000000"/>
                <w:kern w:val="0"/>
                <w:sz w:val="24"/>
                <w:szCs w:val="24"/>
              </w:rPr>
            </w:pPr>
          </w:p>
        </w:tc>
      </w:tr>
      <w:tr w14:paraId="382A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67" w:type="pct"/>
            <w:vMerge w:val="continue"/>
            <w:vAlign w:val="center"/>
          </w:tcPr>
          <w:p w14:paraId="3A1BA2FE">
            <w:pPr>
              <w:widowControl/>
              <w:snapToGrid w:val="0"/>
              <w:jc w:val="center"/>
              <w:rPr>
                <w:rFonts w:ascii="Times New Roman" w:hAnsi="Times New Roman" w:cs="Times New Roman"/>
                <w:kern w:val="0"/>
                <w:sz w:val="24"/>
                <w:szCs w:val="24"/>
              </w:rPr>
            </w:pPr>
          </w:p>
        </w:tc>
        <w:tc>
          <w:tcPr>
            <w:tcW w:w="521" w:type="pct"/>
            <w:vMerge w:val="continue"/>
            <w:vAlign w:val="center"/>
          </w:tcPr>
          <w:p w14:paraId="4DB67AC6">
            <w:pPr>
              <w:widowControl/>
              <w:snapToGrid w:val="0"/>
              <w:jc w:val="center"/>
              <w:rPr>
                <w:rFonts w:ascii="Times New Roman" w:hAnsi="Times New Roman" w:cs="Times New Roman"/>
                <w:kern w:val="0"/>
                <w:sz w:val="24"/>
                <w:szCs w:val="24"/>
              </w:rPr>
            </w:pPr>
          </w:p>
        </w:tc>
        <w:tc>
          <w:tcPr>
            <w:tcW w:w="311" w:type="pct"/>
            <w:vMerge w:val="continue"/>
            <w:vAlign w:val="center"/>
          </w:tcPr>
          <w:p w14:paraId="76376891">
            <w:pPr>
              <w:widowControl/>
              <w:snapToGrid w:val="0"/>
              <w:jc w:val="center"/>
              <w:rPr>
                <w:rFonts w:ascii="Times New Roman" w:hAnsi="Times New Roman" w:cs="Times New Roman"/>
                <w:kern w:val="0"/>
                <w:sz w:val="24"/>
                <w:szCs w:val="24"/>
              </w:rPr>
            </w:pPr>
          </w:p>
        </w:tc>
        <w:tc>
          <w:tcPr>
            <w:tcW w:w="2199" w:type="pct"/>
            <w:vAlign w:val="center"/>
          </w:tcPr>
          <w:p w14:paraId="503F09DB">
            <w:pPr>
              <w:widowControl/>
              <w:spacing w:line="360" w:lineRule="auto"/>
              <w:jc w:val="left"/>
              <w:rPr>
                <w:rFonts w:ascii="Times New Roman" w:hAnsi="Times New Roman" w:eastAsia="宋体" w:cs="Times New Roman"/>
                <w:color w:val="000000"/>
                <w:kern w:val="0"/>
                <w:sz w:val="24"/>
                <w:szCs w:val="24"/>
              </w:rPr>
            </w:pPr>
            <w:r>
              <w:rPr>
                <w:rFonts w:ascii="Times New Roman" w:hAnsi="Times New Roman" w:cs="Times New Roman"/>
                <w:color w:val="000000"/>
                <w:kern w:val="0"/>
                <w:sz w:val="24"/>
                <w:szCs w:val="24"/>
              </w:rPr>
              <w:t>进气形式：</w:t>
            </w:r>
            <w:r>
              <w:rPr>
                <w:rFonts w:hint="eastAsia" w:ascii="Times New Roman" w:hAnsi="Times New Roman" w:cs="Times New Roman"/>
                <w:color w:val="000000"/>
                <w:kern w:val="0"/>
                <w:sz w:val="24"/>
                <w:szCs w:val="24"/>
              </w:rPr>
              <w:t>涡轮增压/自然吸气</w:t>
            </w:r>
          </w:p>
        </w:tc>
        <w:tc>
          <w:tcPr>
            <w:tcW w:w="1700" w:type="pct"/>
            <w:vMerge w:val="continue"/>
            <w:vAlign w:val="center"/>
          </w:tcPr>
          <w:p w14:paraId="22B3A714">
            <w:pPr>
              <w:widowControl/>
              <w:spacing w:line="360" w:lineRule="auto"/>
              <w:jc w:val="left"/>
              <w:rPr>
                <w:rFonts w:ascii="Times New Roman" w:hAnsi="Times New Roman" w:cs="Times New Roman"/>
                <w:color w:val="000000"/>
                <w:kern w:val="0"/>
                <w:sz w:val="24"/>
                <w:szCs w:val="24"/>
              </w:rPr>
            </w:pPr>
          </w:p>
        </w:tc>
      </w:tr>
      <w:tr w14:paraId="3CBB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267" w:type="pct"/>
            <w:vMerge w:val="continue"/>
            <w:vAlign w:val="center"/>
          </w:tcPr>
          <w:p w14:paraId="23FBA6B2">
            <w:pPr>
              <w:widowControl/>
              <w:snapToGrid w:val="0"/>
              <w:jc w:val="center"/>
              <w:rPr>
                <w:rFonts w:ascii="Times New Roman" w:hAnsi="Times New Roman" w:cs="Times New Roman"/>
                <w:kern w:val="0"/>
                <w:sz w:val="24"/>
                <w:szCs w:val="24"/>
              </w:rPr>
            </w:pPr>
          </w:p>
        </w:tc>
        <w:tc>
          <w:tcPr>
            <w:tcW w:w="521" w:type="pct"/>
            <w:vMerge w:val="continue"/>
            <w:vAlign w:val="center"/>
          </w:tcPr>
          <w:p w14:paraId="297ACF94">
            <w:pPr>
              <w:widowControl/>
              <w:snapToGrid w:val="0"/>
              <w:jc w:val="center"/>
              <w:rPr>
                <w:rFonts w:ascii="Times New Roman" w:hAnsi="Times New Roman" w:cs="Times New Roman"/>
                <w:kern w:val="0"/>
                <w:sz w:val="24"/>
                <w:szCs w:val="24"/>
              </w:rPr>
            </w:pPr>
          </w:p>
        </w:tc>
        <w:tc>
          <w:tcPr>
            <w:tcW w:w="311" w:type="pct"/>
            <w:vMerge w:val="continue"/>
            <w:vAlign w:val="center"/>
          </w:tcPr>
          <w:p w14:paraId="5EB27C26">
            <w:pPr>
              <w:widowControl/>
              <w:snapToGrid w:val="0"/>
              <w:jc w:val="center"/>
              <w:rPr>
                <w:rFonts w:ascii="Times New Roman" w:hAnsi="Times New Roman" w:cs="Times New Roman"/>
                <w:kern w:val="0"/>
                <w:sz w:val="24"/>
                <w:szCs w:val="24"/>
              </w:rPr>
            </w:pPr>
          </w:p>
        </w:tc>
        <w:tc>
          <w:tcPr>
            <w:tcW w:w="2199" w:type="pct"/>
            <w:vAlign w:val="center"/>
          </w:tcPr>
          <w:p w14:paraId="7C005A18">
            <w:pPr>
              <w:widowControl/>
              <w:spacing w:line="360" w:lineRule="auto"/>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发动机功率（kw）：</w:t>
            </w:r>
            <w:r>
              <w:rPr>
                <w:rFonts w:hint="eastAsia" w:ascii="宋体" w:hAnsi="宋体" w:eastAsia="宋体" w:cs="宋体"/>
                <w:kern w:val="0"/>
                <w:sz w:val="24"/>
                <w:szCs w:val="24"/>
              </w:rPr>
              <w:t>≥100</w:t>
            </w:r>
          </w:p>
        </w:tc>
        <w:tc>
          <w:tcPr>
            <w:tcW w:w="1700" w:type="pct"/>
            <w:vMerge w:val="continue"/>
            <w:vAlign w:val="center"/>
          </w:tcPr>
          <w:p w14:paraId="70774626">
            <w:pPr>
              <w:widowControl/>
              <w:spacing w:line="360" w:lineRule="auto"/>
              <w:jc w:val="left"/>
              <w:rPr>
                <w:rFonts w:ascii="Times New Roman" w:hAnsi="Times New Roman" w:cs="Times New Roman"/>
                <w:color w:val="000000"/>
                <w:kern w:val="0"/>
                <w:sz w:val="24"/>
                <w:szCs w:val="24"/>
              </w:rPr>
            </w:pPr>
          </w:p>
        </w:tc>
      </w:tr>
      <w:tr w14:paraId="3FCD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6830C597">
            <w:pPr>
              <w:widowControl/>
              <w:snapToGrid w:val="0"/>
              <w:jc w:val="center"/>
              <w:rPr>
                <w:rFonts w:ascii="Times New Roman" w:hAnsi="Times New Roman" w:cs="Times New Roman"/>
                <w:kern w:val="0"/>
                <w:sz w:val="24"/>
                <w:szCs w:val="24"/>
              </w:rPr>
            </w:pPr>
          </w:p>
        </w:tc>
        <w:tc>
          <w:tcPr>
            <w:tcW w:w="521" w:type="pct"/>
            <w:vMerge w:val="continue"/>
            <w:vAlign w:val="center"/>
          </w:tcPr>
          <w:p w14:paraId="67DAC641">
            <w:pPr>
              <w:widowControl/>
              <w:snapToGrid w:val="0"/>
              <w:jc w:val="center"/>
              <w:rPr>
                <w:rFonts w:ascii="Times New Roman" w:hAnsi="Times New Roman" w:cs="Times New Roman"/>
                <w:kern w:val="0"/>
                <w:sz w:val="24"/>
                <w:szCs w:val="24"/>
              </w:rPr>
            </w:pPr>
          </w:p>
        </w:tc>
        <w:tc>
          <w:tcPr>
            <w:tcW w:w="311" w:type="pct"/>
            <w:vMerge w:val="continue"/>
            <w:vAlign w:val="center"/>
          </w:tcPr>
          <w:p w14:paraId="1B4968E3">
            <w:pPr>
              <w:widowControl/>
              <w:snapToGrid w:val="0"/>
              <w:jc w:val="center"/>
              <w:rPr>
                <w:rFonts w:ascii="Times New Roman" w:hAnsi="Times New Roman" w:cs="Times New Roman"/>
                <w:kern w:val="0"/>
                <w:sz w:val="24"/>
                <w:szCs w:val="24"/>
              </w:rPr>
            </w:pPr>
          </w:p>
        </w:tc>
        <w:tc>
          <w:tcPr>
            <w:tcW w:w="2199" w:type="pct"/>
            <w:vAlign w:val="center"/>
          </w:tcPr>
          <w:p w14:paraId="530C5D9F">
            <w:pPr>
              <w:widowControl/>
              <w:spacing w:line="360" w:lineRule="auto"/>
              <w:jc w:val="left"/>
              <w:rPr>
                <w:rFonts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rPr>
              <w:t>发动机扭矩（N.m）：</w:t>
            </w:r>
            <w:r>
              <w:rPr>
                <w:rFonts w:hint="eastAsia" w:ascii="宋体" w:hAnsi="宋体" w:eastAsia="宋体" w:cs="宋体"/>
                <w:kern w:val="0"/>
                <w:sz w:val="24"/>
                <w:szCs w:val="24"/>
              </w:rPr>
              <w:t>≥200</w:t>
            </w:r>
          </w:p>
        </w:tc>
        <w:tc>
          <w:tcPr>
            <w:tcW w:w="1700" w:type="pct"/>
            <w:vMerge w:val="continue"/>
            <w:vAlign w:val="center"/>
          </w:tcPr>
          <w:p w14:paraId="344B3631">
            <w:pPr>
              <w:widowControl/>
              <w:spacing w:line="360" w:lineRule="auto"/>
              <w:jc w:val="left"/>
              <w:rPr>
                <w:rFonts w:hint="eastAsia" w:ascii="Times New Roman" w:hAnsi="Times New Roman" w:cs="Times New Roman"/>
                <w:color w:val="000000"/>
                <w:kern w:val="0"/>
                <w:sz w:val="24"/>
                <w:szCs w:val="24"/>
              </w:rPr>
            </w:pPr>
          </w:p>
        </w:tc>
      </w:tr>
      <w:tr w14:paraId="03F9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267" w:type="pct"/>
            <w:vMerge w:val="continue"/>
            <w:vAlign w:val="center"/>
          </w:tcPr>
          <w:p w14:paraId="0A727DAB">
            <w:pPr>
              <w:widowControl/>
              <w:snapToGrid w:val="0"/>
              <w:jc w:val="center"/>
              <w:rPr>
                <w:rFonts w:ascii="Times New Roman" w:hAnsi="Times New Roman" w:cs="Times New Roman"/>
                <w:kern w:val="0"/>
                <w:sz w:val="24"/>
                <w:szCs w:val="24"/>
              </w:rPr>
            </w:pPr>
          </w:p>
        </w:tc>
        <w:tc>
          <w:tcPr>
            <w:tcW w:w="521" w:type="pct"/>
            <w:vMerge w:val="continue"/>
            <w:vAlign w:val="center"/>
          </w:tcPr>
          <w:p w14:paraId="2012EC5E">
            <w:pPr>
              <w:widowControl/>
              <w:snapToGrid w:val="0"/>
              <w:jc w:val="center"/>
              <w:rPr>
                <w:rFonts w:ascii="Times New Roman" w:hAnsi="Times New Roman" w:cs="Times New Roman"/>
                <w:kern w:val="0"/>
                <w:sz w:val="24"/>
                <w:szCs w:val="24"/>
              </w:rPr>
            </w:pPr>
          </w:p>
        </w:tc>
        <w:tc>
          <w:tcPr>
            <w:tcW w:w="311" w:type="pct"/>
            <w:vMerge w:val="continue"/>
            <w:vAlign w:val="center"/>
          </w:tcPr>
          <w:p w14:paraId="4AF0B611">
            <w:pPr>
              <w:widowControl/>
              <w:snapToGrid w:val="0"/>
              <w:jc w:val="center"/>
              <w:rPr>
                <w:rFonts w:ascii="Times New Roman" w:hAnsi="Times New Roman" w:cs="Times New Roman"/>
                <w:kern w:val="0"/>
                <w:sz w:val="24"/>
                <w:szCs w:val="24"/>
              </w:rPr>
            </w:pPr>
          </w:p>
        </w:tc>
        <w:tc>
          <w:tcPr>
            <w:tcW w:w="2199" w:type="pct"/>
            <w:vAlign w:val="center"/>
          </w:tcPr>
          <w:p w14:paraId="5B998132">
            <w:pPr>
              <w:widowControl/>
              <w:spacing w:line="360" w:lineRule="auto"/>
              <w:jc w:val="left"/>
              <w:rPr>
                <w:rFonts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rPr>
              <w:t>发动机马力(Ps)：</w:t>
            </w:r>
            <w:r>
              <w:rPr>
                <w:rFonts w:hint="eastAsia" w:ascii="宋体" w:hAnsi="宋体" w:eastAsia="宋体" w:cs="宋体"/>
                <w:kern w:val="0"/>
                <w:sz w:val="24"/>
                <w:szCs w:val="24"/>
              </w:rPr>
              <w:t>≥140</w:t>
            </w:r>
          </w:p>
        </w:tc>
        <w:tc>
          <w:tcPr>
            <w:tcW w:w="1700" w:type="pct"/>
            <w:vMerge w:val="continue"/>
            <w:vAlign w:val="center"/>
          </w:tcPr>
          <w:p w14:paraId="66B150CF">
            <w:pPr>
              <w:widowControl/>
              <w:spacing w:line="360" w:lineRule="auto"/>
              <w:jc w:val="left"/>
              <w:rPr>
                <w:rFonts w:hint="eastAsia" w:ascii="Times New Roman" w:hAnsi="Times New Roman" w:cs="Times New Roman"/>
                <w:color w:val="000000"/>
                <w:kern w:val="0"/>
                <w:sz w:val="24"/>
                <w:szCs w:val="24"/>
              </w:rPr>
            </w:pPr>
          </w:p>
        </w:tc>
      </w:tr>
      <w:tr w14:paraId="38A2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3C2E1179">
            <w:pPr>
              <w:widowControl/>
              <w:snapToGrid w:val="0"/>
              <w:jc w:val="center"/>
              <w:rPr>
                <w:rFonts w:ascii="Times New Roman" w:hAnsi="Times New Roman" w:cs="Times New Roman"/>
                <w:kern w:val="0"/>
                <w:sz w:val="24"/>
                <w:szCs w:val="24"/>
              </w:rPr>
            </w:pPr>
          </w:p>
        </w:tc>
        <w:tc>
          <w:tcPr>
            <w:tcW w:w="521" w:type="pct"/>
            <w:vMerge w:val="continue"/>
            <w:vAlign w:val="center"/>
          </w:tcPr>
          <w:p w14:paraId="143550DA">
            <w:pPr>
              <w:widowControl/>
              <w:snapToGrid w:val="0"/>
              <w:jc w:val="center"/>
              <w:rPr>
                <w:rFonts w:ascii="Times New Roman" w:hAnsi="Times New Roman" w:cs="Times New Roman"/>
                <w:kern w:val="0"/>
                <w:sz w:val="24"/>
                <w:szCs w:val="24"/>
              </w:rPr>
            </w:pPr>
          </w:p>
        </w:tc>
        <w:tc>
          <w:tcPr>
            <w:tcW w:w="311" w:type="pct"/>
            <w:vMerge w:val="continue"/>
            <w:vAlign w:val="center"/>
          </w:tcPr>
          <w:p w14:paraId="09EA107D">
            <w:pPr>
              <w:widowControl/>
              <w:snapToGrid w:val="0"/>
              <w:jc w:val="center"/>
              <w:rPr>
                <w:rFonts w:ascii="Times New Roman" w:hAnsi="Times New Roman" w:cs="Times New Roman"/>
                <w:kern w:val="0"/>
                <w:sz w:val="24"/>
                <w:szCs w:val="24"/>
              </w:rPr>
            </w:pPr>
          </w:p>
        </w:tc>
        <w:tc>
          <w:tcPr>
            <w:tcW w:w="2199" w:type="pct"/>
            <w:vAlign w:val="center"/>
          </w:tcPr>
          <w:p w14:paraId="5DFAEFFA">
            <w:pPr>
              <w:widowControl/>
              <w:spacing w:line="360" w:lineRule="auto"/>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车辆颜色：</w:t>
            </w:r>
            <w:r>
              <w:rPr>
                <w:rFonts w:hint="eastAsia" w:ascii="Times New Roman" w:hAnsi="Times New Roman" w:cs="Times New Roman"/>
                <w:color w:val="000000"/>
                <w:kern w:val="0"/>
                <w:sz w:val="24"/>
                <w:szCs w:val="24"/>
                <w:highlight w:val="yellow"/>
              </w:rPr>
              <w:t>白色</w:t>
            </w:r>
          </w:p>
        </w:tc>
        <w:tc>
          <w:tcPr>
            <w:tcW w:w="1700" w:type="pct"/>
            <w:vMerge w:val="continue"/>
            <w:vAlign w:val="center"/>
          </w:tcPr>
          <w:p w14:paraId="680B6811">
            <w:pPr>
              <w:widowControl/>
              <w:spacing w:line="360" w:lineRule="auto"/>
              <w:jc w:val="left"/>
              <w:rPr>
                <w:rFonts w:ascii="Times New Roman" w:hAnsi="Times New Roman" w:cs="Times New Roman"/>
                <w:color w:val="000000"/>
                <w:kern w:val="0"/>
                <w:sz w:val="24"/>
                <w:szCs w:val="24"/>
              </w:rPr>
            </w:pPr>
          </w:p>
        </w:tc>
      </w:tr>
      <w:tr w14:paraId="3BF7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142B69EC">
            <w:pPr>
              <w:widowControl/>
              <w:snapToGrid w:val="0"/>
              <w:jc w:val="center"/>
              <w:rPr>
                <w:rFonts w:ascii="Times New Roman" w:hAnsi="Times New Roman" w:cs="Times New Roman"/>
                <w:kern w:val="0"/>
                <w:sz w:val="24"/>
                <w:szCs w:val="24"/>
              </w:rPr>
            </w:pPr>
          </w:p>
        </w:tc>
        <w:tc>
          <w:tcPr>
            <w:tcW w:w="521" w:type="pct"/>
            <w:vMerge w:val="continue"/>
            <w:vAlign w:val="center"/>
          </w:tcPr>
          <w:p w14:paraId="0D98280A">
            <w:pPr>
              <w:widowControl/>
              <w:snapToGrid w:val="0"/>
              <w:jc w:val="center"/>
              <w:rPr>
                <w:rFonts w:ascii="Times New Roman" w:hAnsi="Times New Roman" w:cs="Times New Roman"/>
                <w:kern w:val="0"/>
                <w:sz w:val="24"/>
                <w:szCs w:val="24"/>
              </w:rPr>
            </w:pPr>
          </w:p>
        </w:tc>
        <w:tc>
          <w:tcPr>
            <w:tcW w:w="311" w:type="pct"/>
            <w:vMerge w:val="continue"/>
            <w:vAlign w:val="center"/>
          </w:tcPr>
          <w:p w14:paraId="5B125440">
            <w:pPr>
              <w:widowControl/>
              <w:snapToGrid w:val="0"/>
              <w:jc w:val="center"/>
              <w:rPr>
                <w:rFonts w:ascii="Times New Roman" w:hAnsi="Times New Roman" w:cs="Times New Roman"/>
                <w:kern w:val="0"/>
                <w:sz w:val="24"/>
                <w:szCs w:val="24"/>
              </w:rPr>
            </w:pPr>
          </w:p>
        </w:tc>
        <w:tc>
          <w:tcPr>
            <w:tcW w:w="2199" w:type="pct"/>
            <w:vAlign w:val="center"/>
          </w:tcPr>
          <w:p w14:paraId="20AFAA76">
            <w:pPr>
              <w:widowControl/>
              <w:spacing w:line="360" w:lineRule="auto"/>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驱动形式：前置前驱</w:t>
            </w:r>
          </w:p>
        </w:tc>
        <w:tc>
          <w:tcPr>
            <w:tcW w:w="1700" w:type="pct"/>
            <w:vMerge w:val="continue"/>
            <w:vAlign w:val="center"/>
          </w:tcPr>
          <w:p w14:paraId="3876C70C">
            <w:pPr>
              <w:widowControl/>
              <w:spacing w:line="360" w:lineRule="auto"/>
              <w:jc w:val="left"/>
              <w:rPr>
                <w:rFonts w:hint="eastAsia" w:ascii="Times New Roman" w:hAnsi="Times New Roman" w:cs="Times New Roman"/>
                <w:color w:val="000000"/>
                <w:kern w:val="0"/>
                <w:sz w:val="24"/>
                <w:szCs w:val="24"/>
              </w:rPr>
            </w:pPr>
          </w:p>
        </w:tc>
      </w:tr>
      <w:tr w14:paraId="52D2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267" w:type="pct"/>
            <w:vMerge w:val="continue"/>
            <w:vAlign w:val="center"/>
          </w:tcPr>
          <w:p w14:paraId="6D682A68">
            <w:pPr>
              <w:widowControl/>
              <w:snapToGrid w:val="0"/>
              <w:jc w:val="center"/>
              <w:rPr>
                <w:rFonts w:ascii="Times New Roman" w:hAnsi="Times New Roman" w:cs="Times New Roman"/>
                <w:kern w:val="0"/>
                <w:sz w:val="24"/>
                <w:szCs w:val="24"/>
              </w:rPr>
            </w:pPr>
          </w:p>
        </w:tc>
        <w:tc>
          <w:tcPr>
            <w:tcW w:w="521" w:type="pct"/>
            <w:vMerge w:val="continue"/>
            <w:vAlign w:val="center"/>
          </w:tcPr>
          <w:p w14:paraId="0C00D1C2">
            <w:pPr>
              <w:widowControl/>
              <w:snapToGrid w:val="0"/>
              <w:jc w:val="center"/>
              <w:rPr>
                <w:rFonts w:ascii="Times New Roman" w:hAnsi="Times New Roman" w:cs="Times New Roman"/>
                <w:kern w:val="0"/>
                <w:sz w:val="24"/>
                <w:szCs w:val="24"/>
              </w:rPr>
            </w:pPr>
          </w:p>
        </w:tc>
        <w:tc>
          <w:tcPr>
            <w:tcW w:w="311" w:type="pct"/>
            <w:vMerge w:val="continue"/>
            <w:vAlign w:val="center"/>
          </w:tcPr>
          <w:p w14:paraId="0DC51130">
            <w:pPr>
              <w:widowControl/>
              <w:snapToGrid w:val="0"/>
              <w:jc w:val="center"/>
              <w:rPr>
                <w:rFonts w:ascii="Times New Roman" w:hAnsi="Times New Roman" w:cs="Times New Roman"/>
                <w:kern w:val="0"/>
                <w:sz w:val="24"/>
                <w:szCs w:val="24"/>
              </w:rPr>
            </w:pPr>
          </w:p>
        </w:tc>
        <w:tc>
          <w:tcPr>
            <w:tcW w:w="2199" w:type="pct"/>
            <w:vAlign w:val="center"/>
          </w:tcPr>
          <w:p w14:paraId="74E3E8E8">
            <w:pPr>
              <w:widowControl/>
              <w:spacing w:line="360" w:lineRule="auto"/>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制动类型：前盘后盘</w:t>
            </w:r>
          </w:p>
        </w:tc>
        <w:tc>
          <w:tcPr>
            <w:tcW w:w="1700" w:type="pct"/>
            <w:vMerge w:val="continue"/>
            <w:vAlign w:val="center"/>
          </w:tcPr>
          <w:p w14:paraId="3E570591">
            <w:pPr>
              <w:widowControl/>
              <w:spacing w:line="360" w:lineRule="auto"/>
              <w:jc w:val="left"/>
              <w:rPr>
                <w:rFonts w:hint="eastAsia" w:ascii="Times New Roman" w:hAnsi="Times New Roman" w:cs="Times New Roman"/>
                <w:color w:val="000000"/>
                <w:kern w:val="0"/>
                <w:sz w:val="24"/>
                <w:szCs w:val="24"/>
              </w:rPr>
            </w:pPr>
          </w:p>
        </w:tc>
      </w:tr>
      <w:tr w14:paraId="2A23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267" w:type="pct"/>
            <w:vMerge w:val="continue"/>
            <w:vAlign w:val="center"/>
          </w:tcPr>
          <w:p w14:paraId="3FCD7965">
            <w:pPr>
              <w:widowControl/>
              <w:snapToGrid w:val="0"/>
              <w:jc w:val="center"/>
              <w:rPr>
                <w:rFonts w:ascii="Times New Roman" w:hAnsi="Times New Roman" w:cs="Times New Roman"/>
                <w:kern w:val="0"/>
                <w:sz w:val="24"/>
                <w:szCs w:val="24"/>
              </w:rPr>
            </w:pPr>
          </w:p>
        </w:tc>
        <w:tc>
          <w:tcPr>
            <w:tcW w:w="521" w:type="pct"/>
            <w:vMerge w:val="continue"/>
            <w:vAlign w:val="center"/>
          </w:tcPr>
          <w:p w14:paraId="7664231C">
            <w:pPr>
              <w:widowControl/>
              <w:snapToGrid w:val="0"/>
              <w:jc w:val="center"/>
              <w:rPr>
                <w:rFonts w:ascii="Times New Roman" w:hAnsi="Times New Roman" w:cs="Times New Roman"/>
                <w:kern w:val="0"/>
                <w:sz w:val="24"/>
                <w:szCs w:val="24"/>
              </w:rPr>
            </w:pPr>
          </w:p>
        </w:tc>
        <w:tc>
          <w:tcPr>
            <w:tcW w:w="311" w:type="pct"/>
            <w:vMerge w:val="continue"/>
            <w:vAlign w:val="center"/>
          </w:tcPr>
          <w:p w14:paraId="31CA70C6">
            <w:pPr>
              <w:widowControl/>
              <w:snapToGrid w:val="0"/>
              <w:jc w:val="center"/>
              <w:rPr>
                <w:rFonts w:ascii="Times New Roman" w:hAnsi="Times New Roman" w:cs="Times New Roman"/>
                <w:kern w:val="0"/>
                <w:sz w:val="24"/>
                <w:szCs w:val="24"/>
              </w:rPr>
            </w:pPr>
          </w:p>
        </w:tc>
        <w:tc>
          <w:tcPr>
            <w:tcW w:w="2199" w:type="pct"/>
            <w:vAlign w:val="center"/>
          </w:tcPr>
          <w:p w14:paraId="09B2EC2A">
            <w:pPr>
              <w:widowControl/>
              <w:spacing w:line="360" w:lineRule="auto"/>
              <w:jc w:val="left"/>
              <w:rPr>
                <w:rFonts w:hint="eastAsia" w:ascii="Times New Roman" w:hAnsi="Times New Roman" w:cs="Times New Roman" w:eastAsiaTheme="minorEastAsia"/>
                <w:color w:val="000000"/>
                <w:kern w:val="0"/>
                <w:sz w:val="24"/>
                <w:szCs w:val="24"/>
                <w:lang w:val="en-US" w:eastAsia="zh-CN"/>
              </w:rPr>
            </w:pPr>
            <w:r>
              <w:rPr>
                <w:rFonts w:ascii="Times New Roman" w:hAnsi="Times New Roman" w:cs="Times New Roman"/>
                <w:color w:val="000000"/>
                <w:kern w:val="0"/>
                <w:sz w:val="24"/>
                <w:szCs w:val="24"/>
              </w:rPr>
              <w:t>其他配置</w:t>
            </w:r>
            <w:r>
              <w:rPr>
                <w:rFonts w:hint="eastAsia" w:ascii="Times New Roman" w:hAnsi="Times New Roman" w:cs="Times New Roman"/>
                <w:color w:val="000000"/>
                <w:kern w:val="0"/>
                <w:sz w:val="24"/>
                <w:szCs w:val="24"/>
              </w:rPr>
              <w:t>：</w:t>
            </w:r>
            <w:r>
              <w:rPr>
                <w:rFonts w:hint="eastAsia" w:ascii="宋体" w:hAnsi="宋体" w:eastAsia="宋体" w:cs="宋体"/>
                <w:kern w:val="0"/>
                <w:sz w:val="24"/>
                <w:szCs w:val="24"/>
              </w:rPr>
              <w:t>主驾驶安全气囊，ABS/EBD，胎压监测，倒车雷达，铝合金轮圈，遥控钥匙，车内中控锁，前后电动车窗</w:t>
            </w:r>
            <w:r>
              <w:rPr>
                <w:rFonts w:hint="eastAsia" w:ascii="宋体" w:hAnsi="宋体" w:eastAsia="宋体" w:cs="宋体"/>
                <w:kern w:val="0"/>
                <w:sz w:val="24"/>
                <w:szCs w:val="24"/>
                <w:lang w:eastAsia="zh-CN"/>
              </w:rPr>
              <w:t>，</w:t>
            </w:r>
            <w:r>
              <w:rPr>
                <w:rFonts w:hint="eastAsia" w:ascii="Times New Roman" w:hAnsi="Times New Roman" w:cs="Times New Roman"/>
                <w:color w:val="000000"/>
                <w:kern w:val="0"/>
                <w:sz w:val="24"/>
                <w:szCs w:val="24"/>
                <w:highlight w:val="yellow"/>
                <w:lang w:val="en-US" w:eastAsia="zh-CN"/>
              </w:rPr>
              <w:t>喷涂</w:t>
            </w:r>
            <w:r>
              <w:rPr>
                <w:rFonts w:hint="eastAsia" w:ascii="Times New Roman" w:hAnsi="Times New Roman" w:cs="Times New Roman"/>
                <w:color w:val="000000"/>
                <w:kern w:val="0"/>
                <w:sz w:val="24"/>
                <w:szCs w:val="24"/>
              </w:rPr>
              <w:t>04式警用外观（公安）字样</w:t>
            </w:r>
            <w:r>
              <w:rPr>
                <w:rFonts w:hint="eastAsia" w:ascii="Times New Roman" w:hAnsi="Times New Roman" w:cs="Times New Roman"/>
                <w:color w:val="000000"/>
                <w:kern w:val="0"/>
                <w:sz w:val="24"/>
                <w:szCs w:val="24"/>
                <w:lang w:eastAsia="zh-CN"/>
              </w:rPr>
              <w:t>，</w:t>
            </w:r>
            <w:r>
              <w:rPr>
                <w:rFonts w:hint="eastAsia" w:ascii="Times New Roman" w:hAnsi="Times New Roman" w:cs="Times New Roman"/>
                <w:color w:val="000000"/>
                <w:kern w:val="0"/>
                <w:sz w:val="24"/>
                <w:szCs w:val="24"/>
              </w:rPr>
              <w:t>车内不锈钢囚笼，地环3个，囚笼内3人专用座箱</w:t>
            </w:r>
            <w:r>
              <w:rPr>
                <w:rFonts w:hint="eastAsia" w:ascii="Times New Roman" w:hAnsi="Times New Roman" w:cs="Times New Roman"/>
                <w:color w:val="000000"/>
                <w:kern w:val="0"/>
                <w:sz w:val="24"/>
                <w:szCs w:val="24"/>
                <w:lang w:eastAsia="zh-CN"/>
              </w:rPr>
              <w:t>（</w:t>
            </w:r>
            <w:r>
              <w:rPr>
                <w:rFonts w:hint="eastAsia" w:ascii="Times New Roman" w:hAnsi="Times New Roman" w:cs="Times New Roman"/>
                <w:color w:val="000000"/>
                <w:kern w:val="0"/>
                <w:sz w:val="24"/>
                <w:szCs w:val="24"/>
                <w:lang w:val="en-US" w:eastAsia="zh-CN"/>
              </w:rPr>
              <w:t>2+1人位配置）</w:t>
            </w:r>
            <w:r>
              <w:rPr>
                <w:rFonts w:hint="eastAsia" w:ascii="Times New Roman" w:hAnsi="Times New Roman" w:cs="Times New Roman"/>
                <w:color w:val="000000"/>
                <w:kern w:val="0"/>
                <w:sz w:val="24"/>
                <w:szCs w:val="24"/>
              </w:rPr>
              <w:t>，</w:t>
            </w:r>
            <w:r>
              <w:rPr>
                <w:rFonts w:hint="eastAsia" w:ascii="Times New Roman" w:hAnsi="Times New Roman" w:cs="Times New Roman"/>
                <w:color w:val="000000"/>
                <w:kern w:val="0"/>
                <w:sz w:val="24"/>
                <w:szCs w:val="24"/>
                <w:highlight w:val="yellow"/>
                <w:lang w:val="en-US" w:eastAsia="zh-CN"/>
              </w:rPr>
              <w:t>内防爆网、尾窗内防爆网</w:t>
            </w:r>
            <w:r>
              <w:rPr>
                <w:rFonts w:hint="eastAsia" w:ascii="Times New Roman" w:hAnsi="Times New Roman" w:cs="Times New Roman"/>
                <w:color w:val="000000"/>
                <w:kern w:val="0"/>
                <w:sz w:val="24"/>
                <w:szCs w:val="24"/>
                <w:lang w:val="en-US" w:eastAsia="zh-CN"/>
              </w:rPr>
              <w:t>，PVC防滑地毯、</w:t>
            </w:r>
            <w:r>
              <w:rPr>
                <w:rFonts w:hint="eastAsia" w:ascii="Times New Roman" w:hAnsi="Times New Roman" w:cs="Times New Roman"/>
                <w:color w:val="000000"/>
                <w:kern w:val="0"/>
                <w:sz w:val="24"/>
                <w:szCs w:val="24"/>
              </w:rPr>
              <w:t>隐私玻璃膜，</w:t>
            </w:r>
            <w:r>
              <w:rPr>
                <w:rFonts w:hint="eastAsia" w:ascii="Times New Roman" w:hAnsi="Times New Roman" w:cs="Times New Roman"/>
                <w:color w:val="000000"/>
                <w:kern w:val="0"/>
                <w:sz w:val="24"/>
                <w:szCs w:val="24"/>
                <w:highlight w:val="red"/>
                <w:lang w:val="en-US" w:eastAsia="zh-CN"/>
              </w:rPr>
              <w:t>长条</w:t>
            </w:r>
            <w:r>
              <w:rPr>
                <w:rFonts w:hint="eastAsia" w:ascii="Times New Roman" w:hAnsi="Times New Roman" w:cs="Times New Roman"/>
                <w:color w:val="000000"/>
                <w:kern w:val="0"/>
                <w:sz w:val="24"/>
                <w:szCs w:val="24"/>
                <w:highlight w:val="red"/>
              </w:rPr>
              <w:t>警灯</w:t>
            </w:r>
            <w:r>
              <w:rPr>
                <w:rFonts w:hint="eastAsia" w:ascii="Times New Roman" w:hAnsi="Times New Roman" w:cs="Times New Roman"/>
                <w:color w:val="000000"/>
                <w:kern w:val="0"/>
                <w:sz w:val="24"/>
                <w:szCs w:val="24"/>
                <w:highlight w:val="red"/>
                <w:lang w:val="en-US" w:eastAsia="zh-CN"/>
              </w:rPr>
              <w:t>及警报。</w:t>
            </w:r>
          </w:p>
        </w:tc>
        <w:tc>
          <w:tcPr>
            <w:tcW w:w="1700" w:type="pct"/>
            <w:vMerge w:val="continue"/>
            <w:vAlign w:val="center"/>
          </w:tcPr>
          <w:p w14:paraId="77DA9610">
            <w:pPr>
              <w:widowControl/>
              <w:spacing w:line="360" w:lineRule="auto"/>
              <w:jc w:val="left"/>
              <w:rPr>
                <w:rFonts w:ascii="Times New Roman" w:hAnsi="Times New Roman" w:cs="Times New Roman"/>
                <w:color w:val="000000"/>
                <w:kern w:val="0"/>
                <w:sz w:val="24"/>
                <w:szCs w:val="24"/>
              </w:rPr>
            </w:pPr>
          </w:p>
        </w:tc>
      </w:tr>
    </w:tbl>
    <w:p w14:paraId="71263794">
      <w:pPr>
        <w:widowControl/>
        <w:spacing w:line="360" w:lineRule="auto"/>
        <w:jc w:val="left"/>
        <w:rPr>
          <w:color w:val="000000"/>
          <w:sz w:val="24"/>
          <w:szCs w:val="24"/>
        </w:rPr>
      </w:pPr>
    </w:p>
    <w:p w14:paraId="5D91699C">
      <w:pPr>
        <w:pStyle w:val="3"/>
        <w:widowControl/>
        <w:spacing w:beforeAutospacing="0" w:afterAutospacing="0" w:line="360" w:lineRule="auto"/>
        <w:rPr>
          <w:rFonts w:hint="default"/>
          <w:color w:val="000000"/>
          <w:sz w:val="24"/>
          <w:szCs w:val="24"/>
        </w:rPr>
      </w:pPr>
      <w:r>
        <w:rPr>
          <w:color w:val="000000"/>
          <w:sz w:val="24"/>
          <w:szCs w:val="24"/>
        </w:rPr>
        <w:t>八、验收标准与流程</w:t>
      </w:r>
    </w:p>
    <w:p w14:paraId="358FD2DD">
      <w:pPr>
        <w:pStyle w:val="3"/>
        <w:widowControl/>
        <w:spacing w:beforeAutospacing="0" w:afterAutospacing="0" w:line="360" w:lineRule="auto"/>
        <w:ind w:firstLine="480" w:firstLineChars="200"/>
        <w:rPr>
          <w:rFonts w:hint="default" w:asciiTheme="minorEastAsia" w:hAnsiTheme="minorEastAsia"/>
          <w:b w:val="0"/>
          <w:bCs w:val="0"/>
          <w:sz w:val="24"/>
          <w:szCs w:val="24"/>
        </w:rPr>
      </w:pPr>
      <w:r>
        <w:rPr>
          <w:rFonts w:asciiTheme="minorEastAsia" w:hAnsiTheme="minorEastAsia"/>
          <w:b w:val="0"/>
          <w:bCs w:val="0"/>
          <w:sz w:val="24"/>
          <w:szCs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6662D194">
      <w:pPr>
        <w:pStyle w:val="3"/>
        <w:widowControl/>
        <w:spacing w:beforeAutospacing="0" w:afterAutospacing="0" w:line="360" w:lineRule="auto"/>
        <w:rPr>
          <w:rFonts w:hint="default"/>
          <w:color w:val="000000"/>
          <w:sz w:val="24"/>
          <w:szCs w:val="24"/>
        </w:rPr>
      </w:pPr>
      <w:r>
        <w:rPr>
          <w:color w:val="000000"/>
          <w:sz w:val="24"/>
          <w:szCs w:val="24"/>
        </w:rPr>
        <w:t>九、其他要求</w:t>
      </w:r>
    </w:p>
    <w:p w14:paraId="627D2F9E">
      <w:pPr>
        <w:widowControl/>
        <w:spacing w:line="360" w:lineRule="auto"/>
        <w:ind w:firstLine="360" w:firstLineChars="150"/>
        <w:jc w:val="left"/>
        <w:rPr>
          <w:rFonts w:hint="default"/>
          <w:color w:val="000000"/>
          <w:sz w:val="24"/>
          <w:szCs w:val="24"/>
          <w:lang w:val="en-US" w:eastAsia="zh-CN"/>
        </w:rPr>
      </w:pPr>
      <w:r>
        <w:rPr>
          <w:color w:val="000000"/>
          <w:sz w:val="24"/>
          <w:szCs w:val="24"/>
        </w:rPr>
        <w:t>★</w:t>
      </w:r>
      <w:r>
        <w:rPr>
          <w:rFonts w:hint="eastAsia"/>
          <w:color w:val="000000"/>
          <w:sz w:val="24"/>
          <w:szCs w:val="24"/>
          <w:lang w:val="en-US" w:eastAsia="zh-CN"/>
        </w:rPr>
        <w:t>1、中标供应商需拆除车辆本身自带定位模块。</w:t>
      </w:r>
    </w:p>
    <w:p w14:paraId="78A2415D">
      <w:pPr>
        <w:widowControl/>
        <w:spacing w:line="360" w:lineRule="auto"/>
        <w:ind w:firstLine="360" w:firstLineChars="150"/>
        <w:jc w:val="left"/>
        <w:rPr>
          <w:color w:val="000000"/>
          <w:sz w:val="24"/>
          <w:szCs w:val="24"/>
        </w:rPr>
      </w:pPr>
    </w:p>
    <w:p w14:paraId="2A966AC9">
      <w:pPr>
        <w:widowControl/>
        <w:spacing w:line="360" w:lineRule="auto"/>
        <w:ind w:firstLine="360" w:firstLineChars="150"/>
        <w:jc w:val="left"/>
        <w:rPr>
          <w:color w:val="000000"/>
          <w:sz w:val="24"/>
          <w:szCs w:val="24"/>
        </w:rPr>
      </w:pPr>
      <w:r>
        <w:rPr>
          <w:color w:val="000000"/>
          <w:sz w:val="24"/>
          <w:szCs w:val="24"/>
        </w:rPr>
        <w:t>投标文件所有技术响应须逐条对应本需求书，技术参数负偏离项需单独列明，★关键条款不允许负偏离。</w:t>
      </w:r>
    </w:p>
    <w:p w14:paraId="3BEB947B">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mYzc1NzQ3ZGY1MzBjMjNjOGE5MGVjYjZkYmU2NDcifQ=="/>
  </w:docVars>
  <w:rsids>
    <w:rsidRoot w:val="00454190"/>
    <w:rsid w:val="00023882"/>
    <w:rsid w:val="000255F7"/>
    <w:rsid w:val="00050E1A"/>
    <w:rsid w:val="00055D49"/>
    <w:rsid w:val="00064C61"/>
    <w:rsid w:val="000A00E6"/>
    <w:rsid w:val="000E2975"/>
    <w:rsid w:val="0013175D"/>
    <w:rsid w:val="00152FEE"/>
    <w:rsid w:val="001727CF"/>
    <w:rsid w:val="001B3A68"/>
    <w:rsid w:val="001C4E16"/>
    <w:rsid w:val="001D2DE9"/>
    <w:rsid w:val="001F20DD"/>
    <w:rsid w:val="002247B5"/>
    <w:rsid w:val="00281E7B"/>
    <w:rsid w:val="002C6CD7"/>
    <w:rsid w:val="002F56D5"/>
    <w:rsid w:val="00321C9F"/>
    <w:rsid w:val="003314A0"/>
    <w:rsid w:val="0035432B"/>
    <w:rsid w:val="00361245"/>
    <w:rsid w:val="00364FDC"/>
    <w:rsid w:val="00376A12"/>
    <w:rsid w:val="0039721D"/>
    <w:rsid w:val="003B1889"/>
    <w:rsid w:val="003C76F0"/>
    <w:rsid w:val="00416FA1"/>
    <w:rsid w:val="00417816"/>
    <w:rsid w:val="0042139A"/>
    <w:rsid w:val="00441356"/>
    <w:rsid w:val="0045344A"/>
    <w:rsid w:val="00454190"/>
    <w:rsid w:val="00497FBB"/>
    <w:rsid w:val="004E1E72"/>
    <w:rsid w:val="004E2C94"/>
    <w:rsid w:val="005064C0"/>
    <w:rsid w:val="005C6E6E"/>
    <w:rsid w:val="00612EBB"/>
    <w:rsid w:val="006202F3"/>
    <w:rsid w:val="006276D9"/>
    <w:rsid w:val="006346AD"/>
    <w:rsid w:val="006472E4"/>
    <w:rsid w:val="00666DF3"/>
    <w:rsid w:val="006A1680"/>
    <w:rsid w:val="006D7E4E"/>
    <w:rsid w:val="0071453E"/>
    <w:rsid w:val="00753F17"/>
    <w:rsid w:val="007609EA"/>
    <w:rsid w:val="007747A7"/>
    <w:rsid w:val="007D53CE"/>
    <w:rsid w:val="007E6A8F"/>
    <w:rsid w:val="007E6FC0"/>
    <w:rsid w:val="00885229"/>
    <w:rsid w:val="008A6C8B"/>
    <w:rsid w:val="008B1D5E"/>
    <w:rsid w:val="008B466D"/>
    <w:rsid w:val="008C4CB6"/>
    <w:rsid w:val="009302BC"/>
    <w:rsid w:val="00946627"/>
    <w:rsid w:val="009C0FF4"/>
    <w:rsid w:val="009E4D5D"/>
    <w:rsid w:val="009F2176"/>
    <w:rsid w:val="00A128B3"/>
    <w:rsid w:val="00A50F77"/>
    <w:rsid w:val="00A70842"/>
    <w:rsid w:val="00A70F36"/>
    <w:rsid w:val="00A755A5"/>
    <w:rsid w:val="00A82DFF"/>
    <w:rsid w:val="00AD1BC9"/>
    <w:rsid w:val="00B1683B"/>
    <w:rsid w:val="00B41CA1"/>
    <w:rsid w:val="00B43D2D"/>
    <w:rsid w:val="00B7197D"/>
    <w:rsid w:val="00B77D8F"/>
    <w:rsid w:val="00C0258D"/>
    <w:rsid w:val="00C102A3"/>
    <w:rsid w:val="00C16EEC"/>
    <w:rsid w:val="00C61DE7"/>
    <w:rsid w:val="00CA7EA2"/>
    <w:rsid w:val="00D029AF"/>
    <w:rsid w:val="00D04B99"/>
    <w:rsid w:val="00D17024"/>
    <w:rsid w:val="00D47C30"/>
    <w:rsid w:val="00D51DCF"/>
    <w:rsid w:val="00D54E5F"/>
    <w:rsid w:val="00D81F21"/>
    <w:rsid w:val="00DA01D0"/>
    <w:rsid w:val="00DD604E"/>
    <w:rsid w:val="00DE3800"/>
    <w:rsid w:val="00DF73C8"/>
    <w:rsid w:val="00E14CB3"/>
    <w:rsid w:val="00E42CF1"/>
    <w:rsid w:val="00E45787"/>
    <w:rsid w:val="00EA64F7"/>
    <w:rsid w:val="00EB4A86"/>
    <w:rsid w:val="00EB6F99"/>
    <w:rsid w:val="00ED25CF"/>
    <w:rsid w:val="00EE29A3"/>
    <w:rsid w:val="00F449C4"/>
    <w:rsid w:val="00F75783"/>
    <w:rsid w:val="00F75883"/>
    <w:rsid w:val="00F85C0C"/>
    <w:rsid w:val="00F90346"/>
    <w:rsid w:val="00F9274C"/>
    <w:rsid w:val="00FD7B48"/>
    <w:rsid w:val="01AB5A6F"/>
    <w:rsid w:val="03F12801"/>
    <w:rsid w:val="0675735A"/>
    <w:rsid w:val="07CF155D"/>
    <w:rsid w:val="09655746"/>
    <w:rsid w:val="09A3621C"/>
    <w:rsid w:val="0A0859D4"/>
    <w:rsid w:val="0B8452F1"/>
    <w:rsid w:val="0CC2526F"/>
    <w:rsid w:val="0D1150F2"/>
    <w:rsid w:val="0DFD21D9"/>
    <w:rsid w:val="0E645D7A"/>
    <w:rsid w:val="0FB35FED"/>
    <w:rsid w:val="12F57D48"/>
    <w:rsid w:val="138D3A3C"/>
    <w:rsid w:val="178A1D29"/>
    <w:rsid w:val="19844379"/>
    <w:rsid w:val="1A426A38"/>
    <w:rsid w:val="1A840CB2"/>
    <w:rsid w:val="1B152F05"/>
    <w:rsid w:val="1DBD28C4"/>
    <w:rsid w:val="20015205"/>
    <w:rsid w:val="202312AE"/>
    <w:rsid w:val="22E20C6B"/>
    <w:rsid w:val="24DF4990"/>
    <w:rsid w:val="25162E4E"/>
    <w:rsid w:val="26A85D28"/>
    <w:rsid w:val="27766DE1"/>
    <w:rsid w:val="285614BE"/>
    <w:rsid w:val="2CD678CC"/>
    <w:rsid w:val="2EE43FBD"/>
    <w:rsid w:val="2FD22164"/>
    <w:rsid w:val="31EE40E9"/>
    <w:rsid w:val="32382656"/>
    <w:rsid w:val="36D24778"/>
    <w:rsid w:val="39006F02"/>
    <w:rsid w:val="3BC27B51"/>
    <w:rsid w:val="411E0AB9"/>
    <w:rsid w:val="43C628EB"/>
    <w:rsid w:val="44965602"/>
    <w:rsid w:val="48772BC2"/>
    <w:rsid w:val="491C6557"/>
    <w:rsid w:val="4DED20EF"/>
    <w:rsid w:val="4E17036B"/>
    <w:rsid w:val="52B01E02"/>
    <w:rsid w:val="53A37579"/>
    <w:rsid w:val="53DB6CAA"/>
    <w:rsid w:val="574472CC"/>
    <w:rsid w:val="574D198F"/>
    <w:rsid w:val="57A97E88"/>
    <w:rsid w:val="588673C8"/>
    <w:rsid w:val="58A82B25"/>
    <w:rsid w:val="5A012AF8"/>
    <w:rsid w:val="5ACF5763"/>
    <w:rsid w:val="5F797C86"/>
    <w:rsid w:val="6189201E"/>
    <w:rsid w:val="61CF4D52"/>
    <w:rsid w:val="620C0641"/>
    <w:rsid w:val="624601B3"/>
    <w:rsid w:val="62B55686"/>
    <w:rsid w:val="67C20A2A"/>
    <w:rsid w:val="69D1151B"/>
    <w:rsid w:val="6A424437"/>
    <w:rsid w:val="6C1429B2"/>
    <w:rsid w:val="6D0A52CF"/>
    <w:rsid w:val="6E3E7878"/>
    <w:rsid w:val="6F9549FA"/>
    <w:rsid w:val="71315CF6"/>
    <w:rsid w:val="756A5430"/>
    <w:rsid w:val="7C207132"/>
    <w:rsid w:val="7D923086"/>
    <w:rsid w:val="7FEB73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afterLines="50"/>
      <w:jc w:val="center"/>
    </w:pPr>
    <w:rPr>
      <w:rFonts w:ascii="宋体" w:hAnsi="宋体"/>
      <w:b/>
      <w:bCs/>
      <w:sz w:val="44"/>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1"/>
    <w:next w:val="1"/>
    <w:link w:val="13"/>
    <w:qFormat/>
    <w:uiPriority w:val="10"/>
    <w:pPr>
      <w:spacing w:before="240" w:after="60"/>
      <w:jc w:val="center"/>
      <w:outlineLvl w:val="0"/>
    </w:pPr>
    <w:rPr>
      <w:rFonts w:eastAsia="宋体" w:asciiTheme="majorHAnsi" w:hAnsiTheme="majorHAnsi" w:cstheme="majorBidi"/>
      <w:b/>
      <w:bCs/>
      <w:sz w:val="32"/>
      <w:szCs w:val="32"/>
    </w:rPr>
  </w:style>
  <w:style w:type="character" w:styleId="12">
    <w:name w:val="Strong"/>
    <w:basedOn w:val="11"/>
    <w:qFormat/>
    <w:uiPriority w:val="22"/>
    <w:rPr>
      <w:b/>
    </w:rPr>
  </w:style>
  <w:style w:type="character" w:customStyle="1" w:styleId="13">
    <w:name w:val="标题 Char"/>
    <w:basedOn w:val="11"/>
    <w:link w:val="9"/>
    <w:qFormat/>
    <w:uiPriority w:val="10"/>
    <w:rPr>
      <w:rFonts w:eastAsia="宋体" w:asciiTheme="majorHAnsi" w:hAnsiTheme="majorHAnsi" w:cstheme="majorBidi"/>
      <w:b/>
      <w:bCs/>
      <w:sz w:val="32"/>
      <w:szCs w:val="32"/>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1707</Words>
  <Characters>1800</Characters>
  <Lines>15</Lines>
  <Paragraphs>4</Paragraphs>
  <TotalTime>61</TotalTime>
  <ScaleCrop>false</ScaleCrop>
  <LinksUpToDate>false</LinksUpToDate>
  <CharactersWithSpaces>1813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2021-06-11T03:28:00Z</dcterms:created>
  <dc:creator>未定义</dc:creator>
  <cp:lastModifiedBy>admin</cp:lastModifiedBy>
  <cp:lastPrinted>2026-08-12T08:10:00Z</cp:lastPrinted>
  <dcterms:modified xsi:type="dcterms:W3CDTF">2026-10-08T08:04:38Z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5E4C610D522A4A08BF344BAFF1611570_13</vt:lpwstr>
  </property>
  <property fmtid="{D5CDD505-2E9C-101B-9397-08002B2CF9AE}" pid="4" name="KSOTemplateDocerSaveRecord">
    <vt:lpwstr>eyJoZGlkIjoiNjUyNDA2ODA1N2FlOGE4MDY5MDE0MGI0MjMxZWU4ODUiLCJ1c2VySWQiOiIyNzY0MzQzOTEifQ==</vt:lpwstr>
  </property>
</Properties>
</file>