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441C9B"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天津市大学软件学院机房计算机采购项目需求书</w:t>
      </w:r>
    </w:p>
    <w:p w14:paraId="162A0170">
      <w:pPr>
        <w:spacing w:line="360" w:lineRule="auto"/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四、技术要求</w:t>
      </w:r>
    </w:p>
    <w:p w14:paraId="2B99473D"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技术部分</w:t>
      </w:r>
    </w:p>
    <w:tbl>
      <w:tblPr>
        <w:tblStyle w:val="5"/>
        <w:tblW w:w="538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1497"/>
        <w:gridCol w:w="5786"/>
        <w:gridCol w:w="583"/>
        <w:gridCol w:w="728"/>
      </w:tblGrid>
      <w:tr w14:paraId="75F32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314" w:type="pct"/>
            <w:vAlign w:val="center"/>
          </w:tcPr>
          <w:p w14:paraId="18C16069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816" w:type="pct"/>
            <w:vAlign w:val="center"/>
          </w:tcPr>
          <w:p w14:paraId="4C9CD1E1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标的名称</w:t>
            </w:r>
          </w:p>
        </w:tc>
        <w:tc>
          <w:tcPr>
            <w:tcW w:w="3155" w:type="pct"/>
            <w:vAlign w:val="center"/>
          </w:tcPr>
          <w:p w14:paraId="6B2F0AFF">
            <w:pPr>
              <w:widowControl/>
              <w:adjustRightInd w:val="0"/>
              <w:snapToGrid w:val="0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技术要求</w:t>
            </w:r>
          </w:p>
        </w:tc>
        <w:tc>
          <w:tcPr>
            <w:tcW w:w="318" w:type="pct"/>
            <w:vAlign w:val="center"/>
          </w:tcPr>
          <w:p w14:paraId="23F6F242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单位</w:t>
            </w:r>
          </w:p>
        </w:tc>
        <w:tc>
          <w:tcPr>
            <w:tcW w:w="397" w:type="pct"/>
            <w:vAlign w:val="center"/>
          </w:tcPr>
          <w:p w14:paraId="11FFF5B4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数量</w:t>
            </w:r>
          </w:p>
        </w:tc>
      </w:tr>
      <w:tr w14:paraId="378C5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314" w:type="pct"/>
            <w:vAlign w:val="center"/>
          </w:tcPr>
          <w:p w14:paraId="0A7CE03B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1</w:t>
            </w:r>
          </w:p>
        </w:tc>
        <w:tc>
          <w:tcPr>
            <w:tcW w:w="816" w:type="pct"/>
            <w:vAlign w:val="center"/>
          </w:tcPr>
          <w:p w14:paraId="2C5823C6">
            <w:pPr>
              <w:widowControl/>
              <w:adjustRightInd w:val="0"/>
              <w:snapToGrid w:val="0"/>
              <w:jc w:val="center"/>
              <w:textAlignment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▲</w:t>
            </w:r>
            <w:r>
              <w:rPr>
                <w:rFonts w:hint="eastAsia" w:cs="宋体"/>
                <w:kern w:val="0"/>
                <w:sz w:val="24"/>
                <w:lang w:bidi="ar"/>
              </w:rPr>
              <w:t>台式计算机</w:t>
            </w:r>
          </w:p>
        </w:tc>
        <w:tc>
          <w:tcPr>
            <w:tcW w:w="3155" w:type="pct"/>
            <w:vAlign w:val="center"/>
          </w:tcPr>
          <w:p w14:paraId="5BF56F9B">
            <w:pPr>
              <w:widowControl/>
              <w:adjustRightInd w:val="0"/>
              <w:snapToGrid w:val="0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详见“（二）产品具体参数”</w:t>
            </w:r>
          </w:p>
        </w:tc>
        <w:tc>
          <w:tcPr>
            <w:tcW w:w="318" w:type="pct"/>
            <w:vAlign w:val="center"/>
          </w:tcPr>
          <w:p w14:paraId="400EE4BE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台</w:t>
            </w:r>
          </w:p>
        </w:tc>
        <w:tc>
          <w:tcPr>
            <w:tcW w:w="397" w:type="pct"/>
            <w:vAlign w:val="center"/>
          </w:tcPr>
          <w:p w14:paraId="566BC167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140</w:t>
            </w:r>
          </w:p>
        </w:tc>
      </w:tr>
      <w:tr w14:paraId="74B0C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314" w:type="pct"/>
            <w:vAlign w:val="center"/>
          </w:tcPr>
          <w:p w14:paraId="6456C1FF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2</w:t>
            </w:r>
          </w:p>
        </w:tc>
        <w:tc>
          <w:tcPr>
            <w:tcW w:w="816" w:type="pct"/>
            <w:vAlign w:val="center"/>
          </w:tcPr>
          <w:p w14:paraId="0473A70F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显示器</w:t>
            </w:r>
          </w:p>
        </w:tc>
        <w:tc>
          <w:tcPr>
            <w:tcW w:w="3155" w:type="pct"/>
            <w:vAlign w:val="center"/>
          </w:tcPr>
          <w:p w14:paraId="66B349D8">
            <w:pPr>
              <w:widowControl/>
              <w:adjustRightInd w:val="0"/>
              <w:snapToGrid w:val="0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详见“（二）产品具体参数”</w:t>
            </w:r>
          </w:p>
        </w:tc>
        <w:tc>
          <w:tcPr>
            <w:tcW w:w="318" w:type="pct"/>
            <w:vAlign w:val="center"/>
          </w:tcPr>
          <w:p w14:paraId="5E199C63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台</w:t>
            </w:r>
          </w:p>
        </w:tc>
        <w:tc>
          <w:tcPr>
            <w:tcW w:w="397" w:type="pct"/>
            <w:vAlign w:val="center"/>
          </w:tcPr>
          <w:p w14:paraId="1812C6B3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140</w:t>
            </w:r>
          </w:p>
        </w:tc>
      </w:tr>
      <w:tr w14:paraId="5BEE9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314" w:type="pct"/>
            <w:vMerge w:val="restart"/>
            <w:vAlign w:val="center"/>
          </w:tcPr>
          <w:p w14:paraId="6E88913B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3</w:t>
            </w:r>
          </w:p>
        </w:tc>
        <w:tc>
          <w:tcPr>
            <w:tcW w:w="816" w:type="pct"/>
            <w:vMerge w:val="restart"/>
            <w:vAlign w:val="center"/>
          </w:tcPr>
          <w:p w14:paraId="43B4C680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/>
                <w:sz w:val="24"/>
              </w:rPr>
              <w:t>机房管理系统</w:t>
            </w:r>
          </w:p>
        </w:tc>
        <w:tc>
          <w:tcPr>
            <w:tcW w:w="3155" w:type="pct"/>
            <w:vAlign w:val="center"/>
          </w:tcPr>
          <w:p w14:paraId="3CE9BB19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支持在单台计算机上安装Win2012、Windows7\8\10\11等多种桌面操作系统并进行引导和立即还原，支持使用intel芯片、AMD芯片的终端部署安装</w:t>
            </w:r>
          </w:p>
        </w:tc>
        <w:tc>
          <w:tcPr>
            <w:tcW w:w="318" w:type="pct"/>
            <w:vMerge w:val="restart"/>
            <w:vAlign w:val="center"/>
          </w:tcPr>
          <w:p w14:paraId="367EFAE1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点</w:t>
            </w:r>
          </w:p>
        </w:tc>
        <w:tc>
          <w:tcPr>
            <w:tcW w:w="397" w:type="pct"/>
            <w:vMerge w:val="restart"/>
            <w:vAlign w:val="center"/>
          </w:tcPr>
          <w:p w14:paraId="4FB31B1E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cs="宋体"/>
                <w:kern w:val="0"/>
                <w:sz w:val="24"/>
                <w:lang w:bidi="ar"/>
              </w:rPr>
              <w:t>140</w:t>
            </w:r>
          </w:p>
        </w:tc>
      </w:tr>
      <w:tr w14:paraId="1AA96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4484BEE6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2404343F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62E3FE24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支持CentOS、Ubuntu、RedHat、Fedora非信创Linux桌面操作系统立即还原，实现Linux系统的差异拷贝、创建频道、虚拟系统、还原点功能</w:t>
            </w:r>
          </w:p>
        </w:tc>
        <w:tc>
          <w:tcPr>
            <w:tcW w:w="318" w:type="pct"/>
            <w:vMerge w:val="continue"/>
            <w:vAlign w:val="center"/>
          </w:tcPr>
          <w:p w14:paraId="08D8934E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68F982C3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23760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44500471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5321F36E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1E486AB2">
            <w:pPr>
              <w:spacing w:line="360" w:lineRule="auto"/>
              <w:outlineLvl w:val="0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支持为不同分区设置不同的还原方式，包括随系统、每次还原、每天还原、每周还原、每月还原、手动还原及完全开放；（提供功能截图并加盖供应商公章）</w:t>
            </w:r>
          </w:p>
        </w:tc>
        <w:tc>
          <w:tcPr>
            <w:tcW w:w="318" w:type="pct"/>
            <w:vMerge w:val="continue"/>
            <w:vAlign w:val="center"/>
          </w:tcPr>
          <w:p w14:paraId="73593C85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044D8861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4AD40B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27056882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61A61893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5C9DE644">
            <w:pPr>
              <w:spacing w:line="360" w:lineRule="auto"/>
              <w:outlineLvl w:val="0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专属分区只有对应分区系统可见，共享分区由被共享的系统共用</w:t>
            </w:r>
          </w:p>
        </w:tc>
        <w:tc>
          <w:tcPr>
            <w:tcW w:w="318" w:type="pct"/>
            <w:vMerge w:val="continue"/>
            <w:vAlign w:val="center"/>
          </w:tcPr>
          <w:p w14:paraId="3679653D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5260497D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0F465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2D1AB69C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003343D0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58D61F83">
            <w:pPr>
              <w:spacing w:line="360" w:lineRule="auto"/>
              <w:outlineLvl w:val="0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支持断点续传，终端在差异拷贝时掉线，重发后发送端将自动智能识别断线终端的数据状态，仅发送终端断线后未接收的数据</w:t>
            </w:r>
          </w:p>
        </w:tc>
        <w:tc>
          <w:tcPr>
            <w:tcW w:w="318" w:type="pct"/>
            <w:vMerge w:val="continue"/>
            <w:vAlign w:val="center"/>
          </w:tcPr>
          <w:p w14:paraId="4D6DFB0C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1BD17E90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59931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5542C70F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12CD5247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6563DB49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差异拷贝过程中显示在线及掉线终端数，显示数据传输量并记录当前速度及传输用时，呈现传输进度的百分比率，预估显示传输剩余时间，结束显示传输平均速度</w:t>
            </w:r>
          </w:p>
        </w:tc>
        <w:tc>
          <w:tcPr>
            <w:tcW w:w="318" w:type="pct"/>
            <w:vMerge w:val="continue"/>
            <w:vAlign w:val="center"/>
          </w:tcPr>
          <w:p w14:paraId="6AF469E9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26C2FBDE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5154A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79F592BF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7C6751F2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2689FDFE">
            <w:pPr>
              <w:spacing w:line="360" w:lineRule="auto"/>
              <w:outlineLvl w:val="0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若部分终端因网络故障导致速度慢影响整体传输速度，自动识别当前传输过程中的最慢机并进行标记</w:t>
            </w:r>
          </w:p>
        </w:tc>
        <w:tc>
          <w:tcPr>
            <w:tcW w:w="318" w:type="pct"/>
            <w:vMerge w:val="continue"/>
            <w:vAlign w:val="center"/>
          </w:tcPr>
          <w:p w14:paraId="4C875D2C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7D54507A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448EB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54B28AE8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611F38E5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366C6291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支持隐藏底层操作系统选单，有多个操作系统时，可设置默认进入某个操作系统，自定义进入系统的时间（时间可设置到秒）；（提供功能截图并加盖供应商公章）</w:t>
            </w:r>
          </w:p>
        </w:tc>
        <w:tc>
          <w:tcPr>
            <w:tcW w:w="318" w:type="pct"/>
            <w:vMerge w:val="continue"/>
            <w:vAlign w:val="center"/>
          </w:tcPr>
          <w:p w14:paraId="3A40692D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2C388D18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531C6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4719648A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10B884D1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1D120C28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支持对磁盘进行分区新增和删除，可设置分区还原方式，支持128个分区</w:t>
            </w:r>
          </w:p>
        </w:tc>
        <w:tc>
          <w:tcPr>
            <w:tcW w:w="318" w:type="pct"/>
            <w:vMerge w:val="continue"/>
            <w:vAlign w:val="center"/>
          </w:tcPr>
          <w:p w14:paraId="23136224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64A6CCDC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7B8C9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23571F59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53EE87B2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4F3CD0BC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当客户端登录顺序紊乱，可一键清除差异拷贝界面登录信息，按序重排</w:t>
            </w:r>
          </w:p>
        </w:tc>
        <w:tc>
          <w:tcPr>
            <w:tcW w:w="318" w:type="pct"/>
            <w:vMerge w:val="continue"/>
            <w:vAlign w:val="center"/>
          </w:tcPr>
          <w:p w14:paraId="59B3191E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6F56745C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642B1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2C9436CE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060D4C8A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6F41B0F7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支持还原点管理，可对系统或频道创建多个状态的还原点，当系统故障时可快速将系统状态恢复至还原点，支持恢复还原点及删除还原点操作</w:t>
            </w:r>
          </w:p>
        </w:tc>
        <w:tc>
          <w:tcPr>
            <w:tcW w:w="318" w:type="pct"/>
            <w:vMerge w:val="continue"/>
            <w:vAlign w:val="center"/>
          </w:tcPr>
          <w:p w14:paraId="2B0032E5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40817143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39663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6EE430D0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4741A83B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18FC17E6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支持屏幕水印，显示当前系统、计算机名、IP地址、MAC地址及备注信息</w:t>
            </w:r>
          </w:p>
        </w:tc>
        <w:tc>
          <w:tcPr>
            <w:tcW w:w="318" w:type="pct"/>
            <w:vMerge w:val="continue"/>
            <w:vAlign w:val="center"/>
          </w:tcPr>
          <w:p w14:paraId="3B807926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5A71E6D1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4777C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6183A880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58E402B1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4E53FCA1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支持对内置光驱、移动光驱、虚拟光驱、U 盘、移动硬盘、USB外接设备等进行使用控制，可设置例外设备保障教学外设使用</w:t>
            </w:r>
          </w:p>
        </w:tc>
        <w:tc>
          <w:tcPr>
            <w:tcW w:w="318" w:type="pct"/>
            <w:vMerge w:val="continue"/>
            <w:vAlign w:val="center"/>
          </w:tcPr>
          <w:p w14:paraId="0B801FA5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53006A54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02025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5A00E032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41A95576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61CAAF01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支持设置客户端的进程黑白名单进程及程序限制生效时间</w:t>
            </w:r>
          </w:p>
        </w:tc>
        <w:tc>
          <w:tcPr>
            <w:tcW w:w="318" w:type="pct"/>
            <w:vMerge w:val="continue"/>
            <w:vAlign w:val="center"/>
          </w:tcPr>
          <w:p w14:paraId="5F777F0B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1A20F113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  <w:tr w14:paraId="7AE77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14" w:type="pct"/>
            <w:vMerge w:val="continue"/>
            <w:vAlign w:val="center"/>
          </w:tcPr>
          <w:p w14:paraId="32920577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816" w:type="pct"/>
            <w:vMerge w:val="continue"/>
            <w:vAlign w:val="center"/>
          </w:tcPr>
          <w:p w14:paraId="7E19260B">
            <w:pPr>
              <w:widowControl/>
              <w:adjustRightInd w:val="0"/>
              <w:snapToGrid w:val="0"/>
              <w:jc w:val="center"/>
              <w:textAlignment w:val="center"/>
              <w:rPr>
                <w:color w:val="FF0000"/>
                <w:sz w:val="24"/>
              </w:rPr>
            </w:pPr>
          </w:p>
        </w:tc>
        <w:tc>
          <w:tcPr>
            <w:tcW w:w="3155" w:type="pct"/>
            <w:vAlign w:val="center"/>
          </w:tcPr>
          <w:p w14:paraId="1CA1AD2A">
            <w:pPr>
              <w:widowControl/>
              <w:adjustRightInd w:val="0"/>
              <w:snapToGrid w:val="0"/>
              <w:spacing w:line="360" w:lineRule="auto"/>
              <w:textAlignment w:val="center"/>
              <w:rPr>
                <w:rFonts w:cs="宋体"/>
                <w:kern w:val="0"/>
                <w:sz w:val="24"/>
                <w:lang w:bidi="ar"/>
              </w:rPr>
            </w:pPr>
            <w:r>
              <w:rPr>
                <w:rFonts w:hint="eastAsia" w:cs="宋体"/>
                <w:kern w:val="0"/>
                <w:sz w:val="24"/>
                <w:lang w:bidi="ar"/>
              </w:rPr>
              <w:t>支持设置客户端外网的上下行流量限制；支持设置网络访问权限，可设置网址白名单、IP白名单、端口白名单及网络限制生效时间</w:t>
            </w:r>
          </w:p>
        </w:tc>
        <w:tc>
          <w:tcPr>
            <w:tcW w:w="318" w:type="pct"/>
            <w:vMerge w:val="continue"/>
            <w:vAlign w:val="center"/>
          </w:tcPr>
          <w:p w14:paraId="081AE977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  <w:tc>
          <w:tcPr>
            <w:tcW w:w="397" w:type="pct"/>
            <w:vMerge w:val="continue"/>
            <w:vAlign w:val="center"/>
          </w:tcPr>
          <w:p w14:paraId="567B8F76">
            <w:pPr>
              <w:widowControl/>
              <w:adjustRightInd w:val="0"/>
              <w:snapToGrid w:val="0"/>
              <w:jc w:val="center"/>
              <w:textAlignment w:val="center"/>
              <w:rPr>
                <w:rFonts w:cs="宋体"/>
                <w:kern w:val="0"/>
                <w:sz w:val="24"/>
                <w:lang w:bidi="ar"/>
              </w:rPr>
            </w:pPr>
          </w:p>
        </w:tc>
      </w:tr>
    </w:tbl>
    <w:p w14:paraId="10238DC5"/>
    <w:p w14:paraId="623B4B9E">
      <w:pPr>
        <w:rPr>
          <w:sz w:val="24"/>
        </w:rPr>
      </w:pPr>
      <w:r>
        <w:rPr>
          <w:rFonts w:hint="eastAsia"/>
          <w:sz w:val="24"/>
        </w:rPr>
        <w:t>二．部分产品具体参数</w:t>
      </w:r>
    </w:p>
    <w:p w14:paraId="77C09B9E">
      <w:pPr>
        <w:rPr>
          <w:sz w:val="24"/>
        </w:rPr>
      </w:pPr>
      <w:r>
        <w:rPr>
          <w:rFonts w:hint="eastAsia"/>
          <w:sz w:val="24"/>
        </w:rPr>
        <w:t>1</w:t>
      </w:r>
      <w:r>
        <w:rPr>
          <w:sz w:val="24"/>
        </w:rPr>
        <w:t>.</w:t>
      </w:r>
      <w:r>
        <w:rPr>
          <w:rFonts w:hint="eastAsia"/>
          <w:sz w:val="24"/>
        </w:rPr>
        <w:t>台式计算机：</w:t>
      </w:r>
    </w:p>
    <w:tbl>
      <w:tblPr>
        <w:tblStyle w:val="5"/>
        <w:tblW w:w="8359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992"/>
        <w:gridCol w:w="854"/>
        <w:gridCol w:w="1840"/>
        <w:gridCol w:w="3969"/>
      </w:tblGrid>
      <w:tr w14:paraId="34A43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4154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9617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指标分类</w:t>
            </w:r>
          </w:p>
        </w:tc>
        <w:tc>
          <w:tcPr>
            <w:tcW w:w="8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6545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一级指标</w:t>
            </w:r>
          </w:p>
        </w:tc>
        <w:tc>
          <w:tcPr>
            <w:tcW w:w="1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CAAA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二级指标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EC9CE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招标要求</w:t>
            </w:r>
          </w:p>
        </w:tc>
      </w:tr>
      <w:tr w14:paraId="7B21D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14C41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9D83B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FE61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CPU规格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CE602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★CPU信息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7F45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处理器不小于，≥10核，≥2.5GHz 主频、末级缓存≥20M、≥16线程、≥65W热设计功耗、内存最高频率DDR4 2666</w:t>
            </w:r>
          </w:p>
        </w:tc>
      </w:tr>
      <w:tr w14:paraId="77B1C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BC79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7C7B3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2E14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内存规格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053B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★内存配置容量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FFAF1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≥32GB</w:t>
            </w:r>
          </w:p>
        </w:tc>
      </w:tr>
      <w:tr w14:paraId="48461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2620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011E5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57532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6D959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★内存类型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8ACEC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产品支持DDR4或以上</w:t>
            </w:r>
          </w:p>
        </w:tc>
      </w:tr>
      <w:tr w14:paraId="45A0B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8637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5994F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C50A0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D058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★内存条配置数量（板载内存不涉及）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516B1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</w:t>
            </w:r>
          </w:p>
        </w:tc>
      </w:tr>
      <w:tr w14:paraId="484170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D0AF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C2CB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9314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主板规格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451E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★主板集成模块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BF648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990E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B45F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F587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B080FE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C0B4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★主板支持的CPU和内存情况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B692D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主板支持的CPU型号至少为intel13代CPU，数量为1，支持的内存为2个DDR4内存</w:t>
            </w:r>
          </w:p>
        </w:tc>
      </w:tr>
      <w:tr w14:paraId="0C507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437D1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38DC6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D5E4F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A65D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主板内置PCIe插槽数量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FDE0B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5B6C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9B526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585F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3AEF6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C9029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特殊孔位及接口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B65F3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B933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A652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6550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F0471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F190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★主板其他内置接口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59F48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≥3个M.2接口（其中至少有2个为M.2固态硬盘接口），≥3个SATA 3接口，≥10个USB接口（其中≥1个USB 3.2 Type-C接口，后置≥2个USB 3.2接口）</w:t>
            </w:r>
          </w:p>
        </w:tc>
      </w:tr>
      <w:tr w14:paraId="35846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01CE2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9AF4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82531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F0936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★单内存插槽最大可支持容量（板载内存不涉及）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F8094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≥32GB</w:t>
            </w:r>
          </w:p>
        </w:tc>
      </w:tr>
      <w:tr w14:paraId="63C2E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65FB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79DA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C33C8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64AE1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★内存插槽满配时提供的最高内存总容量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21780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≥64GB</w:t>
            </w:r>
          </w:p>
        </w:tc>
      </w:tr>
      <w:tr w14:paraId="49868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1953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8CA1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88BB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存储设备规格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2BD07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★固态盘数量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DADC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≥1个</w:t>
            </w:r>
          </w:p>
        </w:tc>
      </w:tr>
      <w:tr w14:paraId="2AB5A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60124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5FD84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7EC58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652C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★固态存储容量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C76E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≥512GB</w:t>
            </w:r>
          </w:p>
        </w:tc>
      </w:tr>
      <w:tr w14:paraId="3B3F9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950E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F4C4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71FBA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1DDFD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★机械硬盘数量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F2850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≥1个</w:t>
            </w:r>
          </w:p>
        </w:tc>
      </w:tr>
      <w:tr w14:paraId="0A126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6479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2384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25D74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C15F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★机械硬盘总容量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F056C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≥2TB</w:t>
            </w:r>
          </w:p>
        </w:tc>
      </w:tr>
      <w:tr w14:paraId="1D226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AF3E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F3B63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28FC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50CB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★机械硬盘转速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5051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≥5400rpm</w:t>
            </w:r>
          </w:p>
        </w:tc>
      </w:tr>
      <w:tr w14:paraId="1C806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FCF43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5018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36A75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24DC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机械硬盘接口协议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B37C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支持SATA3.0及以上或SAS3.0及以上接口</w:t>
            </w:r>
          </w:p>
        </w:tc>
      </w:tr>
      <w:tr w14:paraId="162E05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D318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7DF0C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5D76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F528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★机械硬盘形态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2B9E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2.5英寸或3.5英寸等</w:t>
            </w:r>
          </w:p>
        </w:tc>
      </w:tr>
      <w:tr w14:paraId="71DD02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2A0E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BC59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FE08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5CB93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固态存储接口协议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1B47B2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SATA、PCIe、NVMe等类型接口协议</w:t>
            </w:r>
          </w:p>
        </w:tc>
      </w:tr>
      <w:tr w14:paraId="0D122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8BD09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311C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90E3A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C116C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★固态存储形态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15C6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采用插卡或板载等形态，可选用符合M.2或2.5寸 SATA或mSATA等标准的插卡形态</w:t>
            </w:r>
          </w:p>
        </w:tc>
      </w:tr>
      <w:tr w14:paraId="2BC73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C9F8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D09FD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51847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7F1A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存储设备扩展盘位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B82A8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≥0</w:t>
            </w:r>
          </w:p>
        </w:tc>
      </w:tr>
      <w:tr w14:paraId="669ECA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8F44B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3FAD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83721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F195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★存储设备其他参数要求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B8E7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9981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8052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B6BD2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E0FF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显卡规格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6BE6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★显卡类型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1061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集成显卡</w:t>
            </w:r>
          </w:p>
        </w:tc>
      </w:tr>
      <w:tr w14:paraId="23961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C6B4B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DCA5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25BA6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16CB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★独立显卡显存类型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975C8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集成显卡不涉及</w:t>
            </w:r>
          </w:p>
        </w:tc>
      </w:tr>
      <w:tr w14:paraId="554D21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DCCB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86AD3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52FCC3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365D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★独立显卡显存位宽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9991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集成显卡不涉及</w:t>
            </w:r>
          </w:p>
        </w:tc>
      </w:tr>
      <w:tr w14:paraId="0B853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FEF8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8D6F1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CAF208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0EC6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★独立显卡显存容量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2CAD0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集成显卡不涉及</w:t>
            </w:r>
          </w:p>
        </w:tc>
      </w:tr>
      <w:tr w14:paraId="17ADB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52B3B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0808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0D771E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0DD5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独立显卡接口协议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37BF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集成显卡不涉及</w:t>
            </w:r>
          </w:p>
        </w:tc>
      </w:tr>
      <w:tr w14:paraId="43CD3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DD7B4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E018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EF6E8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外设规格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8B903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传声器数量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9437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≥0</w:t>
            </w:r>
          </w:p>
        </w:tc>
      </w:tr>
      <w:tr w14:paraId="265DE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733C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FE6EB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9B96AB3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62A96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扬声器数量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2250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≥0</w:t>
            </w:r>
          </w:p>
        </w:tc>
      </w:tr>
      <w:tr w14:paraId="4D432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2E64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3E3A7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1F6D2A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02DA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★鼠标数量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EC2C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≥1个</w:t>
            </w:r>
          </w:p>
        </w:tc>
      </w:tr>
      <w:tr w14:paraId="0AFA4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F7FA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8A326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AD50C9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D510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★键盘数量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42447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≥1个</w:t>
            </w:r>
          </w:p>
        </w:tc>
      </w:tr>
      <w:tr w14:paraId="7BD78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2C3E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3D17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E337D5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292FE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摄像头数量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814C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≥0个</w:t>
            </w:r>
          </w:p>
        </w:tc>
      </w:tr>
      <w:tr w14:paraId="33EE9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4FD3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C6E9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D257EC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9E7E1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光驱数量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4151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≥0个</w:t>
            </w:r>
          </w:p>
        </w:tc>
      </w:tr>
      <w:tr w14:paraId="1F4E4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93824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C9CE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EF8454E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F663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★键盘按键数目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D8D3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61键/86键/101键/104键等</w:t>
            </w:r>
          </w:p>
        </w:tc>
      </w:tr>
      <w:tr w14:paraId="5BCC4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BA66B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E54DB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C84887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36CE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摄像头像素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F4AF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BB36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869DE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0286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9CC928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490F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摄像头分辨率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0578D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184F4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BE39D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7AFF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677DA34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75A6F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扬声器功率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8271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191D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59F11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E065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6A92BE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6F6F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扬声器频率范围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30EE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2EF01B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03863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9B3E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4DFCB8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67B6D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扬声器总谐波失真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1B91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AD7B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DAD3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C0AD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B82FEE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E3E2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扬声器最大声压级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D641F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B734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BF96D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AA02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56B3BC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E72E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★键盘连接方式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FDE9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有线或无线</w:t>
            </w:r>
          </w:p>
        </w:tc>
      </w:tr>
      <w:tr w14:paraId="4C969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2B52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B1BCE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C3310A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1FCE2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★键盘键程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0826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2.3mm~4.0mm</w:t>
            </w:r>
          </w:p>
        </w:tc>
      </w:tr>
      <w:tr w14:paraId="25A3A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0C13C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1802B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E80253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26618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★键盘按键压力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BC65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按键压力应在0.54N±0.14N</w:t>
            </w:r>
          </w:p>
        </w:tc>
      </w:tr>
      <w:tr w14:paraId="622E9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16CD6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D6A89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75DF6F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5C1BE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★有线键盘连接线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3F918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≥1.5米</w:t>
            </w:r>
          </w:p>
        </w:tc>
      </w:tr>
      <w:tr w14:paraId="7178E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9F3F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90001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ACC447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70A02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★键盘颜色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D748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黑色</w:t>
            </w:r>
          </w:p>
        </w:tc>
      </w:tr>
      <w:tr w14:paraId="17816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95D68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EFFD3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6EF913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4CE00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键盘其他要求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3801B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2E35E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C9306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3280C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47ACEF4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CD4A0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★鼠标连接方式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613D0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有线或无线</w:t>
            </w:r>
          </w:p>
        </w:tc>
      </w:tr>
      <w:tr w14:paraId="365DF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F5DD9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570C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99A8DAE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8901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★有线鼠标连接线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E73CC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≥1.5米</w:t>
            </w:r>
          </w:p>
        </w:tc>
      </w:tr>
      <w:tr w14:paraId="151992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3D8A4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4661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316165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EDF54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★鼠标DPI分辨率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04845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800~1600</w:t>
            </w:r>
          </w:p>
        </w:tc>
      </w:tr>
      <w:tr w14:paraId="2E5CE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AB83B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A26B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B9B03F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5631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★鼠标颜色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31A5E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黑色</w:t>
            </w:r>
          </w:p>
        </w:tc>
      </w:tr>
      <w:tr w14:paraId="6B3D96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D4DEA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1E7AF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E116AD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BCD88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★鼠标其他要求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571340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53A7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7E4A5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EC426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D5504B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D852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内置光驱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654B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10F8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8847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3E35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4AE7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网络设备规格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EA02A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★有线网卡数量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1EFBE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</w:t>
            </w:r>
          </w:p>
        </w:tc>
      </w:tr>
      <w:tr w14:paraId="4F4DB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F609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9E3F3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C4F4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6D03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无线网卡及天线数量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CE36C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≥0</w:t>
            </w:r>
          </w:p>
        </w:tc>
      </w:tr>
      <w:tr w14:paraId="164E7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D4B5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70D7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4219DE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8A7D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单无线网卡天线数量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F390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≥0</w:t>
            </w:r>
          </w:p>
        </w:tc>
      </w:tr>
      <w:tr w14:paraId="1D8CB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8757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2B0E3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F0E3F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外部接口规格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62BA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★USB接口数量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9EC3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机箱前面板应提供不少于4个USB接口（其中2个USB 3.2接口）。</w:t>
            </w:r>
          </w:p>
        </w:tc>
      </w:tr>
      <w:tr w14:paraId="06A76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179C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DF873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84F9BB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4C909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USB母座接口要求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8C3F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7BB2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3F23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58FF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217DB33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D242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★视频接口数量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D078A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</w:t>
            </w:r>
          </w:p>
        </w:tc>
      </w:tr>
      <w:tr w14:paraId="78A6D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9220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F5D5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C74591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88931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★音频接口数量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4FCE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≥3</w:t>
            </w:r>
          </w:p>
        </w:tc>
      </w:tr>
      <w:tr w14:paraId="40A2A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464A9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6836E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2EBEA9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687F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存储卡接口数量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CFD2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≥0</w:t>
            </w:r>
          </w:p>
        </w:tc>
      </w:tr>
      <w:tr w14:paraId="60B35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C7E5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00F57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21746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整机基础规格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D1BC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★整机外观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E4541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20693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53463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87DE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15D4D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2A8D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★状态指示灯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5A26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在产品显著位置提供状态指示功能，如运行状态，并由供应商提供详细参数</w:t>
            </w:r>
          </w:p>
        </w:tc>
      </w:tr>
      <w:tr w14:paraId="375ED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100E2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E6E4A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FDEFA3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1B4D2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★整机结构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800E4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5511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494D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B72B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D870B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529D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★机箱防护要求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F0D93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7FC2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51D3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1EDF8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CC728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D1D6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★整机噪音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A43B5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9E1A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5B42A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9F4E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0CF82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0CF2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★整机散热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47607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2E2C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98481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7EB57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FC427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7631E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★整机能效限定值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4C0E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24B5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252B2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807EA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451B8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27270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★机身材质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FE32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塑料/金属等</w:t>
            </w:r>
          </w:p>
        </w:tc>
      </w:tr>
      <w:tr w14:paraId="56C96D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0631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57543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1D43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3E996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★机身颜色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1D0F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黑色</w:t>
            </w:r>
          </w:p>
        </w:tc>
      </w:tr>
      <w:tr w14:paraId="13CD3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C346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4461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CFD26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2CBB8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★机箱尺寸容量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1C1E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机箱体积应不大于18.7L。</w:t>
            </w:r>
          </w:p>
        </w:tc>
      </w:tr>
      <w:tr w14:paraId="3D609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9C27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D3AC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1C7B0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CPU性能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0940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★CPU物理核数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09E2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≥10</w:t>
            </w:r>
          </w:p>
        </w:tc>
      </w:tr>
      <w:tr w14:paraId="4BE4B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927C2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1608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F9724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B7DBE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★CPU主频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A1B2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≥2.5GHz</w:t>
            </w:r>
          </w:p>
        </w:tc>
      </w:tr>
      <w:tr w14:paraId="01542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E62E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665A3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D1182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C359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★CPU末级缓存容量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E7DC98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≥20MB</w:t>
            </w:r>
          </w:p>
        </w:tc>
      </w:tr>
      <w:tr w14:paraId="34DC66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717A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5ACDB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5430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73C2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★CPU支持的内存最高速率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EBFD4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≥2666MT/s</w:t>
            </w:r>
          </w:p>
        </w:tc>
      </w:tr>
      <w:tr w14:paraId="15E9B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866CC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C92E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AA264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内存性能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09E79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★内存读写速率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A1D04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≥2666MT/s</w:t>
            </w:r>
          </w:p>
        </w:tc>
      </w:tr>
      <w:tr w14:paraId="0C099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CFF1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2B1D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BB01F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显卡性能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903F7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★显示分辨率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F4EA8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≥1920x1080</w:t>
            </w:r>
          </w:p>
        </w:tc>
      </w:tr>
      <w:tr w14:paraId="49661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45D5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00CC2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76FE6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6F936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★显卡显示芯片核心频率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572B0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集成显卡不涉及</w:t>
            </w:r>
          </w:p>
        </w:tc>
      </w:tr>
      <w:tr w14:paraId="7FF8C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D3D4E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85D7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322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6C0B7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★显存等效频率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46CD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集成显卡不涉及</w:t>
            </w:r>
          </w:p>
        </w:tc>
      </w:tr>
      <w:tr w14:paraId="75664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0465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A023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6299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8CD63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★显卡可支持多屏同时显示数量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045E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显卡应支持2块屏幕同时显示，分辨率应不低于1920×1080</w:t>
            </w:r>
          </w:p>
        </w:tc>
      </w:tr>
      <w:tr w14:paraId="261D2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AA4A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81AF2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427AC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网络设备性能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CFB11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★有线网卡速率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F4A2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最高速率应不低于1000Mbps</w:t>
            </w:r>
          </w:p>
        </w:tc>
      </w:tr>
      <w:tr w14:paraId="2476A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55B3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E61C8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D339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E56F5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支持无线网络通信技术协议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56971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44EF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FBA02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885F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5E5A1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6B35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无线网卡频宽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F6B91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2101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1E3B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803F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8E3E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主板功能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D017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★内存扩展接口(板载内存不涉及)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704E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≥2个</w:t>
            </w:r>
          </w:p>
        </w:tc>
      </w:tr>
      <w:tr w14:paraId="4AD4B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FA456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F7630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5A5F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735A9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存储扩展接口(板载存储不涉及)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315E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供应商给出主板支持存储扩展接口类型，如UFS3.0、SATA3.0、SAS3.0、M.2等类型接口</w:t>
            </w:r>
          </w:p>
        </w:tc>
      </w:tr>
      <w:tr w14:paraId="2BBF1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0701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FE48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B0C5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0EEA4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★主板USB瞬间过流保护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5DB3A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CD02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2A76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4DEA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37736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1D78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★主板防静电保护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4A25E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77DF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88801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2261E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E2B5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924A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★I/O接口功能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FFB0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≥10个USB接口，其中1个USB3.2 Type-C接口，其中后置≥2个USB 3.2接口；板载≥2个视频接口。</w:t>
            </w:r>
          </w:p>
        </w:tc>
      </w:tr>
      <w:tr w14:paraId="1FA3B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3FD36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3D92F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F98C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显卡功能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9224C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★显卡外接显示接口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733AB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显卡至少支持VGA、HDMI、DVI、DP、Type-C中2种显示接口，并与显示器接口相匹配</w:t>
            </w:r>
          </w:p>
        </w:tc>
      </w:tr>
      <w:tr w14:paraId="4220F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07AF4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2E88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F470F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E9507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独立显卡数量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3CA31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33BE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A24A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EB38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6F56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外设功能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8062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摄像头物理隐私保护开关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B983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2F23E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6A71D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BA75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60008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C54E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传声器降噪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537E20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9587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1BF4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98FCE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D429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44C95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键盘背光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F742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75D8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5D22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60AEE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92A4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B967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光驱功能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7A41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BF1C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AD7A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488A2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5839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存储功能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18EED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★存储功能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056D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通过SATA固态存储/PCIe固态存储/UFS固态存储/SATA硬磁盘等存储部件提供存储功能</w:t>
            </w:r>
          </w:p>
        </w:tc>
      </w:tr>
      <w:tr w14:paraId="765C8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3C81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2DA3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79323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447F6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内置控制器固态存储加密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D6908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1319C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64CD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2C61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83F09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网络设备功能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6A06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★网络功能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4B1331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a)支持网络连接、网络开启/关闭功能；b)支持访问网络和数据交换功能</w:t>
            </w:r>
          </w:p>
        </w:tc>
      </w:tr>
      <w:tr w14:paraId="2B950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EE803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1A5BFA6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　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9789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C24E8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无线网卡频段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204A7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3CE4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A0A7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5A9A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437B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B1D99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物理开关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5E6D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C8D9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8AC9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4F6E3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8DE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ED43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★数据传输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353B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97E1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7956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C3AF0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9131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EB705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蓝牙协议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E39EC2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20B0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D5BC3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42CC5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23094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2FC7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★有线网卡接口类型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63011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支持RJ45接口</w:t>
            </w:r>
          </w:p>
        </w:tc>
      </w:tr>
      <w:tr w14:paraId="1415F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0E00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38D0C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0C3C5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11EA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无线网卡标准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781778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471C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A887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532EB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01C10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C352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★网络设备拆装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F145F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82FC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A6DC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BE3C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E8C52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外部接口功能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0BB46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★音频接口类型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71B0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支持3.5mm孔径3段式或4段式接口</w:t>
            </w:r>
          </w:p>
        </w:tc>
      </w:tr>
      <w:tr w14:paraId="119E3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10C94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E140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E40284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D414E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★视频接口类型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B979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至少支持VGA、HDMI、DVI、DP、Type-C中2种显示接口</w:t>
            </w:r>
          </w:p>
        </w:tc>
      </w:tr>
      <w:tr w14:paraId="3EC52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DD4F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5C35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73487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54F47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★HDMI、DP、Type-C显示接口要求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7BFB8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若提供HDMI或DP或Type-C作为显示接口，应支持音频和视频同步输出</w:t>
            </w:r>
          </w:p>
        </w:tc>
      </w:tr>
      <w:tr w14:paraId="2D191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B0584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F2F94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A9DEE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1411D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其他接口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5E7F4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2D77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AAF8D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9A411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D74E0E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C6208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存储卡接口类型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0034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16C6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C4F86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211F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5ED44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电源功能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D3F3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★电源线适配能力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0E64E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4AF8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C39F3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0989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082D4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操作系统及软件功能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5B7F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★中文信息处理要求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3418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1C268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29501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B3BA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4C1108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E8C8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★操作系统备份及还原功能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56982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F96D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FCBA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B2B8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1A98B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485E9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★固件备份还原能力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17AE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FCBB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84DD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60D1D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0E29A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2B41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★操作系统及驱动升级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A6A5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支持通过网络、闪存盘等方式对操作系统、驱动进行升级</w:t>
            </w:r>
          </w:p>
        </w:tc>
      </w:tr>
      <w:tr w14:paraId="3DFD0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3BAA6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8E71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EED86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9508D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★固件升级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A67C2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支持通过网络、闪存盘等方式对固件进行升级</w:t>
            </w:r>
          </w:p>
        </w:tc>
      </w:tr>
      <w:tr w14:paraId="79DF7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E24A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0CEBC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B3580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30AF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★BIOS支持关闭通讯接口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F078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支持BIOS关闭以太网及USB接口</w:t>
            </w:r>
          </w:p>
        </w:tc>
      </w:tr>
      <w:tr w14:paraId="16D83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A23E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36E6D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1808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7B6A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★固件查看信息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1760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支持查看固件版本、内存信息、主板信息、处理器信息和系统时间信息等功能</w:t>
            </w:r>
          </w:p>
        </w:tc>
      </w:tr>
      <w:tr w14:paraId="63486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5BE9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DB635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C44BA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75326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★固件设置启动顺序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AF781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支持设置启动顺序功能，并按照设置的启动顺序启动</w:t>
            </w:r>
          </w:p>
        </w:tc>
      </w:tr>
      <w:tr w14:paraId="4075A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7061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C804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54EA3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4FCE6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★固件设置口令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9A3E1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2740C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8F01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80D0F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2A92C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88C64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★固件设置网络引导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C5052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支持网络引导启动和关闭功能</w:t>
            </w:r>
          </w:p>
        </w:tc>
      </w:tr>
      <w:tr w14:paraId="7C73B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D8AD5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5AAD7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38EF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生物识别功能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D3D98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指纹识别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99FF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D834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5AD7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542C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A7C5B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06E0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人脸识别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99AF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110A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B069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4E68E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E603C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9FCC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静脉识别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03E9D0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BCAD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E2A9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C483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14F13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硬件加速功能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FA39B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NPU/GPU等AI加速模块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FC9CF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DC49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2EA7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B1125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381693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8B5C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视频编解码加速模块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58EBA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C378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864A5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8027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EE36E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7EB27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影像处理加速模块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027A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1D273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7292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1BCB5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254CD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存储设备可靠性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2CEA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★固态存储寿命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C4103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2638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D089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B2092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ECF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79F0F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★机械硬盘寿命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FC94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5C2B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EB691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FADD6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F765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外设可靠性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3663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★键盘按键寿命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E340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18794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C768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46B0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4BFF3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03BBA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★鼠标按键寿命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76D8F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54BB9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64C6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6E4CE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C1CA2E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60932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★键盘鼠标线材寿命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ED26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154A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2971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35B9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4268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DC7E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★风扇寿命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C25E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7D4FF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E31D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28CE0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A635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整机可靠性要求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2CC5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★电磁兼容性要求的抗扰度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575C7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606C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1068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14974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8F3AB8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F9C5B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★环境条件要求的气候环境适应性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DBCA8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25D0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5C567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27C05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33C35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4EA8B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★环境条件要求的振动适应性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347EA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8F77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8DAC9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3D2F0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29864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B8A2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★环境条件要求的冲击适应性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2FB350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F265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B7BC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AFAE5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A3453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4C66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★环境条件要求的碰撞适应性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5E13E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F60F5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9E2F5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E7FC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15BF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6E777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★环境条件要求的运输包装件跌落适应性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68BC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6A02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C045E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9F017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54A4A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1195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★MTBF测试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BB948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1DDF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81F39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72ED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兼容要求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5B63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兼容要求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45E1C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★常用软件兼容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A18E1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A0AD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1A54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51D1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兼容要求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C8550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E0A6A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★数据库兼容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6492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10D8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FA3EF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9126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兼容要求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AC45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856D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★中间件兼容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5AF8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2472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2B7A8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FE3B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兼容要求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A55294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9BA8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★平台软件兼容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8F5F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18D83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13775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CA4FF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包装及运输要求</w:t>
            </w:r>
          </w:p>
        </w:tc>
        <w:tc>
          <w:tcPr>
            <w:tcW w:w="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0E79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包装及运输要求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DBB9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★标志、包装、运输和贮存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D7470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F34C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0265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5C183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E862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2BEAE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★配置检查工具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A229C0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C8E11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55AC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CC30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8EC6E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85CBA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★服务响应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F68C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a)供应商提供电话、电子邮件、远程连接等多种形式服务；b)供应商提供同城4h、异地12h技术响应服务，2个工作日解决问题，对于未能解决的问题和故障应提供可行的升级方案，并提供周转设备或更换设备；c)建立全国技术服务体系和服务团体，符合专业服务体系标准要求，提供原厂中文服务；d)服务周期内提供产品的维修、换件和升级服务</w:t>
            </w:r>
          </w:p>
        </w:tc>
      </w:tr>
      <w:tr w14:paraId="12827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AB31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A6EF2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DEA19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319F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★服务周期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97A1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a)设备停产后应继续提供质量保障服务（含备品备件），服务终止时间与最后一批设备交付时间间隔不低于6年；b)产品停止服务时间应提前1年告知；c)应明确产品发布日期</w:t>
            </w:r>
          </w:p>
        </w:tc>
      </w:tr>
      <w:tr w14:paraId="536A3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86C0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CE97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36E7E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DF58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★预装操作系统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902D4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原厂预装Windows操作系统</w:t>
            </w:r>
          </w:p>
        </w:tc>
      </w:tr>
      <w:tr w14:paraId="4E953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193B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CEDF5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B3EE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DC2CD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★培训服务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3EBB0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供应商提供培训材料、产品手册、培训视频等培训相关内容</w:t>
            </w:r>
          </w:p>
        </w:tc>
      </w:tr>
      <w:tr w14:paraId="2F6B0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4CE8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22BE7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310D2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9E494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★典型问题解决手册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5C20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F02C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4108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4BBA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D54D3E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6EC9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★厂家升级软件与扩容服务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E9D0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0CBB4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8EC5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A12EB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A2B9C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6E73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★整机质量服务要求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8C928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免费服务周期（含换件和维修）应不小于5年</w:t>
            </w:r>
          </w:p>
        </w:tc>
      </w:tr>
      <w:tr w14:paraId="54FC0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51DA3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5F44A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08F1B8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0658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★合格证书要求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6FE48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供应商提供产品合格证</w:t>
            </w:r>
          </w:p>
        </w:tc>
      </w:tr>
      <w:tr w14:paraId="2B858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43E93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49B6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41CFF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EE345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★开箱组装/使用指导要求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12971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供应商提供开箱组装/使用指导</w:t>
            </w:r>
          </w:p>
        </w:tc>
      </w:tr>
      <w:tr w14:paraId="083D2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A5BD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4ECF7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30EC0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D7A0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★驱动下载服务要求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35641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供应商提供驱动光盘或下载方式</w:t>
            </w:r>
          </w:p>
        </w:tc>
      </w:tr>
      <w:tr w14:paraId="31462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10F8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4A1F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598FB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A7035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★兼容适配软件下载服务要求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9A7E6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供应商提供兼容适配软件下载渠道（光盘、网站）</w:t>
            </w:r>
          </w:p>
        </w:tc>
      </w:tr>
      <w:tr w14:paraId="0CD22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C6A8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1E9CC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88E8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58D8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跨架构平台应用兼容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C934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供应商提供跨架构平台的应用兼容工具，支持一种或者一种以上不同架构平台的应用</w:t>
            </w:r>
          </w:p>
        </w:tc>
      </w:tr>
      <w:tr w14:paraId="7823C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B8A5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8B5E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供应保障要求</w:t>
            </w:r>
          </w:p>
        </w:tc>
        <w:tc>
          <w:tcPr>
            <w:tcW w:w="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1A56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供应链合规性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E52F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★产品部件保障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F48C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供应商保障产品主要部件，提供6年的备件服务能力（自购买之日起），或提供可兼容原设备的升级换代产品</w:t>
            </w:r>
          </w:p>
        </w:tc>
      </w:tr>
      <w:tr w14:paraId="62F30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C7268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8824A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供应保障要求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40A7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供应链质量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125A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★抗干扰性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A5A12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B39B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5E887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BBEC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供应保障要求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6BB7D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C3718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★供应能力证明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83D91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7435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70308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2B22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安全要求</w:t>
            </w:r>
          </w:p>
        </w:tc>
        <w:tc>
          <w:tcPr>
            <w:tcW w:w="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7D73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关键部件安全要求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89F0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★关键部件安全要求3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4B20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EB39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5335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EEC3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安全要求</w:t>
            </w:r>
          </w:p>
        </w:tc>
        <w:tc>
          <w:tcPr>
            <w:tcW w:w="85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B19A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整机安全性要求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C76D0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★密码算法实现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D455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ED41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34C7D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4808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安全要求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CDCA3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5D59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USB端口管控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2CC1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支持USB端口管控</w:t>
            </w:r>
          </w:p>
        </w:tc>
      </w:tr>
      <w:tr w14:paraId="08A9B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BC5F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BE62B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安全要求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48E43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AB43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安全物理锁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7F935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E23F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27107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C6B57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安全要求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D5434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547D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★信息安全基本要求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90D12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6478C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2D92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46C32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安全要求</w:t>
            </w:r>
          </w:p>
        </w:tc>
        <w:tc>
          <w:tcPr>
            <w:tcW w:w="85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6E42B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8885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★固件安全启动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322B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A784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DDF66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5BD4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安全要求</w:t>
            </w:r>
          </w:p>
        </w:tc>
        <w:tc>
          <w:tcPr>
            <w:tcW w:w="85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03047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69DF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★限用物质的限量要求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05F6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</w:tbl>
    <w:p w14:paraId="4300177A"/>
    <w:p w14:paraId="0EF7CB78">
      <w:pPr>
        <w:rPr>
          <w:sz w:val="24"/>
        </w:rPr>
      </w:pPr>
      <w:r>
        <w:rPr>
          <w:sz w:val="24"/>
        </w:rPr>
        <w:t>2.</w:t>
      </w:r>
      <w:r>
        <w:rPr>
          <w:rFonts w:hint="eastAsia"/>
          <w:sz w:val="24"/>
        </w:rPr>
        <w:t>液晶显示器</w:t>
      </w:r>
    </w:p>
    <w:tbl>
      <w:tblPr>
        <w:tblStyle w:val="5"/>
        <w:tblW w:w="8359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992"/>
        <w:gridCol w:w="884"/>
        <w:gridCol w:w="2093"/>
        <w:gridCol w:w="3686"/>
      </w:tblGrid>
      <w:tr w14:paraId="0BB59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F6800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40752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指标分类</w:t>
            </w:r>
          </w:p>
        </w:tc>
        <w:tc>
          <w:tcPr>
            <w:tcW w:w="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73D9F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一级指标</w:t>
            </w:r>
          </w:p>
        </w:tc>
        <w:tc>
          <w:tcPr>
            <w:tcW w:w="2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A3DB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二级指标</w:t>
            </w:r>
          </w:p>
        </w:tc>
        <w:tc>
          <w:tcPr>
            <w:tcW w:w="36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305C9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采购人技术要求</w:t>
            </w:r>
          </w:p>
        </w:tc>
      </w:tr>
      <w:tr w14:paraId="6CA5A3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16921C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EFB6C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B788EA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显示设备规格</w:t>
            </w: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FEE6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★显示屏屏占比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02E12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≥80%</w:t>
            </w:r>
          </w:p>
        </w:tc>
      </w:tr>
      <w:tr w14:paraId="105DD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B98F9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480BD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77424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0D24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★显示屏分辨率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A0164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≥1920x1080</w:t>
            </w:r>
          </w:p>
        </w:tc>
      </w:tr>
      <w:tr w14:paraId="531F2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33996F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4C76E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22E8DA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C051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显示屏像素密度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71D1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47CF4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29069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B045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14EE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2FAB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显示屏可视角度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345D7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水平≥178°</w:t>
            </w:r>
          </w:p>
        </w:tc>
      </w:tr>
      <w:tr w14:paraId="1BEA25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1E6B8C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04FED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6FF7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5ADF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★显示屏尺寸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E3D46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≥23.8英寸</w:t>
            </w:r>
          </w:p>
        </w:tc>
      </w:tr>
      <w:tr w14:paraId="26713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D98FA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45E0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77827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211C3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★显示屏屏幕比例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9D20B2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16:09</w:t>
            </w:r>
          </w:p>
        </w:tc>
      </w:tr>
      <w:tr w14:paraId="0E714D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B1BE00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CEC0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F0EC2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426F3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★显示器外观颜色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CE868C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黑色商务色系</w:t>
            </w:r>
          </w:p>
        </w:tc>
      </w:tr>
      <w:tr w14:paraId="36DB6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784E3F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00477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45A11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BD4F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★显示屏防蓝光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5FFB4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45DF5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0566E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59B4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552808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D8AC0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★显示屏低频闪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463CF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2AC7F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B2DBF9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AC71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产品规格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B4AB2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BA3C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★显示屏防炫目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3C507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58A62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923A12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E55F3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8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308A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显示设备性能</w:t>
            </w: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A22E4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★显示屏刷新率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B03B38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≥75Hz</w:t>
            </w:r>
          </w:p>
        </w:tc>
      </w:tr>
      <w:tr w14:paraId="2EE8E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877ACE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11074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4A46DB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216251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★显示屏位深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782E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≥8位</w:t>
            </w:r>
          </w:p>
        </w:tc>
      </w:tr>
      <w:tr w14:paraId="20466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7857D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C4CC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E270C0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F78AA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★显示屏色域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DF1B9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≥99%sRGB</w:t>
            </w:r>
          </w:p>
        </w:tc>
      </w:tr>
      <w:tr w14:paraId="2E5A0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E470E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9215E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351BF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3B8499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★显示屏色准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396701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3D8EA2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0B57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sz w:val="24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744A8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CA9209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5C7537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★显示屏响应时间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A88C93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≤8ms</w:t>
            </w:r>
          </w:p>
        </w:tc>
      </w:tr>
      <w:tr w14:paraId="7B736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6CB8C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726D3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AF6595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5B4C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★显示屏亮度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D44CF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≥250尼特</w:t>
            </w:r>
          </w:p>
        </w:tc>
      </w:tr>
      <w:tr w14:paraId="2297B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4BB76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95674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972A7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DE961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★显示屏亮度一致性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7150BD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1194A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4097B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08D80B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E1BCCD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88AA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★显示屏对比度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A4A14F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≥1000：1</w:t>
            </w:r>
          </w:p>
        </w:tc>
      </w:tr>
      <w:tr w14:paraId="187B5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3A2869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BF2D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2D1F1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36FE0F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★显示屏其他参数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E2BA5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7929E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952B99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51F84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8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B92A6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显示设备功能</w:t>
            </w: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A6542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★显示器接口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CE33E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显示器应至少有1个显示接口与显卡外接显示接口匹配</w:t>
            </w:r>
          </w:p>
        </w:tc>
      </w:tr>
      <w:tr w14:paraId="1855D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81CE6C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BA10E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F4E888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652055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★显示器支架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BF4A7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显示器应提供显示器支架，根据采购人需求支持屏幕俯仰</w:t>
            </w:r>
          </w:p>
        </w:tc>
      </w:tr>
      <w:tr w14:paraId="5723C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71A22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9A68D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功能要求</w:t>
            </w:r>
          </w:p>
        </w:tc>
        <w:tc>
          <w:tcPr>
            <w:tcW w:w="8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A22C2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0904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★显示器参数调节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28169B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  <w:tr w14:paraId="2F631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7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EBD642">
            <w:pPr>
              <w:widowControl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38AEC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可靠性要求</w:t>
            </w:r>
          </w:p>
        </w:tc>
        <w:tc>
          <w:tcPr>
            <w:tcW w:w="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A75A20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显示设备可靠性</w:t>
            </w:r>
          </w:p>
        </w:tc>
        <w:tc>
          <w:tcPr>
            <w:tcW w:w="20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77766"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★显示屏屏幕失效点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350E8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不涉及</w:t>
            </w:r>
          </w:p>
        </w:tc>
      </w:tr>
    </w:tbl>
    <w:p w14:paraId="654208A2">
      <w:pPr>
        <w:spacing w:line="360" w:lineRule="auto"/>
        <w:ind w:firstLine="480" w:firstLineChars="200"/>
        <w:rPr>
          <w:rFonts w:ascii="宋体" w:hAnsi="宋体" w:eastAsia="宋体"/>
          <w:color w:val="FF0000"/>
          <w:sz w:val="24"/>
          <w:szCs w:val="24"/>
        </w:rPr>
      </w:pPr>
    </w:p>
    <w:p w14:paraId="30F2110C">
      <w:pPr>
        <w:spacing w:line="360" w:lineRule="auto"/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五、商务要求</w:t>
      </w:r>
      <w:r>
        <w:rPr>
          <w:rFonts w:ascii="黑体" w:hAnsi="黑体" w:eastAsia="黑体"/>
          <w:sz w:val="28"/>
          <w:szCs w:val="28"/>
        </w:rPr>
        <w:t xml:space="preserve">  </w:t>
      </w:r>
    </w:p>
    <w:p w14:paraId="6DF230DB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（一）</w:t>
      </w:r>
      <w:r>
        <w:rPr>
          <w:rFonts w:ascii="宋体" w:hAnsi="宋体" w:eastAsia="宋体"/>
          <w:sz w:val="24"/>
          <w:szCs w:val="24"/>
        </w:rPr>
        <w:t xml:space="preserve"> 服务要求</w:t>
      </w:r>
    </w:p>
    <w:p w14:paraId="7F492788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提供所投产品</w:t>
      </w:r>
      <w:r>
        <w:rPr>
          <w:rFonts w:ascii="宋体" w:hAnsi="宋体" w:eastAsia="宋体"/>
          <w:sz w:val="24"/>
          <w:szCs w:val="24"/>
        </w:rPr>
        <w:t>5年的免费上门保修。</w:t>
      </w:r>
    </w:p>
    <w:p w14:paraId="347E94DA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（二）</w:t>
      </w:r>
      <w:r>
        <w:rPr>
          <w:rFonts w:ascii="宋体" w:hAnsi="宋体" w:eastAsia="宋体"/>
          <w:sz w:val="24"/>
          <w:szCs w:val="24"/>
        </w:rPr>
        <w:t xml:space="preserve"> 工期、施工地点要求</w:t>
      </w:r>
    </w:p>
    <w:p w14:paraId="77214031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货到：签订合同之日起</w:t>
      </w:r>
      <w:r>
        <w:rPr>
          <w:rFonts w:ascii="宋体" w:hAnsi="宋体" w:eastAsia="宋体"/>
          <w:sz w:val="24"/>
          <w:szCs w:val="24"/>
        </w:rPr>
        <w:t>30日内（特殊情况以合同为准）。</w:t>
      </w:r>
    </w:p>
    <w:p w14:paraId="51A87F33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 xml:space="preserve"> 安装（施工）完成：货到之日起10日内（特殊情况以合同为准）。（同货到）</w:t>
      </w:r>
    </w:p>
    <w:p w14:paraId="7E3FBCEC">
      <w:pPr>
        <w:numPr>
          <w:ilvl w:val="0"/>
          <w:numId w:val="2"/>
        </w:num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付款方式：签订合同之日起15个工作日日内支付合同总额的30%，货到安装调试完成验收合格之日起15个工作日内支付合同总额的60%，自验收合格之日起1年后15个工作内支付合同总额10%。</w:t>
      </w:r>
    </w:p>
    <w:p w14:paraId="36604881">
      <w:pPr>
        <w:numPr>
          <w:ilvl w:val="0"/>
          <w:numId w:val="2"/>
        </w:num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六、验收方案</w:t>
      </w:r>
    </w:p>
    <w:p w14:paraId="3B88B81B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bookmarkStart w:id="0" w:name="_Hlk183450169"/>
      <w:r>
        <w:rPr>
          <w:rFonts w:hint="eastAsia" w:ascii="宋体" w:hAnsi="宋体" w:eastAsia="宋体"/>
          <w:sz w:val="24"/>
          <w:szCs w:val="24"/>
        </w:rPr>
        <w:t>（一）验收组织形式：</w:t>
      </w:r>
    </w:p>
    <w:p w14:paraId="1547519B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□</w:t>
      </w:r>
      <w:r>
        <w:rPr>
          <w:rFonts w:hint="eastAsia" w:ascii="MS Gothic" w:hAnsi="MS Gothic" w:eastAsia="MS Gothic" w:cs="MS Gothic"/>
          <w:sz w:val="24"/>
          <w:szCs w:val="24"/>
        </w:rPr>
        <w:t>✓</w:t>
      </w:r>
      <w:r>
        <w:rPr>
          <w:rFonts w:hint="eastAsia" w:ascii="宋体" w:hAnsi="宋体" w:eastAsia="宋体"/>
          <w:sz w:val="24"/>
          <w:szCs w:val="24"/>
        </w:rPr>
        <w:t xml:space="preserve"> 自行组织</w:t>
      </w:r>
    </w:p>
    <w:p w14:paraId="6C71BE50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□ 委托第三方</w:t>
      </w:r>
    </w:p>
    <w:p w14:paraId="64A592C6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（二）验收方式：</w:t>
      </w:r>
    </w:p>
    <w:p w14:paraId="72ABBE55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□</w:t>
      </w:r>
      <w:r>
        <w:rPr>
          <w:rFonts w:hint="eastAsia" w:ascii="MS Gothic" w:hAnsi="MS Gothic" w:eastAsia="MS Gothic" w:cs="MS Gothic"/>
          <w:sz w:val="24"/>
          <w:szCs w:val="24"/>
        </w:rPr>
        <w:t>✓</w:t>
      </w:r>
      <w:r>
        <w:rPr>
          <w:rFonts w:hint="eastAsia" w:ascii="宋体" w:hAnsi="宋体" w:eastAsia="宋体"/>
          <w:sz w:val="24"/>
          <w:szCs w:val="24"/>
        </w:rPr>
        <w:t xml:space="preserve"> 一次性验收</w:t>
      </w:r>
    </w:p>
    <w:p w14:paraId="7328B607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□ 分节点验收</w:t>
      </w:r>
    </w:p>
    <w:p w14:paraId="47E12B8C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□ 分期验收（共分</w:t>
      </w:r>
      <w:r>
        <w:rPr>
          <w:rFonts w:ascii="宋体" w:hAnsi="宋体" w:eastAsia="宋体"/>
          <w:sz w:val="24"/>
          <w:szCs w:val="24"/>
        </w:rPr>
        <w:t xml:space="preserve">     期）</w:t>
      </w:r>
    </w:p>
    <w:p w14:paraId="50961996">
      <w:pPr>
        <w:spacing w:line="360" w:lineRule="auto"/>
        <w:ind w:firstLine="480" w:firstLineChars="200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（三）验收考核、评分内容</w:t>
      </w:r>
    </w:p>
    <w:p w14:paraId="00AA013C">
      <w:pPr>
        <w:rPr>
          <w:rFonts w:ascii="宋体" w:hAnsi="宋体" w:eastAsia="宋体"/>
          <w:sz w:val="24"/>
          <w:szCs w:val="24"/>
        </w:rPr>
      </w:pPr>
    </w:p>
    <w:tbl>
      <w:tblPr>
        <w:tblStyle w:val="6"/>
        <w:tblW w:w="831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2"/>
        <w:gridCol w:w="1595"/>
        <w:gridCol w:w="3118"/>
        <w:gridCol w:w="1134"/>
        <w:gridCol w:w="1512"/>
      </w:tblGrid>
      <w:tr w14:paraId="426FA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14FE0B5A">
            <w:pPr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序号</w:t>
            </w:r>
          </w:p>
        </w:tc>
        <w:tc>
          <w:tcPr>
            <w:tcW w:w="1595" w:type="dxa"/>
            <w:vAlign w:val="center"/>
          </w:tcPr>
          <w:p w14:paraId="71064A25">
            <w:pPr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考核内容</w:t>
            </w:r>
          </w:p>
        </w:tc>
        <w:tc>
          <w:tcPr>
            <w:tcW w:w="3118" w:type="dxa"/>
            <w:vAlign w:val="center"/>
          </w:tcPr>
          <w:p w14:paraId="1957599A">
            <w:pPr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标准及分值</w:t>
            </w:r>
          </w:p>
        </w:tc>
        <w:tc>
          <w:tcPr>
            <w:tcW w:w="1134" w:type="dxa"/>
            <w:vAlign w:val="center"/>
          </w:tcPr>
          <w:p w14:paraId="4715373F">
            <w:pPr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考核得分</w:t>
            </w:r>
          </w:p>
        </w:tc>
        <w:tc>
          <w:tcPr>
            <w:tcW w:w="1512" w:type="dxa"/>
            <w:vAlign w:val="center"/>
          </w:tcPr>
          <w:p w14:paraId="13F53E9C">
            <w:pPr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扣分原因</w:t>
            </w:r>
          </w:p>
        </w:tc>
      </w:tr>
      <w:tr w14:paraId="79C21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5187524D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1</w:t>
            </w:r>
          </w:p>
        </w:tc>
        <w:tc>
          <w:tcPr>
            <w:tcW w:w="1595" w:type="dxa"/>
            <w:vAlign w:val="center"/>
          </w:tcPr>
          <w:p w14:paraId="4C15ED2F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外包装完整</w:t>
            </w:r>
          </w:p>
          <w:p w14:paraId="19159E4F">
            <w:pPr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货物清单</w:t>
            </w:r>
          </w:p>
          <w:p w14:paraId="03737DFE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（10分）</w:t>
            </w:r>
          </w:p>
        </w:tc>
        <w:tc>
          <w:tcPr>
            <w:tcW w:w="3118" w:type="dxa"/>
            <w:vAlign w:val="center"/>
          </w:tcPr>
          <w:p w14:paraId="3312BD1B">
            <w:pPr>
              <w:jc w:val="left"/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14:ligatures w14:val="standardContextual"/>
              </w:rPr>
              <w:t>外包装无破损、无污渍、无变形，符合运输及存储规范（5 分）。</w:t>
            </w:r>
          </w:p>
          <w:p w14:paraId="32C29073">
            <w:pPr>
              <w:jc w:val="left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14:ligatures w14:val="standardContextual"/>
              </w:rPr>
              <w:t>货物清单与采购合同、响应文件中列明的产品名称、品牌、型号、数量、规格等信息完全一致，清单内容清晰、准确，加盖供应商公章（5 分）。</w:t>
            </w:r>
          </w:p>
        </w:tc>
        <w:tc>
          <w:tcPr>
            <w:tcW w:w="1134" w:type="dxa"/>
            <w:vAlign w:val="center"/>
          </w:tcPr>
          <w:p w14:paraId="371B4617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12" w:type="dxa"/>
            <w:vAlign w:val="center"/>
          </w:tcPr>
          <w:p w14:paraId="2C5CA8BD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tr w14:paraId="41495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2751479C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2</w:t>
            </w:r>
          </w:p>
        </w:tc>
        <w:tc>
          <w:tcPr>
            <w:tcW w:w="1595" w:type="dxa"/>
            <w:vAlign w:val="center"/>
          </w:tcPr>
          <w:p w14:paraId="4099F918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运行状况及</w:t>
            </w:r>
          </w:p>
          <w:p w14:paraId="4BF17155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安装调试等</w:t>
            </w:r>
          </w:p>
          <w:p w14:paraId="1969D0A6">
            <w:pPr>
              <w:spacing w:line="240" w:lineRule="exact"/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（10分）</w:t>
            </w:r>
          </w:p>
        </w:tc>
        <w:tc>
          <w:tcPr>
            <w:tcW w:w="3118" w:type="dxa"/>
            <w:vAlign w:val="center"/>
          </w:tcPr>
          <w:p w14:paraId="2CB53458">
            <w:pPr>
              <w:jc w:val="left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所有设备安装牢固、线路连接规范，无松动、裸露等安全隐患（3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- 设备通电后能正常启动，运行过程中无异常噪音、发热等现象（2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- 各项功能</w:t>
            </w:r>
            <w:r>
              <w:rPr>
                <w:rFonts w:hint="eastAsia" w:ascii="宋体" w:hAnsi="宋体" w:eastAsia="宋体" w:cs="宋体"/>
                <w:sz w:val="18"/>
                <w:szCs w:val="18"/>
                <w14:ligatures w14:val="standardContextual"/>
              </w:rPr>
              <w:t>，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均能正常实现，符合技术要求中对运行性能的规定（3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- 安装调试过程形成完整记录，包括调试步骤、参数设置、测试结果等，记录详实、规范（2 分）。</w:t>
            </w:r>
          </w:p>
        </w:tc>
        <w:tc>
          <w:tcPr>
            <w:tcW w:w="1134" w:type="dxa"/>
            <w:vAlign w:val="center"/>
          </w:tcPr>
          <w:p w14:paraId="62DA283E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12" w:type="dxa"/>
            <w:vAlign w:val="center"/>
          </w:tcPr>
          <w:p w14:paraId="6646B2E1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tr w14:paraId="22C0C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34E38762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3</w:t>
            </w:r>
          </w:p>
        </w:tc>
        <w:tc>
          <w:tcPr>
            <w:tcW w:w="1595" w:type="dxa"/>
            <w:vAlign w:val="center"/>
          </w:tcPr>
          <w:p w14:paraId="3B39450A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品牌、规格、型号、配置、配置零部件编号、制造商名称、数量、价格等</w:t>
            </w:r>
          </w:p>
          <w:p w14:paraId="24AA65E7">
            <w:pPr>
              <w:spacing w:line="240" w:lineRule="exact"/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（20分）</w:t>
            </w:r>
          </w:p>
        </w:tc>
        <w:tc>
          <w:tcPr>
            <w:tcW w:w="3118" w:type="dxa"/>
            <w:vAlign w:val="center"/>
          </w:tcPr>
          <w:p w14:paraId="461F89D1">
            <w:pPr>
              <w:jc w:val="left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产品品牌、规格、型号与响应文件及采购合同一致，无擅自更换情况（</w:t>
            </w:r>
            <w:r>
              <w:rPr>
                <w:rFonts w:hint="eastAsia" w:ascii="宋体" w:hAnsi="宋体" w:eastAsia="宋体" w:cs="宋体"/>
                <w:sz w:val="18"/>
                <w:szCs w:val="18"/>
                <w14:ligatures w14:val="standardContextual"/>
              </w:rPr>
              <w:t>4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 xml:space="preserve">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设备配置符合技术要求中的具体参数（</w:t>
            </w:r>
            <w:r>
              <w:rPr>
                <w:rFonts w:hint="eastAsia" w:ascii="宋体" w:hAnsi="宋体" w:eastAsia="宋体" w:cs="宋体"/>
                <w:sz w:val="18"/>
                <w:szCs w:val="18"/>
                <w14:ligatures w14:val="standardContextual"/>
              </w:rPr>
              <w:t>4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配置零部件编号清晰可查，与制造商提供的原厂编号一致（</w:t>
            </w:r>
            <w:r>
              <w:rPr>
                <w:rFonts w:hint="eastAsia" w:ascii="宋体" w:hAnsi="宋体" w:eastAsia="宋体" w:cs="宋体"/>
                <w:sz w:val="18"/>
                <w:szCs w:val="18"/>
                <w14:ligatures w14:val="standardContextual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制造商名称与响应文件中声明的一致，无伪造或冒用情况（</w:t>
            </w:r>
            <w:r>
              <w:rPr>
                <w:rFonts w:hint="eastAsia" w:ascii="宋体" w:hAnsi="宋体" w:eastAsia="宋体" w:cs="宋体"/>
                <w:sz w:val="18"/>
                <w:szCs w:val="18"/>
                <w14:ligatures w14:val="standardContextual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产品数量与采购合同及货物清单一致，无短缺或多余（</w:t>
            </w:r>
            <w:r>
              <w:rPr>
                <w:rFonts w:hint="eastAsia" w:ascii="宋体" w:hAnsi="宋体" w:eastAsia="宋体" w:cs="宋体"/>
                <w:sz w:val="18"/>
                <w:szCs w:val="18"/>
                <w14:ligatures w14:val="standardContextual"/>
              </w:rPr>
              <w:t>4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产品价格与响应文件及采购合同中的报价一致，无擅自加价或降价情况（</w:t>
            </w:r>
            <w:r>
              <w:rPr>
                <w:rFonts w:hint="eastAsia" w:ascii="宋体" w:hAnsi="宋体" w:eastAsia="宋体" w:cs="宋体"/>
                <w:sz w:val="18"/>
                <w:szCs w:val="18"/>
                <w14:ligatures w14:val="standardContextual"/>
              </w:rPr>
              <w:t>4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分）。</w:t>
            </w:r>
          </w:p>
        </w:tc>
        <w:tc>
          <w:tcPr>
            <w:tcW w:w="1134" w:type="dxa"/>
            <w:vAlign w:val="center"/>
          </w:tcPr>
          <w:p w14:paraId="52548FF6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12" w:type="dxa"/>
            <w:vAlign w:val="center"/>
          </w:tcPr>
          <w:p w14:paraId="1123BAC5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tr w14:paraId="276BC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58D2BB53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4</w:t>
            </w:r>
          </w:p>
        </w:tc>
        <w:tc>
          <w:tcPr>
            <w:tcW w:w="1595" w:type="dxa"/>
            <w:vAlign w:val="center"/>
          </w:tcPr>
          <w:p w14:paraId="5CEBCC20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检验证、合格证、保修证、说明书等质量证明文件</w:t>
            </w:r>
          </w:p>
          <w:p w14:paraId="5AE28C01">
            <w:pPr>
              <w:spacing w:line="240" w:lineRule="exact"/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（10分）</w:t>
            </w:r>
          </w:p>
        </w:tc>
        <w:tc>
          <w:tcPr>
            <w:tcW w:w="3118" w:type="dxa"/>
            <w:vAlign w:val="center"/>
          </w:tcPr>
          <w:p w14:paraId="0F0D7FC4">
            <w:pPr>
              <w:jc w:val="left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检验证、合格证由制造商出具，内容真实有效，注明产品型号、生产日期、检验结果等信息（2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保修证明确保修期限、保修范围、保修责任等内容，符合商务要求中 “至少 5 年免费上门保修” 规定（3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说明书包含产品原理、操作方法、维护保养、常见故障处理等内容，语言通俗易懂，图文清晰（3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所有质量证明文件均在有效期内，无涂改、伪造痕迹（2 分）。</w:t>
            </w:r>
          </w:p>
        </w:tc>
        <w:tc>
          <w:tcPr>
            <w:tcW w:w="1134" w:type="dxa"/>
            <w:vAlign w:val="center"/>
          </w:tcPr>
          <w:p w14:paraId="11AD3666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12" w:type="dxa"/>
            <w:vAlign w:val="center"/>
          </w:tcPr>
          <w:p w14:paraId="3D0C998F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tr w14:paraId="6D6FC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6CB4E913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5</w:t>
            </w:r>
          </w:p>
        </w:tc>
        <w:tc>
          <w:tcPr>
            <w:tcW w:w="1595" w:type="dxa"/>
            <w:vAlign w:val="center"/>
          </w:tcPr>
          <w:p w14:paraId="3C58B661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技术、性能</w:t>
            </w:r>
          </w:p>
          <w:p w14:paraId="7A6054A7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指标等</w:t>
            </w:r>
          </w:p>
          <w:p w14:paraId="52FABD21">
            <w:pPr>
              <w:spacing w:line="240" w:lineRule="exact"/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（10分）</w:t>
            </w:r>
          </w:p>
        </w:tc>
        <w:tc>
          <w:tcPr>
            <w:tcW w:w="3118" w:type="dxa"/>
            <w:vAlign w:val="center"/>
          </w:tcPr>
          <w:p w14:paraId="1F641180">
            <w:pPr>
              <w:jc w:val="left"/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</w:pP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产品各项技术参数符合技术要求中 “▲”“●” 及其他条款规定（5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性能指标达到技术要求及相关国家标准（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  <w14:ligatures w14:val="standardContextual"/>
              </w:rPr>
              <w:t>5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 xml:space="preserve"> 分）。</w:t>
            </w:r>
          </w:p>
        </w:tc>
        <w:tc>
          <w:tcPr>
            <w:tcW w:w="1134" w:type="dxa"/>
            <w:vAlign w:val="center"/>
          </w:tcPr>
          <w:p w14:paraId="06C45F14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12" w:type="dxa"/>
            <w:vAlign w:val="center"/>
          </w:tcPr>
          <w:p w14:paraId="36802748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tr w14:paraId="623B5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6E1785A2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6</w:t>
            </w:r>
          </w:p>
        </w:tc>
        <w:tc>
          <w:tcPr>
            <w:tcW w:w="1595" w:type="dxa"/>
            <w:vAlign w:val="center"/>
          </w:tcPr>
          <w:p w14:paraId="19C75C96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售后服务承诺、</w:t>
            </w:r>
          </w:p>
          <w:p w14:paraId="34CE798D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安全要求</w:t>
            </w:r>
          </w:p>
          <w:p w14:paraId="605FBBF4">
            <w:pPr>
              <w:spacing w:line="240" w:lineRule="exact"/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（20分）</w:t>
            </w:r>
          </w:p>
        </w:tc>
        <w:tc>
          <w:tcPr>
            <w:tcW w:w="3118" w:type="dxa"/>
            <w:vAlign w:val="center"/>
          </w:tcPr>
          <w:p w14:paraId="3CB897AA">
            <w:pPr>
              <w:jc w:val="left"/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</w:pP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施工人员持证上岗（如电工证等），施工过程遵守安全操作规范，无安全事故（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  <w14:ligatures w14:val="standardContextual"/>
              </w:rPr>
              <w:t>4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 xml:space="preserve">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施工现场设置安全警示标识，工具材料堆放有序（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  <w14:ligatures w14:val="standardContextual"/>
              </w:rPr>
              <w:t>3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 xml:space="preserve">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施工完成后现场清理干净，无遗留杂物，环境恢复原状（3 分）。</w:t>
            </w:r>
          </w:p>
          <w:p w14:paraId="1E8DBBC9">
            <w:pPr>
              <w:jc w:val="left"/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</w:pP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售后服务承诺包含至少 5 年免费上门保修、7×24 小时技术响应、4 小时内维修工程师到场等内容，明确可执行（4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产品及安装过程符合电气安全、消防安全等国家标准，无安全隐患（3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施工线材辅料质量合格，符合相关标准，安装规范（3 分）。</w:t>
            </w:r>
          </w:p>
        </w:tc>
        <w:tc>
          <w:tcPr>
            <w:tcW w:w="1134" w:type="dxa"/>
            <w:vAlign w:val="center"/>
          </w:tcPr>
          <w:p w14:paraId="0C37D38C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12" w:type="dxa"/>
            <w:vAlign w:val="center"/>
          </w:tcPr>
          <w:p w14:paraId="5043C936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tr w14:paraId="11ADD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5F4D77DC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7</w:t>
            </w:r>
          </w:p>
        </w:tc>
        <w:tc>
          <w:tcPr>
            <w:tcW w:w="1595" w:type="dxa"/>
            <w:vAlign w:val="center"/>
          </w:tcPr>
          <w:p w14:paraId="3F4297A6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合同履约情况及文件存档等</w:t>
            </w:r>
          </w:p>
          <w:p w14:paraId="508BF11F">
            <w:pPr>
              <w:spacing w:line="240" w:lineRule="exact"/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（10分）</w:t>
            </w:r>
          </w:p>
        </w:tc>
        <w:tc>
          <w:tcPr>
            <w:tcW w:w="3118" w:type="dxa"/>
            <w:vAlign w:val="center"/>
          </w:tcPr>
          <w:p w14:paraId="33D175B3">
            <w:pPr>
              <w:jc w:val="left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- 严格按照合同约定工期（签订合同后 15 日内到货，货到后 30 日内安装完成）履约，无逾期（4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- 合同约定的产品交付、安装调试、培训服务等内容均已完成，履约记录完整（3 分）。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br w:type="textWrapping"/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- 合同变更协议、补充协议等相关文件存档规范，内容真实有效（3 分）。</w:t>
            </w:r>
          </w:p>
        </w:tc>
        <w:tc>
          <w:tcPr>
            <w:tcW w:w="1134" w:type="dxa"/>
            <w:vAlign w:val="center"/>
          </w:tcPr>
          <w:p w14:paraId="4D22C7D7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12" w:type="dxa"/>
            <w:vAlign w:val="center"/>
          </w:tcPr>
          <w:p w14:paraId="307A7644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tr w14:paraId="79337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3FB3EBF0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8</w:t>
            </w:r>
          </w:p>
        </w:tc>
        <w:tc>
          <w:tcPr>
            <w:tcW w:w="1595" w:type="dxa"/>
            <w:vAlign w:val="center"/>
          </w:tcPr>
          <w:p w14:paraId="0578D486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其他验收内容</w:t>
            </w:r>
          </w:p>
          <w:p w14:paraId="0F0744DC">
            <w:pPr>
              <w:spacing w:line="240" w:lineRule="exact"/>
              <w:jc w:val="center"/>
              <w:rPr>
                <w:rFonts w:ascii="宋体" w:hAnsi="宋体" w:eastAsia="宋体"/>
                <w:b/>
                <w:bCs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和标准</w:t>
            </w:r>
          </w:p>
          <w:p w14:paraId="36BED8E8">
            <w:pPr>
              <w:spacing w:line="240" w:lineRule="exact"/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  <w14:ligatures w14:val="standardContextual"/>
              </w:rPr>
              <w:t>（10分）</w:t>
            </w:r>
          </w:p>
        </w:tc>
        <w:tc>
          <w:tcPr>
            <w:tcW w:w="3118" w:type="dxa"/>
            <w:vAlign w:val="center"/>
          </w:tcPr>
          <w:p w14:paraId="5C4188CE">
            <w:pPr>
              <w:jc w:val="left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>验收发现的问题已整改完毕，结果符合验收标准（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  <w14:ligatures w14:val="standardContextual"/>
              </w:rPr>
              <w:t>10</w:t>
            </w:r>
            <w:r>
              <w:rPr>
                <w:rFonts w:ascii="宋体" w:hAnsi="宋体" w:eastAsia="宋体" w:cs="宋体"/>
                <w:sz w:val="18"/>
                <w:szCs w:val="18"/>
                <w14:ligatures w14:val="standardContextual"/>
              </w:rPr>
              <w:t xml:space="preserve"> 分）。</w:t>
            </w:r>
          </w:p>
        </w:tc>
        <w:tc>
          <w:tcPr>
            <w:tcW w:w="1134" w:type="dxa"/>
            <w:vAlign w:val="center"/>
          </w:tcPr>
          <w:p w14:paraId="2F81F3D3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12" w:type="dxa"/>
            <w:vAlign w:val="center"/>
          </w:tcPr>
          <w:p w14:paraId="0D9DE03C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tr w14:paraId="1D553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2" w:type="dxa"/>
            <w:vAlign w:val="center"/>
          </w:tcPr>
          <w:p w14:paraId="7DCE6BF3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95" w:type="dxa"/>
            <w:vAlign w:val="center"/>
          </w:tcPr>
          <w:p w14:paraId="0FF31EA6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3118" w:type="dxa"/>
            <w:vAlign w:val="center"/>
          </w:tcPr>
          <w:p w14:paraId="20394971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134" w:type="dxa"/>
            <w:vAlign w:val="center"/>
          </w:tcPr>
          <w:p w14:paraId="5F585DA7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  <w:tc>
          <w:tcPr>
            <w:tcW w:w="1512" w:type="dxa"/>
            <w:vAlign w:val="center"/>
          </w:tcPr>
          <w:p w14:paraId="70CB5292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tr w14:paraId="5B3FC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547" w:type="dxa"/>
            <w:gridSpan w:val="2"/>
            <w:vAlign w:val="center"/>
          </w:tcPr>
          <w:p w14:paraId="0F8C4C17">
            <w:pPr>
              <w:jc w:val="center"/>
              <w:rPr>
                <w:rFonts w:ascii="黑体" w:hAnsi="黑体" w:eastAsia="黑体"/>
                <w:sz w:val="24"/>
                <w:szCs w:val="24"/>
                <w14:ligatures w14:val="standardContextual"/>
              </w:rPr>
            </w:pPr>
            <w:r>
              <w:rPr>
                <w:rFonts w:hint="eastAsia" w:ascii="黑体" w:hAnsi="黑体" w:eastAsia="黑体"/>
                <w:sz w:val="24"/>
                <w:szCs w:val="24"/>
                <w14:ligatures w14:val="standardContextual"/>
              </w:rPr>
              <w:t>验收工作</w:t>
            </w:r>
          </w:p>
          <w:p w14:paraId="44C9D0B6">
            <w:pPr>
              <w:jc w:val="center"/>
              <w:rPr>
                <w:rFonts w:ascii="黑体" w:hAnsi="黑体" w:eastAsia="黑体"/>
                <w:sz w:val="24"/>
                <w:szCs w:val="24"/>
                <w14:ligatures w14:val="standardContextual"/>
              </w:rPr>
            </w:pPr>
            <w:r>
              <w:rPr>
                <w:rFonts w:hint="eastAsia" w:ascii="黑体" w:hAnsi="黑体" w:eastAsia="黑体"/>
                <w:sz w:val="24"/>
                <w:szCs w:val="24"/>
                <w14:ligatures w14:val="standardContextual"/>
              </w:rPr>
              <w:t>相关附件明细</w:t>
            </w:r>
          </w:p>
          <w:p w14:paraId="3D83B110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黑体" w:hAnsi="黑体" w:eastAsia="黑体"/>
                <w:sz w:val="24"/>
                <w:szCs w:val="24"/>
                <w14:ligatures w14:val="standardContextual"/>
              </w:rPr>
              <w:t>（如有）</w:t>
            </w:r>
          </w:p>
        </w:tc>
        <w:tc>
          <w:tcPr>
            <w:tcW w:w="5764" w:type="dxa"/>
            <w:gridSpan w:val="3"/>
          </w:tcPr>
          <w:p w14:paraId="4CAB4EFA">
            <w:pPr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1</w:t>
            </w:r>
            <w:r>
              <w:rPr>
                <w:rFonts w:ascii="宋体" w:hAnsi="宋体" w:eastAsia="宋体"/>
                <w:szCs w:val="21"/>
                <w14:ligatures w14:val="standardContextual"/>
              </w:rPr>
              <w:t>.</w:t>
            </w:r>
          </w:p>
          <w:p w14:paraId="010BC1BF">
            <w:pPr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2</w:t>
            </w:r>
            <w:r>
              <w:rPr>
                <w:rFonts w:ascii="宋体" w:hAnsi="宋体" w:eastAsia="宋体"/>
                <w:szCs w:val="21"/>
                <w14:ligatures w14:val="standardContextual"/>
              </w:rPr>
              <w:t>.</w:t>
            </w:r>
          </w:p>
          <w:p w14:paraId="55F2FD2F">
            <w:pPr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ascii="宋体" w:hAnsi="宋体" w:eastAsia="宋体"/>
                <w:szCs w:val="21"/>
                <w14:ligatures w14:val="standardContextual"/>
              </w:rPr>
              <w:t>3.</w:t>
            </w:r>
          </w:p>
          <w:p w14:paraId="2EC8B71E">
            <w:pPr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4</w:t>
            </w:r>
            <w:r>
              <w:rPr>
                <w:rFonts w:ascii="宋体" w:hAnsi="宋体" w:eastAsia="宋体"/>
                <w:szCs w:val="21"/>
                <w14:ligatures w14:val="standardContextual"/>
              </w:rPr>
              <w:t>.</w:t>
            </w:r>
          </w:p>
          <w:p w14:paraId="7103EA3B">
            <w:pPr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5</w:t>
            </w:r>
            <w:r>
              <w:rPr>
                <w:rFonts w:ascii="宋体" w:hAnsi="宋体" w:eastAsia="宋体"/>
                <w:szCs w:val="21"/>
                <w14:ligatures w14:val="standardContextual"/>
              </w:rPr>
              <w:t>.</w:t>
            </w:r>
          </w:p>
        </w:tc>
      </w:tr>
      <w:tr w14:paraId="1C852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547" w:type="dxa"/>
            <w:gridSpan w:val="2"/>
            <w:vAlign w:val="center"/>
          </w:tcPr>
          <w:p w14:paraId="47BC412D">
            <w:pPr>
              <w:jc w:val="center"/>
              <w:rPr>
                <w:rFonts w:ascii="宋体" w:hAnsi="宋体" w:eastAsia="宋体"/>
                <w:szCs w:val="21"/>
                <w14:ligatures w14:val="standardContextual"/>
              </w:rPr>
            </w:pPr>
            <w:r>
              <w:rPr>
                <w:rFonts w:hint="eastAsia" w:ascii="宋体" w:hAnsi="宋体" w:eastAsia="宋体"/>
                <w:szCs w:val="21"/>
                <w14:ligatures w14:val="standardContextual"/>
              </w:rPr>
              <w:t>考核负责人签字</w:t>
            </w:r>
          </w:p>
        </w:tc>
        <w:tc>
          <w:tcPr>
            <w:tcW w:w="5764" w:type="dxa"/>
            <w:gridSpan w:val="3"/>
            <w:vAlign w:val="center"/>
          </w:tcPr>
          <w:p w14:paraId="215A33E2">
            <w:pPr>
              <w:rPr>
                <w:rFonts w:ascii="宋体" w:hAnsi="宋体" w:eastAsia="宋体"/>
                <w:szCs w:val="21"/>
                <w14:ligatures w14:val="standardContextual"/>
              </w:rPr>
            </w:pPr>
          </w:p>
        </w:tc>
      </w:tr>
      <w:bookmarkEnd w:id="0"/>
    </w:tbl>
    <w:p w14:paraId="218C04D0">
      <w:pPr>
        <w:rPr>
          <w:rFonts w:ascii="黑体" w:hAnsi="黑体" w:eastAsia="黑体"/>
          <w:sz w:val="28"/>
          <w:szCs w:val="28"/>
        </w:rPr>
      </w:pPr>
      <w:bookmarkStart w:id="1" w:name="_GoBack"/>
      <w:bookmarkEnd w:id="1"/>
    </w:p>
    <w:p w14:paraId="452B2135"/>
    <w:sectPr>
      <w:footerReference r:id="rId3" w:type="default"/>
      <w:pgSz w:w="11906" w:h="16838"/>
      <w:pgMar w:top="1440" w:right="1800" w:bottom="1440" w:left="1800" w:header="851" w:footer="85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1549021"/>
    </w:sdtPr>
    <w:sdtEndPr>
      <w:rPr>
        <w:rFonts w:ascii="宋体" w:hAnsi="宋体" w:eastAsia="宋体"/>
        <w:sz w:val="21"/>
        <w:szCs w:val="21"/>
      </w:rPr>
    </w:sdtEndPr>
    <w:sdtContent>
      <w:p w14:paraId="319373DA">
        <w:pPr>
          <w:pStyle w:val="3"/>
          <w:jc w:val="center"/>
          <w:rPr>
            <w:rFonts w:ascii="宋体" w:hAnsi="宋体" w:eastAsia="宋体"/>
            <w:sz w:val="21"/>
            <w:szCs w:val="21"/>
          </w:rPr>
        </w:pPr>
        <w:r>
          <w:rPr>
            <w:rFonts w:ascii="宋体" w:hAnsi="宋体" w:eastAsia="宋体"/>
            <w:sz w:val="21"/>
            <w:szCs w:val="21"/>
          </w:rPr>
          <w:fldChar w:fldCharType="begin"/>
        </w:r>
        <w:r>
          <w:rPr>
            <w:rFonts w:ascii="宋体" w:hAnsi="宋体" w:eastAsia="宋体"/>
            <w:sz w:val="21"/>
            <w:szCs w:val="21"/>
          </w:rPr>
          <w:instrText xml:space="preserve">PAGE   \* MERGEFORMAT</w:instrText>
        </w:r>
        <w:r>
          <w:rPr>
            <w:rFonts w:ascii="宋体" w:hAnsi="宋体" w:eastAsia="宋体"/>
            <w:sz w:val="21"/>
            <w:szCs w:val="21"/>
          </w:rPr>
          <w:fldChar w:fldCharType="separate"/>
        </w:r>
        <w:r>
          <w:rPr>
            <w:rFonts w:ascii="宋体" w:hAnsi="宋体" w:eastAsia="宋体"/>
            <w:sz w:val="21"/>
            <w:szCs w:val="21"/>
            <w:lang w:val="zh-CN"/>
          </w:rPr>
          <w:t>2</w:t>
        </w:r>
        <w:r>
          <w:rPr>
            <w:rFonts w:ascii="宋体" w:hAnsi="宋体" w:eastAsia="宋体"/>
            <w:sz w:val="21"/>
            <w:szCs w:val="21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5947AA"/>
    <w:multiLevelType w:val="singleLevel"/>
    <w:tmpl w:val="A65947AA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167D674A"/>
    <w:multiLevelType w:val="multilevel"/>
    <w:tmpl w:val="167D674A"/>
    <w:lvl w:ilvl="0" w:tentative="0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E52ECB"/>
    <w:rsid w:val="000432B1"/>
    <w:rsid w:val="00060581"/>
    <w:rsid w:val="000729E5"/>
    <w:rsid w:val="001057C3"/>
    <w:rsid w:val="001929C0"/>
    <w:rsid w:val="00316CAA"/>
    <w:rsid w:val="003D19EA"/>
    <w:rsid w:val="004C0D86"/>
    <w:rsid w:val="005C3435"/>
    <w:rsid w:val="006352B3"/>
    <w:rsid w:val="006A4151"/>
    <w:rsid w:val="006D5A76"/>
    <w:rsid w:val="008712EF"/>
    <w:rsid w:val="008E558B"/>
    <w:rsid w:val="00914B45"/>
    <w:rsid w:val="00A913DA"/>
    <w:rsid w:val="00B17395"/>
    <w:rsid w:val="00B86599"/>
    <w:rsid w:val="00BF7E3A"/>
    <w:rsid w:val="00CB26E1"/>
    <w:rsid w:val="00DE0ECF"/>
    <w:rsid w:val="00E44A74"/>
    <w:rsid w:val="00F0565E"/>
    <w:rsid w:val="00F52157"/>
    <w:rsid w:val="00F76AC6"/>
    <w:rsid w:val="19426C02"/>
    <w:rsid w:val="38A9509F"/>
    <w:rsid w:val="38C3332E"/>
    <w:rsid w:val="39FF3824"/>
    <w:rsid w:val="6A5A06B4"/>
    <w:rsid w:val="72E52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99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rPr>
      <w14:ligatures w14:val="standardContextu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annotation reference"/>
    <w:basedOn w:val="7"/>
    <w:semiHidden/>
    <w:unhideWhenUsed/>
    <w:qFormat/>
    <w:uiPriority w:val="99"/>
    <w:rPr>
      <w:sz w:val="21"/>
      <w:szCs w:val="21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字符"/>
    <w:basedOn w:val="7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573</Words>
  <Characters>580</Characters>
  <Lines>84</Lines>
  <Paragraphs>23</Paragraphs>
  <TotalTime>74</TotalTime>
  <ScaleCrop>false</ScaleCrop>
  <LinksUpToDate>false</LinksUpToDate>
  <CharactersWithSpaces>581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2025-06-26T05:56:00Z</dcterms:created>
  <dc:creator>商洪竣</dc:creator>
  <cp:lastModifiedBy>古灵娇妍</cp:lastModifiedBy>
  <cp:lastPrinted>2025-06-26T05:59:00Z</cp:lastPrinted>
  <dcterms:modified xsi:type="dcterms:W3CDTF">2025-08-12T02:05:26Z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CBCE5D7A321A4EED98499791BE48F7AD_13</vt:lpwstr>
  </property>
  <property fmtid="{D5CDD505-2E9C-101B-9397-08002B2CF9AE}" pid="4" name="KSOTemplateDocerSaveRecord">
    <vt:lpwstr>eyJoZGlkIjoiMjMxMzdjYjQ0ZDE4YjMzZjQxMTFlNjkzOTE0ZGNlOTQiLCJ1c2VySWQiOiI4NTI0Njg3NjQifQ==</vt:lpwstr>
  </property>
</Properties>
</file>