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851F0E">
      <w:pPr>
        <w:pStyle w:val="2"/>
        <w:rPr>
          <w:rFonts w:hint="eastAsia"/>
        </w:rPr>
      </w:pPr>
      <w:r>
        <w:rPr>
          <w:rFonts w:hint="eastAsia"/>
        </w:rPr>
        <w:t>项目需求书（货物</w:t>
      </w:r>
      <w:r>
        <w:t>-</w:t>
      </w:r>
      <w:r>
        <w:rPr>
          <w:rFonts w:hint="eastAsia"/>
        </w:rPr>
        <w:t>通用类）</w:t>
      </w:r>
    </w:p>
    <w:p w14:paraId="45CE5516">
      <w:pPr>
        <w:spacing w:line="360" w:lineRule="auto"/>
        <w:ind w:firstLine="480" w:firstLineChars="200"/>
        <w:rPr>
          <w:sz w:val="24"/>
        </w:rPr>
      </w:pPr>
    </w:p>
    <w:p w14:paraId="121224F7">
      <w:pPr>
        <w:spacing w:line="360" w:lineRule="auto"/>
        <w:ind w:firstLine="482" w:firstLineChars="200"/>
        <w:rPr>
          <w:rFonts w:hint="eastAsia" w:ascii="宋体" w:hAnsi="宋体"/>
          <w:b/>
          <w:sz w:val="24"/>
        </w:rPr>
      </w:pPr>
      <w:r>
        <w:rPr>
          <w:rFonts w:hint="eastAsia" w:ascii="宋体" w:hAnsi="宋体"/>
          <w:b/>
          <w:sz w:val="24"/>
        </w:rPr>
        <w:t>一、项目背景</w:t>
      </w:r>
    </w:p>
    <w:p w14:paraId="470FCA9A">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我院内镜中心目前信息化水平相对薄弱，缺乏统一集成的内镜专用信息平台，诊疗数据分散、流程管理不规范，难以支撑高质量内镜业务开展。配套在用的内镜工作站共3套，其中设备6台为 2019年前购置，设备老化、运行卡顿、兼容性差，已不能满足内镜业务系统稳定运行需求。</w:t>
      </w:r>
      <w:r>
        <w:rPr>
          <w:rFonts w:hint="eastAsia" w:ascii="Times New Roman" w:hAnsi="Times New Roman" w:cs="Times New Roman"/>
          <w:sz w:val="24"/>
          <w:szCs w:val="24"/>
        </w:rPr>
        <w:t xml:space="preserve">造成在科研统计，教学分析工作方面带来诸多不便，无法进行疾病相关性的深层次挖掘与分析； </w:t>
      </w:r>
    </w:p>
    <w:p w14:paraId="40F3B875">
      <w:pPr>
        <w:spacing w:line="360" w:lineRule="auto"/>
        <w:ind w:firstLine="480" w:firstLineChars="200"/>
        <w:rPr>
          <w:rFonts w:ascii="Times New Roman" w:hAnsi="Times New Roman" w:cs="Times New Roman"/>
          <w:b/>
          <w:sz w:val="24"/>
          <w:szCs w:val="24"/>
          <w:highlight w:val="yellow"/>
        </w:rPr>
      </w:pPr>
      <w:r>
        <w:rPr>
          <w:rFonts w:hint="eastAsia" w:ascii="Times New Roman" w:hAnsi="Times New Roman" w:cs="Times New Roman"/>
          <w:sz w:val="24"/>
          <w:szCs w:val="24"/>
        </w:rPr>
        <w:t>依托人工智能、内镜影像智能分析技术，更新消化内镜图文系统，搭建一体化内镜诊疗智能质控体系；实现内镜全流程质控智能化、内镜数据管理规范化，全面提升消化内镜诊疗质量、降低漏诊风险，同时打通内镜临床数据价值，高效支撑院内科研统计、教学复盘及疾病深度分析工作。</w:t>
      </w:r>
    </w:p>
    <w:p w14:paraId="78B6E747">
      <w:pPr>
        <w:spacing w:line="360" w:lineRule="auto"/>
        <w:ind w:firstLine="482" w:firstLineChars="200"/>
        <w:rPr>
          <w:b/>
          <w:sz w:val="24"/>
        </w:rPr>
      </w:pPr>
      <w:r>
        <w:rPr>
          <w:b/>
          <w:sz w:val="24"/>
        </w:rPr>
        <w:t>二、项目预算</w:t>
      </w:r>
    </w:p>
    <w:p w14:paraId="3A981E82">
      <w:pPr>
        <w:spacing w:line="360" w:lineRule="auto"/>
        <w:ind w:firstLine="480" w:firstLineChars="200"/>
        <w:rPr>
          <w:sz w:val="24"/>
        </w:rPr>
      </w:pPr>
      <w:r>
        <w:rPr>
          <w:rFonts w:hint="eastAsia"/>
          <w:sz w:val="24"/>
        </w:rPr>
        <w:t>第一包：</w:t>
      </w:r>
      <w:r>
        <w:rPr>
          <w:rFonts w:hint="eastAsia" w:ascii="Times New Roman" w:hAnsi="Times New Roman" w:eastAsia="宋体" w:cs="Times New Roman"/>
          <w:sz w:val="24"/>
          <w:szCs w:val="24"/>
        </w:rPr>
        <w:t>¥132,5000.00元</w:t>
      </w:r>
      <w:r>
        <w:rPr>
          <w:rFonts w:hint="eastAsia"/>
          <w:sz w:val="24"/>
        </w:rPr>
        <w:t>；</w:t>
      </w:r>
    </w:p>
    <w:p w14:paraId="3854527D">
      <w:pPr>
        <w:spacing w:line="360" w:lineRule="auto"/>
        <w:ind w:firstLine="482" w:firstLineChars="200"/>
        <w:rPr>
          <w:rFonts w:hint="eastAsia" w:ascii="宋体" w:hAnsi="宋体"/>
          <w:b/>
          <w:sz w:val="24"/>
        </w:rPr>
      </w:pPr>
      <w:r>
        <w:rPr>
          <w:rFonts w:hint="eastAsia" w:ascii="宋体" w:hAnsi="宋体"/>
          <w:b/>
          <w:sz w:val="24"/>
        </w:rPr>
        <w:t>三、资格要求</w:t>
      </w:r>
    </w:p>
    <w:p w14:paraId="208EA2CC">
      <w:pPr>
        <w:spacing w:line="360" w:lineRule="auto"/>
        <w:ind w:firstLine="480" w:firstLineChars="200"/>
        <w:rPr>
          <w:rFonts w:ascii="宋体" w:hAnsi="宋体"/>
          <w:sz w:val="24"/>
        </w:rPr>
      </w:pPr>
      <w:r>
        <w:rPr>
          <w:rFonts w:hint="eastAsia" w:ascii="宋体" w:hAnsi="宋体"/>
          <w:sz w:val="24"/>
        </w:rPr>
        <w:t>（一）</w:t>
      </w:r>
      <w:r>
        <w:rPr>
          <w:rFonts w:hint="eastAsia" w:ascii="宋体" w:hAnsi="宋体"/>
          <w:color w:val="FF0000"/>
          <w:sz w:val="24"/>
        </w:rPr>
        <w:t>根据现行法律法规的要求，设置供应商投标的特定资格条件</w:t>
      </w:r>
      <w:r>
        <w:rPr>
          <w:rFonts w:hint="eastAsia" w:ascii="宋体" w:hAnsi="宋体"/>
          <w:sz w:val="24"/>
        </w:rPr>
        <w:t>。</w:t>
      </w:r>
    </w:p>
    <w:p w14:paraId="31371A34">
      <w:pPr>
        <w:spacing w:line="360" w:lineRule="auto"/>
        <w:ind w:left="210" w:leftChars="100" w:firstLine="480" w:firstLineChars="200"/>
        <w:rPr>
          <w:rFonts w:hint="eastAsia" w:ascii="宋体" w:hAnsi="宋体"/>
          <w:sz w:val="24"/>
        </w:rPr>
      </w:pPr>
      <w:r>
        <w:rPr>
          <w:rFonts w:hint="eastAsia" w:ascii="宋体" w:hAnsi="宋体"/>
          <w:sz w:val="24"/>
        </w:rPr>
        <w:t>1.投标人须在中华人民共和国境内注册，具有独立承担民事责任的能力和经营许可，向采购人提供货物和服务的法人、其他组织或自然人，须提供相关证明材料，其中：</w:t>
      </w:r>
    </w:p>
    <w:p w14:paraId="2B607752">
      <w:pPr>
        <w:spacing w:line="360" w:lineRule="auto"/>
        <w:ind w:firstLine="480" w:firstLineChars="200"/>
        <w:rPr>
          <w:rFonts w:hint="eastAsia" w:ascii="宋体" w:hAnsi="宋体"/>
          <w:sz w:val="24"/>
        </w:rPr>
      </w:pPr>
      <w:r>
        <w:rPr>
          <w:rFonts w:hint="eastAsia" w:ascii="宋体" w:hAnsi="宋体"/>
          <w:sz w:val="24"/>
        </w:rPr>
        <w:t>1)供应商是企业（包括合伙企业）的，应提供其在市场监督管理部门注册的有效“企业法人营业执照”或“营业执照”的复印件；</w:t>
      </w:r>
    </w:p>
    <w:p w14:paraId="55BE65CD">
      <w:pPr>
        <w:spacing w:line="360" w:lineRule="auto"/>
        <w:ind w:firstLine="480" w:firstLineChars="200"/>
        <w:rPr>
          <w:rFonts w:hint="eastAsia" w:ascii="宋体" w:hAnsi="宋体"/>
          <w:sz w:val="24"/>
        </w:rPr>
      </w:pPr>
      <w:r>
        <w:rPr>
          <w:rFonts w:hint="eastAsia" w:ascii="宋体" w:hAnsi="宋体"/>
          <w:sz w:val="24"/>
        </w:rPr>
        <w:t>2)供应商是事业单位的，应提供其有效的“事业单位法人证书”复印件；</w:t>
      </w:r>
    </w:p>
    <w:p w14:paraId="28AB2A5C">
      <w:pPr>
        <w:spacing w:line="360" w:lineRule="auto"/>
        <w:ind w:firstLine="480" w:firstLineChars="200"/>
        <w:rPr>
          <w:rFonts w:hint="eastAsia" w:ascii="宋体" w:hAnsi="宋体"/>
          <w:sz w:val="24"/>
        </w:rPr>
      </w:pPr>
      <w:r>
        <w:rPr>
          <w:rFonts w:hint="eastAsia" w:ascii="宋体" w:hAnsi="宋体"/>
          <w:sz w:val="24"/>
        </w:rPr>
        <w:t>3)供应商是非企业专业服务机构的，应提供其有效的执业许可证复印件；</w:t>
      </w:r>
    </w:p>
    <w:p w14:paraId="0930C286">
      <w:pPr>
        <w:spacing w:line="360" w:lineRule="auto"/>
        <w:ind w:firstLine="480" w:firstLineChars="200"/>
        <w:rPr>
          <w:rFonts w:hint="eastAsia" w:ascii="宋体" w:hAnsi="宋体"/>
          <w:sz w:val="24"/>
        </w:rPr>
      </w:pPr>
      <w:r>
        <w:rPr>
          <w:rFonts w:hint="eastAsia" w:ascii="宋体" w:hAnsi="宋体"/>
          <w:sz w:val="24"/>
        </w:rPr>
        <w:t>4)供应商是个体工商户的，应提供其有效的“个体工商户营业执照”复印件；</w:t>
      </w:r>
    </w:p>
    <w:p w14:paraId="19F00458">
      <w:pPr>
        <w:spacing w:line="360" w:lineRule="auto"/>
        <w:ind w:firstLine="480" w:firstLineChars="200"/>
        <w:rPr>
          <w:rFonts w:hint="eastAsia" w:ascii="宋体" w:hAnsi="宋体"/>
          <w:sz w:val="24"/>
        </w:rPr>
      </w:pPr>
      <w:r>
        <w:rPr>
          <w:rFonts w:hint="eastAsia" w:ascii="宋体" w:hAnsi="宋体"/>
          <w:sz w:val="24"/>
        </w:rPr>
        <w:t>5)供应商是自然人的，应提供其有效的自然人身份证明。</w:t>
      </w:r>
    </w:p>
    <w:p w14:paraId="75EF8717">
      <w:pPr>
        <w:spacing w:line="360" w:lineRule="auto"/>
        <w:ind w:firstLine="480" w:firstLineChars="200"/>
        <w:rPr>
          <w:rFonts w:hint="eastAsia" w:ascii="宋体" w:hAnsi="宋体"/>
          <w:sz w:val="24"/>
        </w:rPr>
      </w:pPr>
      <w:r>
        <w:rPr>
          <w:rFonts w:hint="eastAsia" w:ascii="宋体" w:hAnsi="宋体"/>
          <w:sz w:val="24"/>
        </w:rPr>
        <w:t>2.投标人须具有依法缴纳税收和社会保障资金的良好记录，须提供相关证明材料，其中：</w:t>
      </w:r>
    </w:p>
    <w:p w14:paraId="5E33F4B8">
      <w:pPr>
        <w:spacing w:line="360" w:lineRule="auto"/>
        <w:ind w:firstLine="480" w:firstLineChars="200"/>
        <w:rPr>
          <w:rFonts w:hint="eastAsia" w:ascii="宋体" w:hAnsi="宋体"/>
          <w:sz w:val="24"/>
        </w:rPr>
      </w:pPr>
      <w:r>
        <w:rPr>
          <w:rFonts w:hint="eastAsia" w:ascii="宋体" w:hAnsi="宋体"/>
          <w:sz w:val="24"/>
        </w:rPr>
        <w:t>1)供应商是法人的，缴纳税收的证明材料，应提供开标前三个月内任意一个月的依法缴税凭据复印件；</w:t>
      </w:r>
    </w:p>
    <w:p w14:paraId="52B9F619">
      <w:pPr>
        <w:spacing w:line="360" w:lineRule="auto"/>
        <w:ind w:firstLine="480" w:firstLineChars="200"/>
        <w:rPr>
          <w:rFonts w:hint="eastAsia" w:ascii="宋体" w:hAnsi="宋体"/>
          <w:sz w:val="24"/>
        </w:rPr>
      </w:pPr>
      <w:r>
        <w:rPr>
          <w:rFonts w:hint="eastAsia" w:ascii="宋体" w:hAnsi="宋体"/>
          <w:sz w:val="24"/>
        </w:rPr>
        <w:t>2)供应商是法人的，缴纳社会保障资金的证明材料，应提供开标前三个月内任意一个月的缴纳社会保险的凭据（专用收据或社会保险缴纳清单）复印件；</w:t>
      </w:r>
    </w:p>
    <w:p w14:paraId="42A57449">
      <w:pPr>
        <w:spacing w:line="360" w:lineRule="auto"/>
        <w:ind w:firstLine="480" w:firstLineChars="200"/>
        <w:rPr>
          <w:rFonts w:hint="eastAsia" w:ascii="宋体" w:hAnsi="宋体"/>
          <w:sz w:val="24"/>
        </w:rPr>
      </w:pPr>
      <w:r>
        <w:rPr>
          <w:rFonts w:hint="eastAsia" w:ascii="宋体" w:hAnsi="宋体"/>
          <w:sz w:val="24"/>
        </w:rPr>
        <w:t>3)供应商是其他组织和自然人的，需要提供开标前三个月内任意一个月的缴纳税收和社会保险的凭据。</w:t>
      </w:r>
    </w:p>
    <w:p w14:paraId="7209708D">
      <w:pPr>
        <w:spacing w:line="360" w:lineRule="auto"/>
        <w:ind w:firstLine="480" w:firstLineChars="200"/>
        <w:rPr>
          <w:rFonts w:hint="eastAsia" w:ascii="宋体" w:hAnsi="宋体"/>
          <w:sz w:val="24"/>
        </w:rPr>
      </w:pPr>
      <w:r>
        <w:rPr>
          <w:rFonts w:hint="eastAsia" w:ascii="宋体" w:hAnsi="宋体"/>
          <w:sz w:val="24"/>
        </w:rPr>
        <w:t>注：依法免税或不需要缴纳社会保障资金的供应商，须提供相应文件证明其依法免税或不需要缴纳社会保障资金。</w:t>
      </w:r>
    </w:p>
    <w:p w14:paraId="0DEC58F7">
      <w:pPr>
        <w:spacing w:line="360" w:lineRule="auto"/>
        <w:ind w:firstLine="480" w:firstLineChars="200"/>
        <w:rPr>
          <w:rFonts w:hint="eastAsia" w:ascii="宋体" w:hAnsi="宋体"/>
          <w:sz w:val="24"/>
        </w:rPr>
      </w:pPr>
      <w:r>
        <w:rPr>
          <w:rFonts w:hint="eastAsia" w:ascii="宋体" w:hAnsi="宋体"/>
          <w:sz w:val="24"/>
        </w:rPr>
        <w:t>3.近三年内（本项目投标截止期前）投标人在经营活动中没有重大违法记录，其中：</w:t>
      </w:r>
    </w:p>
    <w:p w14:paraId="4AC2210C">
      <w:pPr>
        <w:spacing w:line="360" w:lineRule="auto"/>
        <w:ind w:firstLine="480" w:firstLineChars="200"/>
        <w:rPr>
          <w:rFonts w:hint="eastAsia" w:ascii="宋体" w:hAnsi="宋体"/>
          <w:sz w:val="24"/>
        </w:rPr>
      </w:pPr>
      <w:r>
        <w:rPr>
          <w:rFonts w:hint="eastAsia" w:ascii="宋体" w:hAnsi="宋体"/>
          <w:sz w:val="24"/>
        </w:rPr>
        <w:t>1)重大违法记录是指供应商因违法经营受到刑事处罚或者责令停产停业、吊销许可证或者执照、较大数额</w:t>
      </w:r>
      <w:bookmarkStart w:id="4" w:name="_GoBack"/>
      <w:bookmarkEnd w:id="4"/>
      <w:r>
        <w:rPr>
          <w:rFonts w:hint="eastAsia" w:ascii="宋体" w:hAnsi="宋体"/>
          <w:sz w:val="24"/>
        </w:rPr>
        <w:t>罚款等行政处罚；</w:t>
      </w:r>
    </w:p>
    <w:p w14:paraId="70568BAD">
      <w:pPr>
        <w:spacing w:line="360" w:lineRule="auto"/>
        <w:ind w:firstLine="480" w:firstLineChars="200"/>
        <w:rPr>
          <w:rFonts w:hint="eastAsia" w:ascii="宋体" w:hAnsi="宋体"/>
          <w:sz w:val="24"/>
        </w:rPr>
      </w:pPr>
      <w:r>
        <w:rPr>
          <w:rFonts w:hint="eastAsia" w:ascii="宋体" w:hAnsi="宋体"/>
          <w:sz w:val="24"/>
        </w:rPr>
        <w:t>2)供应商须提供参与本采购活动前三年内在经营活动中没有重大违法记录的书面声明。</w:t>
      </w:r>
    </w:p>
    <w:p w14:paraId="350CE7CA">
      <w:pPr>
        <w:spacing w:line="360" w:lineRule="auto"/>
        <w:ind w:firstLine="480" w:firstLineChars="200"/>
        <w:rPr>
          <w:rFonts w:hint="eastAsia" w:ascii="宋体" w:hAnsi="宋体"/>
          <w:sz w:val="24"/>
        </w:rPr>
      </w:pPr>
      <w:r>
        <w:rPr>
          <w:rFonts w:hint="eastAsia" w:ascii="宋体" w:hAnsi="宋体"/>
          <w:sz w:val="24"/>
        </w:rPr>
        <w:t>4.投标人被“信用中国”网站（www.creditchina.gov.cn）列入失信被执行人和重大税收违法案件当事人名单的、被“中国政府采购网”网站（www.ccgp.gov.cn）列入政府采购严重违法失信行为记录名单（处罚期限尚未届满的），不得参与本项目的政府采购活动，供应商须提供没有上述失信行为和重大税收违法案件记录的书面声明。</w:t>
      </w:r>
    </w:p>
    <w:p w14:paraId="4ABD9C2A">
      <w:pPr>
        <w:spacing w:line="360" w:lineRule="auto"/>
        <w:ind w:firstLine="480" w:firstLineChars="200"/>
        <w:rPr>
          <w:rFonts w:hint="eastAsia" w:ascii="宋体" w:hAnsi="宋体"/>
          <w:sz w:val="24"/>
        </w:rPr>
      </w:pPr>
      <w:r>
        <w:rPr>
          <w:rFonts w:hint="eastAsia" w:ascii="宋体" w:hAnsi="宋体"/>
          <w:sz w:val="24"/>
        </w:rPr>
        <w:t>同时，采购人或采购代理机构依法对投标人的资格进行审查时，将于本项目查询截止时点在“信用中国”和“中国政府采购网”网站上对供应商进行没有上款所述失信行为和重大税收违法案件记录查询并打印查询记录，查询截止时点为：本项目投标截止期当日。对经查询被“信用中国”网站列入失信被执行人和重大税收违法案件当事人名单的、被“中国政府采购网”网站列入政府采购严重违法失信行为记录名单（处罚期限尚未届满的）的供应商，其投标将按无效投标处理。</w:t>
      </w:r>
    </w:p>
    <w:p w14:paraId="1760E8DC">
      <w:pPr>
        <w:spacing w:line="360" w:lineRule="auto"/>
        <w:ind w:firstLine="480" w:firstLineChars="200"/>
        <w:rPr>
          <w:rFonts w:hint="eastAsia" w:ascii="宋体" w:hAnsi="宋体"/>
          <w:sz w:val="24"/>
        </w:rPr>
      </w:pPr>
      <w:r>
        <w:rPr>
          <w:rFonts w:hint="eastAsia" w:ascii="宋体" w:hAnsi="宋体"/>
          <w:sz w:val="24"/>
        </w:rPr>
        <w:t>5.单位负责人为同一人或者存在直接控股、管理关系的不同供应商，不得参加同一包的投标或者未划分包的同一招标项目的投标，投标人须提供声明。</w:t>
      </w:r>
    </w:p>
    <w:p w14:paraId="00774F76">
      <w:pPr>
        <w:spacing w:line="360" w:lineRule="auto"/>
        <w:ind w:firstLine="480" w:firstLineChars="200"/>
        <w:rPr>
          <w:rFonts w:hint="eastAsia" w:ascii="宋体" w:hAnsi="宋体"/>
          <w:sz w:val="24"/>
        </w:rPr>
      </w:pPr>
      <w:r>
        <w:rPr>
          <w:rFonts w:hint="eastAsia" w:ascii="宋体" w:hAnsi="宋体"/>
          <w:sz w:val="24"/>
        </w:rPr>
        <w:t>6.投标人已按照招标公告要求购买了招标文件。</w:t>
      </w:r>
    </w:p>
    <w:p w14:paraId="04C0B3C7">
      <w:pPr>
        <w:spacing w:line="360" w:lineRule="auto"/>
        <w:ind w:firstLine="480" w:firstLineChars="200"/>
        <w:rPr>
          <w:sz w:val="24"/>
        </w:rPr>
      </w:pPr>
      <w:r>
        <w:rPr>
          <w:rFonts w:hint="eastAsia"/>
          <w:sz w:val="24"/>
        </w:rPr>
        <w:t>（二）投标人须具备《中华人民共和国政府采购法》第二十二条第一款规定的条件。</w:t>
      </w:r>
    </w:p>
    <w:p w14:paraId="1A2EBD19">
      <w:pPr>
        <w:spacing w:line="360" w:lineRule="auto"/>
        <w:ind w:firstLine="480" w:firstLineChars="200"/>
        <w:rPr>
          <w:sz w:val="24"/>
        </w:rPr>
      </w:pPr>
      <w:r>
        <w:rPr>
          <w:rFonts w:hint="eastAsia"/>
          <w:sz w:val="24"/>
        </w:rPr>
        <w:t>（三）本项目</w:t>
      </w:r>
      <w:r>
        <w:rPr>
          <w:rFonts w:hint="eastAsia"/>
          <w:color w:val="FF0000"/>
          <w:sz w:val="24"/>
        </w:rPr>
        <w:t>接受/不接受</w:t>
      </w:r>
      <w:r>
        <w:rPr>
          <w:rFonts w:hint="eastAsia"/>
          <w:sz w:val="24"/>
        </w:rPr>
        <w:t>联合体。</w:t>
      </w:r>
    </w:p>
    <w:p w14:paraId="6989FC60">
      <w:pPr>
        <w:spacing w:line="360" w:lineRule="auto"/>
        <w:ind w:firstLine="482" w:firstLineChars="200"/>
        <w:rPr>
          <w:rFonts w:hint="eastAsia" w:ascii="宋体" w:hAnsi="宋体"/>
          <w:b/>
          <w:sz w:val="24"/>
        </w:rPr>
      </w:pPr>
      <w:r>
        <w:rPr>
          <w:rFonts w:hint="eastAsia" w:ascii="宋体" w:hAnsi="宋体"/>
          <w:b/>
          <w:sz w:val="24"/>
        </w:rPr>
        <w:t>四、技术要求</w:t>
      </w:r>
    </w:p>
    <w:p w14:paraId="41893769">
      <w:pPr>
        <w:spacing w:line="360" w:lineRule="auto"/>
        <w:ind w:firstLine="480" w:firstLineChars="200"/>
        <w:rPr>
          <w:rFonts w:hint="eastAsia" w:ascii="宋体" w:hAnsi="宋体"/>
          <w:color w:val="FF0000"/>
          <w:sz w:val="24"/>
        </w:rPr>
      </w:pPr>
      <w:r>
        <w:rPr>
          <w:rFonts w:hint="eastAsia" w:ascii="宋体" w:hAnsi="宋体"/>
          <w:color w:val="FF0000"/>
          <w:sz w:val="24"/>
        </w:rPr>
        <w:t>示例：</w:t>
      </w:r>
    </w:p>
    <w:p w14:paraId="48F65E8A">
      <w:pPr>
        <w:spacing w:line="360" w:lineRule="auto"/>
        <w:ind w:firstLine="480" w:firstLineChars="200"/>
        <w:rPr>
          <w:rFonts w:ascii="宋体" w:hAnsi="宋体"/>
          <w:sz w:val="24"/>
        </w:rPr>
      </w:pPr>
      <w:r>
        <w:rPr>
          <w:rFonts w:hint="eastAsia" w:ascii="宋体" w:hAnsi="宋体"/>
          <w:sz w:val="24"/>
        </w:rPr>
        <w:t>第一包：智能化内镜网络信息系统</w:t>
      </w:r>
    </w:p>
    <w:tbl>
      <w:tblPr>
        <w:tblStyle w:val="3"/>
        <w:tblW w:w="612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3"/>
        <w:gridCol w:w="1288"/>
        <w:gridCol w:w="4522"/>
        <w:gridCol w:w="534"/>
        <w:gridCol w:w="601"/>
        <w:gridCol w:w="1502"/>
        <w:gridCol w:w="1204"/>
      </w:tblGrid>
      <w:tr w14:paraId="7B0A7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5" w:type="pct"/>
            <w:noWrap w:val="0"/>
            <w:vAlign w:val="center"/>
          </w:tcPr>
          <w:p w14:paraId="60EE2EC6">
            <w:pPr>
              <w:jc w:val="center"/>
              <w:rPr>
                <w:szCs w:val="21"/>
              </w:rPr>
            </w:pPr>
            <w:r>
              <w:rPr>
                <w:szCs w:val="21"/>
              </w:rPr>
              <w:t>序号</w:t>
            </w:r>
          </w:p>
        </w:tc>
        <w:tc>
          <w:tcPr>
            <w:tcW w:w="617" w:type="pct"/>
            <w:noWrap w:val="0"/>
            <w:vAlign w:val="center"/>
          </w:tcPr>
          <w:p w14:paraId="20FCC9A5">
            <w:pPr>
              <w:jc w:val="center"/>
              <w:rPr>
                <w:szCs w:val="21"/>
              </w:rPr>
            </w:pPr>
            <w:r>
              <w:rPr>
                <w:rFonts w:hint="eastAsia"/>
                <w:szCs w:val="21"/>
              </w:rPr>
              <w:t>标的</w:t>
            </w:r>
            <w:r>
              <w:rPr>
                <w:szCs w:val="21"/>
              </w:rPr>
              <w:t>名称</w:t>
            </w:r>
          </w:p>
        </w:tc>
        <w:tc>
          <w:tcPr>
            <w:tcW w:w="2167" w:type="pct"/>
            <w:noWrap w:val="0"/>
            <w:vAlign w:val="center"/>
          </w:tcPr>
          <w:p w14:paraId="4199DA5C">
            <w:pPr>
              <w:jc w:val="center"/>
              <w:rPr>
                <w:szCs w:val="21"/>
              </w:rPr>
            </w:pPr>
            <w:r>
              <w:rPr>
                <w:szCs w:val="21"/>
              </w:rPr>
              <w:t>技术要求</w:t>
            </w:r>
          </w:p>
        </w:tc>
        <w:tc>
          <w:tcPr>
            <w:tcW w:w="256" w:type="pct"/>
            <w:noWrap w:val="0"/>
            <w:vAlign w:val="center"/>
          </w:tcPr>
          <w:p w14:paraId="7F3FFF96">
            <w:pPr>
              <w:jc w:val="center"/>
              <w:rPr>
                <w:szCs w:val="21"/>
              </w:rPr>
            </w:pPr>
            <w:r>
              <w:rPr>
                <w:szCs w:val="21"/>
              </w:rPr>
              <w:t>单位</w:t>
            </w:r>
          </w:p>
        </w:tc>
        <w:tc>
          <w:tcPr>
            <w:tcW w:w="288" w:type="pct"/>
            <w:noWrap w:val="0"/>
            <w:vAlign w:val="center"/>
          </w:tcPr>
          <w:p w14:paraId="2C6E0497">
            <w:pPr>
              <w:jc w:val="center"/>
              <w:rPr>
                <w:szCs w:val="21"/>
              </w:rPr>
            </w:pPr>
            <w:r>
              <w:rPr>
                <w:szCs w:val="21"/>
              </w:rPr>
              <w:t>数量</w:t>
            </w:r>
          </w:p>
        </w:tc>
        <w:tc>
          <w:tcPr>
            <w:tcW w:w="720" w:type="pct"/>
            <w:noWrap w:val="0"/>
            <w:vAlign w:val="center"/>
          </w:tcPr>
          <w:p w14:paraId="0788E71E">
            <w:pPr>
              <w:jc w:val="center"/>
              <w:rPr>
                <w:szCs w:val="21"/>
              </w:rPr>
            </w:pPr>
            <w:r>
              <w:rPr>
                <w:szCs w:val="21"/>
              </w:rPr>
              <w:t>是否属于现行节能产品政府采购清单强制采购范围</w:t>
            </w:r>
          </w:p>
        </w:tc>
        <w:tc>
          <w:tcPr>
            <w:tcW w:w="577" w:type="pct"/>
            <w:noWrap w:val="0"/>
            <w:vAlign w:val="center"/>
          </w:tcPr>
          <w:p w14:paraId="0C2A5AAF">
            <w:pPr>
              <w:jc w:val="center"/>
              <w:rPr>
                <w:szCs w:val="21"/>
              </w:rPr>
            </w:pPr>
            <w:r>
              <w:rPr>
                <w:szCs w:val="21"/>
              </w:rPr>
              <w:t>是否属于集采目录内产品</w:t>
            </w:r>
          </w:p>
        </w:tc>
      </w:tr>
      <w:tr w14:paraId="48C87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5" w:type="pct"/>
            <w:noWrap w:val="0"/>
            <w:vAlign w:val="center"/>
          </w:tcPr>
          <w:p w14:paraId="39D1EB19">
            <w:pPr>
              <w:jc w:val="center"/>
              <w:rPr>
                <w:szCs w:val="21"/>
              </w:rPr>
            </w:pPr>
            <w:r>
              <w:rPr>
                <w:szCs w:val="21"/>
              </w:rPr>
              <w:t>1</w:t>
            </w:r>
          </w:p>
        </w:tc>
        <w:tc>
          <w:tcPr>
            <w:tcW w:w="617" w:type="pct"/>
            <w:noWrap w:val="0"/>
            <w:vAlign w:val="center"/>
          </w:tcPr>
          <w:p w14:paraId="7DF94FF9">
            <w:pPr>
              <w:rPr>
                <w:szCs w:val="21"/>
              </w:rPr>
            </w:pPr>
            <w:r>
              <w:rPr>
                <w:rFonts w:hint="eastAsia"/>
                <w:color w:val="000000"/>
                <w:kern w:val="0"/>
                <w:szCs w:val="21"/>
              </w:rPr>
              <w:t>消化内镜网络服务端模块</w:t>
            </w:r>
          </w:p>
        </w:tc>
        <w:tc>
          <w:tcPr>
            <w:tcW w:w="2167" w:type="pct"/>
            <w:noWrap w:val="0"/>
            <w:vAlign w:val="center"/>
          </w:tcPr>
          <w:p w14:paraId="17C7D43C">
            <w:pPr>
              <w:rPr>
                <w:rFonts w:hint="eastAsia" w:ascii="宋体" w:hAnsi="宋体" w:cs="宋体"/>
                <w:szCs w:val="21"/>
              </w:rPr>
            </w:pPr>
            <w:r>
              <w:rPr>
                <w:rFonts w:hint="eastAsia" w:ascii="宋体" w:hAnsi="宋体" w:cs="宋体"/>
                <w:szCs w:val="21"/>
              </w:rPr>
              <w:t>1.</w:t>
            </w:r>
            <w:r>
              <w:rPr>
                <w:rFonts w:hint="eastAsia" w:ascii="宋体" w:hAnsi="宋体" w:cs="宋体"/>
                <w:szCs w:val="21"/>
              </w:rPr>
              <w:tab/>
            </w:r>
            <w:r>
              <w:rPr>
                <w:rFonts w:hint="eastAsia" w:ascii="宋体" w:hAnsi="宋体" w:cs="宋体"/>
                <w:szCs w:val="21"/>
              </w:rPr>
              <w:t>基于当前主流操作系统和数据库设计。</w:t>
            </w:r>
          </w:p>
          <w:p w14:paraId="6B6D976A">
            <w:pPr>
              <w:rPr>
                <w:rFonts w:hint="eastAsia" w:ascii="宋体" w:hAnsi="宋体" w:cs="宋体"/>
                <w:szCs w:val="21"/>
              </w:rPr>
            </w:pPr>
            <w:r>
              <w:rPr>
                <w:rFonts w:hint="eastAsia" w:ascii="宋体" w:hAnsi="宋体" w:cs="宋体"/>
                <w:szCs w:val="21"/>
              </w:rPr>
              <w:t>2.</w:t>
            </w:r>
            <w:r>
              <w:rPr>
                <w:rFonts w:hint="eastAsia" w:ascii="宋体" w:hAnsi="宋体" w:cs="宋体"/>
                <w:szCs w:val="21"/>
              </w:rPr>
              <w:tab/>
            </w:r>
            <w:r>
              <w:rPr>
                <w:rFonts w:hint="eastAsia" w:ascii="宋体" w:hAnsi="宋体" w:cs="宋体"/>
                <w:szCs w:val="21"/>
              </w:rPr>
              <w:t>整套系统采用平台化、一体化的设计，平台上各个系统采用同源同构的设计，相互之间可以实现无缝集成。</w:t>
            </w:r>
          </w:p>
          <w:p w14:paraId="05C58233">
            <w:pPr>
              <w:rPr>
                <w:rFonts w:hint="eastAsia" w:ascii="宋体" w:hAnsi="宋体" w:cs="宋体"/>
                <w:szCs w:val="21"/>
              </w:rPr>
            </w:pPr>
            <w:r>
              <w:rPr>
                <w:rFonts w:hint="eastAsia" w:ascii="宋体" w:hAnsi="宋体" w:cs="宋体"/>
                <w:szCs w:val="21"/>
              </w:rPr>
              <w:t>3.</w:t>
            </w:r>
            <w:r>
              <w:rPr>
                <w:rFonts w:hint="eastAsia" w:ascii="宋体" w:hAnsi="宋体" w:cs="宋体"/>
                <w:szCs w:val="21"/>
              </w:rPr>
              <w:tab/>
            </w:r>
            <w:r>
              <w:rPr>
                <w:rFonts w:hint="eastAsia" w:ascii="宋体" w:hAnsi="宋体" w:cs="宋体"/>
                <w:szCs w:val="21"/>
              </w:rPr>
              <w:t>客户端支持WIN 7/WIN 10（32位或64位）操作系统。</w:t>
            </w:r>
          </w:p>
          <w:p w14:paraId="784F103C">
            <w:pPr>
              <w:rPr>
                <w:rFonts w:hint="eastAsia" w:ascii="宋体" w:hAnsi="宋体" w:cs="宋体"/>
                <w:szCs w:val="21"/>
              </w:rPr>
            </w:pPr>
            <w:r>
              <w:rPr>
                <w:rFonts w:hint="eastAsia" w:ascii="宋体" w:hAnsi="宋体" w:cs="宋体"/>
                <w:szCs w:val="21"/>
              </w:rPr>
              <w:t>4.</w:t>
            </w:r>
            <w:r>
              <w:rPr>
                <w:rFonts w:hint="eastAsia" w:ascii="宋体" w:hAnsi="宋体" w:cs="宋体"/>
                <w:szCs w:val="21"/>
              </w:rPr>
              <w:tab/>
            </w:r>
            <w:r>
              <w:rPr>
                <w:rFonts w:hint="eastAsia" w:ascii="宋体" w:hAnsi="宋体" w:cs="宋体"/>
                <w:szCs w:val="21"/>
              </w:rPr>
              <w:t>系统提供7×24小时运行。</w:t>
            </w:r>
          </w:p>
          <w:p w14:paraId="2E6F941A">
            <w:pPr>
              <w:rPr>
                <w:rFonts w:hint="eastAsia" w:ascii="宋体" w:hAnsi="宋体" w:cs="宋体"/>
                <w:szCs w:val="21"/>
              </w:rPr>
            </w:pPr>
            <w:r>
              <w:rPr>
                <w:rFonts w:hint="eastAsia" w:ascii="宋体" w:hAnsi="宋体" w:cs="宋体"/>
                <w:szCs w:val="21"/>
              </w:rPr>
              <w:t>5.</w:t>
            </w:r>
            <w:r>
              <w:rPr>
                <w:rFonts w:hint="eastAsia" w:ascii="宋体" w:hAnsi="宋体" w:cs="宋体"/>
                <w:szCs w:val="21"/>
              </w:rPr>
              <w:tab/>
            </w:r>
            <w:r>
              <w:rPr>
                <w:rFonts w:hint="eastAsia" w:ascii="宋体" w:hAnsi="宋体" w:cs="宋体"/>
                <w:szCs w:val="21"/>
              </w:rPr>
              <w:t>系统在生产环境部署，项目实施工作不能影响医院现有工作。</w:t>
            </w:r>
          </w:p>
          <w:p w14:paraId="43EDCD48">
            <w:pPr>
              <w:rPr>
                <w:rFonts w:hint="eastAsia" w:ascii="宋体" w:hAnsi="宋体" w:cs="宋体"/>
                <w:szCs w:val="21"/>
              </w:rPr>
            </w:pPr>
            <w:r>
              <w:rPr>
                <w:rFonts w:hint="eastAsia" w:ascii="宋体" w:hAnsi="宋体" w:cs="宋体"/>
                <w:szCs w:val="21"/>
              </w:rPr>
              <w:t>6.</w:t>
            </w:r>
            <w:r>
              <w:rPr>
                <w:rFonts w:hint="eastAsia" w:ascii="宋体" w:hAnsi="宋体" w:cs="宋体"/>
                <w:szCs w:val="21"/>
              </w:rPr>
              <w:tab/>
            </w:r>
            <w:r>
              <w:rPr>
                <w:rFonts w:hint="eastAsia" w:ascii="宋体" w:hAnsi="宋体" w:cs="宋体"/>
                <w:szCs w:val="21"/>
              </w:rPr>
              <w:t>完整的权限控制，合法用户方可使用。</w:t>
            </w:r>
          </w:p>
          <w:p w14:paraId="2AD94A28">
            <w:pPr>
              <w:rPr>
                <w:rFonts w:hint="eastAsia" w:ascii="宋体" w:hAnsi="宋体" w:cs="宋体"/>
                <w:szCs w:val="21"/>
              </w:rPr>
            </w:pPr>
            <w:r>
              <w:rPr>
                <w:rFonts w:hint="eastAsia" w:ascii="宋体" w:hAnsi="宋体" w:cs="宋体"/>
                <w:szCs w:val="21"/>
              </w:rPr>
              <w:t>7.</w:t>
            </w:r>
            <w:r>
              <w:rPr>
                <w:rFonts w:hint="eastAsia" w:ascii="宋体" w:hAnsi="宋体" w:cs="宋体"/>
                <w:szCs w:val="21"/>
              </w:rPr>
              <w:tab/>
            </w:r>
            <w:r>
              <w:rPr>
                <w:rFonts w:hint="eastAsia" w:ascii="宋体" w:hAnsi="宋体" w:cs="宋体"/>
                <w:szCs w:val="21"/>
              </w:rPr>
              <w:t>新购设备能顺畅接入系统。</w:t>
            </w:r>
          </w:p>
          <w:p w14:paraId="3357B799">
            <w:pPr>
              <w:rPr>
                <w:rFonts w:hint="eastAsia" w:ascii="宋体" w:hAnsi="宋体" w:cs="宋体"/>
                <w:szCs w:val="21"/>
              </w:rPr>
            </w:pPr>
            <w:r>
              <w:rPr>
                <w:rFonts w:hint="eastAsia" w:ascii="宋体" w:hAnsi="宋体" w:cs="宋体"/>
                <w:szCs w:val="21"/>
              </w:rPr>
              <w:t>8.</w:t>
            </w:r>
            <w:r>
              <w:rPr>
                <w:rFonts w:hint="eastAsia" w:ascii="宋体" w:hAnsi="宋体" w:cs="宋体"/>
                <w:szCs w:val="21"/>
              </w:rPr>
              <w:tab/>
            </w:r>
            <w:r>
              <w:rPr>
                <w:rFonts w:hint="eastAsia" w:ascii="宋体" w:hAnsi="宋体" w:cs="宋体"/>
                <w:szCs w:val="21"/>
              </w:rPr>
              <w:t>系统遵循DICOM3.0、HL7、IHE国际标准。</w:t>
            </w:r>
          </w:p>
          <w:p w14:paraId="3FFF9840">
            <w:pPr>
              <w:rPr>
                <w:rFonts w:hint="eastAsia" w:ascii="宋体" w:hAnsi="宋体" w:cs="宋体"/>
                <w:szCs w:val="21"/>
              </w:rPr>
            </w:pPr>
            <w:r>
              <w:rPr>
                <w:rFonts w:hint="eastAsia" w:ascii="宋体" w:hAnsi="宋体" w:cs="宋体"/>
                <w:szCs w:val="21"/>
              </w:rPr>
              <w:t>9.</w:t>
            </w:r>
            <w:r>
              <w:rPr>
                <w:rFonts w:hint="eastAsia" w:ascii="宋体" w:hAnsi="宋体" w:cs="宋体"/>
                <w:szCs w:val="21"/>
              </w:rPr>
              <w:tab/>
            </w:r>
            <w:r>
              <w:rPr>
                <w:rFonts w:hint="eastAsia" w:ascii="宋体" w:hAnsi="宋体" w:cs="宋体"/>
                <w:szCs w:val="21"/>
              </w:rPr>
              <w:t>支持DICOM 3.0 Storage SCP（影像存储）、SCU（影像发送）、Query/Retrieve（查询获取）。</w:t>
            </w:r>
          </w:p>
          <w:p w14:paraId="7E0819AA">
            <w:pPr>
              <w:rPr>
                <w:rFonts w:hint="eastAsia" w:ascii="宋体" w:hAnsi="宋体" w:cs="宋体"/>
                <w:szCs w:val="21"/>
              </w:rPr>
            </w:pPr>
            <w:r>
              <w:rPr>
                <w:rFonts w:hint="eastAsia" w:ascii="宋体" w:hAnsi="宋体" w:cs="宋体"/>
                <w:szCs w:val="21"/>
              </w:rPr>
              <w:t>10.</w:t>
            </w:r>
            <w:r>
              <w:rPr>
                <w:rFonts w:hint="eastAsia" w:ascii="宋体" w:hAnsi="宋体" w:cs="宋体"/>
                <w:szCs w:val="21"/>
              </w:rPr>
              <w:tab/>
            </w:r>
            <w:r>
              <w:rPr>
                <w:rFonts w:hint="eastAsia" w:ascii="宋体" w:hAnsi="宋体" w:cs="宋体"/>
                <w:szCs w:val="21"/>
              </w:rPr>
              <w:t>支持DICOM 3.0压缩服务和存储验证服务。</w:t>
            </w:r>
          </w:p>
          <w:p w14:paraId="61B41BE5">
            <w:pPr>
              <w:rPr>
                <w:rFonts w:hint="eastAsia" w:ascii="宋体" w:hAnsi="宋体" w:cs="宋体"/>
                <w:szCs w:val="21"/>
              </w:rPr>
            </w:pPr>
            <w:r>
              <w:rPr>
                <w:rFonts w:hint="eastAsia" w:ascii="宋体" w:hAnsi="宋体" w:cs="宋体"/>
                <w:szCs w:val="21"/>
              </w:rPr>
              <w:t>11.</w:t>
            </w:r>
            <w:r>
              <w:rPr>
                <w:rFonts w:hint="eastAsia" w:ascii="宋体" w:hAnsi="宋体" w:cs="宋体"/>
                <w:szCs w:val="21"/>
              </w:rPr>
              <w:tab/>
            </w:r>
            <w:r>
              <w:rPr>
                <w:rFonts w:hint="eastAsia" w:ascii="宋体" w:hAnsi="宋体" w:cs="宋体"/>
                <w:szCs w:val="21"/>
              </w:rPr>
              <w:t>为杜绝形成信息孤岛，系统需符合IHE（Integrating the Healthcare Enterprise）医疗信息系统集成规范。</w:t>
            </w:r>
          </w:p>
          <w:p w14:paraId="07475E2A">
            <w:pPr>
              <w:rPr>
                <w:szCs w:val="21"/>
              </w:rPr>
            </w:pPr>
            <w:r>
              <w:rPr>
                <w:rFonts w:hint="eastAsia" w:ascii="宋体" w:hAnsi="宋体" w:cs="宋体"/>
                <w:szCs w:val="21"/>
              </w:rPr>
              <w:t>12.</w:t>
            </w:r>
            <w:r>
              <w:rPr>
                <w:rFonts w:hint="eastAsia" w:ascii="宋体" w:hAnsi="宋体" w:cs="宋体"/>
                <w:szCs w:val="21"/>
              </w:rPr>
              <w:tab/>
            </w:r>
            <w:r>
              <w:rPr>
                <w:rFonts w:hint="eastAsia" w:ascii="宋体" w:hAnsi="宋体" w:cs="宋体"/>
                <w:szCs w:val="21"/>
              </w:rPr>
              <w:t>支持HL7标准,WebService或中间件方式的集成方式。</w:t>
            </w:r>
          </w:p>
        </w:tc>
        <w:tc>
          <w:tcPr>
            <w:tcW w:w="256" w:type="pct"/>
            <w:noWrap w:val="0"/>
            <w:vAlign w:val="center"/>
          </w:tcPr>
          <w:p w14:paraId="1231C54D">
            <w:pPr>
              <w:rPr>
                <w:szCs w:val="21"/>
              </w:rPr>
            </w:pPr>
            <w:r>
              <w:rPr>
                <w:rFonts w:hint="eastAsia"/>
                <w:szCs w:val="21"/>
              </w:rPr>
              <w:t>套</w:t>
            </w:r>
          </w:p>
        </w:tc>
        <w:tc>
          <w:tcPr>
            <w:tcW w:w="288" w:type="pct"/>
            <w:noWrap w:val="0"/>
            <w:vAlign w:val="center"/>
          </w:tcPr>
          <w:p w14:paraId="33734DDA">
            <w:pPr>
              <w:rPr>
                <w:szCs w:val="21"/>
              </w:rPr>
            </w:pPr>
            <w:r>
              <w:rPr>
                <w:szCs w:val="21"/>
              </w:rPr>
              <w:t>1</w:t>
            </w:r>
          </w:p>
        </w:tc>
        <w:tc>
          <w:tcPr>
            <w:tcW w:w="720" w:type="pct"/>
            <w:noWrap w:val="0"/>
            <w:vAlign w:val="center"/>
          </w:tcPr>
          <w:p w14:paraId="07AD74FF">
            <w:pPr>
              <w:jc w:val="center"/>
              <w:rPr>
                <w:szCs w:val="21"/>
              </w:rPr>
            </w:pPr>
          </w:p>
        </w:tc>
        <w:tc>
          <w:tcPr>
            <w:tcW w:w="577" w:type="pct"/>
            <w:noWrap w:val="0"/>
            <w:vAlign w:val="center"/>
          </w:tcPr>
          <w:p w14:paraId="67DF088D">
            <w:pPr>
              <w:jc w:val="center"/>
              <w:rPr>
                <w:szCs w:val="21"/>
              </w:rPr>
            </w:pPr>
            <w:r>
              <w:rPr>
                <w:szCs w:val="21"/>
              </w:rPr>
              <w:t>否</w:t>
            </w:r>
          </w:p>
        </w:tc>
      </w:tr>
      <w:tr w14:paraId="56AA1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4183AE66">
            <w:pPr>
              <w:jc w:val="center"/>
              <w:rPr>
                <w:szCs w:val="21"/>
              </w:rPr>
            </w:pPr>
            <w:r>
              <w:rPr>
                <w:szCs w:val="21"/>
              </w:rPr>
              <w:t>2</w:t>
            </w:r>
          </w:p>
        </w:tc>
        <w:tc>
          <w:tcPr>
            <w:tcW w:w="617" w:type="pct"/>
            <w:noWrap w:val="0"/>
            <w:vAlign w:val="center"/>
          </w:tcPr>
          <w:p w14:paraId="75793573">
            <w:pPr>
              <w:widowControl/>
              <w:rPr>
                <w:kern w:val="0"/>
                <w:szCs w:val="21"/>
              </w:rPr>
            </w:pPr>
            <w:r>
              <w:rPr>
                <w:rFonts w:hint="eastAsia" w:ascii="等线" w:hAnsi="等线" w:cs="仿宋"/>
                <w:bCs/>
                <w:color w:val="000000"/>
                <w:kern w:val="0"/>
                <w:szCs w:val="21"/>
              </w:rPr>
              <w:t>预约登记系统</w:t>
            </w:r>
          </w:p>
        </w:tc>
        <w:tc>
          <w:tcPr>
            <w:tcW w:w="2167" w:type="pct"/>
            <w:noWrap w:val="0"/>
            <w:vAlign w:val="center"/>
          </w:tcPr>
          <w:p w14:paraId="47844579">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可根据HIS提供的信息，将病人基本资料及临床检查信息自动获取模块。</w:t>
            </w:r>
          </w:p>
          <w:p w14:paraId="06563AE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提供患者登记功能，产生患者排队队列。</w:t>
            </w:r>
          </w:p>
          <w:p w14:paraId="096D34F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对不同申请类型的病人显示不同的颜色和优先级。</w:t>
            </w:r>
          </w:p>
          <w:p w14:paraId="4154DFB0">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可直观显示各个检查室的患者分配情况。</w:t>
            </w:r>
          </w:p>
          <w:p w14:paraId="3DF0316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提供数据检索功能，可以通过各种条件检索预约登记的患者信息。</w:t>
            </w:r>
          </w:p>
          <w:p w14:paraId="3E84EDB5">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支持可视化的排队安排界面，护士可快速对病人进行预约排队安排。</w:t>
            </w:r>
          </w:p>
          <w:p w14:paraId="7968DEFE">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预约签到：对于已预约病人，根据预约信息签到并安排检查。并可补充登记检查信息。</w:t>
            </w:r>
          </w:p>
          <w:p w14:paraId="2AC3F15E">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8.</w:t>
            </w:r>
            <w:r>
              <w:rPr>
                <w:rFonts w:hint="eastAsia" w:ascii="等线" w:hAnsi="等线" w:cs="仿宋"/>
                <w:bCs/>
                <w:color w:val="000000"/>
                <w:kern w:val="0"/>
                <w:szCs w:val="21"/>
              </w:rPr>
              <w:tab/>
            </w:r>
            <w:r>
              <w:rPr>
                <w:rFonts w:hint="eastAsia" w:ascii="等线" w:hAnsi="等线" w:cs="仿宋"/>
                <w:bCs/>
                <w:color w:val="000000"/>
                <w:kern w:val="0"/>
                <w:szCs w:val="21"/>
              </w:rPr>
              <w:t>分诊调整：对因故不能立即检查的病人，可人工调整其分诊排队顺序。对急诊病人，也可提前排队顺序。</w:t>
            </w:r>
          </w:p>
          <w:p w14:paraId="76EA6931">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9.</w:t>
            </w:r>
            <w:r>
              <w:rPr>
                <w:rFonts w:hint="eastAsia" w:ascii="等线" w:hAnsi="等线" w:cs="仿宋"/>
                <w:bCs/>
                <w:color w:val="000000"/>
                <w:kern w:val="0"/>
                <w:szCs w:val="21"/>
              </w:rPr>
              <w:tab/>
            </w:r>
            <w:r>
              <w:rPr>
                <w:rFonts w:hint="eastAsia" w:ascii="等线" w:hAnsi="等线" w:cs="仿宋"/>
                <w:bCs/>
                <w:color w:val="000000"/>
                <w:kern w:val="0"/>
                <w:szCs w:val="21"/>
              </w:rPr>
              <w:t>语音叫号：分诊台可播放语音叫号。语音信息需能读出病人中文姓名等各种信息。可由用户自行设定。</w:t>
            </w:r>
          </w:p>
          <w:p w14:paraId="62BFE612">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10.</w:t>
            </w:r>
            <w:r>
              <w:rPr>
                <w:rFonts w:hint="eastAsia" w:ascii="等线" w:hAnsi="等线" w:cs="仿宋"/>
                <w:bCs/>
                <w:color w:val="000000"/>
                <w:kern w:val="0"/>
                <w:szCs w:val="21"/>
              </w:rPr>
              <w:tab/>
            </w:r>
            <w:r>
              <w:rPr>
                <w:rFonts w:hint="eastAsia" w:ascii="等线" w:hAnsi="等线" w:cs="仿宋"/>
                <w:bCs/>
                <w:color w:val="000000"/>
                <w:kern w:val="0"/>
                <w:szCs w:val="21"/>
              </w:rPr>
              <w:t>分诊大屏：分诊信息可以显示在病人集中候诊处的大屏幕显示器上。</w:t>
            </w:r>
          </w:p>
          <w:p w14:paraId="652E80B0">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11.</w:t>
            </w:r>
            <w:r>
              <w:rPr>
                <w:rFonts w:hint="eastAsia" w:ascii="等线" w:hAnsi="等线" w:cs="仿宋"/>
                <w:bCs/>
                <w:color w:val="000000"/>
                <w:kern w:val="0"/>
                <w:szCs w:val="21"/>
              </w:rPr>
              <w:tab/>
            </w:r>
            <w:r>
              <w:rPr>
                <w:rFonts w:hint="eastAsia" w:ascii="等线" w:hAnsi="等线" w:cs="仿宋"/>
                <w:bCs/>
                <w:color w:val="000000"/>
                <w:kern w:val="0"/>
                <w:szCs w:val="21"/>
              </w:rPr>
              <w:t>绿色通道病人处理：对于因各种紧急或特殊情况未正常挂号、登记、收费的病人提供特别处理流程。非特殊病人必须先收费后检查。</w:t>
            </w:r>
          </w:p>
          <w:p w14:paraId="3C8FD76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12.</w:t>
            </w:r>
            <w:r>
              <w:rPr>
                <w:rFonts w:hint="eastAsia" w:ascii="等线" w:hAnsi="等线" w:cs="仿宋"/>
                <w:bCs/>
                <w:color w:val="000000"/>
                <w:kern w:val="0"/>
                <w:szCs w:val="21"/>
              </w:rPr>
              <w:tab/>
            </w:r>
            <w:r>
              <w:rPr>
                <w:rFonts w:hint="eastAsia" w:ascii="等线" w:hAnsi="等线" w:cs="仿宋"/>
                <w:bCs/>
                <w:color w:val="000000"/>
                <w:kern w:val="0"/>
                <w:szCs w:val="21"/>
              </w:rPr>
              <w:t>医生操作终端具有顺序呼叫、重复呼叫、选择呼叫功能。</w:t>
            </w:r>
          </w:p>
        </w:tc>
        <w:tc>
          <w:tcPr>
            <w:tcW w:w="256" w:type="pct"/>
            <w:noWrap w:val="0"/>
            <w:vAlign w:val="center"/>
          </w:tcPr>
          <w:p w14:paraId="4294F4DF">
            <w:pPr>
              <w:rPr>
                <w:szCs w:val="21"/>
              </w:rPr>
            </w:pPr>
            <w:r>
              <w:rPr>
                <w:rFonts w:hint="eastAsia"/>
                <w:szCs w:val="21"/>
              </w:rPr>
              <w:t>套</w:t>
            </w:r>
          </w:p>
        </w:tc>
        <w:tc>
          <w:tcPr>
            <w:tcW w:w="288" w:type="pct"/>
            <w:noWrap w:val="0"/>
            <w:vAlign w:val="center"/>
          </w:tcPr>
          <w:p w14:paraId="439DBCB3">
            <w:pPr>
              <w:rPr>
                <w:szCs w:val="21"/>
              </w:rPr>
            </w:pPr>
            <w:r>
              <w:rPr>
                <w:rFonts w:hint="eastAsia"/>
                <w:szCs w:val="21"/>
              </w:rPr>
              <w:t>2</w:t>
            </w:r>
          </w:p>
        </w:tc>
        <w:tc>
          <w:tcPr>
            <w:tcW w:w="720" w:type="pct"/>
            <w:noWrap w:val="0"/>
            <w:vAlign w:val="center"/>
          </w:tcPr>
          <w:p w14:paraId="02876D61">
            <w:pPr>
              <w:jc w:val="center"/>
              <w:rPr>
                <w:szCs w:val="21"/>
              </w:rPr>
            </w:pPr>
          </w:p>
        </w:tc>
        <w:tc>
          <w:tcPr>
            <w:tcW w:w="577" w:type="pct"/>
            <w:noWrap w:val="0"/>
            <w:vAlign w:val="center"/>
          </w:tcPr>
          <w:p w14:paraId="0D5EC42E">
            <w:pPr>
              <w:jc w:val="center"/>
              <w:rPr>
                <w:szCs w:val="21"/>
              </w:rPr>
            </w:pPr>
            <w:r>
              <w:rPr>
                <w:szCs w:val="21"/>
              </w:rPr>
              <w:t>否</w:t>
            </w:r>
          </w:p>
        </w:tc>
      </w:tr>
      <w:tr w14:paraId="0A6BF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12F73089">
            <w:pPr>
              <w:jc w:val="center"/>
              <w:rPr>
                <w:szCs w:val="21"/>
              </w:rPr>
            </w:pPr>
            <w:r>
              <w:rPr>
                <w:rFonts w:hint="eastAsia"/>
                <w:szCs w:val="21"/>
              </w:rPr>
              <w:t>3</w:t>
            </w:r>
          </w:p>
        </w:tc>
        <w:tc>
          <w:tcPr>
            <w:tcW w:w="617" w:type="pct"/>
            <w:noWrap w:val="0"/>
            <w:vAlign w:val="center"/>
          </w:tcPr>
          <w:p w14:paraId="65BC0BCB">
            <w:pPr>
              <w:widowControl/>
              <w:rPr>
                <w:szCs w:val="21"/>
              </w:rPr>
            </w:pPr>
            <w:r>
              <w:rPr>
                <w:rFonts w:hint="eastAsia"/>
                <w:szCs w:val="21"/>
              </w:rPr>
              <w:t>内镜图文报告系统</w:t>
            </w:r>
          </w:p>
        </w:tc>
        <w:tc>
          <w:tcPr>
            <w:tcW w:w="2167" w:type="pct"/>
            <w:noWrap w:val="0"/>
            <w:vAlign w:val="center"/>
          </w:tcPr>
          <w:p w14:paraId="29C75013">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候诊队列可根据房间、检查类型进行过滤显示。</w:t>
            </w:r>
          </w:p>
          <w:p w14:paraId="3C0A2AD0">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可通过患者预约信息条码快速定位病人，并进行检查前的二次确认。</w:t>
            </w:r>
          </w:p>
          <w:p w14:paraId="3A6F6692">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支持各种内镜视频接口，包括DVI、SDI、RGB/YUV、S-VIDEO、复合视频。</w:t>
            </w:r>
          </w:p>
          <w:p w14:paraId="1D6688AD">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支持内镜、超声高清信号采集，分辨率最大可1920*1080。</w:t>
            </w:r>
          </w:p>
          <w:p w14:paraId="00249CD2">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DICOM3.0标准：全面符合DICOM影像标准, 标准化图像采集与归档。</w:t>
            </w:r>
          </w:p>
          <w:p w14:paraId="4079F8FD">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支持图像的自动裁剪，报告打印时系统可将黑边剪切掉。</w:t>
            </w:r>
          </w:p>
          <w:p w14:paraId="5A006A2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提供脚踏开关控制采集图片操作。</w:t>
            </w:r>
          </w:p>
          <w:p w14:paraId="1A91A859">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8.</w:t>
            </w:r>
            <w:r>
              <w:rPr>
                <w:rFonts w:hint="eastAsia" w:ascii="等线" w:hAnsi="等线" w:cs="仿宋"/>
                <w:bCs/>
                <w:color w:val="000000"/>
                <w:kern w:val="0"/>
                <w:szCs w:val="21"/>
              </w:rPr>
              <w:tab/>
            </w:r>
            <w:r>
              <w:rPr>
                <w:rFonts w:hint="eastAsia" w:ascii="等线" w:hAnsi="等线" w:cs="仿宋"/>
                <w:bCs/>
                <w:color w:val="000000"/>
                <w:kern w:val="0"/>
                <w:szCs w:val="21"/>
              </w:rPr>
              <w:t>工作站支持图像定格自动采集图片，无需通过鼠标点击、脚踏开关或内镜手柄按钮进行图像采集。（需提软件截图和现场程序演示）</w:t>
            </w:r>
          </w:p>
          <w:p w14:paraId="008011A3">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9.</w:t>
            </w:r>
            <w:r>
              <w:rPr>
                <w:rFonts w:hint="eastAsia" w:ascii="等线" w:hAnsi="等线" w:cs="仿宋"/>
                <w:bCs/>
                <w:color w:val="000000"/>
                <w:kern w:val="0"/>
                <w:szCs w:val="21"/>
              </w:rPr>
              <w:tab/>
            </w:r>
            <w:r>
              <w:rPr>
                <w:rFonts w:hint="eastAsia" w:ascii="等线" w:hAnsi="等线" w:cs="仿宋"/>
                <w:bCs/>
                <w:color w:val="000000"/>
                <w:kern w:val="0"/>
                <w:szCs w:val="21"/>
              </w:rPr>
              <w:t>报告界面上，鼠标选停在所采集的图片，图片即可自动放大显示，无需鼠标单击或双击打开图片即可查看图片的完整/清晰内容，减少无效操作，提高工作效率。（需提软件截图和现场程序演示）</w:t>
            </w:r>
          </w:p>
          <w:p w14:paraId="7795F662">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10.</w:t>
            </w:r>
            <w:r>
              <w:rPr>
                <w:rFonts w:hint="eastAsia" w:ascii="等线" w:hAnsi="等线" w:cs="仿宋"/>
                <w:bCs/>
                <w:color w:val="000000"/>
                <w:kern w:val="0"/>
                <w:szCs w:val="21"/>
              </w:rPr>
              <w:tab/>
            </w:r>
            <w:r>
              <w:rPr>
                <w:rFonts w:hint="eastAsia" w:ascii="等线" w:hAnsi="等线" w:cs="仿宋"/>
                <w:bCs/>
                <w:color w:val="000000"/>
                <w:kern w:val="0"/>
                <w:szCs w:val="21"/>
              </w:rPr>
              <w:t>可将图像导出成BMP、JPG、DCM计算机通用格式。</w:t>
            </w:r>
          </w:p>
          <w:p w14:paraId="77F9D8A6">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11.</w:t>
            </w:r>
            <w:r>
              <w:rPr>
                <w:rFonts w:hint="eastAsia" w:ascii="等线" w:hAnsi="等线" w:cs="仿宋"/>
                <w:bCs/>
                <w:color w:val="000000"/>
                <w:kern w:val="0"/>
                <w:szCs w:val="21"/>
              </w:rPr>
              <w:tab/>
            </w:r>
            <w:r>
              <w:rPr>
                <w:rFonts w:hint="eastAsia" w:ascii="等线" w:hAnsi="等线" w:cs="仿宋"/>
                <w:bCs/>
                <w:color w:val="000000"/>
                <w:kern w:val="0"/>
                <w:szCs w:val="21"/>
              </w:rPr>
              <w:t>采集的动态视频可进行二次提取。</w:t>
            </w:r>
          </w:p>
          <w:p w14:paraId="1533F61C">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12.</w:t>
            </w:r>
            <w:r>
              <w:rPr>
                <w:rFonts w:hint="eastAsia" w:ascii="等线" w:hAnsi="等线" w:cs="仿宋"/>
                <w:bCs/>
                <w:color w:val="000000"/>
                <w:kern w:val="0"/>
                <w:szCs w:val="21"/>
              </w:rPr>
              <w:tab/>
            </w:r>
            <w:r>
              <w:rPr>
                <w:rFonts w:hint="eastAsia" w:ascii="等线" w:hAnsi="等线" w:cs="仿宋"/>
                <w:bCs/>
                <w:color w:val="000000"/>
                <w:kern w:val="0"/>
                <w:szCs w:val="21"/>
              </w:rPr>
              <w:t>静态影像与动态影像采集可同时进行，互不影响。</w:t>
            </w:r>
          </w:p>
          <w:p w14:paraId="278557DC">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13.</w:t>
            </w:r>
            <w:r>
              <w:rPr>
                <w:rFonts w:hint="eastAsia" w:ascii="等线" w:hAnsi="等线" w:cs="仿宋"/>
                <w:bCs/>
                <w:color w:val="000000"/>
                <w:kern w:val="0"/>
                <w:szCs w:val="21"/>
              </w:rPr>
              <w:tab/>
            </w:r>
            <w:r>
              <w:rPr>
                <w:rFonts w:hint="eastAsia" w:ascii="等线" w:hAnsi="等线" w:cs="仿宋"/>
                <w:bCs/>
                <w:color w:val="000000"/>
                <w:kern w:val="0"/>
                <w:szCs w:val="21"/>
              </w:rPr>
              <w:t>采集的图像转换为标准DICOM格式统一存储。</w:t>
            </w:r>
          </w:p>
          <w:p w14:paraId="24F7F4A4">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14.</w:t>
            </w:r>
            <w:r>
              <w:rPr>
                <w:rFonts w:hint="eastAsia" w:ascii="等线" w:hAnsi="等线" w:cs="仿宋"/>
                <w:bCs/>
                <w:color w:val="000000"/>
                <w:kern w:val="0"/>
                <w:szCs w:val="21"/>
              </w:rPr>
              <w:tab/>
            </w:r>
            <w:r>
              <w:rPr>
                <w:rFonts w:hint="eastAsia" w:ascii="等线" w:hAnsi="等线" w:cs="仿宋"/>
                <w:bCs/>
                <w:color w:val="000000"/>
                <w:kern w:val="0"/>
                <w:szCs w:val="21"/>
              </w:rPr>
              <w:t>支持内镜标清，高清信号动态采集（录像）。采集帧数大于等于25帧/秒。采集段数不受限制，采集时间大于30分钟。</w:t>
            </w:r>
          </w:p>
          <w:p w14:paraId="6F25453B">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15.</w:t>
            </w:r>
            <w:r>
              <w:rPr>
                <w:rFonts w:hint="eastAsia" w:ascii="等线" w:hAnsi="等线" w:cs="仿宋"/>
                <w:bCs/>
                <w:color w:val="000000"/>
                <w:kern w:val="0"/>
                <w:szCs w:val="21"/>
              </w:rPr>
              <w:tab/>
            </w:r>
            <w:r>
              <w:rPr>
                <w:rFonts w:hint="eastAsia" w:ascii="等线" w:hAnsi="等线" w:cs="仿宋"/>
                <w:bCs/>
                <w:color w:val="000000"/>
                <w:kern w:val="0"/>
                <w:szCs w:val="21"/>
              </w:rPr>
              <w:t>支持超声内镜标清，高清信号动态采集（录像）。采集帧数大于等于25帧/秒。采集段数不受限制，采集时间大于30分钟。</w:t>
            </w:r>
          </w:p>
          <w:p w14:paraId="77509BB9">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16.</w:t>
            </w:r>
            <w:r>
              <w:rPr>
                <w:rFonts w:hint="eastAsia" w:ascii="等线" w:hAnsi="等线" w:cs="仿宋"/>
                <w:bCs/>
                <w:color w:val="000000"/>
                <w:kern w:val="0"/>
                <w:szCs w:val="21"/>
              </w:rPr>
              <w:tab/>
            </w:r>
            <w:r>
              <w:rPr>
                <w:rFonts w:hint="eastAsia" w:ascii="等线" w:hAnsi="等线" w:cs="仿宋"/>
                <w:bCs/>
                <w:color w:val="000000"/>
                <w:kern w:val="0"/>
                <w:szCs w:val="21"/>
              </w:rPr>
              <w:t>支持X光信号的动态采集（录像）。采集帧率大于等于25帧/秒。采集段数不受限制，采集时间大于30分钟。</w:t>
            </w:r>
          </w:p>
          <w:p w14:paraId="52DFAFA6">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17.</w:t>
            </w:r>
            <w:r>
              <w:rPr>
                <w:rFonts w:hint="eastAsia" w:ascii="等线" w:hAnsi="等线" w:cs="仿宋"/>
                <w:bCs/>
                <w:color w:val="000000"/>
                <w:kern w:val="0"/>
                <w:szCs w:val="21"/>
              </w:rPr>
              <w:tab/>
            </w:r>
            <w:r>
              <w:rPr>
                <w:rFonts w:hint="eastAsia" w:ascii="等线" w:hAnsi="等线" w:cs="仿宋"/>
                <w:bCs/>
                <w:color w:val="000000"/>
                <w:kern w:val="0"/>
                <w:szCs w:val="21"/>
              </w:rPr>
              <w:t>ERCP工作站具备放射线、内镜2路视频信号的同录同播功能，即放射线视频和内镜视频可以一键同步录像；录制的视频文件可以一键回放，回放的放射线视频和内镜视频是基于同一时间轴回放。（需提软件截图和现场程序演示）</w:t>
            </w:r>
          </w:p>
          <w:p w14:paraId="5338BDEC">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18.</w:t>
            </w:r>
            <w:r>
              <w:rPr>
                <w:rFonts w:hint="eastAsia" w:ascii="等线" w:hAnsi="等线" w:cs="仿宋"/>
                <w:bCs/>
                <w:color w:val="000000"/>
                <w:kern w:val="0"/>
                <w:szCs w:val="21"/>
              </w:rPr>
              <w:tab/>
            </w:r>
            <w:r>
              <w:rPr>
                <w:rFonts w:hint="eastAsia" w:ascii="等线" w:hAnsi="等线" w:cs="仿宋"/>
                <w:bCs/>
                <w:color w:val="000000"/>
                <w:kern w:val="0"/>
                <w:szCs w:val="21"/>
              </w:rPr>
              <w:t>超声内镜工作站具备超声、内镜2路视频信号的同录同播功能，即超声视频和内镜视频可以一键同步录像；录制的视频文件可以一键回放，回放的超声视频和内镜视频是基于同一时间轴回放。</w:t>
            </w:r>
          </w:p>
          <w:p w14:paraId="686C3C45">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19.</w:t>
            </w:r>
            <w:r>
              <w:rPr>
                <w:rFonts w:hint="eastAsia" w:ascii="等线" w:hAnsi="等线" w:cs="仿宋"/>
                <w:bCs/>
                <w:color w:val="000000"/>
                <w:kern w:val="0"/>
                <w:szCs w:val="21"/>
              </w:rPr>
              <w:tab/>
            </w:r>
            <w:r>
              <w:rPr>
                <w:rFonts w:hint="eastAsia" w:ascii="等线" w:hAnsi="等线" w:cs="仿宋"/>
                <w:bCs/>
                <w:color w:val="000000"/>
                <w:kern w:val="0"/>
                <w:szCs w:val="21"/>
              </w:rPr>
              <w:t>多线程操作：允许在编辑上一病人报告同时采集其他病人的图像。</w:t>
            </w:r>
          </w:p>
          <w:p w14:paraId="374B82F4">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20.</w:t>
            </w:r>
            <w:r>
              <w:rPr>
                <w:rFonts w:hint="eastAsia" w:ascii="等线" w:hAnsi="等线" w:cs="仿宋"/>
                <w:bCs/>
                <w:color w:val="000000"/>
                <w:kern w:val="0"/>
                <w:szCs w:val="21"/>
              </w:rPr>
              <w:tab/>
            </w:r>
            <w:r>
              <w:rPr>
                <w:rFonts w:hint="eastAsia" w:ascii="等线" w:hAnsi="等线" w:cs="仿宋"/>
                <w:bCs/>
                <w:color w:val="000000"/>
                <w:kern w:val="0"/>
                <w:szCs w:val="21"/>
              </w:rPr>
              <w:t>报告书写时，患者列表可根据科室需求自定义类别分类显示。</w:t>
            </w:r>
          </w:p>
          <w:p w14:paraId="7936033B">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21.</w:t>
            </w:r>
            <w:r>
              <w:rPr>
                <w:rFonts w:hint="eastAsia" w:ascii="等线" w:hAnsi="等线" w:cs="仿宋"/>
                <w:bCs/>
                <w:color w:val="000000"/>
                <w:kern w:val="0"/>
                <w:szCs w:val="21"/>
              </w:rPr>
              <w:tab/>
            </w:r>
            <w:r>
              <w:rPr>
                <w:rFonts w:hint="eastAsia" w:ascii="等线" w:hAnsi="等线" w:cs="仿宋"/>
                <w:bCs/>
                <w:color w:val="000000"/>
                <w:kern w:val="0"/>
                <w:szCs w:val="21"/>
              </w:rPr>
              <w:t>报告模板：根据患者的诊断部位调用已定义的典型报告模板，模板调入后可加以编辑，快速生成影像诊断报告。</w:t>
            </w:r>
          </w:p>
          <w:p w14:paraId="43091EF6">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22.</w:t>
            </w:r>
            <w:r>
              <w:rPr>
                <w:rFonts w:hint="eastAsia" w:ascii="等线" w:hAnsi="等线" w:cs="仿宋"/>
                <w:bCs/>
                <w:color w:val="000000"/>
                <w:kern w:val="0"/>
                <w:szCs w:val="21"/>
              </w:rPr>
              <w:tab/>
            </w:r>
            <w:r>
              <w:rPr>
                <w:rFonts w:hint="eastAsia" w:ascii="等线" w:hAnsi="等线" w:cs="仿宋"/>
                <w:bCs/>
                <w:color w:val="000000"/>
                <w:kern w:val="0"/>
                <w:szCs w:val="21"/>
              </w:rPr>
              <w:t>支持病例“阳性”标记，可以统计阳性率。</w:t>
            </w:r>
          </w:p>
          <w:p w14:paraId="1B0BC02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23.</w:t>
            </w:r>
            <w:r>
              <w:rPr>
                <w:rFonts w:hint="eastAsia" w:ascii="等线" w:hAnsi="等线" w:cs="仿宋"/>
                <w:bCs/>
                <w:color w:val="000000"/>
                <w:kern w:val="0"/>
                <w:szCs w:val="21"/>
              </w:rPr>
              <w:tab/>
            </w:r>
            <w:r>
              <w:rPr>
                <w:rFonts w:hint="eastAsia" w:ascii="等线" w:hAnsi="等线" w:cs="仿宋"/>
                <w:bCs/>
                <w:color w:val="000000"/>
                <w:kern w:val="0"/>
                <w:szCs w:val="21"/>
              </w:rPr>
              <w:t>可以将病例标记为“典型病例”。</w:t>
            </w:r>
          </w:p>
          <w:p w14:paraId="7D93C646">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24.</w:t>
            </w:r>
            <w:r>
              <w:rPr>
                <w:rFonts w:hint="eastAsia" w:ascii="等线" w:hAnsi="等线" w:cs="仿宋"/>
                <w:bCs/>
                <w:color w:val="000000"/>
                <w:kern w:val="0"/>
                <w:szCs w:val="21"/>
              </w:rPr>
              <w:tab/>
            </w:r>
            <w:r>
              <w:rPr>
                <w:rFonts w:hint="eastAsia" w:ascii="等线" w:hAnsi="等线" w:cs="仿宋"/>
                <w:bCs/>
                <w:color w:val="000000"/>
                <w:kern w:val="0"/>
                <w:szCs w:val="21"/>
              </w:rPr>
              <w:t>以供科研和教学使用。医生可以建立个人病例收藏夹。</w:t>
            </w:r>
          </w:p>
          <w:p w14:paraId="2D5693FC">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25.</w:t>
            </w:r>
            <w:r>
              <w:rPr>
                <w:rFonts w:hint="eastAsia" w:ascii="等线" w:hAnsi="等线" w:cs="仿宋"/>
                <w:bCs/>
                <w:color w:val="000000"/>
                <w:kern w:val="0"/>
                <w:szCs w:val="21"/>
              </w:rPr>
              <w:tab/>
            </w:r>
            <w:r>
              <w:rPr>
                <w:rFonts w:hint="eastAsia" w:ascii="等线" w:hAnsi="等线" w:cs="仿宋"/>
                <w:bCs/>
                <w:color w:val="000000"/>
                <w:kern w:val="0"/>
                <w:szCs w:val="21"/>
              </w:rPr>
              <w:t>支持多条件组合模糊查询。具有快速检索、高级检索多种方式。</w:t>
            </w:r>
          </w:p>
          <w:p w14:paraId="579B0627">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26.</w:t>
            </w:r>
            <w:r>
              <w:rPr>
                <w:rFonts w:hint="eastAsia" w:ascii="等线" w:hAnsi="等线" w:cs="仿宋"/>
                <w:bCs/>
                <w:color w:val="000000"/>
                <w:kern w:val="0"/>
                <w:szCs w:val="21"/>
              </w:rPr>
              <w:tab/>
            </w:r>
            <w:r>
              <w:rPr>
                <w:rFonts w:hint="eastAsia" w:ascii="等线" w:hAnsi="等线" w:cs="仿宋"/>
                <w:bCs/>
                <w:color w:val="000000"/>
                <w:kern w:val="0"/>
                <w:szCs w:val="21"/>
              </w:rPr>
              <w:t>报告的打印格式支持客户化定制，打印输出时，支持根据用户选择图像的数量智能选取报告格式。</w:t>
            </w:r>
          </w:p>
          <w:p w14:paraId="4327C744">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27.</w:t>
            </w:r>
            <w:r>
              <w:rPr>
                <w:rFonts w:hint="eastAsia" w:ascii="等线" w:hAnsi="等线" w:cs="仿宋"/>
                <w:bCs/>
                <w:color w:val="000000"/>
                <w:kern w:val="0"/>
                <w:szCs w:val="21"/>
              </w:rPr>
              <w:tab/>
            </w:r>
            <w:r>
              <w:rPr>
                <w:rFonts w:hint="eastAsia" w:ascii="等线" w:hAnsi="等线" w:cs="仿宋"/>
                <w:bCs/>
                <w:color w:val="000000"/>
                <w:kern w:val="0"/>
                <w:szCs w:val="21"/>
              </w:rPr>
              <w:t>图像描述：支持报告中对图像性质的描述，其文字内容由诊断医生输入，并在报告上打印出来。</w:t>
            </w:r>
          </w:p>
          <w:p w14:paraId="4AE33E3A">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28.</w:t>
            </w:r>
            <w:r>
              <w:rPr>
                <w:rFonts w:hint="eastAsia" w:ascii="等线" w:hAnsi="等线" w:cs="仿宋"/>
                <w:bCs/>
                <w:color w:val="000000"/>
                <w:kern w:val="0"/>
                <w:szCs w:val="21"/>
              </w:rPr>
              <w:tab/>
            </w:r>
            <w:r>
              <w:rPr>
                <w:rFonts w:hint="eastAsia" w:ascii="等线" w:hAnsi="等线" w:cs="仿宋"/>
                <w:bCs/>
                <w:color w:val="000000"/>
                <w:kern w:val="0"/>
                <w:szCs w:val="21"/>
              </w:rPr>
              <w:t>实现图片导出时自动增加水印功能。在系统中可自定义水印的内容、字体大小，导出图片时，可自动在图片中增加水印（需提供软件截图和现场程序演示）。</w:t>
            </w:r>
          </w:p>
          <w:p w14:paraId="51F5BEBA">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29.</w:t>
            </w:r>
            <w:r>
              <w:rPr>
                <w:rFonts w:hint="eastAsia" w:ascii="等线" w:hAnsi="等线" w:cs="仿宋"/>
                <w:bCs/>
                <w:color w:val="000000"/>
                <w:kern w:val="0"/>
                <w:szCs w:val="21"/>
              </w:rPr>
              <w:tab/>
            </w:r>
            <w:r>
              <w:rPr>
                <w:rFonts w:hint="eastAsia" w:ascii="等线" w:hAnsi="等线" w:cs="仿宋"/>
                <w:bCs/>
                <w:color w:val="000000"/>
                <w:kern w:val="0"/>
                <w:szCs w:val="21"/>
              </w:rPr>
              <w:t>具有开放的解剖示意图库功能。可对各个部位的解剖示意图进行编辑，连同报告一起打印出。</w:t>
            </w:r>
          </w:p>
          <w:p w14:paraId="5261729A">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30.</w:t>
            </w:r>
            <w:r>
              <w:rPr>
                <w:rFonts w:hint="eastAsia" w:ascii="等线" w:hAnsi="等线" w:cs="仿宋"/>
                <w:bCs/>
                <w:color w:val="000000"/>
                <w:kern w:val="0"/>
                <w:szCs w:val="21"/>
              </w:rPr>
              <w:tab/>
            </w:r>
            <w:r>
              <w:rPr>
                <w:rFonts w:hint="eastAsia" w:ascii="等线" w:hAnsi="等线" w:cs="仿宋"/>
                <w:bCs/>
                <w:color w:val="000000"/>
                <w:kern w:val="0"/>
                <w:szCs w:val="21"/>
              </w:rPr>
              <w:t>支持自动患者匹配功能，如该患者以前在本科室有过检查历史，则自动将多次检查归入同一患者名下。</w:t>
            </w:r>
          </w:p>
          <w:p w14:paraId="425457D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31.</w:t>
            </w:r>
            <w:r>
              <w:rPr>
                <w:rFonts w:hint="eastAsia" w:ascii="等线" w:hAnsi="等线" w:cs="仿宋"/>
                <w:bCs/>
                <w:color w:val="000000"/>
                <w:kern w:val="0"/>
                <w:szCs w:val="21"/>
              </w:rPr>
              <w:tab/>
            </w:r>
            <w:r>
              <w:rPr>
                <w:rFonts w:hint="eastAsia" w:ascii="等线" w:hAnsi="等线" w:cs="仿宋"/>
                <w:bCs/>
                <w:color w:val="000000"/>
                <w:kern w:val="0"/>
                <w:szCs w:val="21"/>
              </w:rPr>
              <w:t>根据图像数量，自动选择报告格式。</w:t>
            </w:r>
          </w:p>
        </w:tc>
        <w:tc>
          <w:tcPr>
            <w:tcW w:w="256" w:type="pct"/>
            <w:noWrap w:val="0"/>
            <w:vAlign w:val="center"/>
          </w:tcPr>
          <w:p w14:paraId="3C69DF8D">
            <w:pPr>
              <w:rPr>
                <w:szCs w:val="21"/>
              </w:rPr>
            </w:pPr>
            <w:r>
              <w:rPr>
                <w:rFonts w:hint="eastAsia"/>
                <w:szCs w:val="21"/>
              </w:rPr>
              <w:t>套</w:t>
            </w:r>
          </w:p>
        </w:tc>
        <w:tc>
          <w:tcPr>
            <w:tcW w:w="288" w:type="pct"/>
            <w:noWrap w:val="0"/>
            <w:vAlign w:val="center"/>
          </w:tcPr>
          <w:p w14:paraId="337983FE">
            <w:pPr>
              <w:rPr>
                <w:szCs w:val="21"/>
              </w:rPr>
            </w:pPr>
            <w:r>
              <w:rPr>
                <w:rFonts w:hint="eastAsia"/>
                <w:szCs w:val="21"/>
              </w:rPr>
              <w:t>8</w:t>
            </w:r>
          </w:p>
        </w:tc>
        <w:tc>
          <w:tcPr>
            <w:tcW w:w="720" w:type="pct"/>
            <w:noWrap w:val="0"/>
            <w:vAlign w:val="center"/>
          </w:tcPr>
          <w:p w14:paraId="50A5D5F6">
            <w:pPr>
              <w:jc w:val="center"/>
              <w:rPr>
                <w:szCs w:val="21"/>
              </w:rPr>
            </w:pPr>
          </w:p>
        </w:tc>
        <w:tc>
          <w:tcPr>
            <w:tcW w:w="577" w:type="pct"/>
            <w:noWrap w:val="0"/>
            <w:vAlign w:val="center"/>
          </w:tcPr>
          <w:p w14:paraId="338FBB67">
            <w:pPr>
              <w:jc w:val="center"/>
              <w:rPr>
                <w:szCs w:val="21"/>
              </w:rPr>
            </w:pPr>
            <w:r>
              <w:rPr>
                <w:szCs w:val="21"/>
              </w:rPr>
              <w:t>否</w:t>
            </w:r>
          </w:p>
        </w:tc>
      </w:tr>
      <w:tr w14:paraId="57CE0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401E73C7">
            <w:pPr>
              <w:jc w:val="center"/>
              <w:rPr>
                <w:szCs w:val="21"/>
              </w:rPr>
            </w:pPr>
            <w:r>
              <w:rPr>
                <w:rFonts w:hint="eastAsia"/>
                <w:szCs w:val="21"/>
              </w:rPr>
              <w:t>4</w:t>
            </w:r>
          </w:p>
        </w:tc>
        <w:tc>
          <w:tcPr>
            <w:tcW w:w="617" w:type="pct"/>
            <w:noWrap w:val="0"/>
            <w:vAlign w:val="center"/>
          </w:tcPr>
          <w:p w14:paraId="0C431C2B">
            <w:pPr>
              <w:widowControl/>
              <w:rPr>
                <w:szCs w:val="21"/>
              </w:rPr>
            </w:pPr>
            <w:r>
              <w:rPr>
                <w:rFonts w:hint="eastAsia"/>
                <w:szCs w:val="21"/>
              </w:rPr>
              <w:t>主任审核工作站（科室管理）</w:t>
            </w:r>
          </w:p>
        </w:tc>
        <w:tc>
          <w:tcPr>
            <w:tcW w:w="2167" w:type="pct"/>
            <w:noWrap w:val="0"/>
            <w:vAlign w:val="center"/>
          </w:tcPr>
          <w:p w14:paraId="5266FE2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支持按用户类别或者组类别赋予使用权限。</w:t>
            </w:r>
          </w:p>
          <w:p w14:paraId="19F3B43F">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系统的所有用户由系统管理员统一创建，并根据该用户在业务流程中担任的角色设置用户权限，还可根据用户需求设置初始密码。可按用户或者组类别赋予使用权限，支持对个别用户或者用户组，分配使用或者变更系统资源及数据的使用控制功能。</w:t>
            </w:r>
          </w:p>
          <w:p w14:paraId="450126F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每个用户必须使用各自的ID和密码登录系统，访问系统中的数据。</w:t>
            </w:r>
          </w:p>
          <w:p w14:paraId="37862F6B">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支持特殊疾病的统计和查询。</w:t>
            </w:r>
          </w:p>
          <w:p w14:paraId="79EF29A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支持阳性率统计。</w:t>
            </w:r>
          </w:p>
          <w:p w14:paraId="09CBF5A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支持将检查信息导出到Excel。</w:t>
            </w:r>
          </w:p>
          <w:p w14:paraId="372470D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支持登记员工作量统计。</w:t>
            </w:r>
          </w:p>
          <w:p w14:paraId="6D6BA055">
            <w:pPr>
              <w:widowControl/>
              <w:snapToGrid w:val="0"/>
              <w:jc w:val="left"/>
              <w:rPr>
                <w:rFonts w:ascii="等线" w:hAnsi="等线" w:cs="仿宋"/>
                <w:bCs/>
                <w:color w:val="000000"/>
                <w:kern w:val="0"/>
                <w:szCs w:val="21"/>
              </w:rPr>
            </w:pPr>
            <w:r>
              <w:rPr>
                <w:rFonts w:hint="eastAsia" w:ascii="等线" w:hAnsi="等线" w:cs="仿宋"/>
                <w:bCs/>
                <w:color w:val="000000"/>
                <w:kern w:val="0"/>
                <w:szCs w:val="21"/>
              </w:rPr>
              <w:t>8.</w:t>
            </w:r>
            <w:r>
              <w:rPr>
                <w:rFonts w:hint="eastAsia" w:ascii="等线" w:hAnsi="等线" w:cs="仿宋"/>
                <w:bCs/>
                <w:color w:val="000000"/>
                <w:kern w:val="0"/>
                <w:szCs w:val="21"/>
              </w:rPr>
              <w:tab/>
            </w:r>
            <w:r>
              <w:rPr>
                <w:rFonts w:hint="eastAsia" w:ascii="等线" w:hAnsi="等线" w:cs="仿宋"/>
                <w:bCs/>
                <w:color w:val="000000"/>
                <w:kern w:val="0"/>
                <w:szCs w:val="21"/>
              </w:rPr>
              <w:t>支持按时间段工作量统计。</w:t>
            </w:r>
          </w:p>
          <w:p w14:paraId="19E161C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9.</w:t>
            </w:r>
            <w:r>
              <w:rPr>
                <w:rFonts w:hint="eastAsia" w:ascii="等线" w:hAnsi="等线" w:cs="仿宋"/>
                <w:bCs/>
                <w:color w:val="000000"/>
                <w:kern w:val="0"/>
                <w:szCs w:val="21"/>
              </w:rPr>
              <w:tab/>
            </w:r>
            <w:r>
              <w:rPr>
                <w:rFonts w:hint="eastAsia" w:ascii="等线" w:hAnsi="等线" w:cs="仿宋"/>
                <w:bCs/>
                <w:color w:val="000000"/>
                <w:kern w:val="0"/>
                <w:szCs w:val="21"/>
              </w:rPr>
              <w:t>支持检查项目明细统计。</w:t>
            </w:r>
          </w:p>
          <w:p w14:paraId="261DE10B">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10.</w:t>
            </w:r>
            <w:r>
              <w:rPr>
                <w:rFonts w:hint="eastAsia" w:ascii="等线" w:hAnsi="等线" w:cs="仿宋"/>
                <w:bCs/>
                <w:color w:val="000000"/>
                <w:kern w:val="0"/>
                <w:szCs w:val="21"/>
              </w:rPr>
              <w:tab/>
            </w:r>
            <w:r>
              <w:rPr>
                <w:rFonts w:hint="eastAsia" w:ascii="等线" w:hAnsi="等线" w:cs="仿宋"/>
                <w:bCs/>
                <w:color w:val="000000"/>
                <w:kern w:val="0"/>
                <w:szCs w:val="21"/>
              </w:rPr>
              <w:t>支持申请科室明细统计。</w:t>
            </w:r>
          </w:p>
          <w:p w14:paraId="760707C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11.</w:t>
            </w:r>
            <w:r>
              <w:rPr>
                <w:rFonts w:hint="eastAsia" w:ascii="等线" w:hAnsi="等线" w:cs="仿宋"/>
                <w:bCs/>
                <w:color w:val="000000"/>
                <w:kern w:val="0"/>
                <w:szCs w:val="21"/>
              </w:rPr>
              <w:tab/>
            </w:r>
            <w:r>
              <w:rPr>
                <w:rFonts w:hint="eastAsia" w:ascii="等线" w:hAnsi="等线" w:cs="仿宋"/>
                <w:bCs/>
                <w:color w:val="000000"/>
                <w:kern w:val="0"/>
                <w:szCs w:val="21"/>
              </w:rPr>
              <w:t>支持报告医生工作量统计。</w:t>
            </w:r>
          </w:p>
        </w:tc>
        <w:tc>
          <w:tcPr>
            <w:tcW w:w="256" w:type="pct"/>
            <w:noWrap w:val="0"/>
            <w:vAlign w:val="center"/>
          </w:tcPr>
          <w:p w14:paraId="7ECA0F30">
            <w:pPr>
              <w:rPr>
                <w:szCs w:val="21"/>
              </w:rPr>
            </w:pPr>
            <w:r>
              <w:rPr>
                <w:rFonts w:hint="eastAsia"/>
                <w:szCs w:val="21"/>
              </w:rPr>
              <w:t>套</w:t>
            </w:r>
          </w:p>
        </w:tc>
        <w:tc>
          <w:tcPr>
            <w:tcW w:w="288" w:type="pct"/>
            <w:noWrap w:val="0"/>
            <w:vAlign w:val="center"/>
          </w:tcPr>
          <w:p w14:paraId="07A9E3F7">
            <w:pPr>
              <w:rPr>
                <w:szCs w:val="21"/>
              </w:rPr>
            </w:pPr>
            <w:r>
              <w:rPr>
                <w:rFonts w:hint="eastAsia"/>
                <w:szCs w:val="21"/>
              </w:rPr>
              <w:t>2</w:t>
            </w:r>
          </w:p>
        </w:tc>
        <w:tc>
          <w:tcPr>
            <w:tcW w:w="720" w:type="pct"/>
            <w:noWrap w:val="0"/>
            <w:vAlign w:val="center"/>
          </w:tcPr>
          <w:p w14:paraId="1969B9D5">
            <w:pPr>
              <w:jc w:val="center"/>
              <w:rPr>
                <w:szCs w:val="21"/>
              </w:rPr>
            </w:pPr>
          </w:p>
        </w:tc>
        <w:tc>
          <w:tcPr>
            <w:tcW w:w="577" w:type="pct"/>
            <w:noWrap w:val="0"/>
            <w:vAlign w:val="center"/>
          </w:tcPr>
          <w:p w14:paraId="35730EF5">
            <w:pPr>
              <w:jc w:val="center"/>
              <w:rPr>
                <w:szCs w:val="21"/>
              </w:rPr>
            </w:pPr>
            <w:r>
              <w:rPr>
                <w:szCs w:val="21"/>
              </w:rPr>
              <w:t>否</w:t>
            </w:r>
          </w:p>
        </w:tc>
      </w:tr>
      <w:tr w14:paraId="60499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762BABD0">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5</w:t>
            </w:r>
          </w:p>
        </w:tc>
        <w:tc>
          <w:tcPr>
            <w:tcW w:w="617" w:type="pct"/>
            <w:noWrap w:val="0"/>
            <w:vAlign w:val="center"/>
          </w:tcPr>
          <w:p w14:paraId="47AF3E05">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内镜智能质控管理服务端</w:t>
            </w:r>
          </w:p>
        </w:tc>
        <w:tc>
          <w:tcPr>
            <w:tcW w:w="2167" w:type="pct"/>
            <w:noWrap w:val="0"/>
            <w:vAlign w:val="center"/>
          </w:tcPr>
          <w:p w14:paraId="48F3F90B">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提供面向所有内镜工作站所采集的图片智能化识别。</w:t>
            </w:r>
          </w:p>
          <w:p w14:paraId="6E285061">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支持消化内镜诊疗质控指标的量化、自动采集、上报，可无缝对接国家消化内镜质控中心信息管理平台。具体包含国家消化内镜质控中心发布的18个消化内镜质控指标。</w:t>
            </w:r>
          </w:p>
        </w:tc>
        <w:tc>
          <w:tcPr>
            <w:tcW w:w="256" w:type="pct"/>
            <w:noWrap w:val="0"/>
            <w:vAlign w:val="center"/>
          </w:tcPr>
          <w:p w14:paraId="7BEECE11">
            <w:pPr>
              <w:rPr>
                <w:szCs w:val="21"/>
              </w:rPr>
            </w:pPr>
            <w:r>
              <w:rPr>
                <w:rFonts w:hint="eastAsia"/>
                <w:szCs w:val="21"/>
              </w:rPr>
              <w:t>套</w:t>
            </w:r>
          </w:p>
        </w:tc>
        <w:tc>
          <w:tcPr>
            <w:tcW w:w="288" w:type="pct"/>
            <w:noWrap w:val="0"/>
            <w:vAlign w:val="center"/>
          </w:tcPr>
          <w:p w14:paraId="41C3FF83">
            <w:pPr>
              <w:rPr>
                <w:szCs w:val="21"/>
              </w:rPr>
            </w:pPr>
            <w:r>
              <w:rPr>
                <w:rFonts w:hint="eastAsia"/>
                <w:szCs w:val="21"/>
              </w:rPr>
              <w:t>1</w:t>
            </w:r>
          </w:p>
        </w:tc>
        <w:tc>
          <w:tcPr>
            <w:tcW w:w="720" w:type="pct"/>
            <w:noWrap w:val="0"/>
            <w:vAlign w:val="center"/>
          </w:tcPr>
          <w:p w14:paraId="466510C4">
            <w:pPr>
              <w:jc w:val="center"/>
              <w:rPr>
                <w:szCs w:val="21"/>
              </w:rPr>
            </w:pPr>
          </w:p>
        </w:tc>
        <w:tc>
          <w:tcPr>
            <w:tcW w:w="577" w:type="pct"/>
            <w:noWrap w:val="0"/>
            <w:vAlign w:val="center"/>
          </w:tcPr>
          <w:p w14:paraId="40BFD683">
            <w:pPr>
              <w:jc w:val="center"/>
              <w:rPr>
                <w:szCs w:val="21"/>
              </w:rPr>
            </w:pPr>
            <w:r>
              <w:rPr>
                <w:szCs w:val="21"/>
              </w:rPr>
              <w:t>否</w:t>
            </w:r>
          </w:p>
        </w:tc>
      </w:tr>
      <w:tr w14:paraId="79842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5FA826CF">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6</w:t>
            </w:r>
          </w:p>
        </w:tc>
        <w:tc>
          <w:tcPr>
            <w:tcW w:w="617" w:type="pct"/>
            <w:noWrap w:val="0"/>
            <w:vAlign w:val="center"/>
          </w:tcPr>
          <w:p w14:paraId="46FF645E">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内镜智能质控管理诊室端</w:t>
            </w:r>
          </w:p>
        </w:tc>
        <w:tc>
          <w:tcPr>
            <w:tcW w:w="2167" w:type="pct"/>
            <w:noWrap w:val="0"/>
            <w:vAlign w:val="center"/>
          </w:tcPr>
          <w:p w14:paraId="140F6922">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质控模块深度嵌入当前消化内镜系统界面，非第三方外挂系统。UI设计规范和操作规范与当前系统一致。</w:t>
            </w:r>
          </w:p>
          <w:p w14:paraId="789A242E">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所有图文报告工作站（带有采集卡的）均具有人工智能智能识别功能。</w:t>
            </w:r>
          </w:p>
          <w:p w14:paraId="025636CB">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每台工作站每采集一张图片，可通过人工智能进行识别，识别上消化道部位，部位分类包括至少30个位置。系统内置示意图，示意图分割至少30个部位，每识别到一个部位，则自动填充示意图。（需提软件截图）</w:t>
            </w:r>
          </w:p>
        </w:tc>
        <w:tc>
          <w:tcPr>
            <w:tcW w:w="256" w:type="pct"/>
            <w:noWrap w:val="0"/>
            <w:vAlign w:val="center"/>
          </w:tcPr>
          <w:p w14:paraId="6C6E8458">
            <w:pPr>
              <w:rPr>
                <w:szCs w:val="21"/>
              </w:rPr>
            </w:pPr>
            <w:r>
              <w:rPr>
                <w:rFonts w:hint="eastAsia"/>
                <w:szCs w:val="21"/>
              </w:rPr>
              <w:t>套</w:t>
            </w:r>
          </w:p>
        </w:tc>
        <w:tc>
          <w:tcPr>
            <w:tcW w:w="288" w:type="pct"/>
            <w:noWrap w:val="0"/>
            <w:vAlign w:val="center"/>
          </w:tcPr>
          <w:p w14:paraId="3E13E536">
            <w:pPr>
              <w:rPr>
                <w:szCs w:val="21"/>
              </w:rPr>
            </w:pPr>
            <w:r>
              <w:rPr>
                <w:rFonts w:hint="eastAsia"/>
                <w:szCs w:val="21"/>
              </w:rPr>
              <w:t>8</w:t>
            </w:r>
          </w:p>
        </w:tc>
        <w:tc>
          <w:tcPr>
            <w:tcW w:w="720" w:type="pct"/>
            <w:noWrap w:val="0"/>
            <w:vAlign w:val="center"/>
          </w:tcPr>
          <w:p w14:paraId="11FED2EE">
            <w:pPr>
              <w:jc w:val="center"/>
              <w:rPr>
                <w:szCs w:val="21"/>
              </w:rPr>
            </w:pPr>
          </w:p>
        </w:tc>
        <w:tc>
          <w:tcPr>
            <w:tcW w:w="577" w:type="pct"/>
            <w:noWrap w:val="0"/>
            <w:vAlign w:val="center"/>
          </w:tcPr>
          <w:p w14:paraId="5FD9B367">
            <w:pPr>
              <w:jc w:val="center"/>
              <w:rPr>
                <w:szCs w:val="21"/>
              </w:rPr>
            </w:pPr>
            <w:r>
              <w:rPr>
                <w:szCs w:val="21"/>
              </w:rPr>
              <w:t>否</w:t>
            </w:r>
          </w:p>
        </w:tc>
      </w:tr>
      <w:tr w14:paraId="59AEB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35D26B44">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7</w:t>
            </w:r>
          </w:p>
        </w:tc>
        <w:tc>
          <w:tcPr>
            <w:tcW w:w="617" w:type="pct"/>
            <w:noWrap w:val="0"/>
            <w:vAlign w:val="center"/>
          </w:tcPr>
          <w:p w14:paraId="13782BB0">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质控看板</w:t>
            </w:r>
          </w:p>
        </w:tc>
        <w:tc>
          <w:tcPr>
            <w:tcW w:w="2167" w:type="pct"/>
            <w:noWrap w:val="0"/>
            <w:vAlign w:val="center"/>
          </w:tcPr>
          <w:p w14:paraId="560C9C87">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 xml:space="preserve">科室质控数据实时显示，支持国家消化内镜最新18项质控指标（2022版）的计算。 </w:t>
            </w:r>
          </w:p>
          <w:p w14:paraId="1217A007">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可显示关键指标的一段周期内的变化情况。例如自动计算显示10周内：上消化道检查完整率，结直肠准备优良率，结直肠检查退镜时长≥6分钟，结直肠镜插管成功率这四个指标的趋势变化图。（需提软件截图）</w:t>
            </w:r>
          </w:p>
        </w:tc>
        <w:tc>
          <w:tcPr>
            <w:tcW w:w="256" w:type="pct"/>
            <w:noWrap w:val="0"/>
            <w:vAlign w:val="center"/>
          </w:tcPr>
          <w:p w14:paraId="7DF7F93B">
            <w:pPr>
              <w:rPr>
                <w:szCs w:val="21"/>
              </w:rPr>
            </w:pPr>
            <w:r>
              <w:rPr>
                <w:rFonts w:hint="eastAsia"/>
                <w:szCs w:val="21"/>
              </w:rPr>
              <w:t>套</w:t>
            </w:r>
          </w:p>
        </w:tc>
        <w:tc>
          <w:tcPr>
            <w:tcW w:w="288" w:type="pct"/>
            <w:noWrap w:val="0"/>
            <w:vAlign w:val="center"/>
          </w:tcPr>
          <w:p w14:paraId="06A308B6">
            <w:pPr>
              <w:rPr>
                <w:szCs w:val="21"/>
              </w:rPr>
            </w:pPr>
            <w:r>
              <w:rPr>
                <w:rFonts w:hint="eastAsia"/>
                <w:szCs w:val="21"/>
              </w:rPr>
              <w:t>1</w:t>
            </w:r>
          </w:p>
        </w:tc>
        <w:tc>
          <w:tcPr>
            <w:tcW w:w="720" w:type="pct"/>
            <w:noWrap w:val="0"/>
            <w:vAlign w:val="center"/>
          </w:tcPr>
          <w:p w14:paraId="2B189809">
            <w:pPr>
              <w:jc w:val="center"/>
              <w:rPr>
                <w:szCs w:val="21"/>
              </w:rPr>
            </w:pPr>
          </w:p>
        </w:tc>
        <w:tc>
          <w:tcPr>
            <w:tcW w:w="577" w:type="pct"/>
            <w:noWrap w:val="0"/>
            <w:vAlign w:val="center"/>
          </w:tcPr>
          <w:p w14:paraId="16BF6F6D">
            <w:pPr>
              <w:jc w:val="center"/>
              <w:rPr>
                <w:szCs w:val="21"/>
              </w:rPr>
            </w:pPr>
            <w:r>
              <w:rPr>
                <w:szCs w:val="21"/>
              </w:rPr>
              <w:t>否</w:t>
            </w:r>
          </w:p>
        </w:tc>
      </w:tr>
      <w:tr w14:paraId="09EC9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2C3B9FC6">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8</w:t>
            </w:r>
          </w:p>
        </w:tc>
        <w:tc>
          <w:tcPr>
            <w:tcW w:w="617" w:type="pct"/>
            <w:noWrap w:val="0"/>
            <w:vAlign w:val="center"/>
          </w:tcPr>
          <w:p w14:paraId="38B6CE2B">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示教系统服务端</w:t>
            </w:r>
          </w:p>
        </w:tc>
        <w:tc>
          <w:tcPr>
            <w:tcW w:w="2167" w:type="pct"/>
            <w:noWrap w:val="0"/>
            <w:vAlign w:val="center"/>
          </w:tcPr>
          <w:p w14:paraId="2BE3982B">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采用B/S架构，支持所有录播服务单元的影像采集模块的集中管理以及直播，为用户管理和访问分散设备提供入口；</w:t>
            </w:r>
          </w:p>
          <w:p w14:paraId="568FB885">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系统采用B/S（浏览器/服务器）与C/S（客户端/服务器）混合架构，具备所有录播服务单元的影像采集模块的集中管理以及直播，为用户管理和访问分散设备提供高效的入口；</w:t>
            </w:r>
          </w:p>
          <w:p w14:paraId="5A31AEEF">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具备服务器管理、医院管理、用户管理、角色管理、权限管理、终端管理等功能；</w:t>
            </w:r>
          </w:p>
          <w:p w14:paraId="787D0BFB">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支持系统管理员、主任、医生、护士等多级角色权限管理，系统管理员具备最高权限；</w:t>
            </w:r>
          </w:p>
          <w:p w14:paraId="5F27D76C">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具备网络扫描技术智能识别自动注册终端设备;</w:t>
            </w:r>
          </w:p>
          <w:p w14:paraId="6710B69B">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具备所有录播服务单元、客户端的统一集中参数配置与权限管理，每项功能都可以单独设置权限开启；</w:t>
            </w:r>
          </w:p>
          <w:p w14:paraId="762720D5">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 xml:space="preserve">具备手术直播，手术转播、手术录像、视频点播、手术室视频列表查看; </w:t>
            </w:r>
          </w:p>
          <w:p w14:paraId="40283543">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8.</w:t>
            </w:r>
            <w:r>
              <w:rPr>
                <w:rFonts w:hint="eastAsia" w:ascii="等线" w:hAnsi="等线" w:cs="仿宋"/>
                <w:bCs/>
                <w:color w:val="000000"/>
                <w:kern w:val="0"/>
                <w:szCs w:val="21"/>
              </w:rPr>
              <w:tab/>
            </w:r>
            <w:r>
              <w:rPr>
                <w:rFonts w:hint="eastAsia" w:ascii="等线" w:hAnsi="等线" w:cs="仿宋"/>
                <w:bCs/>
                <w:color w:val="000000"/>
                <w:kern w:val="0"/>
                <w:szCs w:val="21"/>
              </w:rPr>
              <w:t>具备各类医学视频的图像采集、网络传输、存储、分享的功能;</w:t>
            </w:r>
          </w:p>
          <w:p w14:paraId="495F0F68">
            <w:pPr>
              <w:widowControl/>
              <w:snapToGrid w:val="0"/>
              <w:ind w:left="210" w:hanging="210" w:hangingChars="100"/>
              <w:jc w:val="left"/>
              <w:rPr>
                <w:rFonts w:ascii="等线" w:hAnsi="等线" w:cs="仿宋"/>
                <w:bCs/>
                <w:color w:val="000000"/>
                <w:kern w:val="0"/>
                <w:szCs w:val="21"/>
              </w:rPr>
            </w:pPr>
            <w:r>
              <w:rPr>
                <w:rFonts w:hint="eastAsia" w:ascii="等线" w:hAnsi="等线" w:cs="仿宋"/>
                <w:bCs/>
                <w:color w:val="000000"/>
                <w:kern w:val="0"/>
                <w:szCs w:val="21"/>
              </w:rPr>
              <w:t>9.</w:t>
            </w:r>
            <w:r>
              <w:rPr>
                <w:rFonts w:hint="eastAsia" w:ascii="等线" w:hAnsi="等线" w:cs="仿宋"/>
                <w:bCs/>
                <w:color w:val="000000"/>
                <w:kern w:val="0"/>
                <w:szCs w:val="21"/>
              </w:rPr>
              <w:tab/>
            </w:r>
            <w:r>
              <w:rPr>
                <w:rFonts w:hint="eastAsia" w:ascii="等线" w:hAnsi="等线" w:cs="仿宋"/>
                <w:bCs/>
                <w:color w:val="000000"/>
                <w:kern w:val="0"/>
                <w:szCs w:val="21"/>
              </w:rPr>
              <w:t>具备与医学视频传输示教系统相关的计算机软件著作权登记证书,证书上须包含“医学视频”和“网络传输”的关键词；</w:t>
            </w:r>
          </w:p>
          <w:p w14:paraId="0A28E527">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10.</w:t>
            </w:r>
            <w:r>
              <w:rPr>
                <w:rFonts w:hint="eastAsia" w:ascii="等线" w:hAnsi="等线" w:cs="仿宋"/>
                <w:bCs/>
                <w:color w:val="000000"/>
                <w:kern w:val="0"/>
                <w:szCs w:val="21"/>
              </w:rPr>
              <w:tab/>
            </w:r>
            <w:r>
              <w:rPr>
                <w:rFonts w:hint="eastAsia" w:ascii="等线" w:hAnsi="等线" w:cs="仿宋"/>
                <w:bCs/>
                <w:color w:val="000000"/>
                <w:kern w:val="0"/>
                <w:szCs w:val="21"/>
              </w:rPr>
              <w:t xml:space="preserve">终端具备窗口播放优先级自定义，支持视频信号优先级设置； </w:t>
            </w:r>
          </w:p>
          <w:p w14:paraId="7ACE6825">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11.</w:t>
            </w:r>
            <w:r>
              <w:rPr>
                <w:rFonts w:hint="eastAsia" w:ascii="等线" w:hAnsi="等线" w:cs="仿宋"/>
                <w:bCs/>
                <w:color w:val="000000"/>
                <w:kern w:val="0"/>
                <w:szCs w:val="21"/>
              </w:rPr>
              <w:tab/>
            </w:r>
            <w:r>
              <w:rPr>
                <w:rFonts w:hint="eastAsia" w:ascii="等线" w:hAnsi="等线" w:cs="仿宋"/>
                <w:bCs/>
                <w:color w:val="000000"/>
                <w:kern w:val="0"/>
                <w:szCs w:val="21"/>
              </w:rPr>
              <w:t>具备多个手术室同时接入的多方通话功能 （须提供功能截图）</w:t>
            </w:r>
          </w:p>
          <w:p w14:paraId="08751FEC">
            <w:pPr>
              <w:widowControl/>
              <w:snapToGrid w:val="0"/>
              <w:ind w:left="420" w:hanging="420" w:hangingChars="200"/>
              <w:jc w:val="left"/>
              <w:rPr>
                <w:rFonts w:ascii="等线" w:hAnsi="等线" w:cs="仿宋"/>
                <w:bCs/>
                <w:color w:val="000000"/>
                <w:kern w:val="0"/>
                <w:szCs w:val="21"/>
              </w:rPr>
            </w:pPr>
            <w:r>
              <w:rPr>
                <w:rFonts w:hint="eastAsia" w:ascii="等线" w:hAnsi="等线" w:cs="仿宋"/>
                <w:bCs/>
                <w:color w:val="000000"/>
                <w:kern w:val="0"/>
                <w:szCs w:val="21"/>
              </w:rPr>
              <w:t>12.</w:t>
            </w:r>
            <w:r>
              <w:rPr>
                <w:rFonts w:hint="eastAsia" w:ascii="等线" w:hAnsi="等线" w:cs="仿宋"/>
                <w:bCs/>
                <w:color w:val="000000"/>
                <w:kern w:val="0"/>
                <w:szCs w:val="21"/>
              </w:rPr>
              <w:tab/>
            </w:r>
            <w:r>
              <w:rPr>
                <w:rFonts w:hint="eastAsia" w:ascii="等线" w:hAnsi="等线" w:cs="仿宋"/>
                <w:bCs/>
                <w:color w:val="000000"/>
                <w:kern w:val="0"/>
                <w:szCs w:val="21"/>
              </w:rPr>
              <w:t>具备按手术日期、科室、患者姓名等多维度进行分类检索;</w:t>
            </w:r>
          </w:p>
          <w:p w14:paraId="743D259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13.</w:t>
            </w:r>
            <w:r>
              <w:rPr>
                <w:rFonts w:hint="eastAsia" w:ascii="等线" w:hAnsi="等线" w:cs="仿宋"/>
                <w:bCs/>
                <w:color w:val="000000"/>
                <w:kern w:val="0"/>
                <w:szCs w:val="21"/>
              </w:rPr>
              <w:tab/>
            </w:r>
            <w:r>
              <w:rPr>
                <w:rFonts w:hint="eastAsia" w:ascii="等线" w:hAnsi="等线" w:cs="仿宋"/>
                <w:bCs/>
                <w:color w:val="000000"/>
                <w:kern w:val="0"/>
                <w:szCs w:val="21"/>
              </w:rPr>
              <w:t>具备病人信息及录像关联化集中管理;</w:t>
            </w:r>
          </w:p>
          <w:p w14:paraId="24A2960B">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14.</w:t>
            </w:r>
            <w:r>
              <w:rPr>
                <w:rFonts w:hint="eastAsia" w:ascii="等线" w:hAnsi="等线" w:cs="仿宋"/>
                <w:bCs/>
                <w:color w:val="000000"/>
                <w:kern w:val="0"/>
                <w:szCs w:val="21"/>
              </w:rPr>
              <w:tab/>
            </w:r>
            <w:r>
              <w:rPr>
                <w:rFonts w:hint="eastAsia" w:ascii="等线" w:hAnsi="等线" w:cs="仿宋"/>
                <w:bCs/>
                <w:color w:val="000000"/>
                <w:kern w:val="0"/>
                <w:szCs w:val="21"/>
              </w:rPr>
              <w:t>具备多台客户端的同时访问与管理;</w:t>
            </w:r>
          </w:p>
          <w:p w14:paraId="691112F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15.</w:t>
            </w:r>
            <w:r>
              <w:rPr>
                <w:rFonts w:hint="eastAsia" w:ascii="等线" w:hAnsi="等线" w:cs="仿宋"/>
                <w:bCs/>
                <w:color w:val="000000"/>
                <w:kern w:val="0"/>
                <w:szCs w:val="21"/>
              </w:rPr>
              <w:tab/>
            </w:r>
            <w:r>
              <w:rPr>
                <w:rFonts w:hint="eastAsia" w:ascii="等线" w:hAnsi="等线" w:cs="仿宋"/>
                <w:bCs/>
                <w:color w:val="000000"/>
                <w:kern w:val="0"/>
                <w:szCs w:val="21"/>
              </w:rPr>
              <w:t>支持日志记录及查询；</w:t>
            </w:r>
          </w:p>
          <w:p w14:paraId="492CDE05">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16.</w:t>
            </w:r>
            <w:r>
              <w:rPr>
                <w:rFonts w:hint="eastAsia" w:ascii="等线" w:hAnsi="等线" w:cs="仿宋"/>
                <w:bCs/>
                <w:color w:val="000000"/>
                <w:kern w:val="0"/>
                <w:szCs w:val="21"/>
              </w:rPr>
              <w:tab/>
            </w:r>
            <w:r>
              <w:rPr>
                <w:rFonts w:hint="eastAsia" w:ascii="等线" w:hAnsi="等线" w:cs="仿宋"/>
                <w:bCs/>
                <w:color w:val="000000"/>
                <w:kern w:val="0"/>
                <w:szCs w:val="21"/>
              </w:rPr>
              <w:t>系统具备 7×24 小时运行；</w:t>
            </w:r>
          </w:p>
          <w:p w14:paraId="7DD5F2B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17.</w:t>
            </w:r>
            <w:r>
              <w:rPr>
                <w:rFonts w:hint="eastAsia" w:ascii="等线" w:hAnsi="等线" w:cs="仿宋"/>
                <w:bCs/>
                <w:color w:val="000000"/>
                <w:kern w:val="0"/>
                <w:szCs w:val="21"/>
              </w:rPr>
              <w:tab/>
            </w:r>
            <w:r>
              <w:rPr>
                <w:rFonts w:hint="eastAsia" w:ascii="等线" w:hAnsi="等线" w:cs="仿宋"/>
                <w:bCs/>
                <w:color w:val="000000"/>
                <w:kern w:val="0"/>
                <w:szCs w:val="21"/>
              </w:rPr>
              <w:t>系统具备数据备份与恢复功能；</w:t>
            </w:r>
          </w:p>
        </w:tc>
        <w:tc>
          <w:tcPr>
            <w:tcW w:w="256" w:type="pct"/>
            <w:noWrap w:val="0"/>
            <w:vAlign w:val="center"/>
          </w:tcPr>
          <w:p w14:paraId="63624528">
            <w:pPr>
              <w:rPr>
                <w:szCs w:val="21"/>
              </w:rPr>
            </w:pPr>
            <w:r>
              <w:rPr>
                <w:rFonts w:hint="eastAsia"/>
                <w:szCs w:val="21"/>
              </w:rPr>
              <w:t>套</w:t>
            </w:r>
          </w:p>
        </w:tc>
        <w:tc>
          <w:tcPr>
            <w:tcW w:w="288" w:type="pct"/>
            <w:noWrap w:val="0"/>
            <w:vAlign w:val="center"/>
          </w:tcPr>
          <w:p w14:paraId="40D7A254">
            <w:pPr>
              <w:rPr>
                <w:szCs w:val="21"/>
              </w:rPr>
            </w:pPr>
            <w:r>
              <w:rPr>
                <w:rFonts w:hint="eastAsia"/>
                <w:szCs w:val="21"/>
              </w:rPr>
              <w:t>1</w:t>
            </w:r>
          </w:p>
        </w:tc>
        <w:tc>
          <w:tcPr>
            <w:tcW w:w="720" w:type="pct"/>
            <w:noWrap w:val="0"/>
            <w:vAlign w:val="center"/>
          </w:tcPr>
          <w:p w14:paraId="25627071">
            <w:pPr>
              <w:jc w:val="center"/>
              <w:rPr>
                <w:szCs w:val="21"/>
              </w:rPr>
            </w:pPr>
          </w:p>
        </w:tc>
        <w:tc>
          <w:tcPr>
            <w:tcW w:w="577" w:type="pct"/>
            <w:noWrap w:val="0"/>
            <w:vAlign w:val="center"/>
          </w:tcPr>
          <w:p w14:paraId="52DE1540">
            <w:pPr>
              <w:jc w:val="center"/>
              <w:rPr>
                <w:szCs w:val="21"/>
              </w:rPr>
            </w:pPr>
            <w:r>
              <w:rPr>
                <w:szCs w:val="21"/>
              </w:rPr>
              <w:t>否</w:t>
            </w:r>
          </w:p>
        </w:tc>
      </w:tr>
      <w:tr w14:paraId="59C14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73D01E2A">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9</w:t>
            </w:r>
          </w:p>
        </w:tc>
        <w:tc>
          <w:tcPr>
            <w:tcW w:w="617" w:type="pct"/>
            <w:noWrap w:val="0"/>
            <w:vAlign w:val="center"/>
          </w:tcPr>
          <w:p w14:paraId="2E981631">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手术示教录播服务单元（4路高清）</w:t>
            </w:r>
          </w:p>
        </w:tc>
        <w:tc>
          <w:tcPr>
            <w:tcW w:w="2167" w:type="pct"/>
            <w:noWrap w:val="0"/>
            <w:vAlign w:val="center"/>
          </w:tcPr>
          <w:p w14:paraId="77ABDB63">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外景摄像机</w:t>
            </w:r>
          </w:p>
          <w:p w14:paraId="7319FE5E">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1）COMS传感器≥1/2.8英寸；</w:t>
            </w:r>
          </w:p>
          <w:p w14:paraId="027CFF7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2）视频格式≥1080P-60HZ；</w:t>
            </w:r>
          </w:p>
          <w:p w14:paraId="57B547D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3）光学变焦≥12倍；</w:t>
            </w:r>
          </w:p>
          <w:p w14:paraId="688A878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4）最低照度≥0.5lux，信噪比&gt;55dB；</w:t>
            </w:r>
          </w:p>
          <w:p w14:paraId="7AA5C79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5）视频接口：HDMI输出≥1路、3GSDI输出≥1路；</w:t>
            </w:r>
          </w:p>
          <w:p w14:paraId="1193A28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6）支持IP编码；</w:t>
            </w:r>
          </w:p>
          <w:p w14:paraId="529045B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无线耳麦</w:t>
            </w:r>
          </w:p>
          <w:p w14:paraId="75B7F6A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通话时间长8小时以上，待机36小时以上</w:t>
            </w:r>
          </w:p>
          <w:p w14:paraId="0D066D5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可选择的自动休眠模式</w:t>
            </w:r>
          </w:p>
          <w:p w14:paraId="5D33BCB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降噪麦克风</w:t>
            </w:r>
          </w:p>
          <w:p w14:paraId="2BD18FA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头戴式</w:t>
            </w:r>
          </w:p>
          <w:p w14:paraId="5E2F3005">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医技协同终端</w:t>
            </w:r>
          </w:p>
          <w:p w14:paraId="1DBBA70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全嵌入式设计，高性能 SoC 处理器，集成先进 CPU、GPU、DSP 等多元处理单元，具备7×24 小时不间断运行；</w:t>
            </w:r>
          </w:p>
          <w:p w14:paraId="1D32122D">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具备4路高清医学影像并行编码；</w:t>
            </w:r>
          </w:p>
          <w:p w14:paraId="59D0B23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 xml:space="preserve">★视频输入HDMI≥2路（4K分辨率），3G-SDI≥1路， USB高清视频≥1路， IP网络流转码≥4路，RJ45以太网接口≥3个； </w:t>
            </w:r>
          </w:p>
          <w:p w14:paraId="741D39B0">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具备 CMA，CNAS 检验资质的权威机构出具的检测报告复印件;</w:t>
            </w:r>
          </w:p>
          <w:p w14:paraId="3EDF894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软件功能</w:t>
            </w:r>
          </w:p>
          <w:p w14:paraId="2AFEA66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可手动新建手术信息；</w:t>
            </w:r>
          </w:p>
          <w:p w14:paraId="77FD773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支持无人值守，自动创建病例;（须提供功能截图）；</w:t>
            </w:r>
          </w:p>
          <w:p w14:paraId="6ED21AF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具备实时录像、采图，录像回放采图，并关联归档到病人资料; （须提供功能截图）</w:t>
            </w:r>
          </w:p>
          <w:p w14:paraId="7A5FA453">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具备打印图文报告或纯文字报告;（须提供功能截图）</w:t>
            </w:r>
          </w:p>
          <w:p w14:paraId="13FC99D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具有图像的导入、导出功能;</w:t>
            </w:r>
          </w:p>
          <w:p w14:paraId="4F03721E">
            <w:pPr>
              <w:widowControl/>
              <w:snapToGrid w:val="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具备同时显示不少于2路高清图像，可自由切换单画面/双画面/三分屏/四分屏等组合显示模式，画面布局支持自定义视频墙;</w:t>
            </w:r>
          </w:p>
          <w:p w14:paraId="76282F9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具备根据视频源数量及重要程度系统智能化组合视频窗口布局;</w:t>
            </w:r>
          </w:p>
          <w:p w14:paraId="4A1F378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8)</w:t>
            </w:r>
            <w:r>
              <w:rPr>
                <w:rFonts w:hint="eastAsia" w:ascii="等线" w:hAnsi="等线" w:cs="仿宋"/>
                <w:bCs/>
                <w:color w:val="000000"/>
                <w:kern w:val="0"/>
                <w:szCs w:val="21"/>
              </w:rPr>
              <w:tab/>
            </w:r>
            <w:r>
              <w:rPr>
                <w:rFonts w:hint="eastAsia" w:ascii="等线" w:hAnsi="等线" w:cs="仿宋"/>
                <w:bCs/>
                <w:color w:val="000000"/>
                <w:kern w:val="0"/>
                <w:szCs w:val="21"/>
              </w:rPr>
              <w:t>具备智能语音控制遥控摄像机推拉摇移，放大缩小；（须提供功能截图）</w:t>
            </w:r>
          </w:p>
          <w:p w14:paraId="76ED048B">
            <w:pPr>
              <w:widowControl/>
              <w:snapToGrid w:val="0"/>
              <w:jc w:val="left"/>
              <w:rPr>
                <w:rFonts w:ascii="等线" w:hAnsi="等线" w:cs="仿宋"/>
                <w:bCs/>
                <w:color w:val="000000"/>
                <w:kern w:val="0"/>
                <w:szCs w:val="21"/>
              </w:rPr>
            </w:pPr>
            <w:r>
              <w:rPr>
                <w:rFonts w:hint="eastAsia" w:ascii="等线" w:hAnsi="等线" w:cs="仿宋"/>
                <w:bCs/>
                <w:color w:val="000000"/>
                <w:kern w:val="0"/>
                <w:szCs w:val="21"/>
              </w:rPr>
              <w:t>9)</w:t>
            </w:r>
            <w:r>
              <w:rPr>
                <w:rFonts w:hint="eastAsia" w:ascii="等线" w:hAnsi="等线" w:cs="仿宋"/>
                <w:bCs/>
                <w:color w:val="000000"/>
                <w:kern w:val="0"/>
                <w:szCs w:val="21"/>
              </w:rPr>
              <w:tab/>
            </w:r>
            <w:r>
              <w:rPr>
                <w:rFonts w:hint="eastAsia" w:ascii="等线" w:hAnsi="等线" w:cs="仿宋"/>
                <w:bCs/>
                <w:color w:val="000000"/>
                <w:kern w:val="0"/>
                <w:szCs w:val="21"/>
              </w:rPr>
              <w:t>支持多方同时通话;</w:t>
            </w:r>
          </w:p>
          <w:p w14:paraId="64A2838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10)</w:t>
            </w:r>
            <w:r>
              <w:rPr>
                <w:rFonts w:hint="eastAsia" w:ascii="等线" w:hAnsi="等线" w:cs="仿宋"/>
                <w:bCs/>
                <w:color w:val="000000"/>
                <w:kern w:val="0"/>
                <w:szCs w:val="21"/>
              </w:rPr>
              <w:tab/>
            </w:r>
            <w:r>
              <w:rPr>
                <w:rFonts w:hint="eastAsia" w:ascii="等线" w:hAnsi="等线" w:cs="仿宋"/>
                <w:bCs/>
                <w:color w:val="000000"/>
                <w:kern w:val="0"/>
                <w:szCs w:val="21"/>
              </w:rPr>
              <w:t xml:space="preserve">手术室通话具备远端呼叫自动应答或手工应答模式; </w:t>
            </w:r>
          </w:p>
          <w:p w14:paraId="6C7604A6">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11)</w:t>
            </w:r>
            <w:r>
              <w:rPr>
                <w:rFonts w:hint="eastAsia" w:ascii="等线" w:hAnsi="等线" w:cs="仿宋"/>
                <w:bCs/>
                <w:color w:val="000000"/>
                <w:kern w:val="0"/>
                <w:szCs w:val="21"/>
              </w:rPr>
              <w:tab/>
            </w:r>
            <w:r>
              <w:rPr>
                <w:rFonts w:hint="eastAsia" w:ascii="等线" w:hAnsi="等线" w:cs="仿宋"/>
                <w:bCs/>
                <w:color w:val="000000"/>
                <w:kern w:val="0"/>
                <w:szCs w:val="21"/>
              </w:rPr>
              <w:t>具备在手术室实时预览示教室回传的视频画面；</w:t>
            </w:r>
          </w:p>
          <w:p w14:paraId="25C978C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12)</w:t>
            </w:r>
            <w:r>
              <w:rPr>
                <w:rFonts w:hint="eastAsia" w:ascii="等线" w:hAnsi="等线" w:cs="仿宋"/>
                <w:bCs/>
                <w:color w:val="000000"/>
                <w:kern w:val="0"/>
                <w:szCs w:val="21"/>
              </w:rPr>
              <w:tab/>
            </w:r>
            <w:r>
              <w:rPr>
                <w:rFonts w:hint="eastAsia" w:ascii="等线" w:hAnsi="等线" w:cs="仿宋"/>
                <w:bCs/>
                <w:color w:val="000000"/>
                <w:kern w:val="0"/>
                <w:szCs w:val="21"/>
              </w:rPr>
              <w:t>直播中可随时主动停止直播;</w:t>
            </w:r>
          </w:p>
          <w:p w14:paraId="2332603E">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13)</w:t>
            </w:r>
            <w:r>
              <w:rPr>
                <w:rFonts w:hint="eastAsia" w:ascii="等线" w:hAnsi="等线" w:cs="仿宋"/>
                <w:bCs/>
                <w:color w:val="000000"/>
                <w:kern w:val="0"/>
                <w:szCs w:val="21"/>
              </w:rPr>
              <w:tab/>
            </w:r>
            <w:r>
              <w:rPr>
                <w:rFonts w:hint="eastAsia" w:ascii="等线" w:hAnsi="等线" w:cs="仿宋"/>
                <w:bCs/>
                <w:color w:val="000000"/>
                <w:kern w:val="0"/>
                <w:szCs w:val="21"/>
              </w:rPr>
              <w:t>文字台标：术中可插入双行台标/单行台标，显示术者姓名和医院名称;</w:t>
            </w:r>
          </w:p>
          <w:p w14:paraId="3B1DCA16">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14)</w:t>
            </w:r>
            <w:r>
              <w:rPr>
                <w:rFonts w:hint="eastAsia" w:ascii="等线" w:hAnsi="等线" w:cs="仿宋"/>
                <w:bCs/>
                <w:color w:val="000000"/>
                <w:kern w:val="0"/>
                <w:szCs w:val="21"/>
              </w:rPr>
              <w:tab/>
            </w:r>
            <w:r>
              <w:rPr>
                <w:rFonts w:hint="eastAsia" w:ascii="等线" w:hAnsi="等线" w:cs="仿宋"/>
                <w:bCs/>
                <w:color w:val="000000"/>
                <w:kern w:val="0"/>
                <w:szCs w:val="21"/>
              </w:rPr>
              <w:t>隐私遮罩：直播中为保护患者及相关人员的隐私，进行电子隐私遮罩及马赛克处理; 支持多种形状的遮罩，如矩形、圆形等；</w:t>
            </w:r>
          </w:p>
          <w:p w14:paraId="13B7652D">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15)</w:t>
            </w:r>
            <w:r>
              <w:rPr>
                <w:rFonts w:hint="eastAsia" w:ascii="等线" w:hAnsi="等线" w:cs="仿宋"/>
                <w:bCs/>
                <w:color w:val="000000"/>
                <w:kern w:val="0"/>
                <w:szCs w:val="21"/>
              </w:rPr>
              <w:tab/>
            </w:r>
            <w:r>
              <w:rPr>
                <w:rFonts w:hint="eastAsia" w:ascii="等线" w:hAnsi="等线" w:cs="仿宋"/>
                <w:bCs/>
                <w:color w:val="000000"/>
                <w:kern w:val="0"/>
                <w:szCs w:val="21"/>
              </w:rPr>
              <w:t>电子白板：手术示教过程中用于实时标注、讲解与互动辅助的教学工具，具备直播中对同一观看的视频启用电子白板标注，病灶长度测量，画面冻结;</w:t>
            </w:r>
          </w:p>
          <w:p w14:paraId="6CE8444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16)</w:t>
            </w:r>
            <w:r>
              <w:rPr>
                <w:rFonts w:hint="eastAsia" w:ascii="等线" w:hAnsi="等线" w:cs="仿宋"/>
                <w:bCs/>
                <w:color w:val="000000"/>
                <w:kern w:val="0"/>
                <w:szCs w:val="21"/>
              </w:rPr>
              <w:tab/>
            </w:r>
            <w:r>
              <w:rPr>
                <w:rFonts w:hint="eastAsia" w:ascii="等线" w:hAnsi="等线" w:cs="仿宋"/>
                <w:bCs/>
                <w:color w:val="000000"/>
                <w:kern w:val="0"/>
                <w:szCs w:val="21"/>
              </w:rPr>
              <w:t>具备日志详细记录同步服务器;</w:t>
            </w:r>
          </w:p>
        </w:tc>
        <w:tc>
          <w:tcPr>
            <w:tcW w:w="256" w:type="pct"/>
            <w:noWrap w:val="0"/>
            <w:vAlign w:val="center"/>
          </w:tcPr>
          <w:p w14:paraId="7116047E">
            <w:pPr>
              <w:rPr>
                <w:szCs w:val="21"/>
              </w:rPr>
            </w:pPr>
            <w:r>
              <w:rPr>
                <w:rFonts w:hint="eastAsia"/>
                <w:szCs w:val="21"/>
              </w:rPr>
              <w:t>套</w:t>
            </w:r>
          </w:p>
        </w:tc>
        <w:tc>
          <w:tcPr>
            <w:tcW w:w="288" w:type="pct"/>
            <w:noWrap w:val="0"/>
            <w:vAlign w:val="center"/>
          </w:tcPr>
          <w:p w14:paraId="1F05112F">
            <w:pPr>
              <w:rPr>
                <w:szCs w:val="21"/>
              </w:rPr>
            </w:pPr>
            <w:r>
              <w:rPr>
                <w:rFonts w:hint="eastAsia"/>
                <w:szCs w:val="21"/>
              </w:rPr>
              <w:t>1</w:t>
            </w:r>
          </w:p>
        </w:tc>
        <w:tc>
          <w:tcPr>
            <w:tcW w:w="720" w:type="pct"/>
            <w:noWrap w:val="0"/>
            <w:vAlign w:val="center"/>
          </w:tcPr>
          <w:p w14:paraId="33060B04">
            <w:pPr>
              <w:jc w:val="center"/>
              <w:rPr>
                <w:szCs w:val="21"/>
              </w:rPr>
            </w:pPr>
          </w:p>
        </w:tc>
        <w:tc>
          <w:tcPr>
            <w:tcW w:w="577" w:type="pct"/>
            <w:noWrap w:val="0"/>
            <w:vAlign w:val="center"/>
          </w:tcPr>
          <w:p w14:paraId="1066EA27">
            <w:pPr>
              <w:jc w:val="center"/>
              <w:rPr>
                <w:szCs w:val="21"/>
              </w:rPr>
            </w:pPr>
            <w:r>
              <w:rPr>
                <w:szCs w:val="21"/>
              </w:rPr>
              <w:t>否</w:t>
            </w:r>
          </w:p>
        </w:tc>
      </w:tr>
      <w:tr w14:paraId="1CA79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7F32DA80">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0</w:t>
            </w:r>
          </w:p>
        </w:tc>
        <w:tc>
          <w:tcPr>
            <w:tcW w:w="617" w:type="pct"/>
            <w:noWrap w:val="0"/>
            <w:vAlign w:val="center"/>
          </w:tcPr>
          <w:p w14:paraId="2C55273E">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会议室示教解码终端服务单元</w:t>
            </w:r>
          </w:p>
        </w:tc>
        <w:tc>
          <w:tcPr>
            <w:tcW w:w="2167" w:type="pct"/>
            <w:noWrap w:val="0"/>
            <w:vAlign w:val="center"/>
          </w:tcPr>
          <w:p w14:paraId="2280310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支持所有录播服务单元影像直播；</w:t>
            </w:r>
          </w:p>
          <w:p w14:paraId="25BDC56D">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支持流媒体传输协议：RTMP/RTSP；</w:t>
            </w:r>
          </w:p>
          <w:p w14:paraId="0542B8C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支持视频编码标准： H.264,H.265；</w:t>
            </w:r>
          </w:p>
          <w:p w14:paraId="48783686">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支持图像编码分辨率：最高4K解码；</w:t>
            </w:r>
          </w:p>
          <w:p w14:paraId="2227E723">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支持每路视频高清、标清格式任意切换；</w:t>
            </w:r>
          </w:p>
          <w:p w14:paraId="0724761E">
            <w:pPr>
              <w:widowControl/>
              <w:snapToGrid w:val="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支持单画面，多画面，画中画及位置大小任意改变，支持自定义视频墙；</w:t>
            </w:r>
          </w:p>
          <w:p w14:paraId="578A0E36">
            <w:pPr>
              <w:widowControl/>
              <w:snapToGrid w:val="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隐私遮罩：直播中对敏感视频进行电子隐私遮罩及马赛克处理，可与其他端实时互动操做；</w:t>
            </w:r>
          </w:p>
          <w:p w14:paraId="39BFFB0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8)</w:t>
            </w:r>
            <w:r>
              <w:rPr>
                <w:rFonts w:hint="eastAsia" w:ascii="等线" w:hAnsi="等线" w:cs="仿宋"/>
                <w:bCs/>
                <w:color w:val="000000"/>
                <w:kern w:val="0"/>
                <w:szCs w:val="21"/>
              </w:rPr>
              <w:tab/>
            </w:r>
            <w:r>
              <w:rPr>
                <w:rFonts w:hint="eastAsia" w:ascii="等线" w:hAnsi="等线" w:cs="仿宋"/>
                <w:bCs/>
                <w:color w:val="000000"/>
                <w:kern w:val="0"/>
                <w:szCs w:val="21"/>
              </w:rPr>
              <w:t>电子白板：直播中对同一观看的视频启用电子白板标注，病灶长度面积测量，画面冻结，可与其他端实时互动操做；；</w:t>
            </w:r>
          </w:p>
        </w:tc>
        <w:tc>
          <w:tcPr>
            <w:tcW w:w="256" w:type="pct"/>
            <w:noWrap w:val="0"/>
            <w:vAlign w:val="center"/>
          </w:tcPr>
          <w:p w14:paraId="4FC489CF">
            <w:pPr>
              <w:rPr>
                <w:szCs w:val="21"/>
              </w:rPr>
            </w:pPr>
            <w:r>
              <w:rPr>
                <w:rFonts w:hint="eastAsia"/>
                <w:szCs w:val="21"/>
              </w:rPr>
              <w:t>套</w:t>
            </w:r>
          </w:p>
        </w:tc>
        <w:tc>
          <w:tcPr>
            <w:tcW w:w="288" w:type="pct"/>
            <w:noWrap w:val="0"/>
            <w:vAlign w:val="center"/>
          </w:tcPr>
          <w:p w14:paraId="79B99C1A">
            <w:pPr>
              <w:rPr>
                <w:szCs w:val="21"/>
              </w:rPr>
            </w:pPr>
            <w:r>
              <w:rPr>
                <w:rFonts w:hint="eastAsia"/>
                <w:szCs w:val="21"/>
              </w:rPr>
              <w:t>1</w:t>
            </w:r>
          </w:p>
        </w:tc>
        <w:tc>
          <w:tcPr>
            <w:tcW w:w="720" w:type="pct"/>
            <w:noWrap w:val="0"/>
            <w:vAlign w:val="center"/>
          </w:tcPr>
          <w:p w14:paraId="00F159BF">
            <w:pPr>
              <w:jc w:val="center"/>
              <w:rPr>
                <w:szCs w:val="21"/>
              </w:rPr>
            </w:pPr>
          </w:p>
        </w:tc>
        <w:tc>
          <w:tcPr>
            <w:tcW w:w="577" w:type="pct"/>
            <w:noWrap w:val="0"/>
            <w:vAlign w:val="center"/>
          </w:tcPr>
          <w:p w14:paraId="3048624D">
            <w:pPr>
              <w:jc w:val="center"/>
              <w:rPr>
                <w:szCs w:val="21"/>
              </w:rPr>
            </w:pPr>
            <w:r>
              <w:rPr>
                <w:szCs w:val="21"/>
              </w:rPr>
              <w:t>否</w:t>
            </w:r>
          </w:p>
        </w:tc>
      </w:tr>
      <w:tr w14:paraId="71981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157775F5">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1</w:t>
            </w:r>
          </w:p>
        </w:tc>
        <w:tc>
          <w:tcPr>
            <w:tcW w:w="617" w:type="pct"/>
            <w:noWrap w:val="0"/>
            <w:vAlign w:val="center"/>
          </w:tcPr>
          <w:p w14:paraId="32484445">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信息化集成</w:t>
            </w:r>
          </w:p>
        </w:tc>
        <w:tc>
          <w:tcPr>
            <w:tcW w:w="2167" w:type="pct"/>
            <w:noWrap w:val="0"/>
            <w:vAlign w:val="center"/>
          </w:tcPr>
          <w:p w14:paraId="2E83E97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电子病历5级接口对接及相关改造</w:t>
            </w:r>
          </w:p>
          <w:p w14:paraId="7946371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互联互通四甲接口对接及相关改造</w:t>
            </w:r>
          </w:p>
          <w:p w14:paraId="661863B5">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洗消追溯接口</w:t>
            </w:r>
          </w:p>
          <w:p w14:paraId="704E92A0">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云影像接口</w:t>
            </w:r>
          </w:p>
          <w:p w14:paraId="3FB4139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ascii="等线" w:hAnsi="等线" w:cs="仿宋"/>
                <w:bCs/>
                <w:color w:val="000000"/>
                <w:kern w:val="0"/>
                <w:szCs w:val="21"/>
              </w:rPr>
              <w:t xml:space="preserve">.  </w:t>
            </w:r>
            <w:r>
              <w:rPr>
                <w:rFonts w:hint="eastAsia" w:ascii="等线" w:hAnsi="等线" w:cs="仿宋"/>
                <w:bCs/>
                <w:color w:val="000000"/>
                <w:kern w:val="0"/>
                <w:szCs w:val="21"/>
              </w:rPr>
              <w:t>历史数据迁移服务：从医院现存系统的报告图像数据迁移到新系统，实现新系统内调阅历史图像、报告。</w:t>
            </w:r>
          </w:p>
        </w:tc>
        <w:tc>
          <w:tcPr>
            <w:tcW w:w="256" w:type="pct"/>
            <w:noWrap w:val="0"/>
            <w:vAlign w:val="center"/>
          </w:tcPr>
          <w:p w14:paraId="7A0D8EAF">
            <w:pPr>
              <w:rPr>
                <w:szCs w:val="21"/>
              </w:rPr>
            </w:pPr>
            <w:r>
              <w:rPr>
                <w:rFonts w:hint="eastAsia"/>
                <w:szCs w:val="21"/>
              </w:rPr>
              <w:t>套</w:t>
            </w:r>
          </w:p>
        </w:tc>
        <w:tc>
          <w:tcPr>
            <w:tcW w:w="288" w:type="pct"/>
            <w:noWrap w:val="0"/>
            <w:vAlign w:val="center"/>
          </w:tcPr>
          <w:p w14:paraId="6DF886CC">
            <w:pPr>
              <w:rPr>
                <w:szCs w:val="21"/>
              </w:rPr>
            </w:pPr>
            <w:r>
              <w:rPr>
                <w:rFonts w:hint="eastAsia"/>
                <w:szCs w:val="21"/>
              </w:rPr>
              <w:t>1</w:t>
            </w:r>
          </w:p>
        </w:tc>
        <w:tc>
          <w:tcPr>
            <w:tcW w:w="720" w:type="pct"/>
            <w:noWrap w:val="0"/>
            <w:vAlign w:val="center"/>
          </w:tcPr>
          <w:p w14:paraId="172C257B">
            <w:pPr>
              <w:jc w:val="center"/>
              <w:rPr>
                <w:szCs w:val="21"/>
              </w:rPr>
            </w:pPr>
          </w:p>
        </w:tc>
        <w:tc>
          <w:tcPr>
            <w:tcW w:w="577" w:type="pct"/>
            <w:noWrap w:val="0"/>
            <w:vAlign w:val="center"/>
          </w:tcPr>
          <w:p w14:paraId="34BFF77B">
            <w:pPr>
              <w:jc w:val="center"/>
              <w:rPr>
                <w:szCs w:val="21"/>
              </w:rPr>
            </w:pPr>
            <w:r>
              <w:rPr>
                <w:szCs w:val="21"/>
              </w:rPr>
              <w:t>否</w:t>
            </w:r>
          </w:p>
        </w:tc>
      </w:tr>
      <w:tr w14:paraId="070C7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296CABF1">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2</w:t>
            </w:r>
          </w:p>
        </w:tc>
        <w:tc>
          <w:tcPr>
            <w:tcW w:w="617" w:type="pct"/>
            <w:noWrap w:val="0"/>
            <w:vAlign w:val="center"/>
          </w:tcPr>
          <w:p w14:paraId="00EEA789">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预约登记/主任审核工作站电脑</w:t>
            </w:r>
          </w:p>
        </w:tc>
        <w:tc>
          <w:tcPr>
            <w:tcW w:w="2167" w:type="pct"/>
            <w:noWrap w:val="0"/>
            <w:vAlign w:val="center"/>
          </w:tcPr>
          <w:p w14:paraId="4B3AA3C8">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CPU：海光3350及以上</w:t>
            </w:r>
          </w:p>
          <w:p w14:paraId="6B2580F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内存：16G及以上</w:t>
            </w:r>
          </w:p>
          <w:p w14:paraId="0624070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硬盘：512</w:t>
            </w:r>
            <w:r>
              <w:rPr>
                <w:rFonts w:ascii="等线" w:hAnsi="等线" w:cs="仿宋"/>
                <w:bCs/>
                <w:color w:val="000000"/>
                <w:kern w:val="0"/>
                <w:szCs w:val="21"/>
              </w:rPr>
              <w:t>G</w:t>
            </w:r>
            <w:r>
              <w:rPr>
                <w:rFonts w:hint="eastAsia" w:ascii="等线" w:hAnsi="等线" w:cs="仿宋"/>
                <w:bCs/>
                <w:color w:val="000000"/>
                <w:kern w:val="0"/>
                <w:szCs w:val="21"/>
              </w:rPr>
              <w:t xml:space="preserve"> SSD</w:t>
            </w:r>
          </w:p>
          <w:p w14:paraId="0B28FBD0">
            <w:pPr>
              <w:widowControl/>
              <w:snapToGrid w:val="0"/>
              <w:jc w:val="left"/>
              <w:rPr>
                <w:rFonts w:ascii="等线" w:hAnsi="等线" w:cs="仿宋"/>
                <w:bCs/>
                <w:color w:val="000000"/>
                <w:kern w:val="0"/>
                <w:szCs w:val="21"/>
              </w:rPr>
            </w:pPr>
            <w:r>
              <w:rPr>
                <w:rFonts w:ascii="等线" w:hAnsi="等线" w:cs="仿宋"/>
                <w:bCs/>
                <w:color w:val="000000"/>
                <w:kern w:val="0"/>
                <w:szCs w:val="21"/>
              </w:rPr>
              <w:t>4</w:t>
            </w:r>
            <w:r>
              <w:rPr>
                <w:rFonts w:hint="eastAsia" w:ascii="等线" w:hAnsi="等线" w:cs="仿宋"/>
                <w:bCs/>
                <w:color w:val="000000"/>
                <w:kern w:val="0"/>
                <w:szCs w:val="21"/>
              </w:rPr>
              <w:t>)</w:t>
            </w:r>
            <w:r>
              <w:rPr>
                <w:rFonts w:hint="eastAsia" w:ascii="等线" w:hAnsi="等线" w:cs="仿宋"/>
                <w:bCs/>
                <w:color w:val="000000"/>
                <w:kern w:val="0"/>
                <w:szCs w:val="21"/>
              </w:rPr>
              <w:tab/>
            </w:r>
            <w:r>
              <w:rPr>
                <w:rFonts w:hint="eastAsia" w:ascii="等线" w:hAnsi="等线" w:cs="仿宋"/>
                <w:bCs/>
                <w:color w:val="000000"/>
                <w:kern w:val="0"/>
                <w:szCs w:val="21"/>
              </w:rPr>
              <w:t>显卡：2G独显及以上</w:t>
            </w:r>
          </w:p>
          <w:p w14:paraId="0093A5CD">
            <w:pPr>
              <w:widowControl/>
              <w:snapToGrid w:val="0"/>
              <w:jc w:val="left"/>
              <w:rPr>
                <w:rFonts w:ascii="等线" w:hAnsi="等线" w:cs="仿宋"/>
                <w:bCs/>
                <w:color w:val="000000"/>
                <w:kern w:val="0"/>
                <w:szCs w:val="21"/>
              </w:rPr>
            </w:pPr>
            <w:r>
              <w:rPr>
                <w:rFonts w:ascii="等线" w:hAnsi="等线" w:cs="仿宋"/>
                <w:bCs/>
                <w:color w:val="000000"/>
                <w:kern w:val="0"/>
                <w:szCs w:val="21"/>
              </w:rPr>
              <w:t>5</w:t>
            </w:r>
            <w:r>
              <w:rPr>
                <w:rFonts w:hint="eastAsia" w:ascii="等线" w:hAnsi="等线" w:cs="仿宋"/>
                <w:bCs/>
                <w:color w:val="000000"/>
                <w:kern w:val="0"/>
                <w:szCs w:val="21"/>
              </w:rPr>
              <w:t>)</w:t>
            </w:r>
            <w:r>
              <w:rPr>
                <w:rFonts w:hint="eastAsia" w:ascii="等线" w:hAnsi="等线" w:cs="仿宋"/>
                <w:bCs/>
                <w:color w:val="000000"/>
                <w:kern w:val="0"/>
                <w:szCs w:val="21"/>
              </w:rPr>
              <w:tab/>
            </w:r>
            <w:r>
              <w:rPr>
                <w:rFonts w:hint="eastAsia" w:ascii="等线" w:hAnsi="等线" w:cs="仿宋"/>
                <w:bCs/>
                <w:color w:val="000000"/>
                <w:kern w:val="0"/>
                <w:szCs w:val="21"/>
              </w:rPr>
              <w:t>显示器：2</w:t>
            </w:r>
            <w:r>
              <w:rPr>
                <w:rFonts w:ascii="等线" w:hAnsi="等线" w:cs="仿宋"/>
                <w:bCs/>
                <w:color w:val="000000"/>
                <w:kern w:val="0"/>
                <w:szCs w:val="21"/>
              </w:rPr>
              <w:t>4</w:t>
            </w:r>
            <w:r>
              <w:rPr>
                <w:rFonts w:hint="eastAsia" w:ascii="等线" w:hAnsi="等线" w:cs="仿宋"/>
                <w:bCs/>
                <w:color w:val="000000"/>
                <w:kern w:val="0"/>
                <w:szCs w:val="21"/>
              </w:rPr>
              <w:t>寸及以上</w:t>
            </w:r>
          </w:p>
        </w:tc>
        <w:tc>
          <w:tcPr>
            <w:tcW w:w="256" w:type="pct"/>
            <w:noWrap w:val="0"/>
            <w:vAlign w:val="center"/>
          </w:tcPr>
          <w:p w14:paraId="0D26FBAB">
            <w:pPr>
              <w:rPr>
                <w:rFonts w:hint="eastAsia"/>
                <w:szCs w:val="21"/>
              </w:rPr>
            </w:pPr>
            <w:r>
              <w:rPr>
                <w:rFonts w:hint="eastAsia"/>
                <w:szCs w:val="21"/>
              </w:rPr>
              <w:t>台</w:t>
            </w:r>
          </w:p>
        </w:tc>
        <w:tc>
          <w:tcPr>
            <w:tcW w:w="288" w:type="pct"/>
            <w:noWrap w:val="0"/>
            <w:vAlign w:val="center"/>
          </w:tcPr>
          <w:p w14:paraId="0FE0A229">
            <w:pPr>
              <w:rPr>
                <w:szCs w:val="21"/>
              </w:rPr>
            </w:pPr>
            <w:r>
              <w:rPr>
                <w:rFonts w:hint="eastAsia"/>
                <w:szCs w:val="21"/>
              </w:rPr>
              <w:t>2</w:t>
            </w:r>
          </w:p>
        </w:tc>
        <w:tc>
          <w:tcPr>
            <w:tcW w:w="720" w:type="pct"/>
            <w:noWrap w:val="0"/>
            <w:vAlign w:val="center"/>
          </w:tcPr>
          <w:p w14:paraId="1B17A201">
            <w:pPr>
              <w:jc w:val="center"/>
              <w:rPr>
                <w:szCs w:val="21"/>
              </w:rPr>
            </w:pPr>
          </w:p>
        </w:tc>
        <w:tc>
          <w:tcPr>
            <w:tcW w:w="577" w:type="pct"/>
            <w:noWrap w:val="0"/>
            <w:vAlign w:val="center"/>
          </w:tcPr>
          <w:p w14:paraId="620CAB3A">
            <w:pPr>
              <w:jc w:val="center"/>
              <w:rPr>
                <w:rFonts w:hint="eastAsia"/>
                <w:szCs w:val="21"/>
              </w:rPr>
            </w:pPr>
            <w:r>
              <w:rPr>
                <w:rFonts w:hint="eastAsia"/>
                <w:szCs w:val="21"/>
              </w:rPr>
              <w:t>是</w:t>
            </w:r>
          </w:p>
        </w:tc>
      </w:tr>
      <w:tr w14:paraId="04583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357841B0">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3</w:t>
            </w:r>
          </w:p>
        </w:tc>
        <w:tc>
          <w:tcPr>
            <w:tcW w:w="617" w:type="pct"/>
            <w:noWrap w:val="0"/>
            <w:vAlign w:val="center"/>
          </w:tcPr>
          <w:p w14:paraId="66E11EFE">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图文报告系统电脑</w:t>
            </w:r>
          </w:p>
        </w:tc>
        <w:tc>
          <w:tcPr>
            <w:tcW w:w="2167" w:type="pct"/>
            <w:noWrap w:val="0"/>
            <w:vAlign w:val="center"/>
          </w:tcPr>
          <w:p w14:paraId="5CE67253">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CPU：海光3350及以上</w:t>
            </w:r>
          </w:p>
          <w:p w14:paraId="72329D38">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内存：16G及以上</w:t>
            </w:r>
          </w:p>
          <w:p w14:paraId="79BDDF1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硬盘：</w:t>
            </w:r>
            <w:r>
              <w:rPr>
                <w:rFonts w:ascii="等线" w:hAnsi="等线" w:cs="仿宋"/>
                <w:bCs/>
                <w:color w:val="000000"/>
                <w:kern w:val="0"/>
                <w:szCs w:val="21"/>
              </w:rPr>
              <w:t>512G</w:t>
            </w:r>
            <w:r>
              <w:rPr>
                <w:rFonts w:hint="eastAsia" w:ascii="等线" w:hAnsi="等线" w:cs="仿宋"/>
                <w:bCs/>
                <w:color w:val="000000"/>
                <w:kern w:val="0"/>
                <w:szCs w:val="21"/>
              </w:rPr>
              <w:t xml:space="preserve"> SSD+1T HDD及以上</w:t>
            </w:r>
          </w:p>
          <w:p w14:paraId="04330E49">
            <w:pPr>
              <w:widowControl/>
              <w:snapToGrid w:val="0"/>
              <w:jc w:val="left"/>
              <w:rPr>
                <w:rFonts w:ascii="等线" w:hAnsi="等线" w:cs="仿宋"/>
                <w:bCs/>
                <w:color w:val="000000"/>
                <w:kern w:val="0"/>
                <w:szCs w:val="21"/>
              </w:rPr>
            </w:pPr>
            <w:r>
              <w:rPr>
                <w:rFonts w:ascii="等线" w:hAnsi="等线" w:cs="仿宋"/>
                <w:bCs/>
                <w:color w:val="000000"/>
                <w:kern w:val="0"/>
                <w:szCs w:val="21"/>
              </w:rPr>
              <w:t>4</w:t>
            </w:r>
            <w:r>
              <w:rPr>
                <w:rFonts w:hint="eastAsia" w:ascii="等线" w:hAnsi="等线" w:cs="仿宋"/>
                <w:bCs/>
                <w:color w:val="000000"/>
                <w:kern w:val="0"/>
                <w:szCs w:val="21"/>
              </w:rPr>
              <w:t>)</w:t>
            </w:r>
            <w:r>
              <w:rPr>
                <w:rFonts w:hint="eastAsia" w:ascii="等线" w:hAnsi="等线" w:cs="仿宋"/>
                <w:bCs/>
                <w:color w:val="000000"/>
                <w:kern w:val="0"/>
                <w:szCs w:val="21"/>
              </w:rPr>
              <w:tab/>
            </w:r>
            <w:r>
              <w:rPr>
                <w:rFonts w:hint="eastAsia" w:ascii="等线" w:hAnsi="等线" w:cs="仿宋"/>
                <w:bCs/>
                <w:color w:val="000000"/>
                <w:kern w:val="0"/>
                <w:szCs w:val="21"/>
              </w:rPr>
              <w:t>显卡：2G独显及以上</w:t>
            </w:r>
          </w:p>
          <w:p w14:paraId="5BD6E0AC">
            <w:pPr>
              <w:widowControl/>
              <w:snapToGrid w:val="0"/>
              <w:jc w:val="left"/>
              <w:rPr>
                <w:rFonts w:ascii="等线" w:hAnsi="等线" w:cs="仿宋"/>
                <w:bCs/>
                <w:color w:val="000000"/>
                <w:kern w:val="0"/>
                <w:szCs w:val="21"/>
              </w:rPr>
            </w:pPr>
            <w:r>
              <w:rPr>
                <w:rFonts w:ascii="等线" w:hAnsi="等线" w:cs="仿宋"/>
                <w:bCs/>
                <w:color w:val="000000"/>
                <w:kern w:val="0"/>
                <w:szCs w:val="21"/>
              </w:rPr>
              <w:t>5</w:t>
            </w:r>
            <w:r>
              <w:rPr>
                <w:rFonts w:hint="eastAsia" w:ascii="等线" w:hAnsi="等线" w:cs="仿宋"/>
                <w:bCs/>
                <w:color w:val="000000"/>
                <w:kern w:val="0"/>
                <w:szCs w:val="21"/>
              </w:rPr>
              <w:t>)</w:t>
            </w:r>
            <w:r>
              <w:rPr>
                <w:rFonts w:hint="eastAsia" w:ascii="等线" w:hAnsi="等线" w:cs="仿宋"/>
                <w:bCs/>
                <w:color w:val="000000"/>
                <w:kern w:val="0"/>
                <w:szCs w:val="21"/>
              </w:rPr>
              <w:tab/>
            </w:r>
            <w:r>
              <w:rPr>
                <w:rFonts w:hint="eastAsia" w:ascii="等线" w:hAnsi="等线" w:cs="仿宋"/>
                <w:bCs/>
                <w:color w:val="000000"/>
                <w:kern w:val="0"/>
                <w:szCs w:val="21"/>
              </w:rPr>
              <w:t>显示器：2</w:t>
            </w:r>
            <w:r>
              <w:rPr>
                <w:rFonts w:ascii="等线" w:hAnsi="等线" w:cs="仿宋"/>
                <w:bCs/>
                <w:color w:val="000000"/>
                <w:kern w:val="0"/>
                <w:szCs w:val="21"/>
              </w:rPr>
              <w:t>*</w:t>
            </w:r>
            <w:r>
              <w:rPr>
                <w:rFonts w:hint="eastAsia" w:ascii="等线" w:hAnsi="等线" w:cs="仿宋"/>
                <w:bCs/>
                <w:color w:val="000000"/>
                <w:kern w:val="0"/>
                <w:szCs w:val="21"/>
              </w:rPr>
              <w:t>2</w:t>
            </w:r>
            <w:r>
              <w:rPr>
                <w:rFonts w:ascii="等线" w:hAnsi="等线" w:cs="仿宋"/>
                <w:bCs/>
                <w:color w:val="000000"/>
                <w:kern w:val="0"/>
                <w:szCs w:val="21"/>
              </w:rPr>
              <w:t>4</w:t>
            </w:r>
            <w:r>
              <w:rPr>
                <w:rFonts w:hint="eastAsia" w:ascii="等线" w:hAnsi="等线" w:cs="仿宋"/>
                <w:bCs/>
                <w:color w:val="000000"/>
                <w:kern w:val="0"/>
                <w:szCs w:val="21"/>
              </w:rPr>
              <w:t>寸及以上</w:t>
            </w:r>
          </w:p>
        </w:tc>
        <w:tc>
          <w:tcPr>
            <w:tcW w:w="256" w:type="pct"/>
            <w:noWrap w:val="0"/>
            <w:vAlign w:val="center"/>
          </w:tcPr>
          <w:p w14:paraId="1263FA10">
            <w:pPr>
              <w:rPr>
                <w:szCs w:val="21"/>
              </w:rPr>
            </w:pPr>
            <w:r>
              <w:rPr>
                <w:rFonts w:hint="eastAsia"/>
                <w:szCs w:val="21"/>
              </w:rPr>
              <w:t>台</w:t>
            </w:r>
          </w:p>
        </w:tc>
        <w:tc>
          <w:tcPr>
            <w:tcW w:w="288" w:type="pct"/>
            <w:noWrap w:val="0"/>
            <w:vAlign w:val="center"/>
          </w:tcPr>
          <w:p w14:paraId="60950D0C">
            <w:pPr>
              <w:rPr>
                <w:szCs w:val="21"/>
              </w:rPr>
            </w:pPr>
            <w:r>
              <w:rPr>
                <w:rFonts w:hint="eastAsia"/>
                <w:szCs w:val="21"/>
              </w:rPr>
              <w:t>8</w:t>
            </w:r>
          </w:p>
        </w:tc>
        <w:tc>
          <w:tcPr>
            <w:tcW w:w="720" w:type="pct"/>
            <w:noWrap w:val="0"/>
            <w:vAlign w:val="center"/>
          </w:tcPr>
          <w:p w14:paraId="0A5EA7BD">
            <w:pPr>
              <w:jc w:val="center"/>
              <w:rPr>
                <w:szCs w:val="21"/>
              </w:rPr>
            </w:pPr>
          </w:p>
        </w:tc>
        <w:tc>
          <w:tcPr>
            <w:tcW w:w="577" w:type="pct"/>
            <w:noWrap w:val="0"/>
            <w:vAlign w:val="center"/>
          </w:tcPr>
          <w:p w14:paraId="70BE1110">
            <w:pPr>
              <w:jc w:val="center"/>
              <w:rPr>
                <w:szCs w:val="21"/>
              </w:rPr>
            </w:pPr>
            <w:r>
              <w:rPr>
                <w:rFonts w:hint="eastAsia"/>
                <w:szCs w:val="21"/>
              </w:rPr>
              <w:t>是</w:t>
            </w:r>
          </w:p>
        </w:tc>
      </w:tr>
      <w:tr w14:paraId="0FA3E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375" w:type="pct"/>
            <w:noWrap w:val="0"/>
            <w:vAlign w:val="center"/>
          </w:tcPr>
          <w:p w14:paraId="5B4D0107">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4</w:t>
            </w:r>
          </w:p>
        </w:tc>
        <w:tc>
          <w:tcPr>
            <w:tcW w:w="617" w:type="pct"/>
            <w:noWrap w:val="0"/>
            <w:vAlign w:val="center"/>
          </w:tcPr>
          <w:p w14:paraId="672467EB">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叫号屏</w:t>
            </w:r>
          </w:p>
        </w:tc>
        <w:tc>
          <w:tcPr>
            <w:tcW w:w="2167" w:type="pct"/>
            <w:noWrap w:val="0"/>
            <w:vAlign w:val="center"/>
          </w:tcPr>
          <w:p w14:paraId="2DEC24DE">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超高清4K 65寸LED电视，带HDMI接口</w:t>
            </w:r>
          </w:p>
        </w:tc>
        <w:tc>
          <w:tcPr>
            <w:tcW w:w="256" w:type="pct"/>
            <w:noWrap w:val="0"/>
            <w:vAlign w:val="center"/>
          </w:tcPr>
          <w:p w14:paraId="4E50085E">
            <w:pPr>
              <w:rPr>
                <w:szCs w:val="21"/>
              </w:rPr>
            </w:pPr>
            <w:r>
              <w:rPr>
                <w:rFonts w:hint="eastAsia"/>
                <w:szCs w:val="21"/>
              </w:rPr>
              <w:t>台</w:t>
            </w:r>
          </w:p>
        </w:tc>
        <w:tc>
          <w:tcPr>
            <w:tcW w:w="288" w:type="pct"/>
            <w:noWrap w:val="0"/>
            <w:vAlign w:val="center"/>
          </w:tcPr>
          <w:p w14:paraId="127278CD">
            <w:pPr>
              <w:rPr>
                <w:szCs w:val="21"/>
              </w:rPr>
            </w:pPr>
            <w:r>
              <w:rPr>
                <w:rFonts w:hint="eastAsia"/>
                <w:szCs w:val="21"/>
              </w:rPr>
              <w:t>2</w:t>
            </w:r>
          </w:p>
        </w:tc>
        <w:tc>
          <w:tcPr>
            <w:tcW w:w="720" w:type="pct"/>
            <w:noWrap w:val="0"/>
            <w:vAlign w:val="center"/>
          </w:tcPr>
          <w:p w14:paraId="13BB788B">
            <w:pPr>
              <w:jc w:val="center"/>
              <w:rPr>
                <w:szCs w:val="21"/>
              </w:rPr>
            </w:pPr>
          </w:p>
        </w:tc>
        <w:tc>
          <w:tcPr>
            <w:tcW w:w="577" w:type="pct"/>
            <w:noWrap w:val="0"/>
            <w:vAlign w:val="center"/>
          </w:tcPr>
          <w:p w14:paraId="475CD9F7">
            <w:pPr>
              <w:jc w:val="center"/>
              <w:rPr>
                <w:szCs w:val="21"/>
              </w:rPr>
            </w:pPr>
            <w:r>
              <w:rPr>
                <w:szCs w:val="21"/>
              </w:rPr>
              <w:t>否</w:t>
            </w:r>
          </w:p>
        </w:tc>
      </w:tr>
      <w:tr w14:paraId="0AB10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375" w:type="pct"/>
            <w:noWrap w:val="0"/>
            <w:vAlign w:val="center"/>
          </w:tcPr>
          <w:p w14:paraId="024F0F8C">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5</w:t>
            </w:r>
          </w:p>
        </w:tc>
        <w:tc>
          <w:tcPr>
            <w:tcW w:w="617" w:type="pct"/>
            <w:noWrap w:val="0"/>
            <w:vAlign w:val="center"/>
          </w:tcPr>
          <w:p w14:paraId="2C4439E5">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诊间门口屏</w:t>
            </w:r>
          </w:p>
        </w:tc>
        <w:tc>
          <w:tcPr>
            <w:tcW w:w="2167" w:type="pct"/>
            <w:noWrap w:val="0"/>
            <w:vAlign w:val="center"/>
          </w:tcPr>
          <w:p w14:paraId="11CC44B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无线21.5英寸、非触摸屏一体机，支持widows系统</w:t>
            </w:r>
          </w:p>
        </w:tc>
        <w:tc>
          <w:tcPr>
            <w:tcW w:w="256" w:type="pct"/>
            <w:noWrap w:val="0"/>
            <w:vAlign w:val="center"/>
          </w:tcPr>
          <w:p w14:paraId="387AB25F">
            <w:pPr>
              <w:rPr>
                <w:szCs w:val="21"/>
              </w:rPr>
            </w:pPr>
            <w:r>
              <w:rPr>
                <w:rFonts w:hint="eastAsia"/>
                <w:szCs w:val="21"/>
              </w:rPr>
              <w:t>台</w:t>
            </w:r>
          </w:p>
        </w:tc>
        <w:tc>
          <w:tcPr>
            <w:tcW w:w="288" w:type="pct"/>
            <w:noWrap w:val="0"/>
            <w:vAlign w:val="center"/>
          </w:tcPr>
          <w:p w14:paraId="096C9CD7">
            <w:pPr>
              <w:rPr>
                <w:szCs w:val="21"/>
              </w:rPr>
            </w:pPr>
            <w:r>
              <w:rPr>
                <w:rFonts w:hint="eastAsia"/>
                <w:szCs w:val="21"/>
              </w:rPr>
              <w:t>7</w:t>
            </w:r>
          </w:p>
        </w:tc>
        <w:tc>
          <w:tcPr>
            <w:tcW w:w="720" w:type="pct"/>
            <w:noWrap w:val="0"/>
            <w:vAlign w:val="center"/>
          </w:tcPr>
          <w:p w14:paraId="7D3A6D22">
            <w:pPr>
              <w:jc w:val="center"/>
              <w:rPr>
                <w:szCs w:val="21"/>
              </w:rPr>
            </w:pPr>
          </w:p>
        </w:tc>
        <w:tc>
          <w:tcPr>
            <w:tcW w:w="577" w:type="pct"/>
            <w:noWrap w:val="0"/>
            <w:vAlign w:val="center"/>
          </w:tcPr>
          <w:p w14:paraId="2AE5EF63">
            <w:pPr>
              <w:jc w:val="center"/>
              <w:rPr>
                <w:szCs w:val="21"/>
              </w:rPr>
            </w:pPr>
            <w:r>
              <w:rPr>
                <w:szCs w:val="21"/>
              </w:rPr>
              <w:t>否</w:t>
            </w:r>
          </w:p>
        </w:tc>
      </w:tr>
      <w:tr w14:paraId="320A1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3D26BE3C">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6</w:t>
            </w:r>
          </w:p>
        </w:tc>
        <w:tc>
          <w:tcPr>
            <w:tcW w:w="617" w:type="pct"/>
            <w:noWrap w:val="0"/>
            <w:vAlign w:val="center"/>
          </w:tcPr>
          <w:p w14:paraId="05C84A1E">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自助报到机</w:t>
            </w:r>
          </w:p>
        </w:tc>
        <w:tc>
          <w:tcPr>
            <w:tcW w:w="2167" w:type="pct"/>
            <w:noWrap w:val="0"/>
            <w:vAlign w:val="center"/>
          </w:tcPr>
          <w:p w14:paraId="5165CAB0">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音频主板：工业级控制主板</w:t>
            </w:r>
          </w:p>
          <w:p w14:paraId="3263DFB5">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CPU：集成Intel  i5双核处理器 ，主频2.2GHz</w:t>
            </w:r>
          </w:p>
          <w:p w14:paraId="2DE5B7F9">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 xml:space="preserve">内存： 8GB </w:t>
            </w:r>
          </w:p>
          <w:p w14:paraId="3703E221">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硬盘：128G固态硬盘</w:t>
            </w:r>
          </w:p>
          <w:p w14:paraId="3EEFBEB3">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串口：≥2个、USB接口：≥8个, VGA显示接口，HDMI接口，集成声卡、网卡、显卡.</w:t>
            </w:r>
          </w:p>
          <w:p w14:paraId="06BEC7F2">
            <w:pPr>
              <w:widowControl/>
              <w:snapToGrid w:val="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21.5寸液晶电容触摸显示器</w:t>
            </w:r>
          </w:p>
          <w:p w14:paraId="375A3AFD">
            <w:pPr>
              <w:widowControl/>
              <w:snapToGrid w:val="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含二维码扫描仪、热敏打印机、身份证阅读器</w:t>
            </w:r>
          </w:p>
        </w:tc>
        <w:tc>
          <w:tcPr>
            <w:tcW w:w="256" w:type="pct"/>
            <w:noWrap w:val="0"/>
            <w:vAlign w:val="center"/>
          </w:tcPr>
          <w:p w14:paraId="15411536">
            <w:pPr>
              <w:rPr>
                <w:szCs w:val="21"/>
              </w:rPr>
            </w:pPr>
            <w:r>
              <w:rPr>
                <w:rFonts w:hint="eastAsia"/>
                <w:szCs w:val="21"/>
              </w:rPr>
              <w:t>台</w:t>
            </w:r>
          </w:p>
        </w:tc>
        <w:tc>
          <w:tcPr>
            <w:tcW w:w="288" w:type="pct"/>
            <w:noWrap w:val="0"/>
            <w:vAlign w:val="center"/>
          </w:tcPr>
          <w:p w14:paraId="0EB201FF">
            <w:pPr>
              <w:rPr>
                <w:szCs w:val="21"/>
              </w:rPr>
            </w:pPr>
            <w:r>
              <w:rPr>
                <w:rFonts w:hint="eastAsia"/>
                <w:szCs w:val="21"/>
              </w:rPr>
              <w:t>2</w:t>
            </w:r>
          </w:p>
        </w:tc>
        <w:tc>
          <w:tcPr>
            <w:tcW w:w="720" w:type="pct"/>
            <w:noWrap w:val="0"/>
            <w:vAlign w:val="center"/>
          </w:tcPr>
          <w:p w14:paraId="0FF6C292">
            <w:pPr>
              <w:jc w:val="center"/>
              <w:rPr>
                <w:szCs w:val="21"/>
              </w:rPr>
            </w:pPr>
          </w:p>
        </w:tc>
        <w:tc>
          <w:tcPr>
            <w:tcW w:w="577" w:type="pct"/>
            <w:noWrap w:val="0"/>
            <w:vAlign w:val="center"/>
          </w:tcPr>
          <w:p w14:paraId="28820BA9">
            <w:pPr>
              <w:jc w:val="center"/>
              <w:rPr>
                <w:szCs w:val="21"/>
              </w:rPr>
            </w:pPr>
            <w:r>
              <w:rPr>
                <w:szCs w:val="21"/>
              </w:rPr>
              <w:t>否</w:t>
            </w:r>
          </w:p>
        </w:tc>
      </w:tr>
      <w:tr w14:paraId="149C7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3F7B5D47">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7</w:t>
            </w:r>
          </w:p>
        </w:tc>
        <w:tc>
          <w:tcPr>
            <w:tcW w:w="617" w:type="pct"/>
            <w:noWrap w:val="0"/>
            <w:vAlign w:val="center"/>
          </w:tcPr>
          <w:p w14:paraId="548F38B3">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自助报告机</w:t>
            </w:r>
          </w:p>
        </w:tc>
        <w:tc>
          <w:tcPr>
            <w:tcW w:w="2167" w:type="pct"/>
            <w:noWrap w:val="0"/>
            <w:vAlign w:val="center"/>
          </w:tcPr>
          <w:p w14:paraId="78FBE6C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主板：工业级控制主板</w:t>
            </w:r>
          </w:p>
          <w:p w14:paraId="3BCEEC8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2)</w:t>
            </w:r>
            <w:r>
              <w:rPr>
                <w:rFonts w:hint="eastAsia" w:ascii="等线" w:hAnsi="等线" w:cs="仿宋"/>
                <w:bCs/>
                <w:color w:val="000000"/>
                <w:kern w:val="0"/>
                <w:szCs w:val="21"/>
              </w:rPr>
              <w:tab/>
            </w:r>
            <w:r>
              <w:rPr>
                <w:rFonts w:hint="eastAsia" w:ascii="等线" w:hAnsi="等线" w:cs="仿宋"/>
                <w:bCs/>
                <w:color w:val="000000"/>
                <w:kern w:val="0"/>
                <w:szCs w:val="21"/>
              </w:rPr>
              <w:t>CPU：Intel  i5四核处理器 ，主频3.0GHz</w:t>
            </w:r>
          </w:p>
          <w:p w14:paraId="36DAB443">
            <w:pPr>
              <w:widowControl/>
              <w:snapToGrid w:val="0"/>
              <w:jc w:val="left"/>
              <w:rPr>
                <w:rFonts w:ascii="等线" w:hAnsi="等线" w:cs="仿宋"/>
                <w:bCs/>
                <w:color w:val="000000"/>
                <w:kern w:val="0"/>
                <w:szCs w:val="21"/>
              </w:rPr>
            </w:pPr>
            <w:r>
              <w:rPr>
                <w:rFonts w:hint="eastAsia" w:ascii="等线" w:hAnsi="等线" w:cs="仿宋"/>
                <w:bCs/>
                <w:color w:val="000000"/>
                <w:kern w:val="0"/>
                <w:szCs w:val="21"/>
              </w:rPr>
              <w:t>3)</w:t>
            </w:r>
            <w:r>
              <w:rPr>
                <w:rFonts w:hint="eastAsia" w:ascii="等线" w:hAnsi="等线" w:cs="仿宋"/>
                <w:bCs/>
                <w:color w:val="000000"/>
                <w:kern w:val="0"/>
                <w:szCs w:val="21"/>
              </w:rPr>
              <w:tab/>
            </w:r>
            <w:r>
              <w:rPr>
                <w:rFonts w:hint="eastAsia" w:ascii="等线" w:hAnsi="等线" w:cs="仿宋"/>
                <w:bCs/>
                <w:color w:val="000000"/>
                <w:kern w:val="0"/>
                <w:szCs w:val="21"/>
              </w:rPr>
              <w:t xml:space="preserve">内存： 8GB </w:t>
            </w:r>
          </w:p>
          <w:p w14:paraId="1A8228E8">
            <w:pPr>
              <w:widowControl/>
              <w:snapToGrid w:val="0"/>
              <w:jc w:val="left"/>
              <w:rPr>
                <w:rFonts w:ascii="等线" w:hAnsi="等线" w:cs="仿宋"/>
                <w:bCs/>
                <w:color w:val="000000"/>
                <w:kern w:val="0"/>
                <w:szCs w:val="21"/>
              </w:rPr>
            </w:pPr>
            <w:r>
              <w:rPr>
                <w:rFonts w:hint="eastAsia" w:ascii="等线" w:hAnsi="等线" w:cs="仿宋"/>
                <w:bCs/>
                <w:color w:val="000000"/>
                <w:kern w:val="0"/>
                <w:szCs w:val="21"/>
              </w:rPr>
              <w:t>4)</w:t>
            </w:r>
            <w:r>
              <w:rPr>
                <w:rFonts w:hint="eastAsia" w:ascii="等线" w:hAnsi="等线" w:cs="仿宋"/>
                <w:bCs/>
                <w:color w:val="000000"/>
                <w:kern w:val="0"/>
                <w:szCs w:val="21"/>
              </w:rPr>
              <w:tab/>
            </w:r>
            <w:r>
              <w:rPr>
                <w:rFonts w:hint="eastAsia" w:ascii="等线" w:hAnsi="等线" w:cs="仿宋"/>
                <w:bCs/>
                <w:color w:val="000000"/>
                <w:kern w:val="0"/>
                <w:szCs w:val="21"/>
              </w:rPr>
              <w:t>硬盘：128G固态硬盘</w:t>
            </w:r>
          </w:p>
          <w:p w14:paraId="370488BC">
            <w:pPr>
              <w:widowControl/>
              <w:snapToGrid w:val="0"/>
              <w:jc w:val="left"/>
              <w:rPr>
                <w:rFonts w:ascii="等线" w:hAnsi="等线" w:cs="仿宋"/>
                <w:bCs/>
                <w:color w:val="000000"/>
                <w:kern w:val="0"/>
                <w:szCs w:val="21"/>
              </w:rPr>
            </w:pPr>
            <w:r>
              <w:rPr>
                <w:rFonts w:hint="eastAsia" w:ascii="等线" w:hAnsi="等线" w:cs="仿宋"/>
                <w:bCs/>
                <w:color w:val="000000"/>
                <w:kern w:val="0"/>
                <w:szCs w:val="21"/>
              </w:rPr>
              <w:t>5)</w:t>
            </w:r>
            <w:r>
              <w:rPr>
                <w:rFonts w:hint="eastAsia" w:ascii="等线" w:hAnsi="等线" w:cs="仿宋"/>
                <w:bCs/>
                <w:color w:val="000000"/>
                <w:kern w:val="0"/>
                <w:szCs w:val="21"/>
              </w:rPr>
              <w:tab/>
            </w:r>
            <w:r>
              <w:rPr>
                <w:rFonts w:hint="eastAsia" w:ascii="等线" w:hAnsi="等线" w:cs="仿宋"/>
                <w:bCs/>
                <w:color w:val="000000"/>
                <w:kern w:val="0"/>
                <w:szCs w:val="21"/>
              </w:rPr>
              <w:t>串口：≥4个、USB接口：≥8个, VGA显示接口，HDMI接口，集成声卡、网卡、显卡.</w:t>
            </w:r>
          </w:p>
          <w:p w14:paraId="09280D7F">
            <w:pPr>
              <w:widowControl/>
              <w:snapToGrid w:val="0"/>
              <w:jc w:val="left"/>
              <w:rPr>
                <w:rFonts w:ascii="等线" w:hAnsi="等线" w:cs="仿宋"/>
                <w:bCs/>
                <w:color w:val="000000"/>
                <w:kern w:val="0"/>
                <w:szCs w:val="21"/>
              </w:rPr>
            </w:pPr>
            <w:r>
              <w:rPr>
                <w:rFonts w:hint="eastAsia" w:ascii="等线" w:hAnsi="等线" w:cs="仿宋"/>
                <w:bCs/>
                <w:color w:val="000000"/>
                <w:kern w:val="0"/>
                <w:szCs w:val="21"/>
              </w:rPr>
              <w:t>6)</w:t>
            </w:r>
            <w:r>
              <w:rPr>
                <w:rFonts w:hint="eastAsia" w:ascii="等线" w:hAnsi="等线" w:cs="仿宋"/>
                <w:bCs/>
                <w:color w:val="000000"/>
                <w:kern w:val="0"/>
                <w:szCs w:val="21"/>
              </w:rPr>
              <w:tab/>
            </w:r>
            <w:r>
              <w:rPr>
                <w:rFonts w:hint="eastAsia" w:ascii="等线" w:hAnsi="等线" w:cs="仿宋"/>
                <w:bCs/>
                <w:color w:val="000000"/>
                <w:kern w:val="0"/>
                <w:szCs w:val="21"/>
              </w:rPr>
              <w:t>32寸液晶电容触摸显示器；</w:t>
            </w:r>
          </w:p>
          <w:p w14:paraId="42547ACB">
            <w:pPr>
              <w:widowControl/>
              <w:snapToGrid w:val="0"/>
              <w:jc w:val="left"/>
              <w:rPr>
                <w:rFonts w:ascii="等线" w:hAnsi="等线" w:cs="仿宋"/>
                <w:bCs/>
                <w:color w:val="000000"/>
                <w:kern w:val="0"/>
                <w:szCs w:val="21"/>
              </w:rPr>
            </w:pPr>
            <w:r>
              <w:rPr>
                <w:rFonts w:hint="eastAsia" w:ascii="等线" w:hAnsi="等线" w:cs="仿宋"/>
                <w:bCs/>
                <w:color w:val="000000"/>
                <w:kern w:val="0"/>
                <w:szCs w:val="21"/>
              </w:rPr>
              <w:t>7)</w:t>
            </w:r>
            <w:r>
              <w:rPr>
                <w:rFonts w:hint="eastAsia" w:ascii="等线" w:hAnsi="等线" w:cs="仿宋"/>
                <w:bCs/>
                <w:color w:val="000000"/>
                <w:kern w:val="0"/>
                <w:szCs w:val="21"/>
              </w:rPr>
              <w:tab/>
            </w:r>
            <w:r>
              <w:rPr>
                <w:rFonts w:hint="eastAsia" w:ascii="等线" w:hAnsi="等线" w:cs="仿宋"/>
                <w:bCs/>
                <w:color w:val="000000"/>
                <w:kern w:val="0"/>
                <w:szCs w:val="21"/>
              </w:rPr>
              <w:t>含二维码扫描仪、彩色激光打印机、身份证阅读器</w:t>
            </w:r>
          </w:p>
        </w:tc>
        <w:tc>
          <w:tcPr>
            <w:tcW w:w="256" w:type="pct"/>
            <w:noWrap w:val="0"/>
            <w:vAlign w:val="center"/>
          </w:tcPr>
          <w:p w14:paraId="65C8CA1A">
            <w:pPr>
              <w:rPr>
                <w:szCs w:val="21"/>
              </w:rPr>
            </w:pPr>
            <w:r>
              <w:rPr>
                <w:rFonts w:hint="eastAsia"/>
                <w:szCs w:val="21"/>
              </w:rPr>
              <w:t>台</w:t>
            </w:r>
          </w:p>
        </w:tc>
        <w:tc>
          <w:tcPr>
            <w:tcW w:w="288" w:type="pct"/>
            <w:noWrap w:val="0"/>
            <w:vAlign w:val="center"/>
          </w:tcPr>
          <w:p w14:paraId="45BE4E74">
            <w:pPr>
              <w:rPr>
                <w:szCs w:val="21"/>
              </w:rPr>
            </w:pPr>
            <w:r>
              <w:rPr>
                <w:rFonts w:hint="eastAsia"/>
                <w:szCs w:val="21"/>
              </w:rPr>
              <w:t>2</w:t>
            </w:r>
          </w:p>
        </w:tc>
        <w:tc>
          <w:tcPr>
            <w:tcW w:w="720" w:type="pct"/>
            <w:noWrap w:val="0"/>
            <w:vAlign w:val="center"/>
          </w:tcPr>
          <w:p w14:paraId="01498C7D">
            <w:pPr>
              <w:jc w:val="center"/>
              <w:rPr>
                <w:szCs w:val="21"/>
              </w:rPr>
            </w:pPr>
          </w:p>
        </w:tc>
        <w:tc>
          <w:tcPr>
            <w:tcW w:w="577" w:type="pct"/>
            <w:noWrap w:val="0"/>
            <w:vAlign w:val="center"/>
          </w:tcPr>
          <w:p w14:paraId="6122FA5E">
            <w:pPr>
              <w:jc w:val="center"/>
              <w:rPr>
                <w:szCs w:val="21"/>
              </w:rPr>
            </w:pPr>
            <w:r>
              <w:rPr>
                <w:szCs w:val="21"/>
              </w:rPr>
              <w:t>否</w:t>
            </w:r>
          </w:p>
        </w:tc>
      </w:tr>
      <w:tr w14:paraId="5D055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375" w:type="pct"/>
            <w:noWrap w:val="0"/>
            <w:vAlign w:val="center"/>
          </w:tcPr>
          <w:p w14:paraId="2184C6CA">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8</w:t>
            </w:r>
          </w:p>
        </w:tc>
        <w:tc>
          <w:tcPr>
            <w:tcW w:w="617" w:type="pct"/>
            <w:noWrap w:val="0"/>
            <w:vAlign w:val="center"/>
          </w:tcPr>
          <w:p w14:paraId="2FB6A3ED">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高拍仪</w:t>
            </w:r>
          </w:p>
        </w:tc>
        <w:tc>
          <w:tcPr>
            <w:tcW w:w="2167" w:type="pct"/>
            <w:noWrap w:val="0"/>
            <w:vAlign w:val="center"/>
          </w:tcPr>
          <w:p w14:paraId="20400AA7">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hint="eastAsia" w:ascii="等线" w:hAnsi="等线" w:cs="仿宋"/>
                <w:bCs/>
                <w:color w:val="000000"/>
                <w:kern w:val="0"/>
                <w:szCs w:val="21"/>
              </w:rPr>
              <w:tab/>
            </w:r>
            <w:r>
              <w:rPr>
                <w:rFonts w:hint="eastAsia" w:ascii="等线" w:hAnsi="等线" w:cs="仿宋"/>
                <w:bCs/>
                <w:color w:val="000000"/>
                <w:kern w:val="0"/>
                <w:szCs w:val="21"/>
              </w:rPr>
              <w:t>HDMI高清输入，1800万高清</w:t>
            </w:r>
          </w:p>
        </w:tc>
        <w:tc>
          <w:tcPr>
            <w:tcW w:w="256" w:type="pct"/>
            <w:noWrap w:val="0"/>
            <w:vAlign w:val="center"/>
          </w:tcPr>
          <w:p w14:paraId="123405A8">
            <w:pPr>
              <w:rPr>
                <w:szCs w:val="21"/>
              </w:rPr>
            </w:pPr>
            <w:r>
              <w:rPr>
                <w:rFonts w:hint="eastAsia"/>
                <w:szCs w:val="21"/>
              </w:rPr>
              <w:t>台</w:t>
            </w:r>
          </w:p>
        </w:tc>
        <w:tc>
          <w:tcPr>
            <w:tcW w:w="288" w:type="pct"/>
            <w:noWrap w:val="0"/>
            <w:vAlign w:val="center"/>
          </w:tcPr>
          <w:p w14:paraId="0BBBBCAB">
            <w:pPr>
              <w:rPr>
                <w:szCs w:val="21"/>
              </w:rPr>
            </w:pPr>
            <w:r>
              <w:rPr>
                <w:rFonts w:hint="eastAsia"/>
                <w:szCs w:val="21"/>
              </w:rPr>
              <w:t>2</w:t>
            </w:r>
          </w:p>
        </w:tc>
        <w:tc>
          <w:tcPr>
            <w:tcW w:w="720" w:type="pct"/>
            <w:noWrap w:val="0"/>
            <w:vAlign w:val="center"/>
          </w:tcPr>
          <w:p w14:paraId="05E1BAC6">
            <w:pPr>
              <w:jc w:val="center"/>
              <w:rPr>
                <w:szCs w:val="21"/>
              </w:rPr>
            </w:pPr>
          </w:p>
        </w:tc>
        <w:tc>
          <w:tcPr>
            <w:tcW w:w="577" w:type="pct"/>
            <w:noWrap w:val="0"/>
            <w:vAlign w:val="center"/>
          </w:tcPr>
          <w:p w14:paraId="4E7DA9A6">
            <w:pPr>
              <w:jc w:val="center"/>
              <w:rPr>
                <w:szCs w:val="21"/>
              </w:rPr>
            </w:pPr>
            <w:r>
              <w:rPr>
                <w:szCs w:val="21"/>
              </w:rPr>
              <w:t>否</w:t>
            </w:r>
          </w:p>
        </w:tc>
      </w:tr>
      <w:tr w14:paraId="5CB3E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375" w:type="pct"/>
            <w:noWrap w:val="0"/>
            <w:vAlign w:val="center"/>
          </w:tcPr>
          <w:p w14:paraId="656D8CDF">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9</w:t>
            </w:r>
          </w:p>
        </w:tc>
        <w:tc>
          <w:tcPr>
            <w:tcW w:w="617" w:type="pct"/>
            <w:noWrap w:val="0"/>
            <w:vAlign w:val="center"/>
          </w:tcPr>
          <w:p w14:paraId="7A024130">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条码扫描枪</w:t>
            </w:r>
          </w:p>
        </w:tc>
        <w:tc>
          <w:tcPr>
            <w:tcW w:w="2167" w:type="pct"/>
            <w:noWrap w:val="0"/>
            <w:vAlign w:val="center"/>
          </w:tcPr>
          <w:p w14:paraId="1FE84B88">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1）USB输入，可识别一维、二维码</w:t>
            </w:r>
          </w:p>
        </w:tc>
        <w:tc>
          <w:tcPr>
            <w:tcW w:w="256" w:type="pct"/>
            <w:noWrap w:val="0"/>
            <w:vAlign w:val="center"/>
          </w:tcPr>
          <w:p w14:paraId="76794CC0">
            <w:pPr>
              <w:rPr>
                <w:szCs w:val="21"/>
              </w:rPr>
            </w:pPr>
            <w:r>
              <w:rPr>
                <w:rFonts w:hint="eastAsia"/>
                <w:szCs w:val="21"/>
              </w:rPr>
              <w:t>台</w:t>
            </w:r>
          </w:p>
        </w:tc>
        <w:tc>
          <w:tcPr>
            <w:tcW w:w="288" w:type="pct"/>
            <w:noWrap w:val="0"/>
            <w:vAlign w:val="center"/>
          </w:tcPr>
          <w:p w14:paraId="4CB51449">
            <w:pPr>
              <w:rPr>
                <w:szCs w:val="21"/>
              </w:rPr>
            </w:pPr>
            <w:r>
              <w:rPr>
                <w:rFonts w:hint="eastAsia"/>
                <w:szCs w:val="21"/>
              </w:rPr>
              <w:t>2</w:t>
            </w:r>
          </w:p>
        </w:tc>
        <w:tc>
          <w:tcPr>
            <w:tcW w:w="720" w:type="pct"/>
            <w:noWrap w:val="0"/>
            <w:vAlign w:val="center"/>
          </w:tcPr>
          <w:p w14:paraId="66B8A6E4">
            <w:pPr>
              <w:jc w:val="center"/>
              <w:rPr>
                <w:szCs w:val="21"/>
              </w:rPr>
            </w:pPr>
          </w:p>
        </w:tc>
        <w:tc>
          <w:tcPr>
            <w:tcW w:w="577" w:type="pct"/>
            <w:noWrap w:val="0"/>
            <w:vAlign w:val="center"/>
          </w:tcPr>
          <w:p w14:paraId="71A50950">
            <w:pPr>
              <w:jc w:val="center"/>
              <w:rPr>
                <w:szCs w:val="21"/>
              </w:rPr>
            </w:pPr>
            <w:r>
              <w:rPr>
                <w:szCs w:val="21"/>
              </w:rPr>
              <w:t>否</w:t>
            </w:r>
          </w:p>
        </w:tc>
      </w:tr>
      <w:tr w14:paraId="53F7C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692EF73B">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2</w:t>
            </w:r>
            <w:r>
              <w:rPr>
                <w:rFonts w:ascii="等线" w:hAnsi="等线" w:cs="仿宋"/>
                <w:bCs/>
                <w:color w:val="000000"/>
                <w:kern w:val="0"/>
                <w:szCs w:val="21"/>
              </w:rPr>
              <w:t>0</w:t>
            </w:r>
          </w:p>
        </w:tc>
        <w:tc>
          <w:tcPr>
            <w:tcW w:w="617" w:type="pct"/>
            <w:noWrap w:val="0"/>
            <w:vAlign w:val="center"/>
          </w:tcPr>
          <w:p w14:paraId="2E0A73D8">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条码打印机</w:t>
            </w:r>
          </w:p>
        </w:tc>
        <w:tc>
          <w:tcPr>
            <w:tcW w:w="2167" w:type="pct"/>
            <w:noWrap w:val="0"/>
            <w:vAlign w:val="center"/>
          </w:tcPr>
          <w:p w14:paraId="1EE7E17A">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 热敏标签打印,最纸张宽度：80mm ，分辨率：203dpi,打印速度：220mm/s</w:t>
            </w:r>
          </w:p>
        </w:tc>
        <w:tc>
          <w:tcPr>
            <w:tcW w:w="256" w:type="pct"/>
            <w:noWrap w:val="0"/>
            <w:vAlign w:val="center"/>
          </w:tcPr>
          <w:p w14:paraId="68C5CD7B">
            <w:pPr>
              <w:rPr>
                <w:szCs w:val="21"/>
              </w:rPr>
            </w:pPr>
            <w:r>
              <w:rPr>
                <w:rFonts w:hint="eastAsia"/>
                <w:szCs w:val="21"/>
              </w:rPr>
              <w:t>台</w:t>
            </w:r>
          </w:p>
        </w:tc>
        <w:tc>
          <w:tcPr>
            <w:tcW w:w="288" w:type="pct"/>
            <w:noWrap w:val="0"/>
            <w:vAlign w:val="center"/>
          </w:tcPr>
          <w:p w14:paraId="27860373">
            <w:pPr>
              <w:rPr>
                <w:szCs w:val="21"/>
              </w:rPr>
            </w:pPr>
            <w:r>
              <w:rPr>
                <w:rFonts w:hint="eastAsia"/>
                <w:szCs w:val="21"/>
              </w:rPr>
              <w:t>2</w:t>
            </w:r>
          </w:p>
        </w:tc>
        <w:tc>
          <w:tcPr>
            <w:tcW w:w="720" w:type="pct"/>
            <w:noWrap w:val="0"/>
            <w:vAlign w:val="center"/>
          </w:tcPr>
          <w:p w14:paraId="4C767359">
            <w:pPr>
              <w:jc w:val="center"/>
              <w:rPr>
                <w:szCs w:val="21"/>
              </w:rPr>
            </w:pPr>
          </w:p>
        </w:tc>
        <w:tc>
          <w:tcPr>
            <w:tcW w:w="577" w:type="pct"/>
            <w:noWrap w:val="0"/>
            <w:vAlign w:val="center"/>
          </w:tcPr>
          <w:p w14:paraId="6C1E6D12">
            <w:pPr>
              <w:jc w:val="center"/>
              <w:rPr>
                <w:szCs w:val="21"/>
              </w:rPr>
            </w:pPr>
            <w:r>
              <w:rPr>
                <w:szCs w:val="21"/>
              </w:rPr>
              <w:t>否</w:t>
            </w:r>
          </w:p>
        </w:tc>
      </w:tr>
      <w:tr w14:paraId="7704F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4DDAF22E">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2</w:t>
            </w:r>
            <w:r>
              <w:rPr>
                <w:rFonts w:ascii="等线" w:hAnsi="等线" w:cs="仿宋"/>
                <w:bCs/>
                <w:color w:val="000000"/>
                <w:kern w:val="0"/>
                <w:szCs w:val="21"/>
              </w:rPr>
              <w:t>1</w:t>
            </w:r>
          </w:p>
        </w:tc>
        <w:tc>
          <w:tcPr>
            <w:tcW w:w="617" w:type="pct"/>
            <w:noWrap w:val="0"/>
            <w:vAlign w:val="center"/>
          </w:tcPr>
          <w:p w14:paraId="096AA3F7">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彩色激光打印机</w:t>
            </w:r>
          </w:p>
        </w:tc>
        <w:tc>
          <w:tcPr>
            <w:tcW w:w="2167" w:type="pct"/>
            <w:noWrap w:val="0"/>
            <w:vAlign w:val="center"/>
          </w:tcPr>
          <w:p w14:paraId="0E48F4E4">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1）A4彩色激光打印机 支持有线无线网络</w:t>
            </w:r>
          </w:p>
        </w:tc>
        <w:tc>
          <w:tcPr>
            <w:tcW w:w="256" w:type="pct"/>
            <w:noWrap w:val="0"/>
            <w:vAlign w:val="center"/>
          </w:tcPr>
          <w:p w14:paraId="1173B0A3">
            <w:pPr>
              <w:rPr>
                <w:szCs w:val="21"/>
              </w:rPr>
            </w:pPr>
            <w:r>
              <w:rPr>
                <w:rFonts w:hint="eastAsia"/>
                <w:szCs w:val="21"/>
              </w:rPr>
              <w:t>台</w:t>
            </w:r>
          </w:p>
        </w:tc>
        <w:tc>
          <w:tcPr>
            <w:tcW w:w="288" w:type="pct"/>
            <w:noWrap w:val="0"/>
            <w:vAlign w:val="center"/>
          </w:tcPr>
          <w:p w14:paraId="6D366643">
            <w:pPr>
              <w:rPr>
                <w:szCs w:val="21"/>
              </w:rPr>
            </w:pPr>
            <w:r>
              <w:rPr>
                <w:rFonts w:hint="eastAsia"/>
                <w:szCs w:val="21"/>
              </w:rPr>
              <w:t>2</w:t>
            </w:r>
          </w:p>
        </w:tc>
        <w:tc>
          <w:tcPr>
            <w:tcW w:w="720" w:type="pct"/>
            <w:noWrap w:val="0"/>
            <w:vAlign w:val="center"/>
          </w:tcPr>
          <w:p w14:paraId="1E13B5A8">
            <w:pPr>
              <w:jc w:val="center"/>
              <w:rPr>
                <w:szCs w:val="21"/>
              </w:rPr>
            </w:pPr>
          </w:p>
        </w:tc>
        <w:tc>
          <w:tcPr>
            <w:tcW w:w="577" w:type="pct"/>
            <w:noWrap w:val="0"/>
            <w:vAlign w:val="center"/>
          </w:tcPr>
          <w:p w14:paraId="1B56439A">
            <w:pPr>
              <w:jc w:val="center"/>
              <w:rPr>
                <w:szCs w:val="21"/>
              </w:rPr>
            </w:pPr>
            <w:r>
              <w:rPr>
                <w:szCs w:val="21"/>
              </w:rPr>
              <w:t>否</w:t>
            </w:r>
          </w:p>
        </w:tc>
      </w:tr>
      <w:tr w14:paraId="33CAB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3D85A186">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2</w:t>
            </w:r>
            <w:r>
              <w:rPr>
                <w:rFonts w:ascii="等线" w:hAnsi="等线" w:cs="仿宋"/>
                <w:bCs/>
                <w:color w:val="000000"/>
                <w:kern w:val="0"/>
                <w:szCs w:val="21"/>
              </w:rPr>
              <w:t>2</w:t>
            </w:r>
          </w:p>
        </w:tc>
        <w:tc>
          <w:tcPr>
            <w:tcW w:w="617" w:type="pct"/>
            <w:noWrap w:val="0"/>
            <w:vAlign w:val="center"/>
          </w:tcPr>
          <w:p w14:paraId="4FE0A690">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会议室示教电视</w:t>
            </w:r>
          </w:p>
        </w:tc>
        <w:tc>
          <w:tcPr>
            <w:tcW w:w="2167" w:type="pct"/>
            <w:noWrap w:val="0"/>
            <w:vAlign w:val="center"/>
          </w:tcPr>
          <w:p w14:paraId="2A25C388">
            <w:pPr>
              <w:widowControl/>
              <w:snapToGrid w:val="0"/>
              <w:jc w:val="left"/>
              <w:rPr>
                <w:rFonts w:ascii="等线" w:hAnsi="等线" w:cs="仿宋"/>
                <w:bCs/>
                <w:color w:val="000000"/>
                <w:kern w:val="0"/>
                <w:szCs w:val="21"/>
              </w:rPr>
            </w:pPr>
            <w:r>
              <w:rPr>
                <w:rFonts w:hint="eastAsia" w:ascii="等线" w:hAnsi="等线" w:cs="仿宋"/>
                <w:bCs/>
                <w:color w:val="000000"/>
                <w:kern w:val="0"/>
                <w:szCs w:val="21"/>
              </w:rPr>
              <w:t>1)</w:t>
            </w:r>
            <w:r>
              <w:rPr>
                <w:rFonts w:ascii="等线" w:hAnsi="等线" w:cs="仿宋"/>
                <w:bCs/>
                <w:color w:val="000000"/>
                <w:kern w:val="0"/>
                <w:szCs w:val="21"/>
              </w:rPr>
              <w:t xml:space="preserve"> </w:t>
            </w:r>
            <w:r>
              <w:rPr>
                <w:rFonts w:hint="eastAsia" w:ascii="等线" w:hAnsi="等线" w:cs="仿宋"/>
                <w:bCs/>
                <w:color w:val="000000"/>
                <w:kern w:val="0"/>
                <w:szCs w:val="21"/>
              </w:rPr>
              <w:t>1</w:t>
            </w:r>
            <w:r>
              <w:rPr>
                <w:rFonts w:ascii="等线" w:hAnsi="等线" w:cs="仿宋"/>
                <w:bCs/>
                <w:color w:val="000000"/>
                <w:kern w:val="0"/>
                <w:szCs w:val="21"/>
              </w:rPr>
              <w:t>2</w:t>
            </w:r>
            <w:r>
              <w:rPr>
                <w:rFonts w:hint="eastAsia" w:ascii="等线" w:hAnsi="等线" w:cs="仿宋"/>
                <w:bCs/>
                <w:color w:val="000000"/>
                <w:kern w:val="0"/>
                <w:szCs w:val="21"/>
              </w:rPr>
              <w:t>0英寸及以上液晶拼接屏</w:t>
            </w:r>
          </w:p>
        </w:tc>
        <w:tc>
          <w:tcPr>
            <w:tcW w:w="256" w:type="pct"/>
            <w:noWrap w:val="0"/>
            <w:vAlign w:val="center"/>
          </w:tcPr>
          <w:p w14:paraId="5E0825B7">
            <w:pPr>
              <w:rPr>
                <w:szCs w:val="21"/>
              </w:rPr>
            </w:pPr>
            <w:r>
              <w:rPr>
                <w:rFonts w:hint="eastAsia"/>
                <w:szCs w:val="21"/>
              </w:rPr>
              <w:t>台</w:t>
            </w:r>
          </w:p>
        </w:tc>
        <w:tc>
          <w:tcPr>
            <w:tcW w:w="288" w:type="pct"/>
            <w:noWrap w:val="0"/>
            <w:vAlign w:val="center"/>
          </w:tcPr>
          <w:p w14:paraId="6C79AEBD">
            <w:pPr>
              <w:rPr>
                <w:szCs w:val="21"/>
              </w:rPr>
            </w:pPr>
            <w:r>
              <w:rPr>
                <w:rFonts w:hint="eastAsia"/>
                <w:szCs w:val="21"/>
              </w:rPr>
              <w:t>1</w:t>
            </w:r>
          </w:p>
        </w:tc>
        <w:tc>
          <w:tcPr>
            <w:tcW w:w="720" w:type="pct"/>
            <w:noWrap w:val="0"/>
            <w:vAlign w:val="center"/>
          </w:tcPr>
          <w:p w14:paraId="06343B69">
            <w:pPr>
              <w:jc w:val="center"/>
              <w:rPr>
                <w:szCs w:val="21"/>
              </w:rPr>
            </w:pPr>
          </w:p>
        </w:tc>
        <w:tc>
          <w:tcPr>
            <w:tcW w:w="577" w:type="pct"/>
            <w:noWrap w:val="0"/>
            <w:vAlign w:val="center"/>
          </w:tcPr>
          <w:p w14:paraId="21F24297">
            <w:pPr>
              <w:jc w:val="center"/>
              <w:rPr>
                <w:szCs w:val="21"/>
              </w:rPr>
            </w:pPr>
            <w:r>
              <w:rPr>
                <w:szCs w:val="21"/>
              </w:rPr>
              <w:t>否</w:t>
            </w:r>
          </w:p>
        </w:tc>
      </w:tr>
      <w:tr w14:paraId="08185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75" w:type="pct"/>
            <w:noWrap w:val="0"/>
            <w:vAlign w:val="center"/>
          </w:tcPr>
          <w:p w14:paraId="4113F5E4">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2</w:t>
            </w:r>
            <w:r>
              <w:rPr>
                <w:rFonts w:ascii="等线" w:hAnsi="等线" w:cs="仿宋"/>
                <w:bCs/>
                <w:color w:val="000000"/>
                <w:kern w:val="0"/>
                <w:szCs w:val="21"/>
              </w:rPr>
              <w:t>3</w:t>
            </w:r>
          </w:p>
        </w:tc>
        <w:tc>
          <w:tcPr>
            <w:tcW w:w="617" w:type="pct"/>
            <w:noWrap w:val="0"/>
            <w:vAlign w:val="center"/>
          </w:tcPr>
          <w:p w14:paraId="7D03D7BF">
            <w:pPr>
              <w:widowControl/>
              <w:snapToGrid w:val="0"/>
              <w:jc w:val="center"/>
              <w:rPr>
                <w:rFonts w:ascii="等线" w:hAnsi="等线" w:cs="仿宋"/>
                <w:bCs/>
                <w:color w:val="000000"/>
                <w:kern w:val="0"/>
                <w:szCs w:val="21"/>
              </w:rPr>
            </w:pPr>
            <w:r>
              <w:rPr>
                <w:rFonts w:hint="eastAsia" w:ascii="等线" w:hAnsi="等线" w:cs="仿宋"/>
                <w:bCs/>
                <w:color w:val="000000"/>
                <w:kern w:val="0"/>
                <w:szCs w:val="21"/>
              </w:rPr>
              <w:t>虚拟化资源扩容需求</w:t>
            </w:r>
          </w:p>
        </w:tc>
        <w:tc>
          <w:tcPr>
            <w:tcW w:w="2167" w:type="pct"/>
            <w:noWrap w:val="0"/>
            <w:vAlign w:val="center"/>
          </w:tcPr>
          <w:p w14:paraId="06B96AC4">
            <w:r>
              <w:rPr>
                <w:rFonts w:hint="eastAsia"/>
              </w:rPr>
              <w:t>★1.超融合平台节点配置：（单节点配置为：硬件平台包含（不低于2U，处理器：不低于16核cpu，主频2.9及以上）*2颗，内存：512G，配置12个硬盘盘位，配置系统盘：SATA SSD*2块，网络接口：4个千兆电口，4个万兆光口（含多模光模块），24T医疗数据盘，1920SSD缓存盘，冗余电源）。包含计算虚拟化、存储虚拟化、网络虚拟化、统一云管平台各</w:t>
            </w:r>
            <w:r>
              <w:t>2</w:t>
            </w:r>
            <w:r>
              <w:rPr>
                <w:rFonts w:hint="eastAsia"/>
              </w:rPr>
              <w:t>颗CPU授权；计算虚拟化提供虚拟机全生命周期管理、USB映射、备份、快照、最后一屏等功能；存储虚拟化提供统一存储服务，提供存储精简部署、存储卷级存储策略设置、存储数据可视化等功能；网络虚拟化提供拖拽式组网、虚拟路由器、虚拟交换机、连通性测试等功能。统一云管平台高级版提供跨地区、跨数据中心的多个集群的统一管理功能，提供多租户、主备容灾、资源中心、运维中心、可靠中心管理等功能。</w:t>
            </w:r>
          </w:p>
          <w:p w14:paraId="1A3224AD">
            <w:r>
              <w:rPr>
                <w:rFonts w:hint="eastAsia"/>
              </w:rPr>
              <w:t>2.包含计算虚拟化及网络虚拟化授权；计算虚拟化功能：提供虚拟机全生命周期管理、虚拟硬件热插拔、USB映射、虚拟机模板管理、在线迁移、克隆、导入导出等操作；具备HA高可用、资源动态资源调度、异常检测等高可用机制，具备虚拟机备份、快照、资源监控、最后一屏、虚拟机重要级别、虚拟机基准类型等功能。网络虚拟化功能：提供对虚拟网络设备的创建和管理、构建租户自定义内部网络、拖拽式组网、网络可视化、流量可视化、虚拟路由器、虚拟交换机、网络连通性测试、租户网络隔离、安全组等功能。1）定制医院云服务器可以安装独立的操作系统，支持Windows操作系统，包括Windows XP、Windows 7、Windows Server 2003、2008R2、2012R2、2016及以上版本服务器操作系统，支持Linux操作系统，包括CentOS、Ubuntu等多个发行版本，支持国产操作系统，包括红旗linux、中标麒麟、银河麒麟、统信UOS、中标普华、中科方德、一铭、万里红、新支点等。2）定制医院蓝屏检测技术，通过界面记录云服务器重新拉起过程，包括故障、蓝屏、HA等过程，可在云服务器详情日志页面里面查看详情。3）定制医院本地网络和VPC网络，支持通过鼠标拖拽网元及连线的方式构建可视化网络，实现网络环境的快速化构建；可以支持对整个平台虚拟设备的统一管理；可以支持在管理平台上连接、开启、关闭各类虚拟设备、拓扑可呈现网络流量信息，所见即所得。4）定制医院网络拓扑流量监控，能够在网络拓扑图中显示云服务器网卡的上/下行吞吐量、上/下行包速率、安全组信息等。5）定制医院网络微分段功能，不论使用本地网络，或VPC网络，均能使用网络微分段功能。微分段组可制定安全规则策略，实现基本的零信任网络。6）便捷运维方面按照本单位需求定制大屏运维显示平台展示医院数据中心资源使用及故障展示。定制从云服务器内部获取监控数据，针对主流Linux/Windows以及国产操作系统云服务器的内部负载实时监控，包括操作系统版本、CPU使用率、内存使用情况、网络流量、系统磁盘数量、磁盘分区、磁盘使用率、系统进程及系统连接数量，发生意外故障导致的虚拟机停机，定制将虚拟机故障追溯信息进行截图，为后续排错提供依据。定制蓝屏检测技术，通过界面记录重新拉起过程，包括故障、蓝屏、HA等过程，可在日志页面查看详情等需求。</w:t>
            </w:r>
          </w:p>
          <w:p w14:paraId="0B1D02EB">
            <w:r>
              <w:rPr>
                <w:rFonts w:hint="eastAsia"/>
              </w:rPr>
              <w:t>3.数据安全方面按照本单位需求定制医疗数据副本图形显示和操作的功能，可以监控医疗数据的当前状态，可以按需迁移数据所在的主机和磁盘，可以指定医疗数据块副本的读取优先级等需求。须与现有内网虚拟化集群做到无缝集成，且资源可以相互调用。须支持统一通过现有管理平台界面实现日常管理和运维。产品须充分满足本项目的采购需求，按照采购人的要求提供平台管控、业务保障、数据迁移等服务。</w:t>
            </w:r>
          </w:p>
          <w:p w14:paraId="611C3F8E">
            <w:r>
              <w:rPr>
                <w:rFonts w:hint="eastAsia"/>
              </w:rPr>
              <w:t>4.扩容现有超融合集群1套256G 内存系统并且实现与现有系统及硬件无缝衔接定制开发。本系统须与现有虚拟化平台应做到无缝集成，且资源可以相互调用。统一在现有管理平台界面实现日常管理和运维。</w:t>
            </w:r>
          </w:p>
          <w:p w14:paraId="7D3EA5A1">
            <w:r>
              <w:rPr>
                <w:rFonts w:hint="eastAsia"/>
              </w:rPr>
              <w:t>5.包含本项目原厂培训、原厂迁移、按照甲方需求改造数据中心结合业务系统及安全要求进行交钥匙工程改造。配套工程相关跳线、模块等辅料。不少于2名原厂认证工程师。针对本院现有物理服务器及虚拟系统操作系统及数据，通过使用天融信 工具进行在线迁移支持物理机/虚拟机，在线（开机状态下运行）不中断业务的情况下迁移至平台。迁移期间需保持网络连接畅通，以及超融合平台资源充足。（注：迁移前需要做好原始数据备份工作）。包含原厂超融合应急响应现场服务。</w:t>
            </w:r>
          </w:p>
          <w:p w14:paraId="645214F4">
            <w:pPr>
              <w:snapToGrid w:val="0"/>
              <w:spacing w:line="360" w:lineRule="auto"/>
            </w:pPr>
            <w:r>
              <w:t>6</w:t>
            </w:r>
            <w:r>
              <w:rPr>
                <w:rFonts w:hint="eastAsia"/>
              </w:rPr>
              <w:t>、须支持登录到任何一个节点的管理VM可以对整个集群进行管理，无需部署额外管理节点。存储虚拟化采用分布式架构，通过新增物理服务器实现存储容量和性能的横向扩展（Scale-Out），扩容过程不影响云服务器正常运行。</w:t>
            </w:r>
            <w:bookmarkStart w:id="0" w:name="OLE_LINK26"/>
            <w:bookmarkStart w:id="1" w:name="OLE_LINK27"/>
            <w:r>
              <w:rPr>
                <w:rFonts w:hint="eastAsia"/>
              </w:rPr>
              <w:t>（须提供具有CMA或CNAS标识的检测/检验/试验/测试报告，至少包含报告首页，对应功能测试页和报告尾页，加盖公章）</w:t>
            </w:r>
            <w:bookmarkEnd w:id="0"/>
            <w:bookmarkEnd w:id="1"/>
          </w:p>
          <w:p w14:paraId="4F94919F">
            <w:pPr>
              <w:snapToGrid w:val="0"/>
              <w:spacing w:line="360" w:lineRule="auto"/>
            </w:pPr>
            <w:r>
              <w:t>7</w:t>
            </w:r>
            <w:r>
              <w:rPr>
                <w:rFonts w:hint="eastAsia"/>
              </w:rPr>
              <w:t>、支持云服务器存储链路冗余设置，可以设置多条访问存储卷的链路，提升云服务器访问存储的可靠性和性能。（须提供具有CMA或CNAS标识的检测/检验/试验/测试报告，至少包含报告首页，对应功能测试页和报告尾页，加盖公章）</w:t>
            </w:r>
          </w:p>
          <w:p w14:paraId="7B0A8EFB">
            <w:r>
              <w:t>8</w:t>
            </w:r>
            <w:r>
              <w:rPr>
                <w:rFonts w:hint="eastAsia"/>
              </w:rPr>
              <w:t>、支持通过支持VNC、Spice以及VNC+Spice模式远程访问云服务器控制台；支持Spice方式设置独立访问密码。</w:t>
            </w:r>
            <w:bookmarkStart w:id="2" w:name="OLE_LINK15"/>
            <w:bookmarkStart w:id="3" w:name="OLE_LINK14"/>
            <w:r>
              <w:rPr>
                <w:rFonts w:hint="eastAsia"/>
              </w:rPr>
              <w:t>（须提供具有CMA或CNAS标识的检测/检验/试验/测试报告，至少包含报告首页，对应功能测试页和报告尾页，加盖公章）</w:t>
            </w:r>
            <w:bookmarkEnd w:id="2"/>
            <w:bookmarkEnd w:id="3"/>
          </w:p>
          <w:p w14:paraId="0C3B0277">
            <w:r>
              <w:t>9</w:t>
            </w:r>
            <w:r>
              <w:rPr>
                <w:rFonts w:hint="eastAsia"/>
              </w:rPr>
              <w:t>、支持主流Linux/Windows以及国产操作系统云服务器的内部负载实时监控，包括操作系统版本、CPU使用率、内存使用情况、网络流量、系统磁盘数量、磁盘分区、磁盘使用率、系统进程及系统连接数量。（须提供具有CMA或CNAS标识的检测/检验/试验/测试报告，至少包含报告首页，对应功能测试页和报告尾页，加盖公章）</w:t>
            </w:r>
          </w:p>
          <w:p w14:paraId="1F544ECF">
            <w:r>
              <w:t>10</w:t>
            </w:r>
            <w:r>
              <w:rPr>
                <w:rFonts w:hint="eastAsia"/>
              </w:rPr>
              <w:t>、支持蓝屏检测技术，通过界面记录重新拉起过程，包括故障、蓝屏、HA等过程，可在日志页面查看详情。可以支持云服务器最后一屏功能，在发生意外故障导致的云服务器停机时将最后一屏信息进行截图。（须提供具有CMA或CNAS标识的检测/检验/试验/测试报告，至少包含报告首页，对应功能测试页和报告尾页，加盖公章）</w:t>
            </w:r>
          </w:p>
          <w:p w14:paraId="19889C50">
            <w:r>
              <w:rPr>
                <w:rFonts w:hint="eastAsia"/>
              </w:rPr>
              <w:t>1</w:t>
            </w:r>
            <w:r>
              <w:t>1、</w:t>
            </w:r>
            <w:r>
              <w:rPr>
                <w:rFonts w:hint="eastAsia"/>
              </w:rPr>
              <w:t>须支持数据写入优化机制，支持数据读取优化机制，可以将内存、SSD作为读、写缓存使用，实现内存、SSD、HDD三级存储分层，可以支持内存缓存设置。（须提供具有CMA或CNAS标识的检测/检验/试验/测试报告，至少包含报告首页，对应功能测试页和报告尾页，加盖公章）</w:t>
            </w:r>
          </w:p>
          <w:p w14:paraId="1411C799">
            <w:r>
              <w:rPr>
                <w:rFonts w:hint="eastAsia"/>
              </w:rPr>
              <w:t>1</w:t>
            </w:r>
            <w:r>
              <w:t>2、</w:t>
            </w:r>
            <w:r>
              <w:rPr>
                <w:rFonts w:hint="eastAsia"/>
              </w:rPr>
              <w:t>支持快照数据在线可见，可随时查看和读取快照数据，如当VM内文件发生误操作、误删、中毒、系统配置文件更改时，可以通过该功能对比查看快照时刻VM内的文件，而无需执行VM快照回滚或者恢复，提升使用便捷性。（须提供具有CMA或CNAS标识的检测/检验/试验/测试报告，至少包含报告首页，对应功能测试页和报告尾页，加盖公章）</w:t>
            </w:r>
          </w:p>
          <w:p w14:paraId="51EA728F">
            <w:r>
              <w:rPr>
                <w:rFonts w:hint="eastAsia"/>
              </w:rPr>
              <w:t>1</w:t>
            </w:r>
            <w:r>
              <w:t>3、</w:t>
            </w:r>
            <w:r>
              <w:rPr>
                <w:rFonts w:hint="eastAsia"/>
              </w:rPr>
              <w:t>分布式存储可以支持基于存储卷级别的灵活副本设定，可以针对不同场景灵活配置不同级别的副本数，最小可以支持1副本，最高可以支持6个副本，可以支持动态在线增加和删除副本，不需停机即可操作。（须提供具有CMA或CNAS标识的检测/检验/试验/测试报告，至少包含报告首页，对应功能测试页和报告尾页，加盖公章）</w:t>
            </w:r>
          </w:p>
          <w:p w14:paraId="20B6652D">
            <w:r>
              <w:t>14</w:t>
            </w:r>
            <w:r>
              <w:rPr>
                <w:rFonts w:hint="eastAsia"/>
              </w:rPr>
              <w:t>、支持存储卷的数据块副本图形显示和操作，可以监控数据块的当前状态，可以按需调整数据块所在的主机和磁盘位置，可以指定数据块副本的读取优先级。（须提供具有CMA或CNAS标识的检测/检验/试验/测试报告，至少包含报告首页，对应功能测试页和报告尾页，加盖公章）</w:t>
            </w:r>
          </w:p>
          <w:p w14:paraId="4A424AE9">
            <w:r>
              <w:t>15</w:t>
            </w:r>
            <w:r>
              <w:rPr>
                <w:rFonts w:hint="eastAsia"/>
              </w:rPr>
              <w:t>、支持存储分卷，在SSD+HDD混闪硬盘配置下，可将SSD组成一个高性能存储池，云服务器可以运行在SSD闪盘模式；将SSD与HDD组成一个大容量存储池，云服务器可以运行在HDD模式。（须提供具有CMA或CNAS标识的检测/检验/试验/测试报告，至少包含报告首页，对应功能测试页和报告尾页，加盖公章）</w:t>
            </w:r>
          </w:p>
          <w:p w14:paraId="3E7FE77F">
            <w:r>
              <w:t>16</w:t>
            </w:r>
            <w:r>
              <w:rPr>
                <w:rFonts w:hint="eastAsia"/>
              </w:rPr>
              <w:t>、平台未来可扩展支持分布式防火墙系统内核级别集成，实现东西向流量安全防护，提供2-7层安全防护；支持ByPass功能，并能够以动态拓扑结构向用户展示云内虚机之间的通信关系，以箭头方向标识流量方向，以连线粗细表示流量大小，同时使用不同颜色标识标记虚机通信与访问控制策略的关系，并支持云内安全态势分析。（须提供具有CMA或CNAS标识的检测/检验/试验/测试报告，至少包含报告首页，对应功能测试页和报告尾页，加盖公章）</w:t>
            </w:r>
          </w:p>
          <w:p w14:paraId="4E177B05">
            <w:r>
              <w:t>17</w:t>
            </w:r>
            <w:r>
              <w:rPr>
                <w:rFonts w:hint="eastAsia"/>
              </w:rPr>
              <w:t>、平台须支持在无需额外增加或替换软件/硬件前提下，基于同一云管理平台对所有虚拟安全设备通过License激活的方式进行授权和授权回收，包括不限于下一代防火墙、WAF、数据库审计、网络审计、VPN、运维安全审计、负载均衡、基线核查、日志审计、数据防泄漏、漏洞扫描等。（须提供具有CMA或CNAS标识的检测/检验/试验/测试报告，至少包含报告首页，对应功能测试页和报告尾页，加盖公章）</w:t>
            </w:r>
          </w:p>
          <w:p w14:paraId="7A03E409">
            <w:r>
              <w:rPr>
                <w:rFonts w:hint="eastAsia"/>
              </w:rPr>
              <w:t>18、所投超融合平台制造商须具备中国信息安全测评中心颁发的安全工程类三级以上（含三级）证书，</w:t>
            </w:r>
          </w:p>
          <w:p w14:paraId="1E76D660">
            <w:r>
              <w:rPr>
                <w:rFonts w:hint="eastAsia"/>
              </w:rPr>
              <w:t>19、所投超融合平台制造商须须具备中国信息安全测评中心颁发的安全开发资质认证二级以上（含二级）证书，</w:t>
            </w:r>
          </w:p>
          <w:p w14:paraId="0A7EA200">
            <w:r>
              <w:rPr>
                <w:rFonts w:hint="eastAsia"/>
              </w:rPr>
              <w:t>20、所投超融合平台制造商须须具备能源管理体系认证证书ISO 50001体系认证</w:t>
            </w:r>
          </w:p>
          <w:p w14:paraId="25B272C6">
            <w:r>
              <w:rPr>
                <w:rFonts w:hint="eastAsia"/>
              </w:rPr>
              <w:t>21、所投超融合平台制造商须须具备中国信息安全测评中心颁发的CISP数据安全方向授权运营中心资质证书。</w:t>
            </w:r>
          </w:p>
          <w:p w14:paraId="6E0A7C71">
            <w:r>
              <w:rPr>
                <w:rFonts w:hint="eastAsia"/>
              </w:rPr>
              <w:t>22、所投超融合平台制造商须为保障制造商具备信息系统建设及服务能力，制造商应通过4级及以上信息系统建设及服务能力评估且在有效期内；</w:t>
            </w:r>
          </w:p>
          <w:p w14:paraId="022CCBC2">
            <w:pPr>
              <w:widowControl/>
              <w:snapToGrid w:val="0"/>
              <w:jc w:val="left"/>
              <w:rPr>
                <w:rFonts w:ascii="等线" w:hAnsi="等线" w:cs="仿宋"/>
                <w:bCs/>
                <w:color w:val="000000"/>
                <w:kern w:val="0"/>
                <w:szCs w:val="21"/>
              </w:rPr>
            </w:pPr>
          </w:p>
        </w:tc>
        <w:tc>
          <w:tcPr>
            <w:tcW w:w="256" w:type="pct"/>
            <w:noWrap w:val="0"/>
            <w:vAlign w:val="center"/>
          </w:tcPr>
          <w:p w14:paraId="2868004A">
            <w:pPr>
              <w:rPr>
                <w:szCs w:val="21"/>
              </w:rPr>
            </w:pPr>
            <w:r>
              <w:rPr>
                <w:rFonts w:hint="eastAsia"/>
                <w:szCs w:val="21"/>
              </w:rPr>
              <w:t>套</w:t>
            </w:r>
          </w:p>
        </w:tc>
        <w:tc>
          <w:tcPr>
            <w:tcW w:w="288" w:type="pct"/>
            <w:noWrap w:val="0"/>
            <w:vAlign w:val="center"/>
          </w:tcPr>
          <w:p w14:paraId="5FDFC717">
            <w:pPr>
              <w:rPr>
                <w:szCs w:val="21"/>
              </w:rPr>
            </w:pPr>
            <w:r>
              <w:rPr>
                <w:rFonts w:hint="eastAsia"/>
                <w:szCs w:val="21"/>
              </w:rPr>
              <w:t>1</w:t>
            </w:r>
          </w:p>
        </w:tc>
        <w:tc>
          <w:tcPr>
            <w:tcW w:w="720" w:type="pct"/>
            <w:noWrap w:val="0"/>
            <w:vAlign w:val="center"/>
          </w:tcPr>
          <w:p w14:paraId="0EE4CADF">
            <w:pPr>
              <w:jc w:val="center"/>
              <w:rPr>
                <w:szCs w:val="21"/>
              </w:rPr>
            </w:pPr>
          </w:p>
        </w:tc>
        <w:tc>
          <w:tcPr>
            <w:tcW w:w="577" w:type="pct"/>
            <w:noWrap w:val="0"/>
            <w:vAlign w:val="center"/>
          </w:tcPr>
          <w:p w14:paraId="08A62D2A">
            <w:pPr>
              <w:jc w:val="center"/>
              <w:rPr>
                <w:szCs w:val="21"/>
              </w:rPr>
            </w:pPr>
            <w:r>
              <w:rPr>
                <w:rFonts w:hint="eastAsia"/>
                <w:szCs w:val="21"/>
              </w:rPr>
              <w:t>否</w:t>
            </w:r>
          </w:p>
        </w:tc>
      </w:tr>
    </w:tbl>
    <w:p w14:paraId="383CE564">
      <w:pPr>
        <w:spacing w:line="360" w:lineRule="auto"/>
        <w:ind w:firstLine="480" w:firstLineChars="200"/>
        <w:outlineLvl w:val="0"/>
        <w:rPr>
          <w:rFonts w:hint="eastAsia"/>
          <w:sz w:val="24"/>
        </w:rPr>
      </w:pPr>
      <w:r>
        <w:rPr>
          <w:rFonts w:hint="eastAsia"/>
          <w:sz w:val="24"/>
        </w:rPr>
        <w:t>注：</w:t>
      </w:r>
    </w:p>
    <w:p w14:paraId="4A62F12E">
      <w:pPr>
        <w:spacing w:line="360" w:lineRule="auto"/>
        <w:ind w:firstLine="480" w:firstLineChars="200"/>
        <w:outlineLvl w:val="0"/>
        <w:rPr>
          <w:rFonts w:hint="eastAsia"/>
          <w:sz w:val="24"/>
        </w:rPr>
      </w:pPr>
      <w:r>
        <w:rPr>
          <w:rFonts w:hint="eastAsia"/>
          <w:sz w:val="24"/>
        </w:rPr>
        <w:t>应逐项明确每项标的是否属于集采目录内产品</w:t>
      </w:r>
    </w:p>
    <w:p w14:paraId="42FD5948">
      <w:pPr>
        <w:spacing w:line="360" w:lineRule="auto"/>
        <w:ind w:firstLine="480" w:firstLineChars="200"/>
        <w:outlineLvl w:val="0"/>
        <w:rPr>
          <w:rFonts w:hint="eastAsia"/>
          <w:sz w:val="24"/>
        </w:rPr>
      </w:pPr>
      <w:r>
        <w:rPr>
          <w:rFonts w:hint="eastAsia"/>
          <w:sz w:val="24"/>
        </w:rPr>
        <w:t>量化指标应标示出范围值，例如长度≥30cm，而不是长度30cm</w:t>
      </w:r>
    </w:p>
    <w:p w14:paraId="7CCCBC14">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3EDD434E">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48FD1046">
      <w:pPr>
        <w:spacing w:line="360" w:lineRule="auto"/>
        <w:ind w:firstLine="482" w:firstLineChars="200"/>
        <w:rPr>
          <w:rFonts w:hint="eastAsia" w:ascii="宋体" w:hAnsi="宋体"/>
          <w:b/>
          <w:sz w:val="24"/>
        </w:rPr>
      </w:pPr>
      <w:r>
        <w:rPr>
          <w:rFonts w:hint="eastAsia" w:ascii="宋体" w:hAnsi="宋体"/>
          <w:b/>
          <w:sz w:val="24"/>
        </w:rPr>
        <w:t>五、商务要求</w:t>
      </w:r>
    </w:p>
    <w:p w14:paraId="239CE34A">
      <w:pPr>
        <w:spacing w:line="360" w:lineRule="auto"/>
        <w:ind w:firstLine="480" w:firstLineChars="200"/>
        <w:outlineLvl w:val="0"/>
        <w:rPr>
          <w:rFonts w:hint="eastAsia"/>
          <w:sz w:val="24"/>
        </w:rPr>
      </w:pPr>
      <w:r>
        <w:rPr>
          <w:rFonts w:hint="eastAsia"/>
          <w:sz w:val="24"/>
        </w:rPr>
        <w:t>1. 提供所投产品三年的免费上门保修。</w:t>
      </w:r>
    </w:p>
    <w:p w14:paraId="26153E7E">
      <w:pPr>
        <w:spacing w:line="360" w:lineRule="auto"/>
        <w:ind w:firstLine="480" w:firstLineChars="200"/>
        <w:outlineLvl w:val="0"/>
        <w:rPr>
          <w:rFonts w:hint="eastAsia"/>
          <w:sz w:val="24"/>
        </w:rPr>
      </w:pPr>
      <w:r>
        <w:rPr>
          <w:rFonts w:hint="eastAsia"/>
          <w:sz w:val="24"/>
        </w:rPr>
        <w:t>2. 货到：签订合同之日起</w:t>
      </w:r>
      <w:r>
        <w:rPr>
          <w:color w:val="FF0000"/>
          <w:sz w:val="24"/>
        </w:rPr>
        <w:t>30</w:t>
      </w:r>
      <w:r>
        <w:rPr>
          <w:rFonts w:hint="eastAsia"/>
          <w:color w:val="FF0000"/>
          <w:sz w:val="24"/>
        </w:rPr>
        <w:t>日</w:t>
      </w:r>
      <w:r>
        <w:rPr>
          <w:rFonts w:hint="eastAsia"/>
          <w:sz w:val="24"/>
        </w:rPr>
        <w:t>内（特殊情况以合同为准）。</w:t>
      </w:r>
    </w:p>
    <w:p w14:paraId="1087ECE4">
      <w:pPr>
        <w:spacing w:line="360" w:lineRule="auto"/>
        <w:ind w:firstLine="480" w:firstLineChars="200"/>
        <w:outlineLvl w:val="0"/>
        <w:rPr>
          <w:rFonts w:hint="eastAsia"/>
          <w:sz w:val="24"/>
        </w:rPr>
      </w:pPr>
      <w:r>
        <w:rPr>
          <w:rFonts w:hint="eastAsia"/>
          <w:sz w:val="24"/>
        </w:rPr>
        <w:t>安装（施工）完成：货到之日起</w:t>
      </w:r>
      <w:r>
        <w:rPr>
          <w:color w:val="FF0000"/>
          <w:sz w:val="24"/>
        </w:rPr>
        <w:t>60</w:t>
      </w:r>
      <w:r>
        <w:rPr>
          <w:rFonts w:hint="eastAsia"/>
          <w:color w:val="FF0000"/>
          <w:sz w:val="24"/>
        </w:rPr>
        <w:t>日</w:t>
      </w:r>
      <w:r>
        <w:rPr>
          <w:rFonts w:hint="eastAsia"/>
          <w:sz w:val="24"/>
        </w:rPr>
        <w:t>内（特殊情况以合同为准）。</w:t>
      </w:r>
    </w:p>
    <w:p w14:paraId="2368ECCD">
      <w:pPr>
        <w:spacing w:line="360" w:lineRule="auto"/>
        <w:ind w:firstLine="480" w:firstLineChars="200"/>
        <w:rPr>
          <w:sz w:val="24"/>
        </w:rPr>
      </w:pPr>
      <w:r>
        <w:rPr>
          <w:rFonts w:hint="eastAsia"/>
          <w:sz w:val="24"/>
        </w:rPr>
        <w:t>3.付款方式：合同签订后15个工作日内支付合同总额</w:t>
      </w:r>
      <w:r>
        <w:rPr>
          <w:sz w:val="24"/>
        </w:rPr>
        <w:t>5</w:t>
      </w:r>
      <w:r>
        <w:rPr>
          <w:rFonts w:hint="eastAsia"/>
          <w:sz w:val="24"/>
        </w:rPr>
        <w:t>0%的货款；系统上线经甲方验收合格后15个工作日内支付合同总额</w:t>
      </w:r>
      <w:r>
        <w:rPr>
          <w:sz w:val="24"/>
        </w:rPr>
        <w:t>45</w:t>
      </w:r>
      <w:r>
        <w:rPr>
          <w:rFonts w:hint="eastAsia"/>
          <w:sz w:val="24"/>
        </w:rPr>
        <w:t>%的货款；自验收合格之日起个1年后1</w:t>
      </w:r>
      <w:r>
        <w:rPr>
          <w:sz w:val="24"/>
        </w:rPr>
        <w:t>5</w:t>
      </w:r>
      <w:r>
        <w:rPr>
          <w:rFonts w:hint="eastAsia"/>
          <w:sz w:val="24"/>
        </w:rPr>
        <w:t>个工作日内支付其余</w:t>
      </w:r>
      <w:r>
        <w:rPr>
          <w:sz w:val="24"/>
        </w:rPr>
        <w:t>5</w:t>
      </w:r>
      <w:r>
        <w:rPr>
          <w:rFonts w:hint="eastAsia"/>
          <w:sz w:val="24"/>
        </w:rPr>
        <w:t>%的货款。</w:t>
      </w:r>
    </w:p>
    <w:p w14:paraId="620D2E92">
      <w:pPr>
        <w:spacing w:line="360" w:lineRule="auto"/>
        <w:ind w:firstLine="480" w:firstLineChars="200"/>
        <w:outlineLvl w:val="0"/>
        <w:rPr>
          <w:rFonts w:hint="eastAsia"/>
          <w:sz w:val="24"/>
        </w:rPr>
      </w:pPr>
    </w:p>
    <w:p w14:paraId="4EFEF382">
      <w:pPr>
        <w:autoSpaceDE w:val="0"/>
        <w:autoSpaceDN w:val="0"/>
        <w:spacing w:line="360" w:lineRule="auto"/>
        <w:ind w:firstLine="482" w:firstLineChars="200"/>
        <w:rPr>
          <w:b/>
          <w:sz w:val="24"/>
        </w:rPr>
      </w:pPr>
      <w:r>
        <w:rPr>
          <w:rFonts w:hint="eastAsia"/>
          <w:b/>
          <w:sz w:val="24"/>
        </w:rPr>
        <w:t>六、验收标准</w:t>
      </w:r>
    </w:p>
    <w:p w14:paraId="714AF058">
      <w:pPr>
        <w:spacing w:line="360" w:lineRule="auto"/>
        <w:ind w:firstLine="480" w:firstLineChars="200"/>
        <w:rPr>
          <w:sz w:val="24"/>
        </w:rPr>
      </w:pPr>
      <w:r>
        <w:rPr>
          <w:rFonts w:hint="eastAsia"/>
          <w:sz w:val="24"/>
        </w:rPr>
        <w:t>按照采购合同约定的履约情况进行确认，参与验收的投标人的意见作为验收书的参考资料一并存档。验收结束后，应当出具验收报告，列明各项标准的验收情况及项目总体评价，由验收双方共同签署。</w:t>
      </w:r>
    </w:p>
    <w:p w14:paraId="2E966325">
      <w:pPr>
        <w:autoSpaceDE w:val="0"/>
        <w:autoSpaceDN w:val="0"/>
        <w:spacing w:line="360" w:lineRule="auto"/>
        <w:ind w:firstLine="482" w:firstLineChars="200"/>
        <w:rPr>
          <w:b/>
          <w:sz w:val="24"/>
        </w:rPr>
      </w:pPr>
    </w:p>
    <w:p w14:paraId="27200239">
      <w:pPr>
        <w:spacing w:line="360" w:lineRule="auto"/>
        <w:ind w:firstLine="480" w:firstLineChars="200"/>
        <w:rPr>
          <w:color w:val="FF0000"/>
          <w:sz w:val="24"/>
        </w:rPr>
      </w:pPr>
      <w:r>
        <w:rPr>
          <w:rFonts w:hint="eastAsia"/>
          <w:color w:val="FF0000"/>
          <w:sz w:val="24"/>
        </w:rPr>
        <w:t>（采购人可根据项目情况填写）</w:t>
      </w:r>
    </w:p>
    <w:p w14:paraId="37FE1EA1">
      <w:pPr>
        <w:spacing w:line="360" w:lineRule="auto"/>
        <w:ind w:firstLine="482" w:firstLineChars="200"/>
        <w:outlineLvl w:val="0"/>
        <w:rPr>
          <w:b/>
          <w:sz w:val="24"/>
        </w:rPr>
      </w:pPr>
      <w:r>
        <w:rPr>
          <w:rFonts w:hint="eastAsia"/>
          <w:b/>
          <w:sz w:val="24"/>
        </w:rPr>
        <w:t>七、其他要求</w:t>
      </w:r>
    </w:p>
    <w:p w14:paraId="4D6C748F">
      <w:pPr>
        <w:spacing w:line="360" w:lineRule="auto"/>
        <w:rPr>
          <w:rFonts w:hint="eastAsia"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无</w:t>
      </w:r>
    </w:p>
    <w:p w14:paraId="48B0602E"/>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5005E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itle"/>
    <w:basedOn w:val="1"/>
    <w:next w:val="1"/>
    <w:qFormat/>
    <w:uiPriority w:val="10"/>
    <w:pPr>
      <w:spacing w:before="240" w:after="60"/>
      <w:jc w:val="center"/>
      <w:outlineLvl w:val="0"/>
    </w:pPr>
    <w:rPr>
      <w:rFonts w:ascii="Cambria" w:hAnsi="Cambria"/>
      <w:b/>
      <w:bCs/>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2026-07-02T06:48:34Z</dcterms:created>
  <dc:creator>Administrator</dc:creator>
  <cp:lastModifiedBy>忠</cp:lastModifiedBy>
  <dcterms:modified xsi:type="dcterms:W3CDTF">2026-07-02T06:49:25Z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eyJoZGlkIjoiMTEyYTVhOGE2ZTJmMTA0YjhiZWIyNzUzNzFiMWQ4YjgiLCJ1c2VySWQiOiI5MzE5NDAyMzgifQ==</vt:lpwstr>
  </property>
  <property fmtid="{D5CDD505-2E9C-101B-9397-08002B2CF9AE}" pid="4" name="ICV">
    <vt:lpwstr>962CFE6F2A8F4F2CB2B68136AA2EF124_12</vt:lpwstr>
  </property>
</Properties>
</file>