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95D2A">
      <w:pPr>
        <w:pStyle w:val="8"/>
      </w:pPr>
      <w:r>
        <w:rPr>
          <w:rFonts w:hint="eastAsia"/>
        </w:rPr>
        <w:t>项目需求书（货物</w:t>
      </w:r>
      <w:r>
        <w:t>-</w:t>
      </w:r>
      <w:r>
        <w:rPr>
          <w:rFonts w:hint="eastAsia"/>
        </w:rPr>
        <w:t>通用类）</w:t>
      </w:r>
    </w:p>
    <w:p w14:paraId="0CED3BB6">
      <w:pPr>
        <w:pStyle w:val="8"/>
        <w:jc w:val="left"/>
      </w:pPr>
      <w:r>
        <w:rPr>
          <w:rFonts w:hint="eastAsia"/>
        </w:rPr>
        <w:t>一、项目背景</w:t>
      </w:r>
    </w:p>
    <w:p w14:paraId="0BD9BC21">
      <w:pPr>
        <w:ind w:firstLine="480" w:firstLineChars="200"/>
        <w:rPr>
          <w:rFonts w:hint="eastAsia" w:eastAsia="宋体"/>
          <w:lang w:val="en-US" w:eastAsia="zh-CN"/>
        </w:rPr>
      </w:pPr>
      <w:r>
        <w:rPr>
          <w:rFonts w:hint="eastAsia"/>
        </w:rPr>
        <w:t>天津市第二人民医院信息化基础设施升级项目</w:t>
      </w:r>
      <w:r>
        <w:rPr>
          <w:rFonts w:hint="eastAsia"/>
          <w:lang w:eastAsia="zh-CN"/>
        </w:rPr>
        <w:t>。</w:t>
      </w:r>
    </w:p>
    <w:p w14:paraId="370CC56B">
      <w:pPr>
        <w:pStyle w:val="8"/>
        <w:jc w:val="left"/>
      </w:pPr>
      <w:r>
        <w:t>二、项目预算</w:t>
      </w:r>
    </w:p>
    <w:p w14:paraId="015968F5">
      <w:pPr>
        <w:ind w:firstLine="480" w:firstLineChars="200"/>
        <w:rPr>
          <w:rFonts w:hint="eastAsia" w:eastAsia="宋体"/>
          <w:lang w:eastAsia="zh-CN"/>
        </w:rPr>
      </w:pPr>
      <w:r>
        <w:t>第一包：</w:t>
      </w:r>
      <w:r>
        <w:rPr>
          <w:rFonts w:hint="eastAsia"/>
          <w:lang w:val="en-US" w:eastAsia="zh-CN"/>
        </w:rPr>
        <w:t>139.34</w:t>
      </w:r>
      <w:r>
        <w:rPr>
          <w:rFonts w:hint="eastAsia"/>
        </w:rPr>
        <w:t>万</w:t>
      </w:r>
      <w:r>
        <w:t>元</w:t>
      </w:r>
      <w:r>
        <w:rPr>
          <w:rFonts w:hint="eastAsia"/>
          <w:lang w:eastAsia="zh-CN"/>
        </w:rPr>
        <w:t>。</w:t>
      </w:r>
    </w:p>
    <w:p w14:paraId="5E1C23DE">
      <w:pPr>
        <w:pStyle w:val="8"/>
        <w:jc w:val="left"/>
      </w:pPr>
      <w:r>
        <w:rPr>
          <w:rFonts w:hint="eastAsia"/>
        </w:rPr>
        <w:t>三、资格要求</w:t>
      </w:r>
    </w:p>
    <w:p w14:paraId="1E8AD659">
      <w:pPr>
        <w:pStyle w:val="19"/>
        <w:numPr>
          <w:ilvl w:val="0"/>
          <w:numId w:val="1"/>
        </w:numPr>
        <w:ind w:firstLineChars="0"/>
        <w:rPr>
          <w:rFonts w:hint="eastAsia" w:ascii="宋体" w:hAnsi="宋体"/>
        </w:rPr>
      </w:pPr>
      <w:r>
        <w:rPr>
          <w:rFonts w:hint="eastAsia" w:ascii="宋体" w:hAnsi="宋体"/>
        </w:rPr>
        <w:t>营业执照副本或事业单位法人证书或民办非企业单位登记证书或社会团体法人登记证书或基金会法人登记证书复印件，并加盖企业公章。</w:t>
      </w:r>
    </w:p>
    <w:p w14:paraId="4F4DC3D6">
      <w:pPr>
        <w:pStyle w:val="19"/>
        <w:numPr>
          <w:ilvl w:val="0"/>
          <w:numId w:val="1"/>
        </w:numPr>
        <w:ind w:firstLineChars="0"/>
        <w:rPr>
          <w:rFonts w:hint="eastAsia" w:ascii="宋体" w:hAnsi="宋体"/>
        </w:rPr>
      </w:pPr>
      <w:r>
        <w:rPr>
          <w:rFonts w:hint="eastAsia" w:ascii="宋体" w:hAnsi="宋体"/>
        </w:rPr>
        <w:t>提供2025年度企业经第三方会计师事务所审计的企业财务报告复印件或提交响应文件截止日期前近3个月内银行出具的资信证明复印件，并加盖企业公章。</w:t>
      </w:r>
    </w:p>
    <w:p w14:paraId="755EC8B9">
      <w:pPr>
        <w:pStyle w:val="19"/>
        <w:numPr>
          <w:ilvl w:val="0"/>
          <w:numId w:val="1"/>
        </w:numPr>
        <w:ind w:firstLineChars="0"/>
        <w:rPr>
          <w:rFonts w:hint="eastAsia" w:ascii="宋体" w:hAnsi="宋体"/>
        </w:rPr>
      </w:pPr>
      <w:r>
        <w:rPr>
          <w:rFonts w:hint="eastAsia" w:ascii="宋体" w:hAnsi="宋体"/>
        </w:rPr>
        <w:t>提供2026年1月至今任意一个月依法纳税的有效票据凭证复印件及2026年1月至今任意一个月缴纳社会保险的凭据（专用收据或社会保险缴纳清单）复印件，并加盖企业公章。</w:t>
      </w:r>
    </w:p>
    <w:p w14:paraId="50475532">
      <w:pPr>
        <w:pStyle w:val="19"/>
        <w:numPr>
          <w:ilvl w:val="0"/>
          <w:numId w:val="1"/>
        </w:numPr>
        <w:ind w:firstLineChars="0"/>
        <w:rPr>
          <w:rFonts w:hint="eastAsia" w:ascii="宋体" w:hAnsi="宋体"/>
        </w:rPr>
      </w:pPr>
      <w:r>
        <w:rPr>
          <w:rFonts w:hint="eastAsia" w:ascii="宋体" w:hAnsi="宋体"/>
        </w:rPr>
        <w:t>提交响应文件截止日前3年在经营活动中没有重大违法记录的书面声明（提交响应文件截止日前成立不足3年的供应商可提供自成立以来无重大违法记录的书面声明），并加盖公章。</w:t>
      </w:r>
    </w:p>
    <w:p w14:paraId="5B9C3FE5">
      <w:pPr>
        <w:pStyle w:val="19"/>
        <w:numPr>
          <w:ilvl w:val="0"/>
          <w:numId w:val="1"/>
        </w:numPr>
        <w:ind w:firstLineChars="0"/>
        <w:rPr>
          <w:rFonts w:hint="eastAsia" w:ascii="宋体" w:hAnsi="宋体"/>
        </w:rPr>
      </w:pPr>
      <w:r>
        <w:rPr>
          <w:rFonts w:hint="eastAsia" w:ascii="宋体" w:hAnsi="宋体"/>
        </w:rPr>
        <w:t>供应商须由法定代表人或其授权的委托代理人参加磋商。供应商若为法定代表人参加磋商，需提供法定代表人资格证明书（须加盖投标单位公章）；供应商若为供应商代表参加磋商，须提供法定代表人授权书（须由法定代表人签字或盖章）和供应商代表身份证原件。</w:t>
      </w:r>
    </w:p>
    <w:p w14:paraId="6967E055">
      <w:pPr>
        <w:pStyle w:val="19"/>
        <w:numPr>
          <w:ilvl w:val="0"/>
          <w:numId w:val="1"/>
        </w:numPr>
        <w:ind w:firstLineChars="0"/>
        <w:rPr>
          <w:rFonts w:hint="eastAsia" w:ascii="宋体" w:hAnsi="宋体"/>
        </w:rPr>
      </w:pPr>
      <w:r>
        <w:rPr>
          <w:rFonts w:hint="eastAsia" w:ascii="宋体" w:hAnsi="宋体"/>
        </w:rPr>
        <w:t>本项目不接受联合体，不允许分包、转包。</w:t>
      </w:r>
    </w:p>
    <w:p w14:paraId="34F4FD49">
      <w:pPr>
        <w:widowControl/>
        <w:spacing w:line="240" w:lineRule="auto"/>
        <w:jc w:val="left"/>
        <w:rPr>
          <w:rFonts w:hint="eastAsia" w:ascii="宋体" w:hAnsi="宋体"/>
        </w:rPr>
      </w:pPr>
      <w:r>
        <w:rPr>
          <w:rFonts w:hint="eastAsia" w:ascii="宋体" w:hAnsi="宋体"/>
        </w:rPr>
        <w:br w:type="page"/>
      </w:r>
    </w:p>
    <w:p w14:paraId="4E1F81A2">
      <w:pPr>
        <w:pStyle w:val="8"/>
        <w:jc w:val="left"/>
      </w:pPr>
      <w:r>
        <w:rPr>
          <w:rFonts w:hint="eastAsia"/>
        </w:rPr>
        <w:t>四、采购产品清单</w:t>
      </w:r>
    </w:p>
    <w:tbl>
      <w:tblPr>
        <w:tblStyle w:val="10"/>
        <w:tblW w:w="8818" w:type="dxa"/>
        <w:tblInd w:w="0" w:type="dxa"/>
        <w:tblLayout w:type="fixed"/>
        <w:tblCellMar>
          <w:top w:w="0" w:type="dxa"/>
          <w:left w:w="108" w:type="dxa"/>
          <w:bottom w:w="0" w:type="dxa"/>
          <w:right w:w="108" w:type="dxa"/>
        </w:tblCellMar>
      </w:tblPr>
      <w:tblGrid>
        <w:gridCol w:w="1418"/>
        <w:gridCol w:w="4990"/>
        <w:gridCol w:w="1130"/>
        <w:gridCol w:w="1280"/>
      </w:tblGrid>
      <w:tr w14:paraId="672D14F8">
        <w:tblPrEx>
          <w:tblCellMar>
            <w:top w:w="0" w:type="dxa"/>
            <w:left w:w="108" w:type="dxa"/>
            <w:bottom w:w="0" w:type="dxa"/>
            <w:right w:w="108" w:type="dxa"/>
          </w:tblCellMar>
        </w:tblPrEx>
        <w:trPr>
          <w:trHeight w:val="290" w:hRule="atLeast"/>
        </w:trPr>
        <w:tc>
          <w:tcPr>
            <w:tcW w:w="1418" w:type="dxa"/>
            <w:tcBorders>
              <w:top w:val="single" w:color="auto" w:sz="4" w:space="0"/>
              <w:left w:val="single" w:color="auto" w:sz="4" w:space="0"/>
              <w:bottom w:val="single" w:color="auto" w:sz="4" w:space="0"/>
              <w:right w:val="single" w:color="auto" w:sz="4" w:space="0"/>
            </w:tcBorders>
            <w:vAlign w:val="center"/>
          </w:tcPr>
          <w:p w14:paraId="4FD17C9F">
            <w:pPr>
              <w:widowControl/>
              <w:spacing w:line="360" w:lineRule="auto"/>
              <w:ind w:left="0" w:leftChars="0" w:right="0" w:rightChars="0" w:firstLine="0" w:firstLineChars="0"/>
              <w:jc w:val="center"/>
              <w:rPr>
                <w:rFonts w:hint="eastAsia" w:ascii="宋体" w:hAnsi="宋体" w:cs="宋体"/>
                <w:b/>
                <w:bCs/>
                <w:kern w:val="0"/>
                <w:sz w:val="24"/>
                <w:szCs w:val="24"/>
              </w:rPr>
            </w:pPr>
            <w:r>
              <w:rPr>
                <w:rFonts w:ascii="宋体" w:hAnsi="宋体" w:cs="宋体"/>
                <w:b/>
                <w:bCs/>
                <w:kern w:val="0"/>
                <w:sz w:val="24"/>
                <w:szCs w:val="24"/>
              </w:rPr>
              <w:t>序号</w:t>
            </w:r>
          </w:p>
        </w:tc>
        <w:tc>
          <w:tcPr>
            <w:tcW w:w="4990" w:type="dxa"/>
            <w:tcBorders>
              <w:top w:val="single" w:color="auto" w:sz="4" w:space="0"/>
              <w:left w:val="nil"/>
              <w:bottom w:val="single" w:color="auto" w:sz="4" w:space="0"/>
              <w:right w:val="single" w:color="auto" w:sz="4" w:space="0"/>
            </w:tcBorders>
            <w:vAlign w:val="center"/>
          </w:tcPr>
          <w:p w14:paraId="32A6C8E3">
            <w:pPr>
              <w:widowControl/>
              <w:spacing w:line="360" w:lineRule="auto"/>
              <w:ind w:left="0" w:leftChars="0" w:right="0" w:rightChars="0" w:firstLine="0" w:firstLineChars="0"/>
              <w:jc w:val="center"/>
              <w:rPr>
                <w:rFonts w:hint="eastAsia" w:ascii="宋体" w:hAnsi="宋体" w:cs="宋体"/>
                <w:b/>
                <w:bCs/>
                <w:kern w:val="0"/>
                <w:sz w:val="24"/>
                <w:szCs w:val="24"/>
              </w:rPr>
            </w:pPr>
            <w:r>
              <w:rPr>
                <w:rFonts w:ascii="宋体" w:hAnsi="宋体" w:cs="宋体"/>
                <w:b/>
                <w:bCs/>
                <w:kern w:val="0"/>
                <w:sz w:val="24"/>
                <w:szCs w:val="24"/>
              </w:rPr>
              <w:t>标的名称</w:t>
            </w:r>
          </w:p>
        </w:tc>
        <w:tc>
          <w:tcPr>
            <w:tcW w:w="1130" w:type="dxa"/>
            <w:tcBorders>
              <w:top w:val="single" w:color="auto" w:sz="4" w:space="0"/>
              <w:left w:val="nil"/>
              <w:bottom w:val="single" w:color="auto" w:sz="4" w:space="0"/>
              <w:right w:val="single" w:color="auto" w:sz="4" w:space="0"/>
            </w:tcBorders>
            <w:vAlign w:val="center"/>
          </w:tcPr>
          <w:p w14:paraId="4375803C">
            <w:pPr>
              <w:widowControl/>
              <w:spacing w:line="360" w:lineRule="auto"/>
              <w:ind w:left="0" w:leftChars="0" w:right="0" w:rightChars="0" w:firstLine="0" w:firstLineChars="0"/>
              <w:jc w:val="center"/>
              <w:rPr>
                <w:rFonts w:hint="eastAsia" w:ascii="宋体" w:hAnsi="宋体" w:cs="宋体"/>
                <w:b/>
                <w:bCs/>
                <w:kern w:val="0"/>
                <w:sz w:val="24"/>
                <w:szCs w:val="24"/>
              </w:rPr>
            </w:pPr>
            <w:r>
              <w:rPr>
                <w:rFonts w:ascii="宋体" w:hAnsi="宋体" w:cs="宋体"/>
                <w:b/>
                <w:bCs/>
                <w:kern w:val="0"/>
                <w:sz w:val="24"/>
                <w:szCs w:val="24"/>
              </w:rPr>
              <w:t>单位</w:t>
            </w:r>
          </w:p>
        </w:tc>
        <w:tc>
          <w:tcPr>
            <w:tcW w:w="1280" w:type="dxa"/>
            <w:tcBorders>
              <w:top w:val="single" w:color="auto" w:sz="4" w:space="0"/>
              <w:left w:val="nil"/>
              <w:bottom w:val="single" w:color="auto" w:sz="4" w:space="0"/>
              <w:right w:val="single" w:color="auto" w:sz="4" w:space="0"/>
            </w:tcBorders>
            <w:vAlign w:val="center"/>
          </w:tcPr>
          <w:p w14:paraId="0DC55A7D">
            <w:pPr>
              <w:widowControl/>
              <w:spacing w:line="360" w:lineRule="auto"/>
              <w:ind w:left="0" w:leftChars="0" w:right="0" w:rightChars="0" w:firstLine="0" w:firstLineChars="0"/>
              <w:jc w:val="center"/>
              <w:rPr>
                <w:rFonts w:hint="eastAsia" w:ascii="宋体" w:hAnsi="宋体" w:cs="宋体"/>
                <w:b/>
                <w:bCs/>
                <w:kern w:val="0"/>
                <w:sz w:val="24"/>
                <w:szCs w:val="24"/>
              </w:rPr>
            </w:pPr>
            <w:r>
              <w:rPr>
                <w:rFonts w:ascii="宋体" w:hAnsi="宋体" w:cs="宋体"/>
                <w:b/>
                <w:bCs/>
                <w:kern w:val="0"/>
                <w:sz w:val="24"/>
                <w:szCs w:val="24"/>
              </w:rPr>
              <w:t>数量</w:t>
            </w:r>
          </w:p>
        </w:tc>
      </w:tr>
      <w:tr w14:paraId="0C108D09">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478A6AB3">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c>
          <w:tcPr>
            <w:tcW w:w="4990" w:type="dxa"/>
            <w:tcBorders>
              <w:top w:val="nil"/>
              <w:left w:val="nil"/>
              <w:bottom w:val="single" w:color="auto" w:sz="4" w:space="0"/>
              <w:right w:val="single" w:color="auto" w:sz="4" w:space="0"/>
            </w:tcBorders>
            <w:shd w:val="clear" w:color="000000" w:fill="FFFFFF"/>
            <w:vAlign w:val="center"/>
          </w:tcPr>
          <w:p w14:paraId="242C317E">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防火墙（1）</w:t>
            </w:r>
          </w:p>
        </w:tc>
        <w:tc>
          <w:tcPr>
            <w:tcW w:w="1130" w:type="dxa"/>
            <w:tcBorders>
              <w:top w:val="nil"/>
              <w:left w:val="nil"/>
              <w:bottom w:val="single" w:color="auto" w:sz="4" w:space="0"/>
              <w:right w:val="single" w:color="auto" w:sz="4" w:space="0"/>
            </w:tcBorders>
            <w:vAlign w:val="center"/>
          </w:tcPr>
          <w:p w14:paraId="4E7367CB">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3C61B95A">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658A42BA">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71FF55DA">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2</w:t>
            </w:r>
          </w:p>
        </w:tc>
        <w:tc>
          <w:tcPr>
            <w:tcW w:w="4990" w:type="dxa"/>
            <w:tcBorders>
              <w:top w:val="nil"/>
              <w:left w:val="nil"/>
              <w:bottom w:val="single" w:color="auto" w:sz="4" w:space="0"/>
              <w:right w:val="single" w:color="auto" w:sz="4" w:space="0"/>
            </w:tcBorders>
            <w:shd w:val="clear" w:color="000000" w:fill="FFFFFF"/>
            <w:vAlign w:val="center"/>
          </w:tcPr>
          <w:p w14:paraId="6B8D8640">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抗拒绝服务系统</w:t>
            </w:r>
          </w:p>
        </w:tc>
        <w:tc>
          <w:tcPr>
            <w:tcW w:w="1130" w:type="dxa"/>
            <w:tcBorders>
              <w:top w:val="nil"/>
              <w:left w:val="nil"/>
              <w:bottom w:val="single" w:color="auto" w:sz="4" w:space="0"/>
              <w:right w:val="single" w:color="auto" w:sz="4" w:space="0"/>
            </w:tcBorders>
            <w:vAlign w:val="center"/>
          </w:tcPr>
          <w:p w14:paraId="2F644168">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342E0BDF">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225EF23B">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042EB5D0">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3</w:t>
            </w:r>
          </w:p>
        </w:tc>
        <w:tc>
          <w:tcPr>
            <w:tcW w:w="4990" w:type="dxa"/>
            <w:tcBorders>
              <w:top w:val="nil"/>
              <w:left w:val="nil"/>
              <w:bottom w:val="single" w:color="auto" w:sz="4" w:space="0"/>
              <w:right w:val="single" w:color="auto" w:sz="4" w:space="0"/>
            </w:tcBorders>
            <w:shd w:val="clear" w:color="000000" w:fill="FFFFFF"/>
            <w:vAlign w:val="center"/>
          </w:tcPr>
          <w:p w14:paraId="0F0190AE">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防火墙（2）</w:t>
            </w:r>
          </w:p>
        </w:tc>
        <w:tc>
          <w:tcPr>
            <w:tcW w:w="1130" w:type="dxa"/>
            <w:tcBorders>
              <w:top w:val="nil"/>
              <w:left w:val="nil"/>
              <w:bottom w:val="single" w:color="auto" w:sz="4" w:space="0"/>
              <w:right w:val="single" w:color="auto" w:sz="4" w:space="0"/>
            </w:tcBorders>
            <w:vAlign w:val="center"/>
          </w:tcPr>
          <w:p w14:paraId="4A182BD1">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1C55CB24">
            <w:pPr>
              <w:widowControl/>
              <w:spacing w:line="360" w:lineRule="auto"/>
              <w:ind w:left="0" w:leftChars="0" w:right="0" w:rightChars="0" w:firstLine="0" w:firstLineChars="0"/>
              <w:jc w:val="center"/>
              <w:rPr>
                <w:rFonts w:hint="eastAsia" w:ascii="宋体" w:hAnsi="宋体" w:cs="宋体"/>
                <w:kern w:val="0"/>
                <w:sz w:val="24"/>
                <w:szCs w:val="24"/>
              </w:rPr>
            </w:pPr>
            <w:r>
              <w:rPr>
                <w:rFonts w:hint="eastAsia" w:ascii="宋体" w:hAnsi="宋体" w:cs="宋体"/>
                <w:kern w:val="0"/>
                <w:sz w:val="24"/>
                <w:szCs w:val="24"/>
              </w:rPr>
              <w:t>2</w:t>
            </w:r>
          </w:p>
        </w:tc>
      </w:tr>
      <w:tr w14:paraId="142ED62A">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2F7F8638">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4</w:t>
            </w:r>
          </w:p>
        </w:tc>
        <w:tc>
          <w:tcPr>
            <w:tcW w:w="4990" w:type="dxa"/>
            <w:tcBorders>
              <w:top w:val="nil"/>
              <w:left w:val="nil"/>
              <w:bottom w:val="single" w:color="auto" w:sz="4" w:space="0"/>
              <w:right w:val="single" w:color="auto" w:sz="4" w:space="0"/>
            </w:tcBorders>
            <w:shd w:val="clear" w:color="000000" w:fill="FFFFFF"/>
            <w:vAlign w:val="center"/>
          </w:tcPr>
          <w:p w14:paraId="4A4CE271">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WEB应用防护系统</w:t>
            </w:r>
          </w:p>
        </w:tc>
        <w:tc>
          <w:tcPr>
            <w:tcW w:w="1130" w:type="dxa"/>
            <w:tcBorders>
              <w:top w:val="nil"/>
              <w:left w:val="nil"/>
              <w:bottom w:val="single" w:color="auto" w:sz="4" w:space="0"/>
              <w:right w:val="single" w:color="auto" w:sz="4" w:space="0"/>
            </w:tcBorders>
            <w:vAlign w:val="center"/>
          </w:tcPr>
          <w:p w14:paraId="0297E990">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18E7EAFE">
            <w:pPr>
              <w:widowControl/>
              <w:spacing w:line="360" w:lineRule="auto"/>
              <w:ind w:left="0" w:leftChars="0" w:right="0" w:rightChars="0" w:firstLine="0" w:firstLineChars="0"/>
              <w:jc w:val="center"/>
              <w:rPr>
                <w:rFonts w:hint="eastAsia" w:ascii="宋体" w:hAnsi="宋体" w:cs="宋体"/>
                <w:kern w:val="0"/>
                <w:sz w:val="24"/>
                <w:szCs w:val="24"/>
              </w:rPr>
            </w:pPr>
            <w:r>
              <w:rPr>
                <w:rFonts w:hint="eastAsia" w:ascii="宋体" w:hAnsi="宋体" w:cs="宋体"/>
                <w:kern w:val="0"/>
                <w:sz w:val="24"/>
                <w:szCs w:val="24"/>
              </w:rPr>
              <w:t>1</w:t>
            </w:r>
          </w:p>
        </w:tc>
      </w:tr>
      <w:tr w14:paraId="70BF8A8B">
        <w:tblPrEx>
          <w:tblCellMar>
            <w:top w:w="0" w:type="dxa"/>
            <w:left w:w="108" w:type="dxa"/>
            <w:bottom w:w="0" w:type="dxa"/>
            <w:right w:w="108" w:type="dxa"/>
          </w:tblCellMar>
        </w:tblPrEx>
        <w:trPr>
          <w:trHeight w:val="37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63DAC31A">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5</w:t>
            </w:r>
          </w:p>
        </w:tc>
        <w:tc>
          <w:tcPr>
            <w:tcW w:w="4990" w:type="dxa"/>
            <w:tcBorders>
              <w:top w:val="nil"/>
              <w:left w:val="nil"/>
              <w:bottom w:val="single" w:color="auto" w:sz="4" w:space="0"/>
              <w:right w:val="single" w:color="auto" w:sz="4" w:space="0"/>
            </w:tcBorders>
            <w:shd w:val="clear" w:color="000000" w:fill="FFFFFF"/>
            <w:vAlign w:val="center"/>
          </w:tcPr>
          <w:p w14:paraId="5A7B9EFA">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防火墙（3）</w:t>
            </w:r>
          </w:p>
        </w:tc>
        <w:tc>
          <w:tcPr>
            <w:tcW w:w="1130" w:type="dxa"/>
            <w:tcBorders>
              <w:top w:val="nil"/>
              <w:left w:val="nil"/>
              <w:bottom w:val="single" w:color="auto" w:sz="4" w:space="0"/>
              <w:right w:val="single" w:color="auto" w:sz="4" w:space="0"/>
            </w:tcBorders>
            <w:vAlign w:val="center"/>
          </w:tcPr>
          <w:p w14:paraId="538EB130">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24306C82">
            <w:pPr>
              <w:widowControl/>
              <w:spacing w:line="360" w:lineRule="auto"/>
              <w:ind w:left="0" w:leftChars="0" w:right="0" w:rightChars="0" w:firstLine="0" w:firstLineChars="0"/>
              <w:jc w:val="center"/>
              <w:rPr>
                <w:rFonts w:hint="eastAsia" w:ascii="宋体" w:hAnsi="宋体" w:cs="宋体"/>
                <w:kern w:val="0"/>
                <w:sz w:val="24"/>
                <w:szCs w:val="24"/>
              </w:rPr>
            </w:pPr>
            <w:r>
              <w:rPr>
                <w:rFonts w:hint="eastAsia" w:ascii="宋体" w:hAnsi="宋体" w:cs="宋体"/>
                <w:kern w:val="0"/>
                <w:sz w:val="24"/>
                <w:szCs w:val="24"/>
              </w:rPr>
              <w:t>2</w:t>
            </w:r>
          </w:p>
        </w:tc>
      </w:tr>
      <w:tr w14:paraId="2E9DBB21">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7F32F618">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6</w:t>
            </w:r>
          </w:p>
        </w:tc>
        <w:tc>
          <w:tcPr>
            <w:tcW w:w="4990" w:type="dxa"/>
            <w:tcBorders>
              <w:top w:val="nil"/>
              <w:left w:val="nil"/>
              <w:bottom w:val="single" w:color="auto" w:sz="4" w:space="0"/>
              <w:right w:val="single" w:color="auto" w:sz="4" w:space="0"/>
            </w:tcBorders>
            <w:shd w:val="clear" w:color="000000" w:fill="FFFFFF"/>
            <w:vAlign w:val="center"/>
          </w:tcPr>
          <w:p w14:paraId="611803CF">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上网行为管理</w:t>
            </w:r>
          </w:p>
        </w:tc>
        <w:tc>
          <w:tcPr>
            <w:tcW w:w="1130" w:type="dxa"/>
            <w:tcBorders>
              <w:top w:val="nil"/>
              <w:left w:val="nil"/>
              <w:bottom w:val="single" w:color="auto" w:sz="4" w:space="0"/>
              <w:right w:val="single" w:color="auto" w:sz="4" w:space="0"/>
            </w:tcBorders>
            <w:vAlign w:val="center"/>
          </w:tcPr>
          <w:p w14:paraId="7156F73C">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3057AD3D">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4B0D30B3">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74209CC7">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7</w:t>
            </w:r>
          </w:p>
        </w:tc>
        <w:tc>
          <w:tcPr>
            <w:tcW w:w="4990" w:type="dxa"/>
            <w:tcBorders>
              <w:top w:val="nil"/>
              <w:left w:val="nil"/>
              <w:bottom w:val="single" w:color="auto" w:sz="4" w:space="0"/>
              <w:right w:val="single" w:color="auto" w:sz="4" w:space="0"/>
            </w:tcBorders>
            <w:shd w:val="clear" w:color="000000" w:fill="FFFFFF"/>
            <w:vAlign w:val="center"/>
          </w:tcPr>
          <w:p w14:paraId="222B7C8D">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▲网络准入系统</w:t>
            </w:r>
          </w:p>
        </w:tc>
        <w:tc>
          <w:tcPr>
            <w:tcW w:w="1130" w:type="dxa"/>
            <w:tcBorders>
              <w:top w:val="nil"/>
              <w:left w:val="nil"/>
              <w:bottom w:val="single" w:color="auto" w:sz="4" w:space="0"/>
              <w:right w:val="single" w:color="auto" w:sz="4" w:space="0"/>
            </w:tcBorders>
            <w:vAlign w:val="center"/>
          </w:tcPr>
          <w:p w14:paraId="7955E33E">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套</w:t>
            </w:r>
          </w:p>
        </w:tc>
        <w:tc>
          <w:tcPr>
            <w:tcW w:w="1280" w:type="dxa"/>
            <w:tcBorders>
              <w:top w:val="nil"/>
              <w:left w:val="nil"/>
              <w:bottom w:val="single" w:color="auto" w:sz="4" w:space="0"/>
              <w:right w:val="single" w:color="auto" w:sz="4" w:space="0"/>
            </w:tcBorders>
            <w:shd w:val="clear" w:color="000000" w:fill="FFFFFF"/>
            <w:noWrap/>
            <w:vAlign w:val="center"/>
          </w:tcPr>
          <w:p w14:paraId="6EFBC04D">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5188A7D8">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54121E10">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8</w:t>
            </w:r>
          </w:p>
        </w:tc>
        <w:tc>
          <w:tcPr>
            <w:tcW w:w="4990" w:type="dxa"/>
            <w:tcBorders>
              <w:top w:val="nil"/>
              <w:left w:val="nil"/>
              <w:bottom w:val="single" w:color="auto" w:sz="4" w:space="0"/>
              <w:right w:val="single" w:color="auto" w:sz="4" w:space="0"/>
            </w:tcBorders>
            <w:shd w:val="clear" w:color="000000" w:fill="FFFFFF"/>
            <w:vAlign w:val="center"/>
          </w:tcPr>
          <w:p w14:paraId="56184040">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零信任平台</w:t>
            </w:r>
          </w:p>
        </w:tc>
        <w:tc>
          <w:tcPr>
            <w:tcW w:w="1130" w:type="dxa"/>
            <w:tcBorders>
              <w:top w:val="nil"/>
              <w:left w:val="nil"/>
              <w:bottom w:val="single" w:color="auto" w:sz="4" w:space="0"/>
              <w:right w:val="single" w:color="auto" w:sz="4" w:space="0"/>
            </w:tcBorders>
            <w:vAlign w:val="center"/>
          </w:tcPr>
          <w:p w14:paraId="7B65BB6D">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08D43F2F">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0F537CFB">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029BE509">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9</w:t>
            </w:r>
          </w:p>
        </w:tc>
        <w:tc>
          <w:tcPr>
            <w:tcW w:w="4990" w:type="dxa"/>
            <w:tcBorders>
              <w:top w:val="nil"/>
              <w:left w:val="nil"/>
              <w:bottom w:val="single" w:color="auto" w:sz="4" w:space="0"/>
              <w:right w:val="single" w:color="auto" w:sz="4" w:space="0"/>
            </w:tcBorders>
            <w:shd w:val="clear" w:color="000000" w:fill="FFFFFF"/>
            <w:vAlign w:val="center"/>
          </w:tcPr>
          <w:p w14:paraId="31AE3C66">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日志审计</w:t>
            </w:r>
          </w:p>
        </w:tc>
        <w:tc>
          <w:tcPr>
            <w:tcW w:w="1130" w:type="dxa"/>
            <w:tcBorders>
              <w:top w:val="nil"/>
              <w:left w:val="nil"/>
              <w:bottom w:val="single" w:color="auto" w:sz="4" w:space="0"/>
              <w:right w:val="single" w:color="auto" w:sz="4" w:space="0"/>
            </w:tcBorders>
            <w:vAlign w:val="center"/>
          </w:tcPr>
          <w:p w14:paraId="044FDC65">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06C6AFD0">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2C7A089B">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10EE686D">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10</w:t>
            </w:r>
          </w:p>
        </w:tc>
        <w:tc>
          <w:tcPr>
            <w:tcW w:w="4990" w:type="dxa"/>
            <w:tcBorders>
              <w:top w:val="nil"/>
              <w:left w:val="nil"/>
              <w:bottom w:val="single" w:color="auto" w:sz="4" w:space="0"/>
              <w:right w:val="single" w:color="auto" w:sz="4" w:space="0"/>
            </w:tcBorders>
            <w:shd w:val="clear" w:color="000000" w:fill="FFFFFF"/>
            <w:vAlign w:val="center"/>
          </w:tcPr>
          <w:p w14:paraId="2528DCC4">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数据库审计</w:t>
            </w:r>
          </w:p>
        </w:tc>
        <w:tc>
          <w:tcPr>
            <w:tcW w:w="1130" w:type="dxa"/>
            <w:tcBorders>
              <w:top w:val="nil"/>
              <w:left w:val="nil"/>
              <w:bottom w:val="single" w:color="auto" w:sz="4" w:space="0"/>
              <w:right w:val="single" w:color="auto" w:sz="4" w:space="0"/>
            </w:tcBorders>
            <w:vAlign w:val="center"/>
          </w:tcPr>
          <w:p w14:paraId="2BAA0367">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345142BC">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125551D7">
        <w:tblPrEx>
          <w:tblCellMar>
            <w:top w:w="0" w:type="dxa"/>
            <w:left w:w="108" w:type="dxa"/>
            <w:bottom w:w="0" w:type="dxa"/>
            <w:right w:w="108" w:type="dxa"/>
          </w:tblCellMar>
        </w:tblPrEx>
        <w:trPr>
          <w:trHeight w:val="29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60A8E1C5">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11</w:t>
            </w:r>
          </w:p>
        </w:tc>
        <w:tc>
          <w:tcPr>
            <w:tcW w:w="4990" w:type="dxa"/>
            <w:tcBorders>
              <w:top w:val="nil"/>
              <w:left w:val="nil"/>
              <w:bottom w:val="single" w:color="auto" w:sz="4" w:space="0"/>
              <w:right w:val="single" w:color="auto" w:sz="4" w:space="0"/>
            </w:tcBorders>
            <w:shd w:val="clear" w:color="000000" w:fill="FFFFFF"/>
            <w:vAlign w:val="center"/>
          </w:tcPr>
          <w:p w14:paraId="49EA3D00">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▲交换机</w:t>
            </w:r>
          </w:p>
        </w:tc>
        <w:tc>
          <w:tcPr>
            <w:tcW w:w="1130" w:type="dxa"/>
            <w:tcBorders>
              <w:top w:val="nil"/>
              <w:left w:val="nil"/>
              <w:bottom w:val="single" w:color="auto" w:sz="4" w:space="0"/>
              <w:right w:val="single" w:color="auto" w:sz="4" w:space="0"/>
            </w:tcBorders>
            <w:vAlign w:val="center"/>
          </w:tcPr>
          <w:p w14:paraId="3A32FB32">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台</w:t>
            </w:r>
          </w:p>
        </w:tc>
        <w:tc>
          <w:tcPr>
            <w:tcW w:w="1280" w:type="dxa"/>
            <w:tcBorders>
              <w:top w:val="nil"/>
              <w:left w:val="nil"/>
              <w:bottom w:val="single" w:color="auto" w:sz="4" w:space="0"/>
              <w:right w:val="single" w:color="auto" w:sz="4" w:space="0"/>
            </w:tcBorders>
            <w:shd w:val="clear" w:color="000000" w:fill="FFFFFF"/>
            <w:noWrap/>
            <w:vAlign w:val="center"/>
          </w:tcPr>
          <w:p w14:paraId="50DB90F8">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2</w:t>
            </w:r>
          </w:p>
        </w:tc>
      </w:tr>
      <w:tr w14:paraId="3E8A25A6">
        <w:tblPrEx>
          <w:tblCellMar>
            <w:top w:w="0" w:type="dxa"/>
            <w:left w:w="108" w:type="dxa"/>
            <w:bottom w:w="0" w:type="dxa"/>
            <w:right w:w="108" w:type="dxa"/>
          </w:tblCellMar>
        </w:tblPrEx>
        <w:trPr>
          <w:trHeight w:val="157"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6E314D1D">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12</w:t>
            </w:r>
          </w:p>
        </w:tc>
        <w:tc>
          <w:tcPr>
            <w:tcW w:w="4990" w:type="dxa"/>
            <w:tcBorders>
              <w:top w:val="nil"/>
              <w:left w:val="nil"/>
              <w:bottom w:val="single" w:color="auto" w:sz="4" w:space="0"/>
              <w:right w:val="single" w:color="auto" w:sz="4" w:space="0"/>
            </w:tcBorders>
            <w:noWrap/>
            <w:vAlign w:val="center"/>
          </w:tcPr>
          <w:p w14:paraId="74685196">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终端勒索防护系统</w:t>
            </w:r>
          </w:p>
        </w:tc>
        <w:tc>
          <w:tcPr>
            <w:tcW w:w="1130" w:type="dxa"/>
            <w:tcBorders>
              <w:top w:val="nil"/>
              <w:left w:val="nil"/>
              <w:bottom w:val="single" w:color="auto" w:sz="4" w:space="0"/>
              <w:right w:val="single" w:color="auto" w:sz="4" w:space="0"/>
            </w:tcBorders>
            <w:noWrap/>
            <w:vAlign w:val="center"/>
          </w:tcPr>
          <w:p w14:paraId="610ED1AA">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套</w:t>
            </w:r>
          </w:p>
        </w:tc>
        <w:tc>
          <w:tcPr>
            <w:tcW w:w="1280" w:type="dxa"/>
            <w:tcBorders>
              <w:top w:val="nil"/>
              <w:left w:val="nil"/>
              <w:bottom w:val="single" w:color="auto" w:sz="4" w:space="0"/>
              <w:right w:val="single" w:color="auto" w:sz="4" w:space="0"/>
            </w:tcBorders>
            <w:noWrap/>
            <w:vAlign w:val="center"/>
          </w:tcPr>
          <w:p w14:paraId="108E4F70">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r w14:paraId="0BBD45C6">
        <w:tblPrEx>
          <w:tblCellMar>
            <w:top w:w="0" w:type="dxa"/>
            <w:left w:w="108" w:type="dxa"/>
            <w:bottom w:w="0" w:type="dxa"/>
            <w:right w:w="108" w:type="dxa"/>
          </w:tblCellMar>
        </w:tblPrEx>
        <w:trPr>
          <w:trHeight w:val="280" w:hRule="atLeast"/>
        </w:trPr>
        <w:tc>
          <w:tcPr>
            <w:tcW w:w="1418" w:type="dxa"/>
            <w:tcBorders>
              <w:top w:val="nil"/>
              <w:left w:val="single" w:color="auto" w:sz="4" w:space="0"/>
              <w:bottom w:val="single" w:color="auto" w:sz="4" w:space="0"/>
              <w:right w:val="single" w:color="auto" w:sz="4" w:space="0"/>
            </w:tcBorders>
            <w:shd w:val="clear" w:color="000000" w:fill="FFFFFF"/>
            <w:noWrap/>
            <w:vAlign w:val="center"/>
          </w:tcPr>
          <w:p w14:paraId="54D3205A">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13</w:t>
            </w:r>
          </w:p>
        </w:tc>
        <w:tc>
          <w:tcPr>
            <w:tcW w:w="4990" w:type="dxa"/>
            <w:tcBorders>
              <w:top w:val="nil"/>
              <w:left w:val="nil"/>
              <w:bottom w:val="single" w:color="auto" w:sz="4" w:space="0"/>
              <w:right w:val="single" w:color="auto" w:sz="4" w:space="0"/>
            </w:tcBorders>
            <w:shd w:val="clear" w:color="000000" w:fill="FFFFFF"/>
            <w:vAlign w:val="center"/>
          </w:tcPr>
          <w:p w14:paraId="428D0EBD">
            <w:pPr>
              <w:widowControl/>
              <w:spacing w:line="360" w:lineRule="auto"/>
              <w:ind w:left="0" w:leftChars="0" w:right="0" w:rightChars="0" w:firstLine="0" w:firstLineChars="0"/>
              <w:jc w:val="left"/>
              <w:rPr>
                <w:rFonts w:hint="eastAsia" w:ascii="宋体" w:hAnsi="宋体" w:cs="宋体"/>
                <w:kern w:val="0"/>
                <w:sz w:val="24"/>
                <w:szCs w:val="24"/>
              </w:rPr>
            </w:pPr>
            <w:r>
              <w:rPr>
                <w:rFonts w:ascii="宋体" w:hAnsi="宋体" w:cs="宋体"/>
                <w:kern w:val="0"/>
                <w:sz w:val="24"/>
                <w:szCs w:val="24"/>
              </w:rPr>
              <w:t>超融合一体机硬盘</w:t>
            </w:r>
          </w:p>
        </w:tc>
        <w:tc>
          <w:tcPr>
            <w:tcW w:w="1130" w:type="dxa"/>
            <w:tcBorders>
              <w:top w:val="nil"/>
              <w:left w:val="nil"/>
              <w:bottom w:val="single" w:color="auto" w:sz="4" w:space="0"/>
              <w:right w:val="single" w:color="auto" w:sz="4" w:space="0"/>
            </w:tcBorders>
            <w:vAlign w:val="center"/>
          </w:tcPr>
          <w:p w14:paraId="387B2DAB">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套</w:t>
            </w:r>
          </w:p>
        </w:tc>
        <w:tc>
          <w:tcPr>
            <w:tcW w:w="1280" w:type="dxa"/>
            <w:tcBorders>
              <w:top w:val="nil"/>
              <w:left w:val="nil"/>
              <w:bottom w:val="single" w:color="auto" w:sz="4" w:space="0"/>
              <w:right w:val="single" w:color="auto" w:sz="4" w:space="0"/>
            </w:tcBorders>
            <w:shd w:val="clear" w:color="000000" w:fill="FFFFFF"/>
            <w:noWrap/>
            <w:vAlign w:val="center"/>
          </w:tcPr>
          <w:p w14:paraId="6893DE1F">
            <w:pPr>
              <w:widowControl/>
              <w:spacing w:line="360" w:lineRule="auto"/>
              <w:ind w:left="0" w:leftChars="0" w:right="0" w:rightChars="0" w:firstLine="0" w:firstLineChars="0"/>
              <w:jc w:val="center"/>
              <w:rPr>
                <w:rFonts w:hint="eastAsia" w:ascii="宋体" w:hAnsi="宋体" w:cs="宋体"/>
                <w:kern w:val="0"/>
                <w:sz w:val="24"/>
                <w:szCs w:val="24"/>
              </w:rPr>
            </w:pPr>
            <w:r>
              <w:rPr>
                <w:rFonts w:ascii="宋体" w:hAnsi="宋体" w:cs="宋体"/>
                <w:kern w:val="0"/>
                <w:sz w:val="24"/>
                <w:szCs w:val="24"/>
              </w:rPr>
              <w:t>1</w:t>
            </w:r>
          </w:p>
        </w:tc>
      </w:tr>
    </w:tbl>
    <w:p w14:paraId="3E1D1E4E">
      <w:pPr>
        <w:pStyle w:val="8"/>
        <w:jc w:val="left"/>
      </w:pPr>
      <w:r>
        <w:rPr>
          <w:rFonts w:hint="eastAsia"/>
        </w:rPr>
        <w:t>五、技术要求</w:t>
      </w:r>
    </w:p>
    <w:p w14:paraId="3C1D8FCC">
      <w:pPr>
        <w:ind w:firstLine="480" w:firstLineChars="200"/>
        <w:rPr>
          <w:rFonts w:hint="eastAsia" w:ascii="宋体" w:hAnsi="宋体"/>
        </w:rPr>
      </w:pPr>
      <w:r>
        <w:rPr>
          <w:rFonts w:hint="eastAsia" w:ascii="宋体" w:hAnsi="宋体"/>
        </w:rPr>
        <w:t>第一包</w:t>
      </w:r>
    </w:p>
    <w:tbl>
      <w:tblPr>
        <w:tblStyle w:val="10"/>
        <w:tblW w:w="6362" w:type="pct"/>
        <w:tblInd w:w="-942" w:type="dxa"/>
        <w:tblLayout w:type="fixed"/>
        <w:tblCellMar>
          <w:top w:w="0" w:type="dxa"/>
          <w:left w:w="108" w:type="dxa"/>
          <w:bottom w:w="0" w:type="dxa"/>
          <w:right w:w="108" w:type="dxa"/>
        </w:tblCellMar>
      </w:tblPr>
      <w:tblGrid>
        <w:gridCol w:w="730"/>
        <w:gridCol w:w="1100"/>
        <w:gridCol w:w="5006"/>
        <w:gridCol w:w="466"/>
        <w:gridCol w:w="528"/>
        <w:gridCol w:w="1650"/>
        <w:gridCol w:w="1089"/>
      </w:tblGrid>
      <w:tr w14:paraId="43C4411A">
        <w:tblPrEx>
          <w:tblCellMar>
            <w:top w:w="0" w:type="dxa"/>
            <w:left w:w="108" w:type="dxa"/>
            <w:bottom w:w="0" w:type="dxa"/>
            <w:right w:w="108" w:type="dxa"/>
          </w:tblCellMar>
        </w:tblPrEx>
        <w:trPr>
          <w:trHeight w:val="2240" w:hRule="atLeast"/>
        </w:trPr>
        <w:tc>
          <w:tcPr>
            <w:tcW w:w="730" w:type="dxa"/>
            <w:tcBorders>
              <w:top w:val="single" w:color="auto" w:sz="4" w:space="0"/>
              <w:left w:val="single" w:color="auto" w:sz="4" w:space="0"/>
              <w:bottom w:val="single" w:color="auto" w:sz="4" w:space="0"/>
              <w:right w:val="single" w:color="auto" w:sz="4" w:space="0"/>
            </w:tcBorders>
            <w:vAlign w:val="center"/>
          </w:tcPr>
          <w:p w14:paraId="51CCA61B">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序号</w:t>
            </w:r>
          </w:p>
        </w:tc>
        <w:tc>
          <w:tcPr>
            <w:tcW w:w="1100" w:type="dxa"/>
            <w:tcBorders>
              <w:top w:val="single" w:color="auto" w:sz="4" w:space="0"/>
              <w:left w:val="nil"/>
              <w:bottom w:val="single" w:color="auto" w:sz="4" w:space="0"/>
              <w:right w:val="single" w:color="auto" w:sz="4" w:space="0"/>
            </w:tcBorders>
            <w:vAlign w:val="center"/>
          </w:tcPr>
          <w:p w14:paraId="330D2ACF">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标的名称</w:t>
            </w:r>
          </w:p>
        </w:tc>
        <w:tc>
          <w:tcPr>
            <w:tcW w:w="5006" w:type="dxa"/>
            <w:tcBorders>
              <w:top w:val="single" w:color="auto" w:sz="4" w:space="0"/>
              <w:left w:val="nil"/>
              <w:bottom w:val="single" w:color="auto" w:sz="4" w:space="0"/>
              <w:right w:val="single" w:color="auto" w:sz="4" w:space="0"/>
            </w:tcBorders>
            <w:vAlign w:val="center"/>
          </w:tcPr>
          <w:p w14:paraId="1B30083D">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技术要求</w:t>
            </w:r>
          </w:p>
        </w:tc>
        <w:tc>
          <w:tcPr>
            <w:tcW w:w="466" w:type="dxa"/>
            <w:tcBorders>
              <w:top w:val="single" w:color="auto" w:sz="4" w:space="0"/>
              <w:left w:val="nil"/>
              <w:bottom w:val="single" w:color="auto" w:sz="4" w:space="0"/>
              <w:right w:val="single" w:color="auto" w:sz="4" w:space="0"/>
            </w:tcBorders>
            <w:vAlign w:val="center"/>
          </w:tcPr>
          <w:p w14:paraId="1CB8D91D">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单位</w:t>
            </w:r>
          </w:p>
        </w:tc>
        <w:tc>
          <w:tcPr>
            <w:tcW w:w="528" w:type="dxa"/>
            <w:tcBorders>
              <w:top w:val="single" w:color="auto" w:sz="4" w:space="0"/>
              <w:left w:val="nil"/>
              <w:bottom w:val="single" w:color="auto" w:sz="4" w:space="0"/>
              <w:right w:val="single" w:color="auto" w:sz="4" w:space="0"/>
            </w:tcBorders>
            <w:vAlign w:val="center"/>
          </w:tcPr>
          <w:p w14:paraId="7A6DF5EA">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数量</w:t>
            </w:r>
          </w:p>
        </w:tc>
        <w:tc>
          <w:tcPr>
            <w:tcW w:w="1650" w:type="dxa"/>
            <w:tcBorders>
              <w:top w:val="single" w:color="auto" w:sz="4" w:space="0"/>
              <w:left w:val="nil"/>
              <w:bottom w:val="single" w:color="auto" w:sz="4" w:space="0"/>
              <w:right w:val="single" w:color="auto" w:sz="4" w:space="0"/>
            </w:tcBorders>
            <w:vAlign w:val="center"/>
          </w:tcPr>
          <w:p w14:paraId="677FFDAD">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是否属于现行节能产品政府采购清单强制采购范围</w:t>
            </w:r>
          </w:p>
        </w:tc>
        <w:tc>
          <w:tcPr>
            <w:tcW w:w="1089" w:type="dxa"/>
            <w:tcBorders>
              <w:top w:val="single" w:color="auto" w:sz="4" w:space="0"/>
              <w:left w:val="nil"/>
              <w:bottom w:val="single" w:color="auto" w:sz="4" w:space="0"/>
              <w:right w:val="single" w:color="auto" w:sz="4" w:space="0"/>
            </w:tcBorders>
            <w:vAlign w:val="center"/>
          </w:tcPr>
          <w:p w14:paraId="3433D6CD">
            <w:pPr>
              <w:widowControl/>
              <w:spacing w:line="360" w:lineRule="auto"/>
              <w:jc w:val="center"/>
              <w:rPr>
                <w:rFonts w:hint="eastAsia" w:ascii="宋体" w:hAnsi="宋体" w:cs="宋体"/>
                <w:b/>
                <w:bCs/>
                <w:kern w:val="0"/>
                <w:sz w:val="22"/>
                <w:szCs w:val="22"/>
                <w:highlight w:val="none"/>
              </w:rPr>
            </w:pPr>
            <w:r>
              <w:rPr>
                <w:rFonts w:ascii="宋体" w:hAnsi="宋体" w:cs="宋体"/>
                <w:b/>
                <w:bCs/>
                <w:kern w:val="0"/>
                <w:sz w:val="22"/>
                <w:szCs w:val="22"/>
                <w:highlight w:val="none"/>
              </w:rPr>
              <w:t>是否属于集采目录内产品</w:t>
            </w:r>
          </w:p>
        </w:tc>
      </w:tr>
      <w:tr w14:paraId="7A6A8DC6">
        <w:tblPrEx>
          <w:tblCellMar>
            <w:top w:w="0" w:type="dxa"/>
            <w:left w:w="108" w:type="dxa"/>
            <w:bottom w:w="0" w:type="dxa"/>
            <w:right w:w="108" w:type="dxa"/>
          </w:tblCellMar>
        </w:tblPrEx>
        <w:trPr>
          <w:trHeight w:val="308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5B0258FC">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100" w:type="dxa"/>
            <w:tcBorders>
              <w:top w:val="nil"/>
              <w:left w:val="nil"/>
              <w:bottom w:val="single" w:color="auto" w:sz="4" w:space="0"/>
              <w:right w:val="single" w:color="auto" w:sz="4" w:space="0"/>
            </w:tcBorders>
            <w:shd w:val="clear" w:color="000000" w:fill="FFFFFF"/>
            <w:vAlign w:val="center"/>
          </w:tcPr>
          <w:p w14:paraId="041CB3E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防火墙</w:t>
            </w:r>
            <w:r>
              <w:rPr>
                <w:rFonts w:hint="eastAsia" w:ascii="宋体" w:hAnsi="宋体" w:cs="宋体"/>
                <w:kern w:val="0"/>
                <w:sz w:val="22"/>
                <w:szCs w:val="22"/>
                <w:highlight w:val="none"/>
              </w:rPr>
              <w:t>（1）</w:t>
            </w:r>
          </w:p>
        </w:tc>
        <w:tc>
          <w:tcPr>
            <w:tcW w:w="5006" w:type="dxa"/>
            <w:tcBorders>
              <w:top w:val="nil"/>
              <w:left w:val="nil"/>
              <w:bottom w:val="single" w:color="auto" w:sz="4" w:space="0"/>
              <w:right w:val="single" w:color="auto" w:sz="4" w:space="0"/>
            </w:tcBorders>
            <w:vAlign w:val="center"/>
          </w:tcPr>
          <w:p w14:paraId="1DE8D556">
            <w:pPr>
              <w:widowControl/>
              <w:spacing w:line="360" w:lineRule="auto"/>
              <w:rPr>
                <w:rFonts w:hint="eastAsia" w:ascii="宋体" w:hAnsi="宋体" w:cs="宋体"/>
                <w:kern w:val="0"/>
                <w:sz w:val="22"/>
                <w:szCs w:val="22"/>
                <w:highlight w:val="none"/>
              </w:rPr>
            </w:pPr>
            <w:r>
              <w:rPr>
                <w:rFonts w:ascii="宋体" w:hAnsi="宋体" w:cs="宋体"/>
                <w:color w:val="auto"/>
                <w:kern w:val="0"/>
                <w:sz w:val="22"/>
                <w:szCs w:val="22"/>
                <w:highlight w:val="none"/>
              </w:rPr>
              <w:t>1、★整机吞吐量≥</w:t>
            </w:r>
            <w:r>
              <w:rPr>
                <w:rFonts w:hint="eastAsia" w:ascii="宋体" w:hAnsi="宋体" w:cs="宋体"/>
                <w:color w:val="auto"/>
                <w:kern w:val="0"/>
                <w:sz w:val="22"/>
                <w:szCs w:val="22"/>
                <w:highlight w:val="none"/>
                <w:lang w:val="en-US" w:eastAsia="zh-CN"/>
              </w:rPr>
              <w:t>10</w:t>
            </w:r>
            <w:r>
              <w:rPr>
                <w:rFonts w:ascii="宋体" w:hAnsi="宋体" w:cs="宋体"/>
                <w:color w:val="auto"/>
                <w:kern w:val="0"/>
                <w:sz w:val="22"/>
                <w:szCs w:val="22"/>
                <w:highlight w:val="none"/>
              </w:rPr>
              <w:t>G</w:t>
            </w:r>
            <w:r>
              <w:rPr>
                <w:rFonts w:hint="eastAsia" w:ascii="宋体" w:hAnsi="宋体" w:cs="宋体"/>
                <w:color w:val="auto"/>
                <w:kern w:val="0"/>
                <w:sz w:val="22"/>
                <w:szCs w:val="22"/>
                <w:highlight w:val="none"/>
              </w:rPr>
              <w:t>bps</w:t>
            </w:r>
            <w:r>
              <w:rPr>
                <w:rFonts w:ascii="宋体" w:hAnsi="宋体" w:cs="宋体"/>
                <w:color w:val="auto"/>
                <w:kern w:val="0"/>
                <w:sz w:val="22"/>
                <w:szCs w:val="22"/>
                <w:highlight w:val="none"/>
              </w:rPr>
              <w:t>,最大并发连接数≥</w:t>
            </w:r>
            <w:r>
              <w:rPr>
                <w:rFonts w:hint="eastAsia" w:ascii="宋体" w:hAnsi="宋体" w:cs="宋体"/>
                <w:color w:val="auto"/>
                <w:kern w:val="0"/>
                <w:sz w:val="22"/>
                <w:szCs w:val="22"/>
                <w:highlight w:val="none"/>
                <w:lang w:val="en-US" w:eastAsia="zh-CN"/>
              </w:rPr>
              <w:t>4</w:t>
            </w:r>
            <w:r>
              <w:rPr>
                <w:rFonts w:ascii="宋体" w:hAnsi="宋体" w:cs="宋体"/>
                <w:color w:val="auto"/>
                <w:kern w:val="0"/>
                <w:sz w:val="22"/>
                <w:szCs w:val="22"/>
                <w:highlight w:val="none"/>
              </w:rPr>
              <w:t>00万</w:t>
            </w:r>
            <w:r>
              <w:rPr>
                <w:rFonts w:hint="eastAsia" w:ascii="宋体" w:hAnsi="宋体" w:cs="宋体"/>
                <w:color w:val="auto"/>
                <w:kern w:val="0"/>
                <w:sz w:val="22"/>
                <w:szCs w:val="22"/>
                <w:highlight w:val="none"/>
                <w:lang w:eastAsia="zh-CN"/>
              </w:rPr>
              <w:t>。</w:t>
            </w:r>
            <w:r>
              <w:rPr>
                <w:rFonts w:ascii="宋体" w:hAnsi="宋体" w:cs="宋体"/>
                <w:color w:val="auto"/>
                <w:kern w:val="0"/>
                <w:sz w:val="22"/>
                <w:szCs w:val="22"/>
                <w:highlight w:val="none"/>
              </w:rPr>
              <w:t>包含入侵防御以及防病毒功能。冗余电源，</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w:t>
            </w:r>
            <w:r>
              <w:rPr>
                <w:rFonts w:hint="eastAsia" w:ascii="宋体" w:hAnsi="宋体" w:cs="宋体"/>
                <w:color w:val="auto"/>
                <w:kern w:val="0"/>
                <w:sz w:val="22"/>
                <w:szCs w:val="22"/>
                <w:highlight w:val="none"/>
                <w:lang w:val="en-US" w:eastAsia="zh-CN"/>
              </w:rPr>
              <w:t>千兆</w:t>
            </w:r>
            <w:r>
              <w:rPr>
                <w:rFonts w:ascii="宋体" w:hAnsi="宋体" w:cs="宋体"/>
                <w:color w:val="auto"/>
                <w:kern w:val="0"/>
                <w:sz w:val="22"/>
                <w:szCs w:val="22"/>
                <w:highlight w:val="none"/>
              </w:rPr>
              <w:t>电口。CPU与操作系统满足国产化要求。</w:t>
            </w:r>
            <w:r>
              <w:rPr>
                <w:rFonts w:ascii="宋体" w:hAnsi="宋体" w:cs="宋体"/>
                <w:kern w:val="0"/>
                <w:sz w:val="22"/>
                <w:szCs w:val="22"/>
                <w:highlight w:val="none"/>
              </w:rPr>
              <w:br w:type="textWrapping"/>
            </w:r>
            <w:r>
              <w:rPr>
                <w:rFonts w:hint="eastAsia" w:ascii="宋体" w:hAnsi="宋体" w:cs="宋体"/>
                <w:kern w:val="0"/>
                <w:sz w:val="22"/>
                <w:szCs w:val="22"/>
                <w:highlight w:val="none"/>
                <w:lang w:val="en-US" w:eastAsia="zh-CN"/>
              </w:rPr>
              <w:t>2</w:t>
            </w:r>
            <w:r>
              <w:rPr>
                <w:rFonts w:hint="eastAsia" w:ascii="宋体" w:hAnsi="宋体" w:cs="宋体"/>
                <w:kern w:val="0"/>
                <w:sz w:val="22"/>
                <w:szCs w:val="22"/>
                <w:highlight w:val="none"/>
              </w:rPr>
              <w:t>、支持路由、透明、旁路镜像等模式，可根据用户网络环境灵活接入，无需大幅调整现有网络架构。</w:t>
            </w:r>
          </w:p>
          <w:p w14:paraId="21FDB178">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3</w:t>
            </w:r>
            <w:r>
              <w:rPr>
                <w:rFonts w:hint="eastAsia" w:ascii="宋体" w:hAnsi="宋体" w:cs="宋体"/>
                <w:kern w:val="0"/>
                <w:sz w:val="22"/>
                <w:szCs w:val="22"/>
                <w:highlight w:val="none"/>
              </w:rPr>
              <w:t>、支持链路健康检测功能，可基于多种探测方式（如ICMP、TCP、DNS、ARP等）对链路状态进行检测。</w:t>
            </w:r>
          </w:p>
          <w:p w14:paraId="3C0A1A56">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4</w:t>
            </w:r>
            <w:r>
              <w:rPr>
                <w:rFonts w:hint="eastAsia" w:ascii="宋体" w:hAnsi="宋体" w:cs="宋体"/>
                <w:kern w:val="0"/>
                <w:sz w:val="22"/>
                <w:szCs w:val="22"/>
                <w:highlight w:val="none"/>
              </w:rPr>
              <w:t>、支持静态路由、策略路由及多播路由，支持OSPF、BGP、RIP等主流动态路由协议，满足复杂组网的路由需求。</w:t>
            </w:r>
          </w:p>
          <w:p w14:paraId="4313D3FB">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、支持流量控制、网络地址转换、IPsec VPN和SSL VPN功能。</w:t>
            </w:r>
          </w:p>
          <w:p w14:paraId="18E0CEA0">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、内置URL分类库并支持定期更新，可按分类、自定义URL等方式对网站访问行为进行管控。</w:t>
            </w:r>
          </w:p>
          <w:p w14:paraId="69486CB5">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7</w:t>
            </w:r>
            <w:r>
              <w:rPr>
                <w:rFonts w:hint="eastAsia" w:ascii="宋体" w:hAnsi="宋体" w:cs="宋体"/>
                <w:kern w:val="0"/>
                <w:sz w:val="22"/>
                <w:szCs w:val="22"/>
                <w:highlight w:val="none"/>
              </w:rPr>
              <w:t>、支持入侵防御功能，可对常见应用层协议及主流数据库、远程管理类协议的攻击行为进行深度检测与阻断。</w:t>
            </w:r>
          </w:p>
          <w:p w14:paraId="00712897">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8</w:t>
            </w:r>
            <w:r>
              <w:rPr>
                <w:rFonts w:hint="eastAsia" w:ascii="宋体" w:hAnsi="宋体" w:cs="宋体"/>
                <w:kern w:val="0"/>
                <w:sz w:val="22"/>
                <w:szCs w:val="22"/>
                <w:highlight w:val="none"/>
              </w:rPr>
              <w:t>、支持Web（HTTP/HTTPS）、SSH等多种管理方式，并支持管理员分级分权管理。</w:t>
            </w:r>
          </w:p>
        </w:tc>
        <w:tc>
          <w:tcPr>
            <w:tcW w:w="466" w:type="dxa"/>
            <w:tcBorders>
              <w:top w:val="nil"/>
              <w:left w:val="nil"/>
              <w:bottom w:val="single" w:color="auto" w:sz="4" w:space="0"/>
              <w:right w:val="single" w:color="auto" w:sz="4" w:space="0"/>
            </w:tcBorders>
            <w:vAlign w:val="center"/>
          </w:tcPr>
          <w:p w14:paraId="605F481A">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425E010F">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2B5B80B4">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7065549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5C552132">
        <w:tblPrEx>
          <w:tblCellMar>
            <w:top w:w="0" w:type="dxa"/>
            <w:left w:w="108" w:type="dxa"/>
            <w:bottom w:w="0" w:type="dxa"/>
            <w:right w:w="108" w:type="dxa"/>
          </w:tblCellMar>
        </w:tblPrEx>
        <w:trPr>
          <w:trHeight w:val="224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64CDE73A">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2</w:t>
            </w:r>
          </w:p>
        </w:tc>
        <w:tc>
          <w:tcPr>
            <w:tcW w:w="1100" w:type="dxa"/>
            <w:tcBorders>
              <w:top w:val="nil"/>
              <w:left w:val="nil"/>
              <w:bottom w:val="single" w:color="auto" w:sz="4" w:space="0"/>
              <w:right w:val="single" w:color="auto" w:sz="4" w:space="0"/>
            </w:tcBorders>
            <w:shd w:val="clear" w:color="000000" w:fill="FFFFFF"/>
            <w:vAlign w:val="center"/>
          </w:tcPr>
          <w:p w14:paraId="4A2C977A">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抗拒绝服务系统</w:t>
            </w:r>
          </w:p>
        </w:tc>
        <w:tc>
          <w:tcPr>
            <w:tcW w:w="5006" w:type="dxa"/>
            <w:tcBorders>
              <w:top w:val="nil"/>
              <w:left w:val="nil"/>
              <w:bottom w:val="single" w:color="auto" w:sz="4" w:space="0"/>
              <w:right w:val="single" w:color="auto" w:sz="4" w:space="0"/>
            </w:tcBorders>
            <w:vAlign w:val="center"/>
          </w:tcPr>
          <w:p w14:paraId="5E9C43B1">
            <w:pPr>
              <w:widowControl/>
              <w:spacing w:line="360" w:lineRule="auto"/>
              <w:rPr>
                <w:rFonts w:ascii="宋体" w:hAnsi="宋体" w:cs="宋体"/>
                <w:color w:val="FF0000"/>
                <w:kern w:val="0"/>
                <w:sz w:val="22"/>
                <w:szCs w:val="22"/>
                <w:highlight w:val="none"/>
              </w:rPr>
            </w:pPr>
            <w:r>
              <w:rPr>
                <w:rFonts w:ascii="宋体" w:hAnsi="宋体" w:cs="宋体"/>
                <w:color w:val="auto"/>
                <w:kern w:val="0"/>
                <w:sz w:val="22"/>
                <w:szCs w:val="22"/>
                <w:highlight w:val="none"/>
              </w:rPr>
              <w:t>1、★硬件参数：冗余电源</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w:t>
            </w:r>
            <w:r>
              <w:rPr>
                <w:rFonts w:hint="eastAsia" w:ascii="宋体" w:hAnsi="宋体" w:cs="宋体"/>
                <w:color w:val="auto"/>
                <w:kern w:val="0"/>
                <w:sz w:val="22"/>
                <w:szCs w:val="22"/>
                <w:highlight w:val="none"/>
                <w:lang w:val="en-US" w:eastAsia="zh-CN"/>
              </w:rPr>
              <w:t>千兆</w:t>
            </w:r>
            <w:r>
              <w:rPr>
                <w:rFonts w:ascii="宋体" w:hAnsi="宋体" w:cs="宋体"/>
                <w:color w:val="auto"/>
                <w:kern w:val="0"/>
                <w:sz w:val="22"/>
                <w:szCs w:val="22"/>
                <w:highlight w:val="none"/>
              </w:rPr>
              <w:t>电口。CPU与操作系统满足国产化要求。</w:t>
            </w:r>
            <w:r>
              <w:rPr>
                <w:rFonts w:ascii="宋体" w:hAnsi="宋体" w:cs="宋体"/>
                <w:color w:val="FF0000"/>
                <w:kern w:val="0"/>
                <w:sz w:val="22"/>
                <w:szCs w:val="22"/>
                <w:highlight w:val="none"/>
              </w:rPr>
              <w:br w:type="textWrapping"/>
            </w:r>
            <w:r>
              <w:rPr>
                <w:rFonts w:ascii="宋体" w:hAnsi="宋体" w:cs="宋体"/>
                <w:color w:val="auto"/>
                <w:kern w:val="0"/>
                <w:sz w:val="22"/>
                <w:szCs w:val="22"/>
                <w:highlight w:val="none"/>
              </w:rPr>
              <w:t xml:space="preserve">2、★性能参数：清洗能力≥ </w:t>
            </w:r>
            <w:r>
              <w:rPr>
                <w:rFonts w:hint="eastAsia" w:ascii="宋体" w:hAnsi="宋体" w:cs="宋体"/>
                <w:color w:val="auto"/>
                <w:kern w:val="0"/>
                <w:sz w:val="22"/>
                <w:szCs w:val="22"/>
                <w:highlight w:val="none"/>
                <w:lang w:val="en-US" w:eastAsia="zh-CN"/>
              </w:rPr>
              <w:t>4</w:t>
            </w:r>
            <w:r>
              <w:rPr>
                <w:rFonts w:ascii="宋体" w:hAnsi="宋体" w:cs="宋体"/>
                <w:color w:val="auto"/>
                <w:kern w:val="0"/>
                <w:sz w:val="22"/>
                <w:szCs w:val="22"/>
                <w:highlight w:val="none"/>
              </w:rPr>
              <w:t>G</w:t>
            </w:r>
            <w:r>
              <w:rPr>
                <w:rFonts w:hint="eastAsia" w:ascii="宋体" w:hAnsi="宋体" w:cs="宋体"/>
                <w:color w:val="auto"/>
                <w:kern w:val="0"/>
                <w:sz w:val="22"/>
                <w:szCs w:val="22"/>
                <w:highlight w:val="none"/>
              </w:rPr>
              <w:t>bps</w:t>
            </w:r>
            <w:r>
              <w:rPr>
                <w:rFonts w:ascii="宋体" w:hAnsi="宋体" w:cs="宋体"/>
                <w:color w:val="auto"/>
                <w:kern w:val="0"/>
                <w:sz w:val="22"/>
                <w:szCs w:val="22"/>
                <w:highlight w:val="none"/>
              </w:rPr>
              <w:t>。</w:t>
            </w:r>
          </w:p>
          <w:p w14:paraId="47F98192">
            <w:pPr>
              <w:widowControl/>
              <w:spacing w:line="360" w:lineRule="auto"/>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3、</w:t>
            </w:r>
            <w:r>
              <w:rPr>
                <w:rFonts w:hint="eastAsia" w:ascii="宋体" w:hAnsi="宋体" w:cs="宋体"/>
                <w:color w:val="000000" w:themeColor="text1"/>
                <w:kern w:val="0"/>
                <w:sz w:val="22"/>
                <w:szCs w:val="22"/>
                <w:highlight w:val="none"/>
                <w14:textFill>
                  <w14:solidFill>
                    <w14:schemeClr w14:val="tx1"/>
                  </w14:solidFill>
                </w14:textFill>
              </w:rPr>
              <w:t>支持串联与旁路等多种部署方式，可根据用户网络环境灵活选择</w:t>
            </w:r>
            <w:r>
              <w:rPr>
                <w:rFonts w:hint="eastAsia" w:ascii="宋体" w:hAnsi="宋体" w:cs="宋体"/>
                <w:color w:val="000000" w:themeColor="text1"/>
                <w:kern w:val="0"/>
                <w:sz w:val="22"/>
                <w:szCs w:val="22"/>
                <w:highlight w:val="none"/>
                <w:lang w:eastAsia="zh-CN"/>
                <w14:textFill>
                  <w14:solidFill>
                    <w14:schemeClr w14:val="tx1"/>
                  </w14:solidFill>
                </w14:textFill>
              </w:rPr>
              <w:t>。</w:t>
            </w:r>
          </w:p>
          <w:p w14:paraId="25AEB6CC">
            <w:pPr>
              <w:widowControl/>
              <w:spacing w:line="360" w:lineRule="auto"/>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4、支持对Ping of Death、IP选项异常、IP分片攻击等常见IP层攻击的识别与过滤。</w:t>
            </w:r>
          </w:p>
          <w:p w14:paraId="4AAE7EBC">
            <w:pPr>
              <w:widowControl/>
              <w:spacing w:line="360" w:lineRule="auto"/>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5、支持对SYN Flood、ACK Flood、FIN Flood、Land、WinNuke及慢速连接类等常见TCP攻击的检测与防御。</w:t>
            </w:r>
          </w:p>
          <w:p w14:paraId="73FB2027">
            <w:pPr>
              <w:widowControl/>
              <w:spacing w:line="360" w:lineRule="auto"/>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6、</w:t>
            </w:r>
            <w:r>
              <w:rPr>
                <w:rFonts w:hint="eastAsia" w:ascii="宋体" w:hAnsi="宋体" w:cs="宋体"/>
                <w:color w:val="000000" w:themeColor="text1"/>
                <w:kern w:val="0"/>
                <w:sz w:val="22"/>
                <w:szCs w:val="22"/>
                <w:highlight w:val="none"/>
                <w14:textFill>
                  <w14:solidFill>
                    <w14:schemeClr w14:val="tx1"/>
                  </w14:solidFill>
                </w14:textFill>
              </w:rPr>
              <w:t>支持对网络层、传输层及应用层常见DDoS攻击的检测与清洗，覆盖IP、TCP、UDP、ICMP、DNS、HTTP等主流协议的流量型及连接型攻击，攻击类型库支持持续升级更新。</w:t>
            </w:r>
          </w:p>
          <w:p w14:paraId="75E0C93E">
            <w:pPr>
              <w:widowControl/>
              <w:spacing w:line="360" w:lineRule="auto"/>
              <w:rPr>
                <w:rFonts w:hint="eastAsia" w:ascii="宋体" w:hAnsi="宋体" w:eastAsia="宋体" w:cs="宋体"/>
                <w:color w:val="000000" w:themeColor="text1"/>
                <w:kern w:val="0"/>
                <w:sz w:val="22"/>
                <w:szCs w:val="22"/>
                <w:highlight w:val="none"/>
                <w:lang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7</w:t>
            </w:r>
            <w:r>
              <w:rPr>
                <w:rFonts w:hint="eastAsia" w:ascii="宋体" w:hAnsi="宋体" w:cs="宋体"/>
                <w:color w:val="000000" w:themeColor="text1"/>
                <w:kern w:val="0"/>
                <w:sz w:val="22"/>
                <w:szCs w:val="22"/>
                <w:highlight w:val="none"/>
                <w14:textFill>
                  <w14:solidFill>
                    <w14:schemeClr w14:val="tx1"/>
                  </w14:solidFill>
                </w14:textFill>
              </w:rPr>
              <w:t>、支持恶意外联检测与管控功能，可基于URL/域名黑名单对终端外联行为进行告警或阻断</w:t>
            </w:r>
            <w:r>
              <w:rPr>
                <w:rFonts w:hint="eastAsia" w:ascii="宋体" w:hAnsi="宋体" w:cs="宋体"/>
                <w:color w:val="000000" w:themeColor="text1"/>
                <w:kern w:val="0"/>
                <w:sz w:val="22"/>
                <w:szCs w:val="22"/>
                <w:highlight w:val="none"/>
                <w:lang w:eastAsia="zh-CN"/>
                <w14:textFill>
                  <w14:solidFill>
                    <w14:schemeClr w14:val="tx1"/>
                  </w14:solidFill>
                </w14:textFill>
              </w:rPr>
              <w:t>。</w:t>
            </w:r>
          </w:p>
          <w:p w14:paraId="310DB5B5">
            <w:pPr>
              <w:widowControl/>
              <w:spacing w:line="360" w:lineRule="auto"/>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8</w:t>
            </w:r>
            <w:r>
              <w:rPr>
                <w:rFonts w:hint="eastAsia" w:ascii="宋体" w:hAnsi="宋体" w:cs="宋体"/>
                <w:color w:val="000000" w:themeColor="text1"/>
                <w:kern w:val="0"/>
                <w:sz w:val="22"/>
                <w:szCs w:val="22"/>
                <w:highlight w:val="none"/>
                <w14:textFill>
                  <w14:solidFill>
                    <w14:schemeClr w14:val="tx1"/>
                  </w14:solidFill>
                </w14:textFill>
              </w:rPr>
              <w:t>、支持对UDP Flood及常见UDP攻击的检测与防御，并可对相关异常端口流量进行限制。</w:t>
            </w:r>
          </w:p>
          <w:p w14:paraId="367B35A3">
            <w:pPr>
              <w:widowControl/>
              <w:spacing w:line="360" w:lineRule="auto"/>
              <w:rPr>
                <w:rFonts w:hint="eastAsia" w:ascii="宋体" w:hAnsi="宋体" w:cs="宋体"/>
                <w:kern w:val="0"/>
                <w:sz w:val="22"/>
                <w:szCs w:val="22"/>
                <w:highlight w:val="none"/>
              </w:rPr>
            </w:pPr>
            <w:r>
              <w:rPr>
                <w:rFonts w:hint="eastAsia" w:ascii="宋体" w:hAnsi="宋体" w:cs="宋体"/>
                <w:color w:val="000000" w:themeColor="text1"/>
                <w:kern w:val="0"/>
                <w:sz w:val="22"/>
                <w:szCs w:val="22"/>
                <w:highlight w:val="none"/>
                <w:lang w:val="en-US" w:eastAsia="zh-CN"/>
                <w14:textFill>
                  <w14:solidFill>
                    <w14:schemeClr w14:val="tx1"/>
                  </w14:solidFill>
                </w14:textFill>
              </w:rPr>
              <w:t>9</w:t>
            </w:r>
            <w:r>
              <w:rPr>
                <w:rFonts w:hint="eastAsia" w:ascii="宋体" w:hAnsi="宋体" w:cs="宋体"/>
                <w:color w:val="000000" w:themeColor="text1"/>
                <w:kern w:val="0"/>
                <w:sz w:val="22"/>
                <w:szCs w:val="22"/>
                <w:highlight w:val="none"/>
                <w14:textFill>
                  <w14:solidFill>
                    <w14:schemeClr w14:val="tx1"/>
                  </w14:solidFill>
                </w14:textFill>
              </w:rPr>
              <w:t>、支持流量阈值防护功能，可基于流量学习自动生成防护阈值，同时支持手动调整阈值及限速策略。</w:t>
            </w:r>
          </w:p>
        </w:tc>
        <w:tc>
          <w:tcPr>
            <w:tcW w:w="466" w:type="dxa"/>
            <w:tcBorders>
              <w:top w:val="nil"/>
              <w:left w:val="nil"/>
              <w:bottom w:val="single" w:color="auto" w:sz="4" w:space="0"/>
              <w:right w:val="single" w:color="auto" w:sz="4" w:space="0"/>
            </w:tcBorders>
            <w:vAlign w:val="center"/>
          </w:tcPr>
          <w:p w14:paraId="66DA74D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65C0EBFD">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352A363B">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2F6F4FCC">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6C9C301F">
        <w:tblPrEx>
          <w:tblCellMar>
            <w:top w:w="0" w:type="dxa"/>
            <w:left w:w="108" w:type="dxa"/>
            <w:bottom w:w="0" w:type="dxa"/>
            <w:right w:w="108" w:type="dxa"/>
          </w:tblCellMar>
        </w:tblPrEx>
        <w:trPr>
          <w:trHeight w:val="504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48E75E12">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3</w:t>
            </w:r>
          </w:p>
        </w:tc>
        <w:tc>
          <w:tcPr>
            <w:tcW w:w="1100" w:type="dxa"/>
            <w:tcBorders>
              <w:top w:val="nil"/>
              <w:left w:val="nil"/>
              <w:bottom w:val="single" w:color="auto" w:sz="4" w:space="0"/>
              <w:right w:val="single" w:color="auto" w:sz="4" w:space="0"/>
            </w:tcBorders>
            <w:shd w:val="clear" w:color="000000" w:fill="FFFFFF"/>
            <w:vAlign w:val="center"/>
          </w:tcPr>
          <w:p w14:paraId="6F10A962">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防火墙</w:t>
            </w:r>
            <w:r>
              <w:rPr>
                <w:rFonts w:hint="eastAsia" w:ascii="宋体" w:hAnsi="宋体" w:cs="宋体"/>
                <w:kern w:val="0"/>
                <w:sz w:val="22"/>
                <w:szCs w:val="22"/>
                <w:highlight w:val="none"/>
              </w:rPr>
              <w:t>（2）</w:t>
            </w:r>
          </w:p>
        </w:tc>
        <w:tc>
          <w:tcPr>
            <w:tcW w:w="5006" w:type="dxa"/>
            <w:tcBorders>
              <w:top w:val="nil"/>
              <w:left w:val="nil"/>
              <w:bottom w:val="single" w:color="auto" w:sz="4" w:space="0"/>
              <w:right w:val="single" w:color="auto" w:sz="4" w:space="0"/>
            </w:tcBorders>
            <w:vAlign w:val="center"/>
          </w:tcPr>
          <w:p w14:paraId="4FCB9243">
            <w:pPr>
              <w:widowControl/>
              <w:spacing w:line="360" w:lineRule="auto"/>
              <w:rPr>
                <w:rFonts w:hint="eastAsia" w:ascii="宋体" w:hAnsi="宋体" w:cs="宋体"/>
                <w:color w:val="auto"/>
                <w:kern w:val="0"/>
                <w:sz w:val="22"/>
                <w:szCs w:val="22"/>
                <w:highlight w:val="none"/>
              </w:rPr>
            </w:pPr>
            <w:r>
              <w:rPr>
                <w:rFonts w:ascii="宋体" w:hAnsi="宋体" w:cs="宋体"/>
                <w:color w:val="auto"/>
                <w:kern w:val="0"/>
                <w:sz w:val="22"/>
                <w:szCs w:val="22"/>
                <w:highlight w:val="none"/>
              </w:rPr>
              <w:t>1、★网络层吞吐量≥</w:t>
            </w:r>
            <w:r>
              <w:rPr>
                <w:rFonts w:hint="eastAsia" w:ascii="宋体" w:hAnsi="宋体" w:cs="宋体"/>
                <w:color w:val="auto"/>
                <w:kern w:val="0"/>
                <w:sz w:val="22"/>
                <w:szCs w:val="22"/>
                <w:highlight w:val="none"/>
                <w:lang w:val="en-US" w:eastAsia="zh-CN"/>
              </w:rPr>
              <w:t>16</w:t>
            </w:r>
            <w:r>
              <w:rPr>
                <w:rFonts w:ascii="宋体" w:hAnsi="宋体" w:cs="宋体"/>
                <w:color w:val="auto"/>
                <w:kern w:val="0"/>
                <w:sz w:val="22"/>
                <w:szCs w:val="22"/>
                <w:highlight w:val="none"/>
              </w:rPr>
              <w:t>G</w:t>
            </w:r>
            <w:r>
              <w:rPr>
                <w:rFonts w:hint="eastAsia" w:ascii="宋体" w:hAnsi="宋体" w:cs="宋体"/>
                <w:color w:val="auto"/>
                <w:kern w:val="0"/>
                <w:sz w:val="22"/>
                <w:szCs w:val="22"/>
                <w:highlight w:val="none"/>
              </w:rPr>
              <w:t>bps</w:t>
            </w:r>
            <w:r>
              <w:rPr>
                <w:rFonts w:ascii="宋体" w:hAnsi="宋体" w:cs="宋体"/>
                <w:color w:val="auto"/>
                <w:kern w:val="0"/>
                <w:sz w:val="22"/>
                <w:szCs w:val="22"/>
                <w:highlight w:val="none"/>
              </w:rPr>
              <w:t>，</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w:t>
            </w:r>
            <w:r>
              <w:rPr>
                <w:rFonts w:hint="eastAsia" w:ascii="宋体" w:hAnsi="宋体" w:cs="宋体"/>
                <w:color w:val="auto"/>
                <w:kern w:val="0"/>
                <w:sz w:val="22"/>
                <w:szCs w:val="22"/>
                <w:highlight w:val="none"/>
                <w:lang w:val="en-US" w:eastAsia="zh-CN"/>
              </w:rPr>
              <w:t>千兆电口</w:t>
            </w:r>
            <w:r>
              <w:rPr>
                <w:rFonts w:hint="eastAsia" w:ascii="宋体" w:hAnsi="宋体" w:cs="宋体"/>
                <w:color w:val="auto"/>
                <w:kern w:val="0"/>
                <w:sz w:val="22"/>
                <w:szCs w:val="22"/>
                <w:highlight w:val="none"/>
              </w:rPr>
              <w:t>，</w:t>
            </w:r>
            <w:r>
              <w:rPr>
                <w:rFonts w:ascii="宋体" w:hAnsi="宋体" w:cs="宋体"/>
                <w:color w:val="auto"/>
                <w:kern w:val="0"/>
                <w:sz w:val="22"/>
                <w:szCs w:val="22"/>
                <w:highlight w:val="none"/>
              </w:rPr>
              <w:t>CPU与操作系统满足国产化要求。</w:t>
            </w:r>
            <w:r>
              <w:rPr>
                <w:rFonts w:hint="eastAsia" w:ascii="宋体" w:hAnsi="宋体" w:cs="宋体"/>
                <w:color w:val="auto"/>
                <w:kern w:val="0"/>
                <w:sz w:val="22"/>
                <w:szCs w:val="22"/>
                <w:highlight w:val="none"/>
              </w:rPr>
              <w:t>配置防病毒和入侵防御功能，且提供3年规则库更新。</w:t>
            </w:r>
          </w:p>
          <w:p w14:paraId="2BE4CD6C">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2</w:t>
            </w:r>
            <w:r>
              <w:rPr>
                <w:rFonts w:hint="eastAsia" w:ascii="宋体" w:hAnsi="宋体" w:cs="宋体"/>
                <w:kern w:val="0"/>
                <w:sz w:val="22"/>
                <w:szCs w:val="22"/>
                <w:highlight w:val="none"/>
              </w:rPr>
              <w:t>、支持链路健康检测功能，可基于多种探测方式（如ICMP、TCP、DNS、ARP等）对链路状态进行检测。</w:t>
            </w:r>
          </w:p>
          <w:p w14:paraId="23F6CEB8">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3</w:t>
            </w:r>
            <w:r>
              <w:rPr>
                <w:rFonts w:hint="eastAsia" w:ascii="宋体" w:hAnsi="宋体" w:cs="宋体"/>
                <w:kern w:val="0"/>
                <w:sz w:val="22"/>
                <w:szCs w:val="22"/>
                <w:highlight w:val="none"/>
              </w:rPr>
              <w:t>、支持静态路由、策略路由及多播路由，支持OSPF、BGP、RIP等主流动态路由协议，满足复杂组网的路由需求。</w:t>
            </w:r>
          </w:p>
          <w:p w14:paraId="595CE6EC">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4</w:t>
            </w:r>
            <w:r>
              <w:rPr>
                <w:rFonts w:hint="eastAsia" w:ascii="宋体" w:hAnsi="宋体" w:cs="宋体"/>
                <w:kern w:val="0"/>
                <w:sz w:val="22"/>
                <w:szCs w:val="22"/>
                <w:highlight w:val="none"/>
              </w:rPr>
              <w:t>、支持流量控制、网络地址转换、IPsec VPN和SSL VPN功能。</w:t>
            </w:r>
          </w:p>
          <w:p w14:paraId="3C629CB3">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、支持针对常见流量型攻击的检测与防护，并支持阈值及防护动作自定义配置。</w:t>
            </w:r>
          </w:p>
          <w:p w14:paraId="637E604B">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、内置URL分类库并支持定期更新，可按分类、自定义URL等方式对网站访问行为进行管控。</w:t>
            </w:r>
          </w:p>
          <w:p w14:paraId="49348FB7">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7</w:t>
            </w:r>
            <w:r>
              <w:rPr>
                <w:rFonts w:hint="eastAsia" w:ascii="宋体" w:hAnsi="宋体" w:cs="宋体"/>
                <w:kern w:val="0"/>
                <w:sz w:val="22"/>
                <w:szCs w:val="22"/>
                <w:highlight w:val="none"/>
              </w:rPr>
              <w:t>、支持对HTTP、FTP、SMTP、POP3等常见协议传输的文件进行病毒检测与查杀。</w:t>
            </w:r>
          </w:p>
          <w:p w14:paraId="044C179E">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8</w:t>
            </w:r>
            <w:r>
              <w:rPr>
                <w:rFonts w:hint="eastAsia" w:ascii="宋体" w:hAnsi="宋体" w:cs="宋体"/>
                <w:kern w:val="0"/>
                <w:sz w:val="22"/>
                <w:szCs w:val="22"/>
                <w:highlight w:val="none"/>
              </w:rPr>
              <w:t>、支持防病毒白名单配置，可针对特定URL、文件特征等对象设置例外规则，使其不参与病毒检测。</w:t>
            </w:r>
          </w:p>
          <w:p w14:paraId="68C0CB00">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9</w:t>
            </w:r>
            <w:r>
              <w:rPr>
                <w:rFonts w:hint="eastAsia" w:ascii="宋体" w:hAnsi="宋体" w:cs="宋体"/>
                <w:kern w:val="0"/>
                <w:sz w:val="22"/>
                <w:szCs w:val="22"/>
                <w:highlight w:val="none"/>
              </w:rPr>
              <w:t>、支持Web（HTTP/HTTPS）、SSH等多种管理方式，并支持管理员分级分权管理。</w:t>
            </w:r>
          </w:p>
          <w:p w14:paraId="714E50CA">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0</w:t>
            </w:r>
            <w:r>
              <w:rPr>
                <w:rFonts w:hint="eastAsia" w:ascii="宋体" w:hAnsi="宋体" w:cs="宋体"/>
                <w:kern w:val="0"/>
                <w:sz w:val="22"/>
                <w:szCs w:val="22"/>
                <w:highlight w:val="none"/>
              </w:rPr>
              <w:t>、支持安全日志的多条件组合查询与统计，可按日志类型、级别、时间等条件检索。</w:t>
            </w:r>
          </w:p>
        </w:tc>
        <w:tc>
          <w:tcPr>
            <w:tcW w:w="466" w:type="dxa"/>
            <w:tcBorders>
              <w:top w:val="nil"/>
              <w:left w:val="nil"/>
              <w:bottom w:val="single" w:color="auto" w:sz="4" w:space="0"/>
              <w:right w:val="single" w:color="auto" w:sz="4" w:space="0"/>
            </w:tcBorders>
            <w:vAlign w:val="center"/>
          </w:tcPr>
          <w:p w14:paraId="27FF954E">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130FA6FB">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2</w:t>
            </w:r>
          </w:p>
        </w:tc>
        <w:tc>
          <w:tcPr>
            <w:tcW w:w="1650" w:type="dxa"/>
            <w:tcBorders>
              <w:top w:val="nil"/>
              <w:left w:val="nil"/>
              <w:bottom w:val="single" w:color="auto" w:sz="4" w:space="0"/>
              <w:right w:val="single" w:color="auto" w:sz="4" w:space="0"/>
            </w:tcBorders>
            <w:vAlign w:val="center"/>
          </w:tcPr>
          <w:p w14:paraId="5A85B64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56AE0254">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1AE8BCFC">
        <w:tblPrEx>
          <w:tblCellMar>
            <w:top w:w="0" w:type="dxa"/>
            <w:left w:w="108" w:type="dxa"/>
            <w:bottom w:w="0" w:type="dxa"/>
            <w:right w:w="108" w:type="dxa"/>
          </w:tblCellMar>
        </w:tblPrEx>
        <w:trPr>
          <w:trHeight w:val="1692"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3EEF0CC6">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4</w:t>
            </w:r>
          </w:p>
        </w:tc>
        <w:tc>
          <w:tcPr>
            <w:tcW w:w="1100" w:type="dxa"/>
            <w:tcBorders>
              <w:top w:val="nil"/>
              <w:left w:val="nil"/>
              <w:bottom w:val="single" w:color="auto" w:sz="4" w:space="0"/>
              <w:right w:val="single" w:color="auto" w:sz="4" w:space="0"/>
            </w:tcBorders>
            <w:shd w:val="clear" w:color="000000" w:fill="FFFFFF"/>
            <w:vAlign w:val="center"/>
          </w:tcPr>
          <w:p w14:paraId="73C9D6FA">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WEB应用防护系统</w:t>
            </w:r>
          </w:p>
        </w:tc>
        <w:tc>
          <w:tcPr>
            <w:tcW w:w="5006" w:type="dxa"/>
            <w:tcBorders>
              <w:top w:val="nil"/>
              <w:left w:val="nil"/>
              <w:bottom w:val="single" w:color="auto" w:sz="4" w:space="0"/>
              <w:right w:val="single" w:color="auto" w:sz="4" w:space="0"/>
            </w:tcBorders>
            <w:vAlign w:val="center"/>
          </w:tcPr>
          <w:p w14:paraId="5198ABB1">
            <w:pPr>
              <w:widowControl/>
              <w:spacing w:line="360" w:lineRule="auto"/>
              <w:rPr>
                <w:rFonts w:hint="eastAsia" w:ascii="宋体" w:hAnsi="宋体" w:cs="宋体"/>
                <w:kern w:val="0"/>
                <w:sz w:val="22"/>
                <w:szCs w:val="22"/>
                <w:highlight w:val="none"/>
                <w:lang w:val="en-US" w:eastAsia="zh-CN"/>
              </w:rPr>
            </w:pPr>
            <w:r>
              <w:rPr>
                <w:rFonts w:ascii="宋体" w:hAnsi="宋体" w:cs="宋体"/>
                <w:color w:val="auto"/>
                <w:kern w:val="0"/>
                <w:sz w:val="22"/>
                <w:szCs w:val="22"/>
                <w:highlight w:val="none"/>
              </w:rPr>
              <w:t>1、★硬件参数：标准机架式设备，含冗余电源模块，</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w:t>
            </w:r>
            <w:r>
              <w:rPr>
                <w:rFonts w:hint="eastAsia" w:ascii="宋体" w:hAnsi="宋体" w:cs="宋体"/>
                <w:color w:val="auto"/>
                <w:kern w:val="0"/>
                <w:sz w:val="22"/>
                <w:szCs w:val="22"/>
                <w:highlight w:val="none"/>
                <w:lang w:val="en-US" w:eastAsia="zh-CN"/>
              </w:rPr>
              <w:t>个</w:t>
            </w:r>
            <w:r>
              <w:rPr>
                <w:rFonts w:ascii="宋体" w:hAnsi="宋体" w:cs="宋体"/>
                <w:color w:val="auto"/>
                <w:kern w:val="0"/>
                <w:sz w:val="22"/>
                <w:szCs w:val="22"/>
                <w:highlight w:val="none"/>
              </w:rPr>
              <w:t>千兆电口</w:t>
            </w:r>
            <w:r>
              <w:rPr>
                <w:rFonts w:hint="eastAsia" w:ascii="宋体" w:hAnsi="宋体" w:cs="宋体"/>
                <w:color w:val="auto"/>
                <w:kern w:val="0"/>
                <w:sz w:val="22"/>
                <w:szCs w:val="22"/>
                <w:highlight w:val="none"/>
                <w:lang w:eastAsia="zh-CN"/>
              </w:rPr>
              <w:t>、</w:t>
            </w:r>
            <w:r>
              <w:rPr>
                <w:rFonts w:ascii="宋体" w:hAnsi="宋体" w:cs="宋体"/>
                <w:color w:val="auto"/>
                <w:kern w:val="0"/>
                <w:sz w:val="22"/>
                <w:szCs w:val="22"/>
                <w:highlight w:val="none"/>
              </w:rPr>
              <w:t>≥4</w:t>
            </w:r>
            <w:r>
              <w:rPr>
                <w:rFonts w:hint="eastAsia" w:ascii="宋体" w:hAnsi="宋体" w:cs="宋体"/>
                <w:color w:val="auto"/>
                <w:kern w:val="0"/>
                <w:sz w:val="22"/>
                <w:szCs w:val="22"/>
                <w:highlight w:val="none"/>
                <w:lang w:val="en-US" w:eastAsia="zh-CN"/>
              </w:rPr>
              <w:t>个</w:t>
            </w:r>
            <w:r>
              <w:rPr>
                <w:rFonts w:ascii="宋体" w:hAnsi="宋体" w:cs="宋体"/>
                <w:color w:val="auto"/>
                <w:kern w:val="0"/>
                <w:sz w:val="22"/>
                <w:szCs w:val="22"/>
                <w:highlight w:val="none"/>
              </w:rPr>
              <w:t>千兆光口。CPU与操作系统满足国产化要求。性能参数：应用层吞吐量≥5Gbps。</w:t>
            </w:r>
            <w:r>
              <w:rPr>
                <w:rFonts w:ascii="宋体" w:hAnsi="宋体" w:cs="宋体"/>
                <w:kern w:val="0"/>
                <w:sz w:val="22"/>
                <w:szCs w:val="22"/>
                <w:highlight w:val="none"/>
              </w:rPr>
              <w:br w:type="textWrapping"/>
            </w:r>
            <w:r>
              <w:rPr>
                <w:rFonts w:hint="eastAsia" w:ascii="宋体" w:hAnsi="宋体" w:cs="宋体"/>
                <w:kern w:val="0"/>
                <w:sz w:val="22"/>
                <w:szCs w:val="22"/>
                <w:highlight w:val="none"/>
                <w:lang w:val="en-US" w:eastAsia="zh-CN"/>
              </w:rPr>
              <w:t>2、支持覆盖OWASP Top 10的常见Web攻击防护，包括命令注入、已知组件及应用漏洞利用、Web扫描探测等攻击行为的识别与拦截，规则库支持持续升级。</w:t>
            </w:r>
          </w:p>
          <w:p w14:paraId="722D8723">
            <w:pPr>
              <w:widowControl/>
              <w:spacing w:line="360" w:lineRule="auto"/>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3、支持对HTTP/HTTPS业务流量进行深度解析，可对客户端请求的头部、参数、Cookie及报文内容进行合法性检测，对恶意请求实时告警或阻断，实现对各类Web站点和应用系统的安全防护。</w:t>
            </w:r>
          </w:p>
          <w:p w14:paraId="6F015B31">
            <w:pPr>
              <w:widowControl/>
              <w:spacing w:line="360" w:lineRule="auto"/>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4、支持SQL注入、跨站脚本、远程代码执行、文件包含、编码绕过等常见Web攻击的防护，规则库按攻击类型、应用类型进行分类管理，支持规则自定义。</w:t>
            </w:r>
          </w:p>
          <w:p w14:paraId="42464A15">
            <w:pPr>
              <w:widowControl/>
              <w:spacing w:line="360" w:lineRule="auto"/>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5、支持CC攻击及HTTP Flood等应用层DoS攻击防护，可基于访问频率、URL、源IP等条件设置防护策略；支持识别X-Forwarded-For等HTTP头字段，以获取客户端真实源IP并用于访问控制与日志审计。</w:t>
            </w:r>
          </w:p>
          <w:p w14:paraId="57B6142B">
            <w:pPr>
              <w:widowControl/>
              <w:spacing w:line="360" w:lineRule="auto"/>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6、支持独立管理接口，可实现管理网络与业务网络隔离，并支持Web、SSH等多种安全管理方式及管理员分级分权。</w:t>
            </w:r>
          </w:p>
          <w:p w14:paraId="1588D377">
            <w:pPr>
              <w:widowControl/>
              <w:spacing w:line="360" w:lineRule="auto"/>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7、支持静态路由等基础路由配置，满足不同网络环境下的组网接入需求。</w:t>
            </w:r>
          </w:p>
          <w:p w14:paraId="6772F17E">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8、支持规则库及特征库的在线或离线升级。</w:t>
            </w:r>
          </w:p>
        </w:tc>
        <w:tc>
          <w:tcPr>
            <w:tcW w:w="466" w:type="dxa"/>
            <w:tcBorders>
              <w:top w:val="nil"/>
              <w:left w:val="nil"/>
              <w:bottom w:val="single" w:color="auto" w:sz="4" w:space="0"/>
              <w:right w:val="single" w:color="auto" w:sz="4" w:space="0"/>
            </w:tcBorders>
            <w:vAlign w:val="center"/>
          </w:tcPr>
          <w:p w14:paraId="0E64B17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47F82EFE">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172F922E">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1707A244">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1BBD7F63">
        <w:tblPrEx>
          <w:tblCellMar>
            <w:top w:w="0" w:type="dxa"/>
            <w:left w:w="108" w:type="dxa"/>
            <w:bottom w:w="0" w:type="dxa"/>
            <w:right w:w="108" w:type="dxa"/>
          </w:tblCellMar>
        </w:tblPrEx>
        <w:trPr>
          <w:trHeight w:val="420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6DA6BE7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5</w:t>
            </w:r>
          </w:p>
        </w:tc>
        <w:tc>
          <w:tcPr>
            <w:tcW w:w="1100" w:type="dxa"/>
            <w:tcBorders>
              <w:top w:val="nil"/>
              <w:left w:val="nil"/>
              <w:bottom w:val="single" w:color="auto" w:sz="4" w:space="0"/>
              <w:right w:val="single" w:color="auto" w:sz="4" w:space="0"/>
            </w:tcBorders>
            <w:shd w:val="clear" w:color="000000" w:fill="FFFFFF"/>
            <w:vAlign w:val="center"/>
          </w:tcPr>
          <w:p w14:paraId="30E536BE">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防火墙</w:t>
            </w:r>
            <w:r>
              <w:rPr>
                <w:rFonts w:hint="eastAsia" w:ascii="宋体" w:hAnsi="宋体" w:cs="宋体"/>
                <w:kern w:val="0"/>
                <w:sz w:val="22"/>
                <w:szCs w:val="22"/>
                <w:highlight w:val="none"/>
              </w:rPr>
              <w:t>（3）</w:t>
            </w:r>
          </w:p>
        </w:tc>
        <w:tc>
          <w:tcPr>
            <w:tcW w:w="5006" w:type="dxa"/>
            <w:tcBorders>
              <w:top w:val="nil"/>
              <w:left w:val="nil"/>
              <w:bottom w:val="single" w:color="auto" w:sz="4" w:space="0"/>
              <w:right w:val="single" w:color="auto" w:sz="4" w:space="0"/>
            </w:tcBorders>
            <w:vAlign w:val="center"/>
          </w:tcPr>
          <w:p w14:paraId="738F1CCA">
            <w:pPr>
              <w:widowControl/>
              <w:spacing w:line="360" w:lineRule="auto"/>
              <w:rPr>
                <w:rFonts w:hint="eastAsia" w:ascii="宋体" w:hAnsi="宋体" w:cs="宋体"/>
                <w:color w:val="auto"/>
                <w:kern w:val="0"/>
                <w:sz w:val="22"/>
                <w:szCs w:val="22"/>
                <w:highlight w:val="none"/>
              </w:rPr>
            </w:pPr>
            <w:r>
              <w:rPr>
                <w:rFonts w:ascii="宋体" w:hAnsi="宋体" w:cs="宋体"/>
                <w:color w:val="auto"/>
                <w:kern w:val="0"/>
                <w:sz w:val="22"/>
                <w:szCs w:val="22"/>
                <w:highlight w:val="none"/>
              </w:rPr>
              <w:t>1、★网络层吞吐量≥</w:t>
            </w:r>
            <w:r>
              <w:rPr>
                <w:rFonts w:hint="eastAsia" w:ascii="宋体" w:hAnsi="宋体" w:cs="宋体"/>
                <w:color w:val="auto"/>
                <w:kern w:val="0"/>
                <w:sz w:val="22"/>
                <w:szCs w:val="22"/>
                <w:highlight w:val="none"/>
                <w:lang w:val="en-US" w:eastAsia="zh-CN"/>
              </w:rPr>
              <w:t>10</w:t>
            </w:r>
            <w:r>
              <w:rPr>
                <w:rFonts w:ascii="宋体" w:hAnsi="宋体" w:cs="宋体"/>
                <w:color w:val="auto"/>
                <w:kern w:val="0"/>
                <w:sz w:val="22"/>
                <w:szCs w:val="22"/>
                <w:highlight w:val="none"/>
              </w:rPr>
              <w:t>G</w:t>
            </w:r>
            <w:r>
              <w:rPr>
                <w:rFonts w:hint="eastAsia" w:ascii="宋体" w:hAnsi="宋体" w:cs="宋体"/>
                <w:color w:val="auto"/>
                <w:kern w:val="0"/>
                <w:sz w:val="22"/>
                <w:szCs w:val="22"/>
                <w:highlight w:val="none"/>
              </w:rPr>
              <w:t>bps，</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w:t>
            </w:r>
            <w:r>
              <w:rPr>
                <w:rFonts w:hint="eastAsia" w:ascii="宋体" w:hAnsi="宋体" w:cs="宋体"/>
                <w:color w:val="auto"/>
                <w:kern w:val="0"/>
                <w:sz w:val="22"/>
                <w:szCs w:val="22"/>
                <w:highlight w:val="none"/>
                <w:lang w:val="en-US" w:eastAsia="zh-CN"/>
              </w:rPr>
              <w:t>个千兆电口</w:t>
            </w:r>
            <w:r>
              <w:rPr>
                <w:rFonts w:ascii="宋体" w:hAnsi="宋体" w:cs="宋体"/>
                <w:color w:val="auto"/>
                <w:kern w:val="0"/>
                <w:sz w:val="22"/>
                <w:szCs w:val="22"/>
                <w:highlight w:val="none"/>
              </w:rPr>
              <w:t>。CPU与操作系统满足国产化要求。</w:t>
            </w:r>
            <w:r>
              <w:rPr>
                <w:rFonts w:hint="eastAsia" w:ascii="宋体" w:hAnsi="宋体" w:cs="宋体"/>
                <w:color w:val="auto"/>
                <w:kern w:val="0"/>
                <w:sz w:val="22"/>
                <w:szCs w:val="22"/>
                <w:highlight w:val="none"/>
              </w:rPr>
              <w:t>配置防病毒和入侵防御功能，且提供3年规则库更新。</w:t>
            </w:r>
          </w:p>
          <w:p w14:paraId="4403DA75">
            <w:pPr>
              <w:widowControl/>
              <w:spacing w:line="360" w:lineRule="auto"/>
              <w:rPr>
                <w:rFonts w:hint="eastAsia" w:ascii="宋体" w:hAnsi="宋体" w:eastAsia="宋体" w:cs="宋体"/>
                <w:kern w:val="0"/>
                <w:sz w:val="22"/>
                <w:szCs w:val="22"/>
                <w:highlight w:val="none"/>
                <w:lang w:eastAsia="zh-CN"/>
              </w:rPr>
            </w:pPr>
            <w:r>
              <w:rPr>
                <w:rFonts w:hint="eastAsia" w:ascii="宋体" w:hAnsi="宋体" w:cs="宋体"/>
                <w:kern w:val="0"/>
                <w:sz w:val="22"/>
                <w:szCs w:val="22"/>
                <w:highlight w:val="none"/>
                <w:lang w:val="en-US" w:eastAsia="zh-CN"/>
              </w:rPr>
              <w:t>2</w:t>
            </w:r>
            <w:r>
              <w:rPr>
                <w:rFonts w:hint="eastAsia" w:ascii="宋体" w:hAnsi="宋体" w:cs="宋体"/>
                <w:kern w:val="0"/>
                <w:sz w:val="22"/>
                <w:szCs w:val="22"/>
                <w:highlight w:val="none"/>
              </w:rPr>
              <w:t>、支持静态路由、策略路由及多播路由</w:t>
            </w:r>
            <w:r>
              <w:rPr>
                <w:rFonts w:hint="eastAsia" w:ascii="宋体" w:hAnsi="宋体" w:cs="宋体"/>
                <w:kern w:val="0"/>
                <w:sz w:val="22"/>
                <w:szCs w:val="22"/>
                <w:highlight w:val="none"/>
                <w:lang w:eastAsia="zh-CN"/>
              </w:rPr>
              <w:t>。</w:t>
            </w:r>
          </w:p>
          <w:p w14:paraId="313D7D47">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3</w:t>
            </w:r>
            <w:r>
              <w:rPr>
                <w:rFonts w:hint="eastAsia" w:ascii="宋体" w:hAnsi="宋体" w:cs="宋体"/>
                <w:kern w:val="0"/>
                <w:sz w:val="22"/>
                <w:szCs w:val="22"/>
                <w:highlight w:val="none"/>
              </w:rPr>
              <w:t>、支持流量控制、网络地址转换、IPsec VPN和SSL VPN功能。</w:t>
            </w:r>
          </w:p>
          <w:p w14:paraId="0B679C80">
            <w:pPr>
              <w:widowControl/>
              <w:spacing w:line="360" w:lineRule="auto"/>
              <w:rPr>
                <w:rFonts w:hint="eastAsia" w:ascii="宋体" w:hAnsi="宋体" w:eastAsia="宋体" w:cs="宋体"/>
                <w:kern w:val="0"/>
                <w:sz w:val="22"/>
                <w:szCs w:val="22"/>
                <w:highlight w:val="none"/>
                <w:lang w:val="en-US" w:eastAsia="zh-CN"/>
              </w:rPr>
            </w:pPr>
            <w:r>
              <w:rPr>
                <w:rFonts w:hint="eastAsia" w:ascii="宋体" w:hAnsi="宋体" w:cs="宋体"/>
                <w:kern w:val="0"/>
                <w:sz w:val="22"/>
                <w:szCs w:val="22"/>
                <w:highlight w:val="none"/>
                <w:lang w:val="en-US" w:eastAsia="zh-CN"/>
              </w:rPr>
              <w:t>4、</w:t>
            </w:r>
            <w:r>
              <w:rPr>
                <w:rFonts w:hint="eastAsia" w:ascii="宋体" w:hAnsi="宋体" w:cs="宋体"/>
                <w:kern w:val="0"/>
                <w:sz w:val="22"/>
                <w:szCs w:val="22"/>
                <w:highlight w:val="none"/>
              </w:rPr>
              <w:t>支持OSPF、BGP、RIP等主流动态路由协议，满足复杂组网的路由需求。</w:t>
            </w:r>
          </w:p>
          <w:p w14:paraId="18705F39">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5</w:t>
            </w:r>
            <w:r>
              <w:rPr>
                <w:rFonts w:hint="eastAsia" w:ascii="宋体" w:hAnsi="宋体" w:cs="宋体"/>
                <w:kern w:val="0"/>
                <w:sz w:val="22"/>
                <w:szCs w:val="22"/>
                <w:highlight w:val="none"/>
              </w:rPr>
              <w:t>、支持针对常见流量型攻击的检测与防护，并支持阈值及防护动作自定义配置。</w:t>
            </w:r>
          </w:p>
          <w:p w14:paraId="2782130B">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6</w:t>
            </w:r>
            <w:r>
              <w:rPr>
                <w:rFonts w:hint="eastAsia" w:ascii="宋体" w:hAnsi="宋体" w:cs="宋体"/>
                <w:kern w:val="0"/>
                <w:sz w:val="22"/>
                <w:szCs w:val="22"/>
                <w:highlight w:val="none"/>
              </w:rPr>
              <w:t>、内置URL分类库并支持定期更新，可按分类、自定义URL等方式对网站访问行为进行管控。</w:t>
            </w:r>
          </w:p>
          <w:p w14:paraId="7809303F">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7</w:t>
            </w:r>
            <w:r>
              <w:rPr>
                <w:rFonts w:hint="eastAsia" w:ascii="宋体" w:hAnsi="宋体" w:cs="宋体"/>
                <w:kern w:val="0"/>
                <w:sz w:val="22"/>
                <w:szCs w:val="22"/>
                <w:highlight w:val="none"/>
              </w:rPr>
              <w:t>、支持对HTTP、FTP、SMTP、POP3等常见协议传输的文件进行病毒检测与查杀。</w:t>
            </w:r>
          </w:p>
          <w:p w14:paraId="67CC635E">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8</w:t>
            </w:r>
            <w:r>
              <w:rPr>
                <w:rFonts w:hint="eastAsia" w:ascii="宋体" w:hAnsi="宋体" w:cs="宋体"/>
                <w:kern w:val="0"/>
                <w:sz w:val="22"/>
                <w:szCs w:val="22"/>
                <w:highlight w:val="none"/>
              </w:rPr>
              <w:t>、支持入侵防御功能，可对常见应用层协议及主流数据库、远程管理类协议的攻击行为进行深度检测与阻断。</w:t>
            </w:r>
          </w:p>
          <w:p w14:paraId="40F732A4">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9</w:t>
            </w:r>
            <w:r>
              <w:rPr>
                <w:rFonts w:hint="eastAsia" w:ascii="宋体" w:hAnsi="宋体" w:cs="宋体"/>
                <w:kern w:val="0"/>
                <w:sz w:val="22"/>
                <w:szCs w:val="22"/>
                <w:highlight w:val="none"/>
              </w:rPr>
              <w:t>、支持防病毒白名单配置，可针对特定URL、文件特征等对象设置例外规则，使其不参与病毒检测。</w:t>
            </w:r>
          </w:p>
          <w:p w14:paraId="250E1832">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rPr>
              <w:t>1</w:t>
            </w:r>
            <w:r>
              <w:rPr>
                <w:rFonts w:hint="eastAsia" w:ascii="宋体" w:hAnsi="宋体" w:cs="宋体"/>
                <w:kern w:val="0"/>
                <w:sz w:val="22"/>
                <w:szCs w:val="22"/>
                <w:highlight w:val="none"/>
                <w:lang w:val="en-US" w:eastAsia="zh-CN"/>
              </w:rPr>
              <w:t>0</w:t>
            </w:r>
            <w:r>
              <w:rPr>
                <w:rFonts w:hint="eastAsia" w:ascii="宋体" w:hAnsi="宋体" w:cs="宋体"/>
                <w:kern w:val="0"/>
                <w:sz w:val="22"/>
                <w:szCs w:val="22"/>
                <w:highlight w:val="none"/>
              </w:rPr>
              <w:t>、支持安全日志的多条件组合查询与统计，可按日志类型、级别、时间等条件检索。</w:t>
            </w:r>
          </w:p>
          <w:p w14:paraId="3DFFCC86">
            <w:pPr>
              <w:widowControl/>
              <w:spacing w:line="360" w:lineRule="auto"/>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11</w:t>
            </w:r>
            <w:r>
              <w:rPr>
                <w:rFonts w:hint="eastAsia" w:ascii="宋体" w:hAnsi="宋体" w:cs="宋体"/>
                <w:kern w:val="0"/>
                <w:sz w:val="22"/>
                <w:szCs w:val="22"/>
                <w:highlight w:val="none"/>
              </w:rPr>
              <w:t>、支持Web（HTTP/HTTPS）、SSH等多种管理方式，并支持管理员分级分权管理。</w:t>
            </w:r>
          </w:p>
        </w:tc>
        <w:tc>
          <w:tcPr>
            <w:tcW w:w="466" w:type="dxa"/>
            <w:tcBorders>
              <w:top w:val="nil"/>
              <w:left w:val="nil"/>
              <w:bottom w:val="single" w:color="auto" w:sz="4" w:space="0"/>
              <w:right w:val="single" w:color="auto" w:sz="4" w:space="0"/>
            </w:tcBorders>
            <w:vAlign w:val="center"/>
          </w:tcPr>
          <w:p w14:paraId="7F917E37">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0BA408FB">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2</w:t>
            </w:r>
          </w:p>
        </w:tc>
        <w:tc>
          <w:tcPr>
            <w:tcW w:w="1650" w:type="dxa"/>
            <w:tcBorders>
              <w:top w:val="nil"/>
              <w:left w:val="nil"/>
              <w:bottom w:val="single" w:color="auto" w:sz="4" w:space="0"/>
              <w:right w:val="single" w:color="auto" w:sz="4" w:space="0"/>
            </w:tcBorders>
            <w:vAlign w:val="center"/>
          </w:tcPr>
          <w:p w14:paraId="2EF9488C">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2C60E1A7">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28C35732">
        <w:tblPrEx>
          <w:tblCellMar>
            <w:top w:w="0" w:type="dxa"/>
            <w:left w:w="108" w:type="dxa"/>
            <w:bottom w:w="0" w:type="dxa"/>
            <w:right w:w="108" w:type="dxa"/>
          </w:tblCellMar>
        </w:tblPrEx>
        <w:trPr>
          <w:trHeight w:val="1692"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4FCCC9E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6</w:t>
            </w:r>
          </w:p>
        </w:tc>
        <w:tc>
          <w:tcPr>
            <w:tcW w:w="1100" w:type="dxa"/>
            <w:tcBorders>
              <w:top w:val="nil"/>
              <w:left w:val="nil"/>
              <w:bottom w:val="single" w:color="auto" w:sz="4" w:space="0"/>
              <w:right w:val="single" w:color="auto" w:sz="4" w:space="0"/>
            </w:tcBorders>
            <w:shd w:val="clear" w:color="000000" w:fill="FFFFFF"/>
            <w:vAlign w:val="center"/>
          </w:tcPr>
          <w:p w14:paraId="7E69E9E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上网行为管理</w:t>
            </w:r>
          </w:p>
        </w:tc>
        <w:tc>
          <w:tcPr>
            <w:tcW w:w="5006" w:type="dxa"/>
            <w:tcBorders>
              <w:top w:val="nil"/>
              <w:left w:val="nil"/>
              <w:bottom w:val="single" w:color="auto" w:sz="4" w:space="0"/>
              <w:right w:val="single" w:color="auto" w:sz="4" w:space="0"/>
            </w:tcBorders>
            <w:vAlign w:val="center"/>
          </w:tcPr>
          <w:p w14:paraId="547469CA">
            <w:pPr>
              <w:keepNext w:val="0"/>
              <w:keepLines w:val="0"/>
              <w:widowControl/>
              <w:suppressLineNumbers w:val="0"/>
              <w:spacing w:line="360" w:lineRule="auto"/>
              <w:jc w:val="left"/>
              <w:rPr>
                <w:rFonts w:ascii="宋体" w:hAnsi="宋体" w:eastAsia="宋体" w:cs="宋体"/>
                <w:kern w:val="0"/>
                <w:sz w:val="24"/>
                <w:szCs w:val="24"/>
                <w:highlight w:val="none"/>
                <w:lang w:val="en-US" w:eastAsia="zh-CN" w:bidi="ar"/>
              </w:rPr>
            </w:pPr>
            <w:r>
              <w:rPr>
                <w:rFonts w:ascii="宋体" w:hAnsi="宋体" w:cs="宋体"/>
                <w:color w:val="auto"/>
                <w:kern w:val="0"/>
                <w:sz w:val="22"/>
                <w:szCs w:val="22"/>
                <w:highlight w:val="none"/>
              </w:rPr>
              <w:t>1、★网络层吞吐量≥5G</w:t>
            </w:r>
            <w:r>
              <w:rPr>
                <w:rFonts w:hint="eastAsia" w:ascii="宋体" w:hAnsi="宋体" w:cs="宋体"/>
                <w:color w:val="auto"/>
                <w:kern w:val="0"/>
                <w:sz w:val="22"/>
                <w:szCs w:val="22"/>
                <w:highlight w:val="none"/>
              </w:rPr>
              <w:t>bps</w:t>
            </w:r>
            <w:r>
              <w:rPr>
                <w:rFonts w:ascii="宋体" w:hAnsi="宋体" w:cs="宋体"/>
                <w:color w:val="auto"/>
                <w:kern w:val="0"/>
                <w:sz w:val="22"/>
                <w:szCs w:val="22"/>
                <w:highlight w:val="none"/>
              </w:rPr>
              <w:t>，带宽性能≥500Mb，并发连接数≥50万，</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w:t>
            </w:r>
            <w:r>
              <w:rPr>
                <w:rFonts w:hint="eastAsia" w:ascii="宋体" w:hAnsi="宋体" w:cs="宋体"/>
                <w:color w:val="auto"/>
                <w:kern w:val="0"/>
                <w:sz w:val="22"/>
                <w:szCs w:val="22"/>
                <w:highlight w:val="none"/>
                <w:lang w:val="en-US" w:eastAsia="zh-CN"/>
              </w:rPr>
              <w:t>千兆电口</w:t>
            </w:r>
            <w:r>
              <w:rPr>
                <w:rFonts w:ascii="宋体" w:hAnsi="宋体" w:cs="宋体"/>
                <w:color w:val="auto"/>
                <w:kern w:val="0"/>
                <w:sz w:val="22"/>
                <w:szCs w:val="22"/>
                <w:highlight w:val="none"/>
              </w:rPr>
              <w:t>。CPU与操作系统满足国产化要求。</w:t>
            </w:r>
            <w:r>
              <w:rPr>
                <w:rFonts w:ascii="宋体" w:hAnsi="宋体" w:cs="宋体"/>
                <w:kern w:val="0"/>
                <w:sz w:val="22"/>
                <w:szCs w:val="22"/>
                <w:highlight w:val="none"/>
              </w:rPr>
              <w:br w:type="textWrapping"/>
            </w:r>
            <w:r>
              <w:rPr>
                <w:rFonts w:hint="eastAsia" w:ascii="宋体" w:hAnsi="宋体" w:cs="宋体"/>
                <w:kern w:val="0"/>
                <w:sz w:val="22"/>
                <w:szCs w:val="22"/>
                <w:highlight w:val="none"/>
                <w:lang w:val="en-US" w:eastAsia="zh-CN"/>
              </w:rPr>
              <w:t>2、内置应用识别规则库，覆盖即时通讯、视频、游戏、P2P、网络购物、办公类等常见应用，支持按应用分类对用户上网行为进行放行、阻断。</w:t>
            </w:r>
          </w:p>
          <w:p w14:paraId="7EB0419A">
            <w:pPr>
              <w:keepNext w:val="0"/>
              <w:keepLines w:val="0"/>
              <w:widowControl/>
              <w:suppressLineNumbers w:val="0"/>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3、支持用户认证与单点登录功能，可对接本地账号、RADIUS、LDAP/AD域等认证方式，并支持对指定用户、用户组或IP地址段强制启用认证后方可上网。</w:t>
            </w:r>
          </w:p>
          <w:p w14:paraId="0AC45A55">
            <w:pPr>
              <w:keepNext w:val="0"/>
              <w:keepLines w:val="0"/>
              <w:widowControl/>
              <w:suppressLineNumbers w:val="0"/>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4、支持URL分类过滤功能，内置URL分类库并支持定期更新，可按分类、关键字及自定义URL对网页访问进行管控，并支持自定义黑白名单。</w:t>
            </w:r>
          </w:p>
          <w:p w14:paraId="0671836E">
            <w:pPr>
              <w:keepNext w:val="0"/>
              <w:keepLines w:val="0"/>
              <w:widowControl/>
              <w:suppressLineNumbers w:val="0"/>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5、支持带宽管理与流量控制功能，可基于用户、应用等条件设置限速、保障带宽及优先级策略。</w:t>
            </w:r>
          </w:p>
          <w:p w14:paraId="1C68797A">
            <w:pPr>
              <w:keepNext w:val="0"/>
              <w:keepLines w:val="0"/>
              <w:widowControl/>
              <w:suppressLineNumbers w:val="0"/>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6、支持自定义应用规则，可基于IP地址、端口、协议等条件定义特定应用或服务。</w:t>
            </w:r>
          </w:p>
          <w:p w14:paraId="4E6850BA">
            <w:pPr>
              <w:keepNext w:val="0"/>
              <w:keepLines w:val="0"/>
              <w:widowControl/>
              <w:suppressLineNumbers w:val="0"/>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7、支持常见互联网应用的行为审计，可对邮件、论坛及社交网站发帖、网页搜索、文件传输等行为的内容进行记录与审计。</w:t>
            </w:r>
          </w:p>
          <w:p w14:paraId="76A74721">
            <w:pPr>
              <w:keepNext w:val="0"/>
              <w:keepLines w:val="0"/>
              <w:widowControl/>
              <w:suppressLineNumbers w:val="0"/>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8、支持按应用类别或标签对应用进行分组管理，可基于分组统一制定管控策略，提升策略配置效率。</w:t>
            </w:r>
          </w:p>
          <w:p w14:paraId="53F5670C">
            <w:pPr>
              <w:keepNext w:val="0"/>
              <w:keepLines w:val="0"/>
              <w:widowControl/>
              <w:suppressLineNumbers w:val="0"/>
              <w:spacing w:line="360" w:lineRule="auto"/>
              <w:jc w:val="left"/>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9、支持HTTPS加密流量的识别与管控，可通过SSL解密对加密网站及应用进行URL过滤和内容审计</w:t>
            </w:r>
          </w:p>
        </w:tc>
        <w:tc>
          <w:tcPr>
            <w:tcW w:w="466" w:type="dxa"/>
            <w:tcBorders>
              <w:top w:val="nil"/>
              <w:left w:val="nil"/>
              <w:bottom w:val="single" w:color="auto" w:sz="4" w:space="0"/>
              <w:right w:val="single" w:color="auto" w:sz="4" w:space="0"/>
            </w:tcBorders>
            <w:vAlign w:val="center"/>
          </w:tcPr>
          <w:p w14:paraId="492F01A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2B5EEDB6">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73D21FA1">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5F144C6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1C99B240">
        <w:tblPrEx>
          <w:tblCellMar>
            <w:top w:w="0" w:type="dxa"/>
            <w:left w:w="108" w:type="dxa"/>
            <w:bottom w:w="0" w:type="dxa"/>
            <w:right w:w="108" w:type="dxa"/>
          </w:tblCellMar>
        </w:tblPrEx>
        <w:trPr>
          <w:trHeight w:val="9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68F4DBD9">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7</w:t>
            </w:r>
          </w:p>
        </w:tc>
        <w:tc>
          <w:tcPr>
            <w:tcW w:w="1100" w:type="dxa"/>
            <w:tcBorders>
              <w:top w:val="nil"/>
              <w:left w:val="nil"/>
              <w:bottom w:val="single" w:color="auto" w:sz="4" w:space="0"/>
              <w:right w:val="single" w:color="auto" w:sz="4" w:space="0"/>
            </w:tcBorders>
            <w:shd w:val="clear" w:color="000000" w:fill="FFFFFF"/>
            <w:vAlign w:val="center"/>
          </w:tcPr>
          <w:p w14:paraId="14A30700">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▲网络准入系统</w:t>
            </w:r>
          </w:p>
        </w:tc>
        <w:tc>
          <w:tcPr>
            <w:tcW w:w="5006" w:type="dxa"/>
            <w:tcBorders>
              <w:top w:val="nil"/>
              <w:left w:val="nil"/>
              <w:bottom w:val="single" w:color="auto" w:sz="4" w:space="0"/>
              <w:right w:val="single" w:color="auto" w:sz="4" w:space="0"/>
            </w:tcBorders>
            <w:vAlign w:val="center"/>
          </w:tcPr>
          <w:p w14:paraId="32E9E258">
            <w:pPr>
              <w:widowControl/>
              <w:spacing w:line="360" w:lineRule="auto"/>
              <w:jc w:val="left"/>
              <w:rPr>
                <w:rFonts w:hint="eastAsia" w:ascii="宋体" w:hAnsi="宋体" w:cs="宋体"/>
                <w:color w:val="auto"/>
                <w:kern w:val="0"/>
                <w:sz w:val="22"/>
                <w:szCs w:val="22"/>
                <w:highlight w:val="none"/>
                <w:lang w:val="en-US" w:eastAsia="zh-CN"/>
              </w:rPr>
            </w:pPr>
            <w:r>
              <w:rPr>
                <w:rFonts w:ascii="宋体" w:hAnsi="宋体" w:cs="宋体"/>
                <w:color w:val="auto"/>
                <w:kern w:val="0"/>
                <w:sz w:val="22"/>
                <w:szCs w:val="22"/>
                <w:highlight w:val="none"/>
              </w:rPr>
              <w:t>1、★网络层吞吐量≥5G</w:t>
            </w:r>
            <w:r>
              <w:rPr>
                <w:rFonts w:hint="eastAsia" w:ascii="宋体" w:hAnsi="宋体" w:cs="宋体"/>
                <w:color w:val="auto"/>
                <w:kern w:val="0"/>
                <w:sz w:val="22"/>
                <w:szCs w:val="22"/>
                <w:highlight w:val="none"/>
              </w:rPr>
              <w:t>bps</w:t>
            </w:r>
            <w:r>
              <w:rPr>
                <w:rFonts w:hint="default" w:ascii="宋体" w:hAnsi="宋体" w:cs="宋体"/>
                <w:color w:val="auto"/>
                <w:kern w:val="0"/>
                <w:sz w:val="22"/>
                <w:szCs w:val="22"/>
                <w:highlight w:val="none"/>
                <w:lang w:val="en-US" w:eastAsia="zh-CN"/>
              </w:rPr>
              <w:t>，</w:t>
            </w:r>
            <w:r>
              <w:rPr>
                <w:rFonts w:ascii="宋体" w:hAnsi="宋体" w:cs="宋体"/>
                <w:color w:val="auto"/>
                <w:kern w:val="0"/>
                <w:sz w:val="22"/>
                <w:szCs w:val="22"/>
                <w:highlight w:val="none"/>
              </w:rPr>
              <w:t>≥</w:t>
            </w:r>
            <w:r>
              <w:rPr>
                <w:rFonts w:hint="default" w:ascii="宋体" w:hAnsi="宋体" w:cs="宋体"/>
                <w:color w:val="auto"/>
                <w:kern w:val="0"/>
                <w:sz w:val="22"/>
                <w:szCs w:val="22"/>
                <w:highlight w:val="none"/>
                <w:lang w:val="en-US" w:eastAsia="zh-CN"/>
              </w:rPr>
              <w:t>2000个终端准入授权，</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w:t>
            </w:r>
            <w:r>
              <w:rPr>
                <w:rFonts w:hint="eastAsia" w:ascii="宋体" w:hAnsi="宋体" w:cs="宋体"/>
                <w:color w:val="auto"/>
                <w:kern w:val="0"/>
                <w:sz w:val="22"/>
                <w:szCs w:val="22"/>
                <w:highlight w:val="none"/>
                <w:lang w:val="en-US" w:eastAsia="zh-CN"/>
              </w:rPr>
              <w:t>千兆电口。</w:t>
            </w:r>
            <w:r>
              <w:rPr>
                <w:rFonts w:ascii="宋体" w:hAnsi="宋体" w:cs="宋体"/>
                <w:color w:val="auto"/>
                <w:kern w:val="0"/>
                <w:sz w:val="22"/>
                <w:szCs w:val="22"/>
                <w:highlight w:val="none"/>
              </w:rPr>
              <w:t>CPU与操作系统满足国产化要求。</w:t>
            </w:r>
            <w:r>
              <w:rPr>
                <w:rFonts w:ascii="宋体" w:hAnsi="宋体" w:cs="宋体"/>
                <w:color w:val="auto"/>
                <w:kern w:val="0"/>
                <w:sz w:val="22"/>
                <w:szCs w:val="22"/>
                <w:highlight w:val="none"/>
              </w:rPr>
              <w:br w:type="textWrapping"/>
            </w:r>
            <w:r>
              <w:rPr>
                <w:rFonts w:ascii="宋体" w:hAnsi="宋体" w:cs="宋体"/>
                <w:color w:val="auto"/>
                <w:kern w:val="0"/>
                <w:sz w:val="22"/>
                <w:szCs w:val="22"/>
                <w:highlight w:val="none"/>
              </w:rPr>
              <w:t>2</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支持统一管理平台，可对多种类型的接入终端（PC、笔记本、哑终端等）集中进行准入管理与安全状态管控。</w:t>
            </w:r>
          </w:p>
          <w:p w14:paraId="34CC4296">
            <w:pPr>
              <w:widowControl/>
              <w:spacing w:line="360" w:lineRule="auto"/>
              <w:jc w:val="left"/>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3、支持多种身份认证方式，包括本地账号、LDAP/AD域认证及短信认证等，并可与第三方认证系统对接实现统一身份认证；对企业微信、钉钉等移动办公平台的认证对接。</w:t>
            </w:r>
          </w:p>
          <w:p w14:paraId="14A83A8B">
            <w:pPr>
              <w:widowControl/>
              <w:spacing w:line="360" w:lineRule="auto"/>
              <w:jc w:val="left"/>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4、</w:t>
            </w:r>
            <w:r>
              <w:rPr>
                <w:rFonts w:hint="default" w:ascii="Times New Roman Regular" w:hAnsi="Times New Roman Regular" w:eastAsia="宋体" w:cs="Times New Roman Regular"/>
                <w:bCs/>
                <w:color w:val="auto"/>
                <w:sz w:val="24"/>
                <w:szCs w:val="24"/>
                <w:highlight w:val="none"/>
                <w:lang w:val="en-US" w:eastAsia="zh-CN"/>
              </w:rPr>
              <w:t>支持802.1x认证，可对接本地和AD域用户源进行用户名密码认证；</w:t>
            </w:r>
          </w:p>
          <w:p w14:paraId="37C4134D">
            <w:pPr>
              <w:widowControl/>
              <w:spacing w:line="360" w:lineRule="auto"/>
              <w:jc w:val="left"/>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5、支持终端合规性检查功能，对不合规终端支持告警或限制访问。</w:t>
            </w:r>
          </w:p>
          <w:p w14:paraId="616FB7BD">
            <w:pPr>
              <w:widowControl/>
              <w:spacing w:line="360" w:lineRule="auto"/>
              <w:jc w:val="left"/>
              <w:rPr>
                <w:rFonts w:hint="eastAsia"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6、支持自定义安全检查项，可通过自定义检查规则或脚本等方式扩展终端检查内容。</w:t>
            </w:r>
          </w:p>
          <w:p w14:paraId="38F4F13F">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color w:val="auto"/>
                <w:kern w:val="0"/>
                <w:sz w:val="22"/>
                <w:szCs w:val="22"/>
                <w:highlight w:val="none"/>
                <w:lang w:val="en-US" w:eastAsia="zh-CN"/>
              </w:rPr>
              <w:t>7、支持基于终端类型</w:t>
            </w:r>
            <w:r>
              <w:rPr>
                <w:rFonts w:hint="eastAsia" w:ascii="宋体" w:hAnsi="宋体" w:cs="宋体"/>
                <w:kern w:val="0"/>
                <w:sz w:val="22"/>
                <w:szCs w:val="22"/>
                <w:highlight w:val="none"/>
                <w:lang w:val="en-US" w:eastAsia="zh-CN"/>
              </w:rPr>
              <w:t>、接入位置、接入方式、用户身份、所属组织等属性设置准入策略，对不同场景的终端分别执行放行、认证、检查或隔离等处置动作。</w:t>
            </w:r>
          </w:p>
          <w:p w14:paraId="347EA35C">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8、支持终端资产识别与发现，可通过流量探测、主动扫描等方式，发现网络中的终端设备。</w:t>
            </w:r>
          </w:p>
          <w:p w14:paraId="0B20B05C">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9、支持访客接入管理，可对访客的申请、审批、有效期及访问范围进行控制，支持短信或二维码等方式授权，并留存访客接入记录。</w:t>
            </w:r>
          </w:p>
          <w:p w14:paraId="4B5D33DF">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10、支持IP/MAC地址绑定管理，可对终端的IP、MAC、用户等信息建立绑定关系</w:t>
            </w:r>
          </w:p>
          <w:p w14:paraId="5DE82FCA">
            <w:pPr>
              <w:widowControl/>
              <w:spacing w:line="360" w:lineRule="auto"/>
              <w:jc w:val="left"/>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11、支持非法接入与违规外联检测，可发现未经授权的终端接入、私接设备等异常行为，并支持告警或阻断。</w:t>
            </w:r>
          </w:p>
        </w:tc>
        <w:tc>
          <w:tcPr>
            <w:tcW w:w="466" w:type="dxa"/>
            <w:tcBorders>
              <w:top w:val="nil"/>
              <w:left w:val="nil"/>
              <w:bottom w:val="single" w:color="auto" w:sz="4" w:space="0"/>
              <w:right w:val="single" w:color="auto" w:sz="4" w:space="0"/>
            </w:tcBorders>
            <w:vAlign w:val="center"/>
          </w:tcPr>
          <w:p w14:paraId="1B84F3F8">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套</w:t>
            </w:r>
          </w:p>
        </w:tc>
        <w:tc>
          <w:tcPr>
            <w:tcW w:w="528" w:type="dxa"/>
            <w:tcBorders>
              <w:top w:val="nil"/>
              <w:left w:val="nil"/>
              <w:bottom w:val="single" w:color="auto" w:sz="4" w:space="0"/>
              <w:right w:val="single" w:color="auto" w:sz="4" w:space="0"/>
            </w:tcBorders>
            <w:shd w:val="clear" w:color="000000" w:fill="FFFFFF"/>
            <w:noWrap/>
            <w:vAlign w:val="center"/>
          </w:tcPr>
          <w:p w14:paraId="5690247E">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72D4E6D6">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6CA8A39D">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2BD93A21">
        <w:tblPrEx>
          <w:tblCellMar>
            <w:top w:w="0" w:type="dxa"/>
            <w:left w:w="108" w:type="dxa"/>
            <w:bottom w:w="0" w:type="dxa"/>
            <w:right w:w="108" w:type="dxa"/>
          </w:tblCellMar>
        </w:tblPrEx>
        <w:trPr>
          <w:trHeight w:val="475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4F581099">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8</w:t>
            </w:r>
          </w:p>
        </w:tc>
        <w:tc>
          <w:tcPr>
            <w:tcW w:w="1100" w:type="dxa"/>
            <w:tcBorders>
              <w:top w:val="nil"/>
              <w:left w:val="nil"/>
              <w:bottom w:val="single" w:color="auto" w:sz="4" w:space="0"/>
              <w:right w:val="single" w:color="auto" w:sz="4" w:space="0"/>
            </w:tcBorders>
            <w:shd w:val="clear" w:color="000000" w:fill="FFFFFF"/>
            <w:vAlign w:val="center"/>
          </w:tcPr>
          <w:p w14:paraId="0081A52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零信任平台</w:t>
            </w:r>
          </w:p>
        </w:tc>
        <w:tc>
          <w:tcPr>
            <w:tcW w:w="5006" w:type="dxa"/>
            <w:tcBorders>
              <w:top w:val="nil"/>
              <w:left w:val="nil"/>
              <w:bottom w:val="single" w:color="auto" w:sz="4" w:space="0"/>
              <w:right w:val="single" w:color="auto" w:sz="4" w:space="0"/>
            </w:tcBorders>
            <w:vAlign w:val="center"/>
          </w:tcPr>
          <w:p w14:paraId="6FC70B95">
            <w:pPr>
              <w:widowControl/>
              <w:spacing w:line="360" w:lineRule="auto"/>
              <w:jc w:val="left"/>
              <w:rPr>
                <w:rFonts w:hint="eastAsia" w:ascii="宋体" w:hAnsi="宋体" w:cs="宋体"/>
                <w:kern w:val="0"/>
                <w:sz w:val="22"/>
                <w:szCs w:val="22"/>
                <w:highlight w:val="none"/>
                <w:lang w:val="en-US" w:eastAsia="zh-CN"/>
              </w:rPr>
            </w:pPr>
            <w:r>
              <w:rPr>
                <w:rFonts w:ascii="宋体" w:hAnsi="宋体" w:cs="宋体"/>
                <w:color w:val="auto"/>
                <w:kern w:val="0"/>
                <w:sz w:val="22"/>
                <w:szCs w:val="22"/>
                <w:highlight w:val="none"/>
              </w:rPr>
              <w:t>1、★加密流量≥300Mbps，并发用户数≥600个，</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≥6个千兆电口</w:t>
            </w:r>
            <w:r>
              <w:rPr>
                <w:rFonts w:hint="eastAsia" w:ascii="宋体" w:hAnsi="宋体" w:cs="宋体"/>
                <w:color w:val="auto"/>
                <w:kern w:val="0"/>
                <w:sz w:val="22"/>
                <w:szCs w:val="22"/>
                <w:highlight w:val="none"/>
                <w:lang w:eastAsia="zh-CN"/>
              </w:rPr>
              <w:t>、</w:t>
            </w:r>
            <w:r>
              <w:rPr>
                <w:rFonts w:ascii="宋体" w:hAnsi="宋体" w:cs="宋体"/>
                <w:color w:val="auto"/>
                <w:kern w:val="0"/>
                <w:sz w:val="22"/>
                <w:szCs w:val="22"/>
                <w:highlight w:val="none"/>
              </w:rPr>
              <w:t>≥4个千兆</w:t>
            </w:r>
            <w:r>
              <w:rPr>
                <w:rFonts w:hint="eastAsia" w:ascii="宋体" w:hAnsi="宋体" w:cs="宋体"/>
                <w:color w:val="auto"/>
                <w:kern w:val="0"/>
                <w:sz w:val="22"/>
                <w:szCs w:val="22"/>
                <w:highlight w:val="none"/>
                <w:lang w:val="en-US" w:eastAsia="zh-CN"/>
              </w:rPr>
              <w:t>光</w:t>
            </w:r>
            <w:r>
              <w:rPr>
                <w:rFonts w:ascii="宋体" w:hAnsi="宋体" w:cs="宋体"/>
                <w:color w:val="auto"/>
                <w:kern w:val="0"/>
                <w:sz w:val="22"/>
                <w:szCs w:val="22"/>
                <w:highlight w:val="none"/>
              </w:rPr>
              <w:t>口，提供不少于200并发用户数接入授权。CPU与操作系统满足国产化要求。</w:t>
            </w:r>
            <w:r>
              <w:rPr>
                <w:rFonts w:ascii="宋体" w:hAnsi="宋体" w:cs="宋体"/>
                <w:kern w:val="0"/>
                <w:sz w:val="22"/>
                <w:szCs w:val="22"/>
                <w:highlight w:val="none"/>
              </w:rPr>
              <w:br w:type="textWrapping"/>
            </w:r>
            <w:r>
              <w:rPr>
                <w:rFonts w:hint="eastAsia" w:ascii="宋体" w:hAnsi="宋体" w:cs="宋体"/>
                <w:kern w:val="0"/>
                <w:sz w:val="22"/>
                <w:szCs w:val="22"/>
                <w:highlight w:val="none"/>
                <w:lang w:val="en-US" w:eastAsia="zh-CN"/>
              </w:rPr>
              <w:t>2、支持多因素认证，可结合短信验证码、动态令牌等多种方式进行身份增强认证，并支持根据登录环境、终端状态、访问风险等条件动态触发二次认证。</w:t>
            </w:r>
          </w:p>
          <w:p w14:paraId="7D229B69">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3、支持统一身份与用户管理，可对用户、用户组及组织架构进行集中管理，支持基于用户属性或标签制定差异化的访问控制策略。</w:t>
            </w:r>
          </w:p>
          <w:p w14:paraId="764768C7">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4、支持网络隐身与服务端口防护机制，在未通过身份认证和授权前，业务系统及网关服务端口对外不可见，可有效减少暴露面，防止非授权终端的扫描与探测。</w:t>
            </w:r>
          </w:p>
          <w:p w14:paraId="509956DA">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5、支持以应用为粒度的业务发布与访问控制，可按用户、终端等条件限定可访问的应用。</w:t>
            </w:r>
          </w:p>
          <w:p w14:paraId="78CF1FCE">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6、支持基于身份、设备、环境和行为的持续信任评估与动态授权，可根据风险变化实时调整或收回访问权限。</w:t>
            </w:r>
          </w:p>
          <w:p w14:paraId="5A34F4A0">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7、支持Web应用水印功能，可在已发布的Web应用页面叠加包含用户名、时间等信息的水印。</w:t>
            </w:r>
          </w:p>
          <w:p w14:paraId="4FAD7305">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8、支持对业务访问链路的加密传输，在客户端与零信任网关之间建立加密通道。</w:t>
            </w:r>
          </w:p>
          <w:p w14:paraId="4696BE3B">
            <w:pPr>
              <w:widowControl/>
              <w:spacing w:line="360" w:lineRule="auto"/>
              <w:jc w:val="left"/>
              <w:rPr>
                <w:rFonts w:hint="default"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9、支持访问过程中对网络连接质量进行优化，提升远程访问体验。</w:t>
            </w:r>
          </w:p>
          <w:p w14:paraId="39DAD40C">
            <w:pPr>
              <w:widowControl/>
              <w:spacing w:line="360" w:lineRule="auto"/>
              <w:jc w:val="left"/>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10、支持单点登录功能，用户完成一次认证后可访问多个已授权应用。</w:t>
            </w:r>
          </w:p>
        </w:tc>
        <w:tc>
          <w:tcPr>
            <w:tcW w:w="466" w:type="dxa"/>
            <w:tcBorders>
              <w:top w:val="nil"/>
              <w:left w:val="nil"/>
              <w:bottom w:val="single" w:color="auto" w:sz="4" w:space="0"/>
              <w:right w:val="single" w:color="auto" w:sz="4" w:space="0"/>
            </w:tcBorders>
            <w:vAlign w:val="center"/>
          </w:tcPr>
          <w:p w14:paraId="5248DEAA">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5092F151">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3040929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3844360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1DFE2469">
        <w:tblPrEx>
          <w:tblCellMar>
            <w:top w:w="0" w:type="dxa"/>
            <w:left w:w="108" w:type="dxa"/>
            <w:bottom w:w="0" w:type="dxa"/>
            <w:right w:w="108" w:type="dxa"/>
          </w:tblCellMar>
        </w:tblPrEx>
        <w:trPr>
          <w:trHeight w:val="5243"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4797D56F">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9</w:t>
            </w:r>
          </w:p>
        </w:tc>
        <w:tc>
          <w:tcPr>
            <w:tcW w:w="1100" w:type="dxa"/>
            <w:tcBorders>
              <w:top w:val="nil"/>
              <w:left w:val="nil"/>
              <w:bottom w:val="single" w:color="auto" w:sz="4" w:space="0"/>
              <w:right w:val="single" w:color="auto" w:sz="4" w:space="0"/>
            </w:tcBorders>
            <w:shd w:val="clear" w:color="000000" w:fill="FFFFFF"/>
            <w:vAlign w:val="center"/>
          </w:tcPr>
          <w:p w14:paraId="26E3EE2C">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日志审计</w:t>
            </w:r>
          </w:p>
        </w:tc>
        <w:tc>
          <w:tcPr>
            <w:tcW w:w="5006" w:type="dxa"/>
            <w:tcBorders>
              <w:top w:val="nil"/>
              <w:left w:val="nil"/>
              <w:bottom w:val="single" w:color="auto" w:sz="4" w:space="0"/>
              <w:right w:val="single" w:color="auto" w:sz="4" w:space="0"/>
            </w:tcBorders>
            <w:vAlign w:val="center"/>
          </w:tcPr>
          <w:p w14:paraId="6B4A3C41">
            <w:pPr>
              <w:widowControl/>
              <w:spacing w:line="360" w:lineRule="auto"/>
              <w:jc w:val="left"/>
              <w:rPr>
                <w:rFonts w:ascii="宋体" w:hAnsi="宋体" w:cs="宋体"/>
                <w:color w:val="auto"/>
                <w:kern w:val="0"/>
                <w:sz w:val="22"/>
                <w:szCs w:val="22"/>
                <w:highlight w:val="none"/>
              </w:rPr>
            </w:pPr>
            <w:r>
              <w:rPr>
                <w:rFonts w:ascii="宋体" w:hAnsi="宋体" w:cs="宋体"/>
                <w:color w:val="auto"/>
                <w:kern w:val="0"/>
                <w:sz w:val="22"/>
                <w:szCs w:val="22"/>
                <w:highlight w:val="none"/>
              </w:rPr>
              <w:t>1、★标准硬件设备≥2U，双电源；</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≥6个</w:t>
            </w:r>
            <w:r>
              <w:rPr>
                <w:rFonts w:hint="eastAsia" w:ascii="宋体" w:hAnsi="宋体" w:cs="宋体"/>
                <w:color w:val="auto"/>
                <w:kern w:val="0"/>
                <w:sz w:val="22"/>
                <w:szCs w:val="22"/>
                <w:highlight w:val="none"/>
                <w:lang w:val="en-US" w:eastAsia="zh-CN"/>
              </w:rPr>
              <w:t>千兆电口、</w:t>
            </w:r>
            <w:r>
              <w:rPr>
                <w:rFonts w:ascii="宋体" w:hAnsi="宋体" w:cs="宋体"/>
                <w:color w:val="auto"/>
                <w:kern w:val="0"/>
                <w:sz w:val="22"/>
                <w:szCs w:val="22"/>
                <w:highlight w:val="none"/>
              </w:rPr>
              <w:t>≥</w:t>
            </w:r>
            <w:r>
              <w:rPr>
                <w:rFonts w:hint="eastAsia" w:ascii="宋体" w:hAnsi="宋体" w:cs="宋体"/>
                <w:color w:val="auto"/>
                <w:kern w:val="0"/>
                <w:sz w:val="22"/>
                <w:szCs w:val="22"/>
                <w:highlight w:val="none"/>
                <w:lang w:val="en-US" w:eastAsia="zh-CN"/>
              </w:rPr>
              <w:t>2</w:t>
            </w:r>
            <w:r>
              <w:rPr>
                <w:rFonts w:ascii="宋体" w:hAnsi="宋体" w:cs="宋体"/>
                <w:color w:val="auto"/>
                <w:kern w:val="0"/>
                <w:sz w:val="22"/>
                <w:szCs w:val="22"/>
                <w:highlight w:val="none"/>
              </w:rPr>
              <w:t>个</w:t>
            </w:r>
            <w:r>
              <w:rPr>
                <w:rFonts w:hint="eastAsia" w:ascii="宋体" w:hAnsi="宋体" w:cs="宋体"/>
                <w:color w:val="auto"/>
                <w:kern w:val="0"/>
                <w:sz w:val="22"/>
                <w:szCs w:val="22"/>
                <w:highlight w:val="none"/>
                <w:lang w:val="en-US" w:eastAsia="zh-CN"/>
              </w:rPr>
              <w:t>万兆光口</w:t>
            </w:r>
            <w:r>
              <w:rPr>
                <w:rFonts w:ascii="宋体" w:hAnsi="宋体" w:cs="宋体"/>
                <w:color w:val="auto"/>
                <w:kern w:val="0"/>
                <w:sz w:val="22"/>
                <w:szCs w:val="22"/>
                <w:highlight w:val="none"/>
              </w:rPr>
              <w:t>；</w:t>
            </w:r>
            <w:r>
              <w:rPr>
                <w:rFonts w:hint="eastAsia" w:ascii="宋体" w:hAnsi="宋体" w:cs="宋体"/>
                <w:color w:val="auto"/>
                <w:kern w:val="0"/>
                <w:sz w:val="22"/>
                <w:szCs w:val="22"/>
                <w:highlight w:val="none"/>
              </w:rPr>
              <w:t>硬盘</w:t>
            </w:r>
            <w:r>
              <w:rPr>
                <w:rFonts w:ascii="宋体" w:hAnsi="宋体" w:cs="宋体"/>
                <w:color w:val="auto"/>
                <w:kern w:val="0"/>
                <w:sz w:val="22"/>
                <w:szCs w:val="22"/>
                <w:highlight w:val="none"/>
              </w:rPr>
              <w:t>≥8</w:t>
            </w:r>
            <w:r>
              <w:rPr>
                <w:rFonts w:hint="eastAsia" w:ascii="宋体" w:hAnsi="宋体" w:cs="宋体"/>
                <w:color w:val="auto"/>
                <w:kern w:val="0"/>
                <w:sz w:val="22"/>
                <w:szCs w:val="22"/>
                <w:highlight w:val="none"/>
              </w:rPr>
              <w:t>T机械</w:t>
            </w:r>
            <w:r>
              <w:rPr>
                <w:rFonts w:ascii="宋体" w:hAnsi="宋体" w:cs="宋体"/>
                <w:color w:val="auto"/>
                <w:kern w:val="0"/>
                <w:sz w:val="22"/>
                <w:szCs w:val="22"/>
                <w:highlight w:val="none"/>
              </w:rPr>
              <w:t>硬盘；审计对象授权数≥1</w:t>
            </w:r>
            <w:r>
              <w:rPr>
                <w:rFonts w:hint="eastAsia" w:ascii="宋体" w:hAnsi="宋体" w:cs="宋体"/>
                <w:color w:val="auto"/>
                <w:kern w:val="0"/>
                <w:sz w:val="22"/>
                <w:szCs w:val="22"/>
                <w:highlight w:val="none"/>
                <w:lang w:val="en-US" w:eastAsia="zh-CN"/>
              </w:rPr>
              <w:t>5</w:t>
            </w:r>
            <w:r>
              <w:rPr>
                <w:rFonts w:ascii="宋体" w:hAnsi="宋体" w:cs="宋体"/>
                <w:color w:val="auto"/>
                <w:kern w:val="0"/>
                <w:sz w:val="22"/>
                <w:szCs w:val="22"/>
                <w:highlight w:val="none"/>
              </w:rPr>
              <w:t>0个；CPU与操作系统满足国产化要求。</w:t>
            </w:r>
          </w:p>
          <w:p w14:paraId="1312A690">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2、支持日志源的统一接入与管理，支持通过多种方式采集各类网络设备、安全设备、主机、数据库及应用系统的日志，并支持对日志源的运行状态进行监测。</w:t>
            </w:r>
          </w:p>
          <w:p w14:paraId="20C37464">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3、支持告警通知功能，告警可通过邮件、第三方接口等方式推送至管理员或第三方平台。</w:t>
            </w:r>
          </w:p>
          <w:p w14:paraId="622413F5">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4、支持日志过滤与归并功能，可针对不同日志源设置过滤条件，对低价值或重复日志进行过滤或聚合，减少上送日志量，降低网络带宽与存储资源占用。</w:t>
            </w:r>
          </w:p>
          <w:p w14:paraId="7CF64478">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5、支持日志归档与备份功能，可将历史日志定期归档至外部存储或备份服务器，并支持在管理界面查看存储空间使用情况，支持归档日志的恢复与检索。</w:t>
            </w:r>
          </w:p>
          <w:p w14:paraId="30F598BF">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6、支持日志的多条件组合检索与统计分析，可基于时间、源/目的地址、事件类型、设备等字段进行查询。</w:t>
            </w:r>
          </w:p>
          <w:p w14:paraId="65EBDB54">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7、支持审计规则管理，内置多类审计与关联分析规则，规则命中后可生成告警，并按设定方式进行通知。</w:t>
            </w:r>
          </w:p>
          <w:p w14:paraId="71FE7394">
            <w:pPr>
              <w:widowControl/>
              <w:spacing w:line="360" w:lineRule="auto"/>
              <w:jc w:val="left"/>
              <w:rPr>
                <w:rFonts w:hint="eastAsia" w:ascii="宋体" w:hAnsi="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8、支持日志详情查看，可同时展示解析后的事件字段与原始日志内容，并支持基于事件中的关键字段进行进一步检索与关联分析。</w:t>
            </w:r>
          </w:p>
          <w:p w14:paraId="57A6AC71">
            <w:pPr>
              <w:widowControl/>
              <w:spacing w:line="360" w:lineRule="auto"/>
              <w:jc w:val="left"/>
              <w:rPr>
                <w:rFonts w:hint="eastAsia" w:ascii="宋体" w:hAnsi="宋体" w:cs="宋体"/>
                <w:kern w:val="0"/>
                <w:sz w:val="22"/>
                <w:szCs w:val="22"/>
                <w:highlight w:val="none"/>
              </w:rPr>
            </w:pPr>
            <w:r>
              <w:rPr>
                <w:rFonts w:hint="eastAsia" w:ascii="宋体" w:hAnsi="宋体" w:cs="宋体"/>
                <w:color w:val="000000" w:themeColor="text1"/>
                <w:kern w:val="0"/>
                <w:sz w:val="22"/>
                <w:szCs w:val="22"/>
                <w:highlight w:val="none"/>
                <w:lang w:val="en-US" w:eastAsia="zh-CN"/>
                <w14:textFill>
                  <w14:solidFill>
                    <w14:schemeClr w14:val="tx1"/>
                  </w14:solidFill>
                </w14:textFill>
              </w:rPr>
              <w:t>9、支持系统运维辅助工具，如网络连通性检测等，便于运维人员排查日志源接入及网络通信问题。</w:t>
            </w:r>
          </w:p>
        </w:tc>
        <w:tc>
          <w:tcPr>
            <w:tcW w:w="466" w:type="dxa"/>
            <w:tcBorders>
              <w:top w:val="nil"/>
              <w:left w:val="nil"/>
              <w:bottom w:val="single" w:color="auto" w:sz="4" w:space="0"/>
              <w:right w:val="single" w:color="auto" w:sz="4" w:space="0"/>
            </w:tcBorders>
            <w:vAlign w:val="center"/>
          </w:tcPr>
          <w:p w14:paraId="35CB1A08">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4BB27B73">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1936BCC0">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63F3E0A6">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4C7C6812">
        <w:tblPrEx>
          <w:tblCellMar>
            <w:top w:w="0" w:type="dxa"/>
            <w:left w:w="108" w:type="dxa"/>
            <w:bottom w:w="0" w:type="dxa"/>
            <w:right w:w="108" w:type="dxa"/>
          </w:tblCellMar>
        </w:tblPrEx>
        <w:trPr>
          <w:trHeight w:val="1975"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39C79D6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10</w:t>
            </w:r>
          </w:p>
        </w:tc>
        <w:tc>
          <w:tcPr>
            <w:tcW w:w="1100" w:type="dxa"/>
            <w:tcBorders>
              <w:top w:val="nil"/>
              <w:left w:val="nil"/>
              <w:bottom w:val="single" w:color="auto" w:sz="4" w:space="0"/>
              <w:right w:val="single" w:color="auto" w:sz="4" w:space="0"/>
            </w:tcBorders>
            <w:shd w:val="clear" w:color="000000" w:fill="FFFFFF"/>
            <w:vAlign w:val="center"/>
          </w:tcPr>
          <w:p w14:paraId="39EE0FF2">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数据库审计</w:t>
            </w:r>
          </w:p>
        </w:tc>
        <w:tc>
          <w:tcPr>
            <w:tcW w:w="5006" w:type="dxa"/>
            <w:tcBorders>
              <w:top w:val="nil"/>
              <w:left w:val="nil"/>
              <w:bottom w:val="single" w:color="auto" w:sz="4" w:space="0"/>
              <w:right w:val="single" w:color="auto" w:sz="4" w:space="0"/>
            </w:tcBorders>
            <w:vAlign w:val="center"/>
          </w:tcPr>
          <w:p w14:paraId="79F2DFDC">
            <w:pPr>
              <w:widowControl/>
              <w:spacing w:line="360" w:lineRule="auto"/>
              <w:jc w:val="left"/>
              <w:rPr>
                <w:rFonts w:hint="eastAsia" w:ascii="宋体" w:hAnsi="宋体" w:cs="宋体"/>
                <w:kern w:val="0"/>
                <w:sz w:val="22"/>
                <w:szCs w:val="22"/>
                <w:highlight w:val="none"/>
                <w:lang w:val="en-US" w:eastAsia="zh-CN"/>
              </w:rPr>
            </w:pPr>
            <w:r>
              <w:rPr>
                <w:rFonts w:ascii="宋体" w:hAnsi="宋体" w:cs="宋体"/>
                <w:color w:val="auto"/>
                <w:kern w:val="0"/>
                <w:sz w:val="22"/>
                <w:szCs w:val="22"/>
                <w:highlight w:val="none"/>
              </w:rPr>
              <w:t>1、★标准硬件设备≥2U，双电源；</w:t>
            </w:r>
            <w:r>
              <w:rPr>
                <w:rFonts w:hint="eastAsia" w:ascii="宋体" w:hAnsi="宋体" w:cs="宋体"/>
                <w:color w:val="auto"/>
                <w:kern w:val="0"/>
                <w:sz w:val="22"/>
                <w:szCs w:val="22"/>
                <w:highlight w:val="none"/>
                <w:lang w:val="en-US" w:eastAsia="zh-CN"/>
              </w:rPr>
              <w:t>网络接口</w:t>
            </w:r>
            <w:r>
              <w:rPr>
                <w:rFonts w:ascii="宋体" w:hAnsi="宋体" w:cs="宋体"/>
                <w:color w:val="auto"/>
                <w:kern w:val="0"/>
                <w:sz w:val="22"/>
                <w:szCs w:val="22"/>
                <w:highlight w:val="none"/>
              </w:rPr>
              <w:t>≥</w:t>
            </w:r>
            <w:r>
              <w:rPr>
                <w:rFonts w:hint="eastAsia" w:ascii="宋体" w:hAnsi="宋体" w:cs="宋体"/>
                <w:color w:val="auto"/>
                <w:kern w:val="0"/>
                <w:sz w:val="22"/>
                <w:szCs w:val="22"/>
                <w:highlight w:val="none"/>
                <w:lang w:val="en-US" w:eastAsia="zh-CN"/>
              </w:rPr>
              <w:t>6</w:t>
            </w:r>
            <w:r>
              <w:rPr>
                <w:rFonts w:ascii="宋体" w:hAnsi="宋体" w:cs="宋体"/>
                <w:color w:val="auto"/>
                <w:kern w:val="0"/>
                <w:sz w:val="22"/>
                <w:szCs w:val="22"/>
                <w:highlight w:val="none"/>
              </w:rPr>
              <w:t>个</w:t>
            </w:r>
            <w:r>
              <w:rPr>
                <w:rFonts w:hint="eastAsia" w:ascii="宋体" w:hAnsi="宋体" w:cs="宋体"/>
                <w:color w:val="auto"/>
                <w:kern w:val="0"/>
                <w:sz w:val="22"/>
                <w:szCs w:val="22"/>
                <w:highlight w:val="none"/>
                <w:lang w:val="en-US" w:eastAsia="zh-CN"/>
              </w:rPr>
              <w:t>千兆电口</w:t>
            </w:r>
            <w:r>
              <w:rPr>
                <w:rFonts w:ascii="宋体" w:hAnsi="宋体" w:cs="宋体"/>
                <w:color w:val="auto"/>
                <w:kern w:val="0"/>
                <w:sz w:val="22"/>
                <w:szCs w:val="22"/>
                <w:highlight w:val="none"/>
              </w:rPr>
              <w:t>，</w:t>
            </w:r>
            <w:r>
              <w:rPr>
                <w:rFonts w:hint="eastAsia" w:ascii="宋体" w:hAnsi="宋体" w:cs="宋体"/>
                <w:color w:val="auto"/>
                <w:kern w:val="0"/>
                <w:sz w:val="22"/>
                <w:szCs w:val="22"/>
                <w:highlight w:val="none"/>
              </w:rPr>
              <w:t>硬盘</w:t>
            </w:r>
            <w:r>
              <w:rPr>
                <w:rFonts w:ascii="宋体" w:hAnsi="宋体" w:cs="宋体"/>
                <w:color w:val="auto"/>
                <w:kern w:val="0"/>
                <w:sz w:val="22"/>
                <w:szCs w:val="22"/>
                <w:highlight w:val="none"/>
              </w:rPr>
              <w:t>≥8</w:t>
            </w:r>
            <w:r>
              <w:rPr>
                <w:rFonts w:hint="eastAsia" w:ascii="宋体" w:hAnsi="宋体" w:cs="宋体"/>
                <w:color w:val="auto"/>
                <w:kern w:val="0"/>
                <w:sz w:val="22"/>
                <w:szCs w:val="22"/>
                <w:highlight w:val="none"/>
              </w:rPr>
              <w:t>T机械</w:t>
            </w:r>
            <w:r>
              <w:rPr>
                <w:rFonts w:ascii="宋体" w:hAnsi="宋体" w:cs="宋体"/>
                <w:color w:val="auto"/>
                <w:kern w:val="0"/>
                <w:sz w:val="22"/>
                <w:szCs w:val="22"/>
                <w:highlight w:val="none"/>
              </w:rPr>
              <w:t>硬盘；业务流量</w:t>
            </w:r>
            <w:r>
              <w:rPr>
                <w:rFonts w:hint="eastAsia" w:ascii="宋体" w:hAnsi="宋体" w:cs="宋体"/>
                <w:color w:val="auto"/>
                <w:kern w:val="0"/>
                <w:sz w:val="22"/>
                <w:szCs w:val="22"/>
                <w:highlight w:val="none"/>
                <w:lang w:val="en-US" w:eastAsia="zh-CN"/>
              </w:rPr>
              <w:t>处理能力</w:t>
            </w:r>
            <w:r>
              <w:rPr>
                <w:rFonts w:ascii="宋体" w:hAnsi="宋体" w:cs="宋体"/>
                <w:color w:val="auto"/>
                <w:kern w:val="0"/>
                <w:sz w:val="22"/>
                <w:szCs w:val="22"/>
                <w:highlight w:val="none"/>
              </w:rPr>
              <w:t>≥1000Mbps，数据库</w:t>
            </w:r>
            <w:r>
              <w:rPr>
                <w:rFonts w:hint="eastAsia" w:ascii="宋体" w:hAnsi="宋体" w:cs="宋体"/>
                <w:color w:val="auto"/>
                <w:kern w:val="0"/>
                <w:sz w:val="22"/>
                <w:szCs w:val="22"/>
                <w:highlight w:val="none"/>
                <w:lang w:val="en-US" w:eastAsia="zh-CN"/>
              </w:rPr>
              <w:t>实例个</w:t>
            </w:r>
            <w:r>
              <w:rPr>
                <w:rFonts w:ascii="宋体" w:hAnsi="宋体" w:cs="宋体"/>
                <w:color w:val="auto"/>
                <w:kern w:val="0"/>
                <w:sz w:val="22"/>
                <w:szCs w:val="22"/>
                <w:highlight w:val="none"/>
              </w:rPr>
              <w:t>数</w:t>
            </w:r>
            <w:r>
              <w:rPr>
                <w:rFonts w:hint="eastAsia" w:ascii="宋体" w:hAnsi="宋体" w:cs="宋体"/>
                <w:color w:val="auto"/>
                <w:kern w:val="0"/>
                <w:sz w:val="22"/>
                <w:szCs w:val="22"/>
                <w:highlight w:val="none"/>
                <w:lang w:val="en-US" w:eastAsia="zh-CN"/>
              </w:rPr>
              <w:t>无限制</w:t>
            </w:r>
            <w:r>
              <w:rPr>
                <w:rFonts w:ascii="宋体" w:hAnsi="宋体" w:cs="宋体"/>
                <w:color w:val="auto"/>
                <w:kern w:val="0"/>
                <w:sz w:val="22"/>
                <w:szCs w:val="22"/>
                <w:highlight w:val="none"/>
              </w:rPr>
              <w:t>；CPU与操作系统满足国产化要求。</w:t>
            </w:r>
            <w:r>
              <w:rPr>
                <w:rFonts w:ascii="宋体" w:hAnsi="宋体" w:cs="宋体"/>
                <w:kern w:val="0"/>
                <w:sz w:val="22"/>
                <w:szCs w:val="22"/>
                <w:highlight w:val="none"/>
              </w:rPr>
              <w:br w:type="textWrapping"/>
            </w:r>
            <w:r>
              <w:rPr>
                <w:rFonts w:hint="eastAsia" w:ascii="宋体" w:hAnsi="宋体" w:cs="宋体"/>
                <w:kern w:val="0"/>
                <w:sz w:val="22"/>
                <w:szCs w:val="22"/>
                <w:highlight w:val="none"/>
                <w:lang w:val="en-US" w:eastAsia="zh-CN"/>
              </w:rPr>
              <w:t>2、支持旁路镜像部署，通过交换机镜像流量对数据库访问行为进行审计，不改变现有网络架构，不影响业务运行；</w:t>
            </w:r>
          </w:p>
          <w:p w14:paraId="3B3536A2">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3、支持对主流关系型数据库（如Oracle、MySQL、SQL Server等）及国产数据库的协议解析与审计。</w:t>
            </w:r>
          </w:p>
          <w:p w14:paraId="01C4B413">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4、支持数据库资产的发现与管理，可通过镜像流量或扫描方式识别网络中的数据库服务，展示其IP地址、端口、数据库类型等信息，并支持将发现的资产纳入审计范围。</w:t>
            </w:r>
          </w:p>
          <w:p w14:paraId="5E3A4729">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5、支持对HTTP等应用层访问行为的审计，可记录请求方式、URL、响应状态等信息，实现应用访问到数据库操作的关联追溯。</w:t>
            </w:r>
          </w:p>
          <w:p w14:paraId="48FC9698">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6、支持敏感数据识别功能，可通过内置规则识别敏感数据，并展示命中的规则及相关表、字段信息</w:t>
            </w:r>
          </w:p>
          <w:p w14:paraId="28E2BA90">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7、支持SQL语句的解析与分类，可将操作识别为登录、登出、查询、新增、修改、删除及DDL、DCL等类型，并支持按操作类型检索和统计。</w:t>
            </w:r>
          </w:p>
          <w:p w14:paraId="4060C659">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8、支持数据库服务器相关异常行为的监测，可对数据库服务器的异常网络访问、非常用端口通信、对外连接等行为进行记录和告警，并支持留存审计记录用于追溯。</w:t>
            </w:r>
          </w:p>
          <w:p w14:paraId="0ECBBE06">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9、支持审计规则管理，包括自定义规则、白名单、黑名单及用户行为基线等，规则命中后可进行告警；支持基于已有审计日志快速创建规则，审计日志中的关键信息可自动带入规则条件。</w:t>
            </w:r>
          </w:p>
          <w:p w14:paraId="56DB51A5">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10、支持SQL性能与行为分析，可对指定时间范围内的SQL语句执行次数、响应时间、返回行数等指标进行统计与排序。</w:t>
            </w:r>
          </w:p>
          <w:p w14:paraId="1C5392CF">
            <w:pPr>
              <w:widowControl/>
              <w:spacing w:line="360" w:lineRule="auto"/>
              <w:jc w:val="left"/>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11、支持审计日志的多条件组合查询、统计与导出，支持报表生成，并支持管理员分级分权、操作日志记录。</w:t>
            </w:r>
          </w:p>
        </w:tc>
        <w:tc>
          <w:tcPr>
            <w:tcW w:w="466" w:type="dxa"/>
            <w:tcBorders>
              <w:top w:val="nil"/>
              <w:left w:val="nil"/>
              <w:bottom w:val="single" w:color="auto" w:sz="4" w:space="0"/>
              <w:right w:val="single" w:color="auto" w:sz="4" w:space="0"/>
            </w:tcBorders>
            <w:vAlign w:val="center"/>
          </w:tcPr>
          <w:p w14:paraId="347FCB75">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25AD2371">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7E357B04">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64BD47E7">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7BF9C7F3">
        <w:tblPrEx>
          <w:tblCellMar>
            <w:top w:w="0" w:type="dxa"/>
            <w:left w:w="108" w:type="dxa"/>
            <w:bottom w:w="0" w:type="dxa"/>
            <w:right w:w="108" w:type="dxa"/>
          </w:tblCellMar>
        </w:tblPrEx>
        <w:trPr>
          <w:trHeight w:val="121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5BB15DBE">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11</w:t>
            </w:r>
          </w:p>
        </w:tc>
        <w:tc>
          <w:tcPr>
            <w:tcW w:w="1100" w:type="dxa"/>
            <w:tcBorders>
              <w:top w:val="nil"/>
              <w:left w:val="nil"/>
              <w:bottom w:val="single" w:color="auto" w:sz="4" w:space="0"/>
              <w:right w:val="single" w:color="auto" w:sz="4" w:space="0"/>
            </w:tcBorders>
            <w:shd w:val="clear" w:color="000000" w:fill="FFFFFF"/>
            <w:vAlign w:val="center"/>
          </w:tcPr>
          <w:p w14:paraId="3E662EBF">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▲交换机</w:t>
            </w:r>
          </w:p>
        </w:tc>
        <w:tc>
          <w:tcPr>
            <w:tcW w:w="5006" w:type="dxa"/>
            <w:tcBorders>
              <w:top w:val="nil"/>
              <w:left w:val="nil"/>
              <w:bottom w:val="single" w:color="auto" w:sz="4" w:space="0"/>
              <w:right w:val="single" w:color="auto" w:sz="4" w:space="0"/>
            </w:tcBorders>
            <w:vAlign w:val="center"/>
          </w:tcPr>
          <w:p w14:paraId="749EE651">
            <w:pPr>
              <w:widowControl/>
              <w:spacing w:line="360" w:lineRule="auto"/>
              <w:jc w:val="left"/>
              <w:rPr>
                <w:rFonts w:hint="eastAsia" w:ascii="宋体" w:hAnsi="宋体" w:cs="宋体"/>
                <w:color w:val="auto"/>
                <w:kern w:val="0"/>
                <w:sz w:val="22"/>
                <w:szCs w:val="22"/>
                <w:highlight w:val="none"/>
              </w:rPr>
            </w:pPr>
            <w:r>
              <w:rPr>
                <w:rFonts w:ascii="宋体" w:hAnsi="宋体" w:cs="宋体"/>
                <w:color w:val="auto"/>
                <w:kern w:val="0"/>
                <w:sz w:val="22"/>
                <w:szCs w:val="22"/>
                <w:highlight w:val="none"/>
              </w:rPr>
              <w:t>1、★交换容量≥68Tbps（以官网所列最低值为准）；包转发率≥51200Mpps</w:t>
            </w:r>
          </w:p>
          <w:p w14:paraId="21EB243F">
            <w:pPr>
              <w:widowControl/>
              <w:spacing w:line="360" w:lineRule="auto"/>
              <w:jc w:val="left"/>
              <w:rPr>
                <w:rFonts w:hint="eastAsia" w:ascii="宋体" w:hAnsi="宋体" w:eastAsia="宋体" w:cs="宋体"/>
                <w:color w:val="auto"/>
                <w:kern w:val="0"/>
                <w:sz w:val="22"/>
                <w:szCs w:val="22"/>
                <w:highlight w:val="none"/>
                <w:lang w:eastAsia="zh-CN"/>
              </w:rPr>
            </w:pPr>
            <w:r>
              <w:rPr>
                <w:rFonts w:ascii="宋体" w:hAnsi="宋体" w:cs="宋体"/>
                <w:color w:val="auto"/>
                <w:kern w:val="0"/>
                <w:sz w:val="22"/>
                <w:szCs w:val="22"/>
                <w:highlight w:val="none"/>
              </w:rPr>
              <w:t>2、★主控槽位数≥2，业务板槽位数≥3；电源模块数≥2</w:t>
            </w:r>
          </w:p>
          <w:p w14:paraId="26DB65E3">
            <w:pPr>
              <w:widowControl/>
              <w:spacing w:line="360" w:lineRule="auto"/>
              <w:jc w:val="left"/>
              <w:rPr>
                <w:rFonts w:hint="eastAsia" w:ascii="宋体" w:hAnsi="宋体" w:cs="宋体"/>
                <w:color w:val="auto"/>
                <w:kern w:val="0"/>
                <w:sz w:val="22"/>
                <w:szCs w:val="22"/>
                <w:highlight w:val="none"/>
              </w:rPr>
            </w:pPr>
            <w:r>
              <w:rPr>
                <w:rFonts w:ascii="宋体" w:hAnsi="宋体" w:cs="宋体"/>
                <w:color w:val="auto"/>
                <w:kern w:val="0"/>
                <w:sz w:val="22"/>
                <w:szCs w:val="22"/>
                <w:highlight w:val="none"/>
              </w:rPr>
              <w:t>3、★配置≥</w:t>
            </w:r>
            <w:r>
              <w:rPr>
                <w:rFonts w:hint="eastAsia" w:ascii="宋体" w:hAnsi="宋体" w:cs="宋体"/>
                <w:color w:val="auto"/>
                <w:kern w:val="0"/>
                <w:sz w:val="22"/>
                <w:szCs w:val="22"/>
                <w:highlight w:val="none"/>
              </w:rPr>
              <w:t>1</w:t>
            </w:r>
            <w:r>
              <w:rPr>
                <w:rFonts w:ascii="宋体" w:hAnsi="宋体" w:cs="宋体"/>
                <w:color w:val="auto"/>
                <w:kern w:val="0"/>
                <w:sz w:val="22"/>
                <w:szCs w:val="22"/>
                <w:highlight w:val="none"/>
              </w:rPr>
              <w:t>个国产化主控模块，≥</w:t>
            </w:r>
            <w:r>
              <w:rPr>
                <w:rFonts w:hint="eastAsia" w:ascii="宋体" w:hAnsi="宋体" w:cs="宋体"/>
                <w:color w:val="auto"/>
                <w:kern w:val="0"/>
                <w:sz w:val="22"/>
                <w:szCs w:val="22"/>
                <w:highlight w:val="none"/>
              </w:rPr>
              <w:t>4</w:t>
            </w:r>
            <w:r>
              <w:rPr>
                <w:rFonts w:ascii="宋体" w:hAnsi="宋体" w:cs="宋体"/>
                <w:color w:val="auto"/>
                <w:kern w:val="0"/>
                <w:sz w:val="22"/>
                <w:szCs w:val="22"/>
                <w:highlight w:val="none"/>
              </w:rPr>
              <w:t xml:space="preserve"> 个万兆以太网光接口，≥24 个千兆以太网电接口，≥</w:t>
            </w:r>
            <w:r>
              <w:rPr>
                <w:rFonts w:hint="eastAsia" w:ascii="宋体" w:hAnsi="宋体" w:cs="宋体"/>
                <w:color w:val="auto"/>
                <w:kern w:val="0"/>
                <w:sz w:val="22"/>
                <w:szCs w:val="22"/>
                <w:highlight w:val="none"/>
              </w:rPr>
              <w:t>20</w:t>
            </w:r>
            <w:r>
              <w:rPr>
                <w:rFonts w:ascii="宋体" w:hAnsi="宋体" w:cs="宋体"/>
                <w:color w:val="auto"/>
                <w:kern w:val="0"/>
                <w:sz w:val="22"/>
                <w:szCs w:val="22"/>
                <w:highlight w:val="none"/>
              </w:rPr>
              <w:t xml:space="preserve"> 个千兆以太网光接口；满配风扇电源模块。配置≥8 个 SFP + 万兆多模模块；≥11 个千兆多模光模块，3 个千兆单模 10km 光模块；≥1 条 SPF + 堆叠线缆（3 米）</w:t>
            </w:r>
          </w:p>
          <w:p w14:paraId="2A454D91">
            <w:pPr>
              <w:widowControl/>
              <w:spacing w:line="360" w:lineRule="auto"/>
              <w:jc w:val="left"/>
              <w:rPr>
                <w:rFonts w:hint="eastAsia" w:ascii="宋体" w:hAnsi="宋体" w:eastAsia="宋体" w:cs="宋体"/>
                <w:color w:val="auto"/>
                <w:kern w:val="0"/>
                <w:sz w:val="22"/>
                <w:szCs w:val="22"/>
                <w:highlight w:val="none"/>
                <w:lang w:eastAsia="zh-CN"/>
              </w:rPr>
            </w:pPr>
            <w:r>
              <w:rPr>
                <w:rFonts w:ascii="宋体" w:hAnsi="宋体" w:cs="宋体"/>
                <w:color w:val="auto"/>
                <w:kern w:val="0"/>
                <w:sz w:val="22"/>
                <w:szCs w:val="22"/>
                <w:highlight w:val="none"/>
              </w:rPr>
              <w:t>4、为保证关键核心设备的可靠性，本次两台设备采用堆叠模式部署。</w:t>
            </w:r>
          </w:p>
          <w:p w14:paraId="7F6F3C27">
            <w:pPr>
              <w:widowControl/>
              <w:spacing w:line="360" w:lineRule="auto"/>
              <w:jc w:val="left"/>
              <w:rPr>
                <w:rFonts w:hint="eastAsia" w:ascii="宋体" w:hAnsi="宋体" w:eastAsia="宋体" w:cs="宋体"/>
                <w:color w:val="auto"/>
                <w:kern w:val="0"/>
                <w:sz w:val="22"/>
                <w:szCs w:val="22"/>
                <w:highlight w:val="none"/>
                <w:lang w:eastAsia="zh-CN"/>
              </w:rPr>
            </w:pPr>
            <w:r>
              <w:rPr>
                <w:rFonts w:ascii="宋体" w:hAnsi="宋体" w:cs="宋体"/>
                <w:color w:val="auto"/>
                <w:kern w:val="0"/>
                <w:sz w:val="22"/>
                <w:szCs w:val="22"/>
                <w:highlight w:val="none"/>
              </w:rPr>
              <w:t>5、为保证院内关键办公数据等高敏感数据安全传输，需要二层传输链路具备防窃听、防篡改保护</w:t>
            </w:r>
            <w:r>
              <w:rPr>
                <w:rFonts w:hint="eastAsia" w:ascii="宋体" w:hAnsi="宋体" w:cs="宋体"/>
                <w:color w:val="auto"/>
                <w:kern w:val="0"/>
                <w:sz w:val="22"/>
                <w:szCs w:val="22"/>
                <w:highlight w:val="none"/>
                <w:lang w:eastAsia="zh-CN"/>
              </w:rPr>
              <w:t>。</w:t>
            </w:r>
          </w:p>
          <w:p w14:paraId="01C8756F">
            <w:pPr>
              <w:widowControl/>
              <w:spacing w:line="360" w:lineRule="auto"/>
              <w:jc w:val="left"/>
              <w:rPr>
                <w:rFonts w:hint="eastAsia" w:ascii="宋体" w:hAnsi="宋体" w:cs="宋体"/>
                <w:color w:val="auto"/>
                <w:kern w:val="0"/>
                <w:sz w:val="22"/>
                <w:szCs w:val="22"/>
                <w:highlight w:val="none"/>
              </w:rPr>
            </w:pPr>
            <w:r>
              <w:rPr>
                <w:rFonts w:ascii="宋体" w:hAnsi="宋体" w:cs="宋体"/>
                <w:color w:val="auto"/>
                <w:kern w:val="0"/>
                <w:sz w:val="22"/>
                <w:szCs w:val="22"/>
                <w:highlight w:val="none"/>
              </w:rPr>
              <w:t>6、支持端口聚合</w:t>
            </w:r>
          </w:p>
          <w:p w14:paraId="4B925A1D">
            <w:pPr>
              <w:widowControl/>
              <w:spacing w:line="360" w:lineRule="auto"/>
              <w:jc w:val="left"/>
              <w:rPr>
                <w:rFonts w:hint="eastAsia" w:ascii="宋体" w:hAnsi="宋体" w:cs="宋体"/>
                <w:color w:val="auto"/>
                <w:kern w:val="0"/>
                <w:sz w:val="22"/>
                <w:szCs w:val="22"/>
                <w:highlight w:val="none"/>
              </w:rPr>
            </w:pPr>
            <w:r>
              <w:rPr>
                <w:rFonts w:ascii="宋体" w:hAnsi="宋体" w:cs="宋体"/>
                <w:color w:val="auto"/>
                <w:kern w:val="0"/>
                <w:sz w:val="22"/>
                <w:szCs w:val="22"/>
                <w:highlight w:val="none"/>
              </w:rPr>
              <w:t>7、支持基于端口的 VLAN、支持基于 IP 子网的 VLAN</w:t>
            </w:r>
          </w:p>
          <w:p w14:paraId="22E747BC">
            <w:pPr>
              <w:widowControl/>
              <w:spacing w:line="360" w:lineRule="auto"/>
              <w:jc w:val="left"/>
              <w:rPr>
                <w:rFonts w:hint="eastAsia" w:ascii="宋体" w:hAnsi="宋体" w:cs="宋体"/>
                <w:color w:val="auto"/>
                <w:kern w:val="0"/>
                <w:sz w:val="22"/>
                <w:szCs w:val="22"/>
                <w:highlight w:val="none"/>
              </w:rPr>
            </w:pPr>
            <w:r>
              <w:rPr>
                <w:rFonts w:ascii="宋体" w:hAnsi="宋体" w:cs="宋体"/>
                <w:color w:val="auto"/>
                <w:kern w:val="0"/>
                <w:sz w:val="22"/>
                <w:szCs w:val="22"/>
                <w:highlight w:val="none"/>
              </w:rPr>
              <w:t>8、支持 IPv4/IPv6 静态路由；支持 IPv4/IPv6 双栈</w:t>
            </w:r>
          </w:p>
          <w:p w14:paraId="73E8CE24">
            <w:pPr>
              <w:widowControl/>
              <w:spacing w:line="360" w:lineRule="auto"/>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9</w:t>
            </w:r>
            <w:r>
              <w:rPr>
                <w:rFonts w:ascii="宋体" w:hAnsi="宋体" w:cs="宋体"/>
                <w:color w:val="auto"/>
                <w:kern w:val="0"/>
                <w:sz w:val="22"/>
                <w:szCs w:val="22"/>
                <w:highlight w:val="none"/>
              </w:rPr>
              <w:t>、支持 SNMP V1/V2/V3、Telnet、SSH 功能</w:t>
            </w:r>
          </w:p>
          <w:p w14:paraId="35BDB5B1">
            <w:pPr>
              <w:widowControl/>
              <w:spacing w:line="360" w:lineRule="auto"/>
              <w:jc w:val="left"/>
              <w:rPr>
                <w:rFonts w:hint="eastAsia" w:ascii="宋体" w:hAnsi="宋体" w:cs="宋体"/>
                <w:kern w:val="0"/>
                <w:sz w:val="22"/>
                <w:szCs w:val="22"/>
                <w:highlight w:val="none"/>
              </w:rPr>
            </w:pPr>
            <w:r>
              <w:rPr>
                <w:rFonts w:ascii="宋体" w:hAnsi="宋体" w:cs="宋体"/>
                <w:color w:val="auto"/>
                <w:kern w:val="0"/>
                <w:sz w:val="22"/>
                <w:szCs w:val="22"/>
                <w:highlight w:val="none"/>
              </w:rPr>
              <w:t>1</w:t>
            </w:r>
            <w:r>
              <w:rPr>
                <w:rFonts w:hint="eastAsia" w:ascii="宋体" w:hAnsi="宋体" w:cs="宋体"/>
                <w:color w:val="auto"/>
                <w:kern w:val="0"/>
                <w:sz w:val="22"/>
                <w:szCs w:val="22"/>
                <w:highlight w:val="none"/>
                <w:lang w:val="en-US" w:eastAsia="zh-CN"/>
              </w:rPr>
              <w:t>0</w:t>
            </w:r>
            <w:r>
              <w:rPr>
                <w:rFonts w:ascii="宋体" w:hAnsi="宋体" w:cs="宋体"/>
                <w:color w:val="auto"/>
                <w:kern w:val="0"/>
                <w:sz w:val="22"/>
                <w:szCs w:val="22"/>
                <w:highlight w:val="none"/>
              </w:rPr>
              <w:t>、支持 RIPng、OSPFv3、BGP4+、IS-ISv6 协议</w:t>
            </w:r>
          </w:p>
        </w:tc>
        <w:tc>
          <w:tcPr>
            <w:tcW w:w="466" w:type="dxa"/>
            <w:tcBorders>
              <w:top w:val="nil"/>
              <w:left w:val="nil"/>
              <w:bottom w:val="single" w:color="auto" w:sz="4" w:space="0"/>
              <w:right w:val="single" w:color="auto" w:sz="4" w:space="0"/>
            </w:tcBorders>
            <w:vAlign w:val="center"/>
          </w:tcPr>
          <w:p w14:paraId="5EC5D2D7">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台</w:t>
            </w:r>
          </w:p>
        </w:tc>
        <w:tc>
          <w:tcPr>
            <w:tcW w:w="528" w:type="dxa"/>
            <w:tcBorders>
              <w:top w:val="nil"/>
              <w:left w:val="nil"/>
              <w:bottom w:val="single" w:color="auto" w:sz="4" w:space="0"/>
              <w:right w:val="single" w:color="auto" w:sz="4" w:space="0"/>
            </w:tcBorders>
            <w:shd w:val="clear" w:color="000000" w:fill="FFFFFF"/>
            <w:noWrap/>
            <w:vAlign w:val="center"/>
          </w:tcPr>
          <w:p w14:paraId="66366216">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2</w:t>
            </w:r>
          </w:p>
        </w:tc>
        <w:tc>
          <w:tcPr>
            <w:tcW w:w="1650" w:type="dxa"/>
            <w:tcBorders>
              <w:top w:val="nil"/>
              <w:left w:val="nil"/>
              <w:bottom w:val="single" w:color="auto" w:sz="4" w:space="0"/>
              <w:right w:val="single" w:color="auto" w:sz="4" w:space="0"/>
            </w:tcBorders>
            <w:vAlign w:val="center"/>
          </w:tcPr>
          <w:p w14:paraId="4F5DD9FB">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5E8052EA">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r w14:paraId="78D46E3B">
        <w:tblPrEx>
          <w:tblCellMar>
            <w:top w:w="0" w:type="dxa"/>
            <w:left w:w="108" w:type="dxa"/>
            <w:bottom w:w="0" w:type="dxa"/>
            <w:right w:w="108" w:type="dxa"/>
          </w:tblCellMar>
        </w:tblPrEx>
        <w:trPr>
          <w:trHeight w:val="56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383DEA99">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12</w:t>
            </w:r>
          </w:p>
        </w:tc>
        <w:tc>
          <w:tcPr>
            <w:tcW w:w="1100" w:type="dxa"/>
            <w:tcBorders>
              <w:top w:val="nil"/>
              <w:left w:val="nil"/>
              <w:bottom w:val="single" w:color="auto" w:sz="4" w:space="0"/>
              <w:right w:val="single" w:color="auto" w:sz="4" w:space="0"/>
            </w:tcBorders>
            <w:shd w:val="clear" w:color="000000" w:fill="FFFFFF"/>
            <w:vAlign w:val="center"/>
          </w:tcPr>
          <w:p w14:paraId="3A5DC6B9">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终端</w:t>
            </w:r>
            <w:r>
              <w:rPr>
                <w:rFonts w:hint="eastAsia" w:ascii="宋体" w:hAnsi="宋体" w:cs="宋体"/>
                <w:kern w:val="0"/>
                <w:sz w:val="22"/>
                <w:szCs w:val="22"/>
                <w:highlight w:val="none"/>
                <w:lang w:val="en-US" w:eastAsia="zh-CN"/>
              </w:rPr>
              <w:t>安全</w:t>
            </w:r>
            <w:r>
              <w:rPr>
                <w:rFonts w:ascii="宋体" w:hAnsi="宋体" w:cs="宋体"/>
                <w:kern w:val="0"/>
                <w:sz w:val="22"/>
                <w:szCs w:val="22"/>
                <w:highlight w:val="none"/>
              </w:rPr>
              <w:t>防护系统</w:t>
            </w:r>
          </w:p>
        </w:tc>
        <w:tc>
          <w:tcPr>
            <w:tcW w:w="5006" w:type="dxa"/>
            <w:tcBorders>
              <w:top w:val="nil"/>
              <w:left w:val="nil"/>
              <w:bottom w:val="single" w:color="auto" w:sz="4" w:space="0"/>
              <w:right w:val="single" w:color="auto" w:sz="4" w:space="0"/>
            </w:tcBorders>
            <w:vAlign w:val="center"/>
          </w:tcPr>
          <w:p w14:paraId="1E0096B3">
            <w:pPr>
              <w:widowControl/>
              <w:spacing w:line="360" w:lineRule="auto"/>
              <w:jc w:val="left"/>
              <w:rPr>
                <w:rFonts w:hint="eastAsia" w:ascii="宋体" w:hAnsi="宋体" w:eastAsia="宋体" w:cs="宋体"/>
                <w:color w:val="auto"/>
                <w:kern w:val="0"/>
                <w:sz w:val="22"/>
                <w:szCs w:val="22"/>
                <w:highlight w:val="none"/>
                <w:lang w:eastAsia="zh-CN"/>
              </w:rPr>
            </w:pPr>
            <w:r>
              <w:rPr>
                <w:rFonts w:ascii="宋体" w:hAnsi="宋体" w:cs="宋体"/>
                <w:color w:val="auto"/>
                <w:kern w:val="0"/>
                <w:sz w:val="22"/>
                <w:szCs w:val="22"/>
                <w:highlight w:val="none"/>
              </w:rPr>
              <w:t>1、★须提供不少于</w:t>
            </w:r>
            <w:r>
              <w:rPr>
                <w:rFonts w:hint="eastAsia" w:ascii="宋体" w:hAnsi="宋体" w:cs="宋体"/>
                <w:color w:val="auto"/>
                <w:kern w:val="0"/>
                <w:sz w:val="22"/>
                <w:szCs w:val="22"/>
                <w:highlight w:val="none"/>
              </w:rPr>
              <w:t>7</w:t>
            </w:r>
            <w:r>
              <w:rPr>
                <w:rFonts w:ascii="宋体" w:hAnsi="宋体" w:cs="宋体"/>
                <w:color w:val="auto"/>
                <w:kern w:val="0"/>
                <w:sz w:val="22"/>
                <w:szCs w:val="22"/>
                <w:highlight w:val="none"/>
              </w:rPr>
              <w:t>00</w:t>
            </w:r>
            <w:r>
              <w:rPr>
                <w:rFonts w:hint="eastAsia" w:ascii="宋体" w:hAnsi="宋体" w:cs="宋体"/>
                <w:color w:val="auto"/>
                <w:kern w:val="0"/>
                <w:sz w:val="22"/>
                <w:szCs w:val="22"/>
                <w:highlight w:val="none"/>
                <w:lang w:val="en-US" w:eastAsia="zh-CN"/>
              </w:rPr>
              <w:t>个</w:t>
            </w:r>
            <w:r>
              <w:rPr>
                <w:rFonts w:hint="eastAsia" w:ascii="宋体" w:hAnsi="宋体" w:cs="宋体"/>
                <w:color w:val="auto"/>
                <w:kern w:val="0"/>
                <w:sz w:val="22"/>
                <w:szCs w:val="22"/>
                <w:highlight w:val="none"/>
              </w:rPr>
              <w:t>终端</w:t>
            </w:r>
            <w:r>
              <w:rPr>
                <w:rFonts w:hint="eastAsia" w:ascii="宋体" w:hAnsi="宋体" w:cs="宋体"/>
                <w:color w:val="auto"/>
                <w:kern w:val="0"/>
                <w:sz w:val="22"/>
                <w:szCs w:val="22"/>
                <w:highlight w:val="none"/>
                <w:lang w:val="en-US" w:eastAsia="zh-CN"/>
              </w:rPr>
              <w:t>安全</w:t>
            </w:r>
            <w:r>
              <w:rPr>
                <w:rFonts w:hint="eastAsia" w:ascii="宋体" w:hAnsi="宋体" w:cs="宋体"/>
                <w:color w:val="auto"/>
                <w:kern w:val="0"/>
                <w:sz w:val="22"/>
                <w:szCs w:val="22"/>
                <w:highlight w:val="none"/>
              </w:rPr>
              <w:t>防护系统（PC端）</w:t>
            </w:r>
            <w:r>
              <w:rPr>
                <w:rFonts w:hint="eastAsia" w:ascii="宋体" w:hAnsi="宋体" w:cs="宋体"/>
                <w:color w:val="auto"/>
                <w:kern w:val="0"/>
                <w:sz w:val="22"/>
                <w:szCs w:val="22"/>
                <w:highlight w:val="none"/>
                <w:lang w:val="en-US" w:eastAsia="zh-CN"/>
              </w:rPr>
              <w:t>和</w:t>
            </w:r>
            <w:r>
              <w:rPr>
                <w:rFonts w:ascii="宋体" w:hAnsi="宋体" w:cs="宋体"/>
                <w:color w:val="auto"/>
                <w:kern w:val="0"/>
                <w:sz w:val="22"/>
                <w:szCs w:val="22"/>
                <w:highlight w:val="none"/>
              </w:rPr>
              <w:t>不少于</w:t>
            </w:r>
            <w:r>
              <w:rPr>
                <w:rFonts w:hint="eastAsia" w:ascii="宋体" w:hAnsi="宋体" w:cs="宋体"/>
                <w:color w:val="auto"/>
                <w:kern w:val="0"/>
                <w:sz w:val="22"/>
                <w:szCs w:val="22"/>
                <w:highlight w:val="none"/>
                <w:lang w:val="en-US" w:eastAsia="zh-CN"/>
              </w:rPr>
              <w:t>5</w:t>
            </w:r>
            <w:r>
              <w:rPr>
                <w:rFonts w:ascii="宋体" w:hAnsi="宋体" w:cs="宋体"/>
                <w:color w:val="auto"/>
                <w:kern w:val="0"/>
                <w:sz w:val="22"/>
                <w:szCs w:val="22"/>
                <w:highlight w:val="none"/>
              </w:rPr>
              <w:t>0</w:t>
            </w:r>
            <w:r>
              <w:rPr>
                <w:rFonts w:hint="eastAsia" w:ascii="宋体" w:hAnsi="宋体" w:cs="宋体"/>
                <w:color w:val="auto"/>
                <w:kern w:val="0"/>
                <w:sz w:val="22"/>
                <w:szCs w:val="22"/>
                <w:highlight w:val="none"/>
                <w:lang w:val="en-US" w:eastAsia="zh-CN"/>
              </w:rPr>
              <w:t>个</w:t>
            </w:r>
            <w:r>
              <w:rPr>
                <w:rFonts w:hint="eastAsia" w:ascii="宋体" w:hAnsi="宋体" w:cs="宋体"/>
                <w:color w:val="auto"/>
                <w:kern w:val="0"/>
                <w:sz w:val="22"/>
                <w:szCs w:val="22"/>
                <w:highlight w:val="none"/>
              </w:rPr>
              <w:t>终端</w:t>
            </w:r>
            <w:r>
              <w:rPr>
                <w:rFonts w:hint="eastAsia" w:ascii="宋体" w:hAnsi="宋体" w:cs="宋体"/>
                <w:color w:val="auto"/>
                <w:kern w:val="0"/>
                <w:sz w:val="22"/>
                <w:szCs w:val="22"/>
                <w:highlight w:val="none"/>
                <w:lang w:val="en-US" w:eastAsia="zh-CN"/>
              </w:rPr>
              <w:t>安全</w:t>
            </w:r>
            <w:r>
              <w:rPr>
                <w:rFonts w:hint="eastAsia" w:ascii="宋体" w:hAnsi="宋体" w:cs="宋体"/>
                <w:color w:val="auto"/>
                <w:kern w:val="0"/>
                <w:sz w:val="22"/>
                <w:szCs w:val="22"/>
                <w:highlight w:val="none"/>
              </w:rPr>
              <w:t>防护系统（</w:t>
            </w:r>
            <w:r>
              <w:rPr>
                <w:rFonts w:hint="eastAsia" w:ascii="宋体" w:hAnsi="宋体" w:cs="宋体"/>
                <w:color w:val="auto"/>
                <w:kern w:val="0"/>
                <w:sz w:val="22"/>
                <w:szCs w:val="22"/>
                <w:highlight w:val="none"/>
                <w:lang w:val="en-US" w:eastAsia="zh-CN"/>
              </w:rPr>
              <w:t>服务器</w:t>
            </w:r>
            <w:r>
              <w:rPr>
                <w:rFonts w:hint="eastAsia" w:ascii="宋体" w:hAnsi="宋体" w:cs="宋体"/>
                <w:color w:val="auto"/>
                <w:kern w:val="0"/>
                <w:sz w:val="22"/>
                <w:szCs w:val="22"/>
                <w:highlight w:val="none"/>
              </w:rPr>
              <w:t>端）</w:t>
            </w:r>
            <w:r>
              <w:rPr>
                <w:rFonts w:ascii="宋体" w:hAnsi="宋体" w:cs="宋体"/>
                <w:color w:val="auto"/>
                <w:kern w:val="0"/>
                <w:sz w:val="22"/>
                <w:szCs w:val="22"/>
                <w:highlight w:val="none"/>
              </w:rPr>
              <w:t>软件授权</w:t>
            </w:r>
            <w:r>
              <w:rPr>
                <w:rFonts w:hint="eastAsia" w:ascii="宋体" w:hAnsi="宋体" w:cs="宋体"/>
                <w:color w:val="auto"/>
                <w:kern w:val="0"/>
                <w:sz w:val="22"/>
                <w:szCs w:val="22"/>
                <w:highlight w:val="none"/>
                <w:lang w:eastAsia="zh-CN"/>
              </w:rPr>
              <w:t>。</w:t>
            </w:r>
          </w:p>
          <w:p w14:paraId="53DD17C4">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2、支持统一管理平台架构，管理端可部署于本地服务器或虚拟化环境，通过Web控制台集中管理终端。</w:t>
            </w:r>
          </w:p>
          <w:p w14:paraId="0ED6662F">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3、支持终端资产自动发现与清点，可采集终端操作系统、已装软件、端口等信息，形成资产清单，并支持未安装客户端的终端发现与提示。</w:t>
            </w:r>
          </w:p>
          <w:p w14:paraId="5C32F8CF">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4、具备勒索病毒防护能力，支持通过诱饵文件机制监测终端文件的异常行为，发现勒索行为后可自动阻断相关进程。</w:t>
            </w:r>
          </w:p>
          <w:p w14:paraId="21EAB58C">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5、支持USB等外接存储设备管控，可按终端分组配置策略，支持禁用、只读、白名单放行等多种管控方式。</w:t>
            </w:r>
          </w:p>
          <w:p w14:paraId="036A706A">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6、支持应用程序管控，可基于应用名称、进程等对应用运行进行黑白名单管理。</w:t>
            </w:r>
          </w:p>
          <w:p w14:paraId="31A5E068">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7、支持暴力破解攻击防护，可对针对RDP、SMB、等常见服务的暴力破解行为进行检测与封堵。</w:t>
            </w:r>
          </w:p>
          <w:p w14:paraId="7ACAD51B">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8、支持漏洞扫描与补丁管理，可对终端系统及常用软件漏洞进行检测并按风险等级展示，支持补丁集中下发、定时安装及补丁修复情况统计。</w:t>
            </w:r>
          </w:p>
          <w:p w14:paraId="7612A6F3">
            <w:pPr>
              <w:widowControl/>
              <w:spacing w:line="360" w:lineRule="auto"/>
              <w:jc w:val="left"/>
              <w:rPr>
                <w:rFonts w:hint="eastAsia" w:ascii="宋体" w:hAnsi="宋体" w:cs="宋体"/>
                <w:kern w:val="0"/>
                <w:sz w:val="22"/>
                <w:szCs w:val="22"/>
                <w:highlight w:val="none"/>
                <w:lang w:val="en-US" w:eastAsia="zh-CN"/>
              </w:rPr>
            </w:pPr>
            <w:r>
              <w:rPr>
                <w:rFonts w:hint="eastAsia" w:ascii="宋体" w:hAnsi="宋体" w:cs="宋体"/>
                <w:kern w:val="0"/>
                <w:sz w:val="22"/>
                <w:szCs w:val="22"/>
                <w:highlight w:val="none"/>
                <w:lang w:val="en-US" w:eastAsia="zh-CN"/>
              </w:rPr>
              <w:t>9、支持病毒查杀策略配置，包括快速扫描、全盘扫描、自定义扫描及定时扫描，支持实时防护、U盘插入自动扫描，并支持隔离区管理与文件恢复。</w:t>
            </w:r>
          </w:p>
          <w:p w14:paraId="4071D6A0">
            <w:pPr>
              <w:widowControl/>
              <w:spacing w:line="360" w:lineRule="auto"/>
              <w:jc w:val="left"/>
              <w:rPr>
                <w:rFonts w:hint="eastAsia" w:ascii="宋体" w:hAnsi="宋体" w:cs="宋体"/>
                <w:kern w:val="0"/>
                <w:sz w:val="22"/>
                <w:szCs w:val="22"/>
                <w:highlight w:val="none"/>
              </w:rPr>
            </w:pPr>
            <w:r>
              <w:rPr>
                <w:rFonts w:hint="eastAsia" w:ascii="宋体" w:hAnsi="宋体" w:cs="宋体"/>
                <w:kern w:val="0"/>
                <w:sz w:val="22"/>
                <w:szCs w:val="22"/>
                <w:highlight w:val="none"/>
                <w:lang w:val="en-US" w:eastAsia="zh-CN"/>
              </w:rPr>
              <w:t>10、支持报表与告警管理，可按日报、周报、月报自动生成安全报表。</w:t>
            </w:r>
          </w:p>
        </w:tc>
        <w:tc>
          <w:tcPr>
            <w:tcW w:w="466" w:type="dxa"/>
            <w:tcBorders>
              <w:top w:val="nil"/>
              <w:left w:val="nil"/>
              <w:bottom w:val="single" w:color="auto" w:sz="4" w:space="0"/>
              <w:right w:val="single" w:color="auto" w:sz="4" w:space="0"/>
            </w:tcBorders>
            <w:vAlign w:val="center"/>
          </w:tcPr>
          <w:p w14:paraId="48D98A9B">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套</w:t>
            </w:r>
          </w:p>
        </w:tc>
        <w:tc>
          <w:tcPr>
            <w:tcW w:w="528" w:type="dxa"/>
            <w:tcBorders>
              <w:top w:val="nil"/>
              <w:left w:val="nil"/>
              <w:bottom w:val="single" w:color="auto" w:sz="4" w:space="0"/>
              <w:right w:val="single" w:color="auto" w:sz="4" w:space="0"/>
            </w:tcBorders>
            <w:shd w:val="clear" w:color="000000" w:fill="FFFFFF"/>
            <w:noWrap/>
            <w:vAlign w:val="center"/>
          </w:tcPr>
          <w:p w14:paraId="5CA74369">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17D1EA97">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6B21555B">
            <w:pPr>
              <w:widowControl/>
              <w:spacing w:line="360" w:lineRule="auto"/>
              <w:jc w:val="center"/>
              <w:rPr>
                <w:rFonts w:hint="eastAsia" w:ascii="宋体" w:hAnsi="宋体" w:cs="宋体"/>
                <w:kern w:val="0"/>
                <w:sz w:val="22"/>
                <w:szCs w:val="22"/>
                <w:highlight w:val="none"/>
              </w:rPr>
            </w:pPr>
            <w:r>
              <w:rPr>
                <w:rFonts w:hint="eastAsia" w:ascii="宋体" w:hAnsi="宋体" w:cs="宋体"/>
                <w:kern w:val="0"/>
                <w:sz w:val="22"/>
                <w:szCs w:val="22"/>
                <w:highlight w:val="none"/>
              </w:rPr>
              <w:t>否</w:t>
            </w:r>
          </w:p>
        </w:tc>
      </w:tr>
      <w:tr w14:paraId="7CBB3F7F">
        <w:tblPrEx>
          <w:tblCellMar>
            <w:top w:w="0" w:type="dxa"/>
            <w:left w:w="108" w:type="dxa"/>
            <w:bottom w:w="0" w:type="dxa"/>
            <w:right w:w="108" w:type="dxa"/>
          </w:tblCellMar>
        </w:tblPrEx>
        <w:trPr>
          <w:trHeight w:val="560" w:hRule="atLeast"/>
        </w:trPr>
        <w:tc>
          <w:tcPr>
            <w:tcW w:w="730" w:type="dxa"/>
            <w:tcBorders>
              <w:top w:val="nil"/>
              <w:left w:val="single" w:color="auto" w:sz="4" w:space="0"/>
              <w:bottom w:val="single" w:color="auto" w:sz="4" w:space="0"/>
              <w:right w:val="single" w:color="auto" w:sz="4" w:space="0"/>
            </w:tcBorders>
            <w:shd w:val="clear" w:color="000000" w:fill="FFFFFF"/>
            <w:noWrap/>
            <w:vAlign w:val="center"/>
          </w:tcPr>
          <w:p w14:paraId="3878B987">
            <w:pPr>
              <w:widowControl/>
              <w:spacing w:line="360" w:lineRule="auto"/>
              <w:jc w:val="center"/>
              <w:rPr>
                <w:rFonts w:hint="eastAsia" w:ascii="宋体" w:hAnsi="宋体" w:cs="宋体"/>
                <w:kern w:val="0"/>
                <w:sz w:val="22"/>
                <w:szCs w:val="22"/>
                <w:highlight w:val="none"/>
              </w:rPr>
            </w:pPr>
            <w:r>
              <w:rPr>
                <w:rFonts w:hint="eastAsia" w:ascii="宋体" w:hAnsi="宋体" w:cs="宋体"/>
                <w:color w:val="auto"/>
                <w:kern w:val="0"/>
                <w:sz w:val="22"/>
                <w:szCs w:val="22"/>
                <w:highlight w:val="none"/>
              </w:rPr>
              <w:t>13</w:t>
            </w:r>
          </w:p>
        </w:tc>
        <w:tc>
          <w:tcPr>
            <w:tcW w:w="1100" w:type="dxa"/>
            <w:tcBorders>
              <w:top w:val="nil"/>
              <w:left w:val="nil"/>
              <w:bottom w:val="single" w:color="auto" w:sz="4" w:space="0"/>
              <w:right w:val="single" w:color="auto" w:sz="4" w:space="0"/>
            </w:tcBorders>
            <w:shd w:val="clear" w:color="000000" w:fill="FFFFFF"/>
            <w:vAlign w:val="center"/>
          </w:tcPr>
          <w:p w14:paraId="0A723A73">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超融合一体机硬盘</w:t>
            </w:r>
          </w:p>
        </w:tc>
        <w:tc>
          <w:tcPr>
            <w:tcW w:w="5006" w:type="dxa"/>
            <w:tcBorders>
              <w:top w:val="nil"/>
              <w:left w:val="nil"/>
              <w:bottom w:val="single" w:color="auto" w:sz="4" w:space="0"/>
              <w:right w:val="single" w:color="auto" w:sz="4" w:space="0"/>
            </w:tcBorders>
            <w:vAlign w:val="center"/>
          </w:tcPr>
          <w:p w14:paraId="5B390F6A">
            <w:pPr>
              <w:widowControl/>
              <w:spacing w:line="360" w:lineRule="auto"/>
              <w:jc w:val="left"/>
              <w:rPr>
                <w:rFonts w:hint="eastAsia" w:ascii="宋体" w:hAnsi="宋体" w:cs="宋体"/>
                <w:kern w:val="0"/>
                <w:sz w:val="22"/>
                <w:szCs w:val="22"/>
                <w:highlight w:val="none"/>
              </w:rPr>
            </w:pPr>
            <w:r>
              <w:rPr>
                <w:rFonts w:ascii="宋体" w:hAnsi="宋体" w:cs="宋体"/>
                <w:color w:val="auto"/>
                <w:kern w:val="0"/>
                <w:sz w:val="22"/>
                <w:szCs w:val="22"/>
                <w:highlight w:val="none"/>
              </w:rPr>
              <w:t>★提供不少于12块960GB SATA SSD硬盘，不少于24块</w:t>
            </w:r>
            <w:r>
              <w:rPr>
                <w:rFonts w:hint="eastAsia" w:ascii="宋体" w:hAnsi="宋体" w:cs="宋体"/>
                <w:color w:val="auto"/>
                <w:kern w:val="0"/>
                <w:sz w:val="22"/>
                <w:szCs w:val="22"/>
                <w:highlight w:val="none"/>
              </w:rPr>
              <w:t>8</w:t>
            </w:r>
            <w:r>
              <w:rPr>
                <w:rFonts w:ascii="宋体" w:hAnsi="宋体" w:cs="宋体"/>
                <w:color w:val="auto"/>
                <w:kern w:val="0"/>
                <w:sz w:val="22"/>
                <w:szCs w:val="22"/>
                <w:highlight w:val="none"/>
              </w:rPr>
              <w:t>TB SATA HDD硬盘用于扩容现有超融合集群硬盘</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现有超融合平台承载医院</w:t>
            </w:r>
            <w:r>
              <w:rPr>
                <w:rFonts w:hint="eastAsia" w:ascii="宋体" w:hAnsi="宋体" w:cs="宋体"/>
                <w:color w:val="auto"/>
                <w:kern w:val="0"/>
                <w:sz w:val="22"/>
                <w:szCs w:val="22"/>
                <w:highlight w:val="none"/>
                <w:lang w:val="en-US" w:eastAsia="zh-CN"/>
              </w:rPr>
              <w:t>多个</w:t>
            </w:r>
            <w:r>
              <w:rPr>
                <w:rFonts w:hint="eastAsia" w:ascii="宋体" w:hAnsi="宋体" w:cs="宋体"/>
                <w:color w:val="auto"/>
                <w:kern w:val="0"/>
                <w:sz w:val="22"/>
                <w:szCs w:val="22"/>
                <w:highlight w:val="none"/>
              </w:rPr>
              <w:t>重要业务，投标供应商需协调原厂商</w:t>
            </w:r>
            <w:r>
              <w:rPr>
                <w:rFonts w:hint="eastAsia" w:ascii="宋体" w:hAnsi="宋体" w:cs="宋体"/>
                <w:color w:val="auto"/>
                <w:kern w:val="0"/>
                <w:sz w:val="22"/>
                <w:szCs w:val="22"/>
                <w:highlight w:val="none"/>
                <w:lang w:val="en-US" w:eastAsia="zh-CN"/>
              </w:rPr>
              <w:t>工程师</w:t>
            </w:r>
            <w:r>
              <w:rPr>
                <w:rFonts w:hint="eastAsia" w:ascii="宋体" w:hAnsi="宋体" w:cs="宋体"/>
                <w:color w:val="auto"/>
                <w:kern w:val="0"/>
                <w:sz w:val="22"/>
                <w:szCs w:val="22"/>
                <w:highlight w:val="none"/>
              </w:rPr>
              <w:t>提供完善的支撑保障体系，确保扩容过程业务不中断、数据零丢失，并提供扩容实施后一周的技术支持保障。</w:t>
            </w:r>
            <w:r>
              <w:rPr>
                <w:rFonts w:hint="eastAsia" w:ascii="宋体" w:hAnsi="宋体" w:cs="宋体"/>
                <w:color w:val="auto"/>
                <w:kern w:val="0"/>
                <w:sz w:val="22"/>
                <w:szCs w:val="22"/>
                <w:highlight w:val="none"/>
                <w:lang w:val="en-US" w:eastAsia="zh-CN"/>
              </w:rPr>
              <w:t>投标人</w:t>
            </w:r>
            <w:r>
              <w:rPr>
                <w:rFonts w:hint="eastAsia" w:ascii="宋体" w:hAnsi="宋体" w:cs="宋体"/>
                <w:color w:val="auto"/>
                <w:kern w:val="0"/>
                <w:sz w:val="22"/>
                <w:szCs w:val="22"/>
                <w:highlight w:val="none"/>
              </w:rPr>
              <w:t>需提供服务承诺函</w:t>
            </w:r>
            <w:r>
              <w:rPr>
                <w:rFonts w:hint="eastAsia" w:ascii="宋体" w:hAnsi="宋体" w:cs="宋体"/>
                <w:color w:val="auto"/>
                <w:kern w:val="0"/>
                <w:sz w:val="22"/>
                <w:szCs w:val="22"/>
                <w:highlight w:val="none"/>
                <w:lang w:val="en-US" w:eastAsia="zh-CN"/>
              </w:rPr>
              <w:t>并</w:t>
            </w:r>
            <w:r>
              <w:rPr>
                <w:rFonts w:hint="eastAsia" w:ascii="宋体" w:hAnsi="宋体" w:cs="宋体"/>
                <w:color w:val="auto"/>
                <w:kern w:val="0"/>
                <w:sz w:val="22"/>
                <w:szCs w:val="22"/>
                <w:highlight w:val="none"/>
              </w:rPr>
              <w:t>加盖投标人公章。</w:t>
            </w:r>
          </w:p>
        </w:tc>
        <w:tc>
          <w:tcPr>
            <w:tcW w:w="466" w:type="dxa"/>
            <w:tcBorders>
              <w:top w:val="nil"/>
              <w:left w:val="nil"/>
              <w:bottom w:val="single" w:color="auto" w:sz="4" w:space="0"/>
              <w:right w:val="single" w:color="auto" w:sz="4" w:space="0"/>
            </w:tcBorders>
            <w:vAlign w:val="center"/>
          </w:tcPr>
          <w:p w14:paraId="371133D8">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套</w:t>
            </w:r>
          </w:p>
        </w:tc>
        <w:tc>
          <w:tcPr>
            <w:tcW w:w="528" w:type="dxa"/>
            <w:tcBorders>
              <w:top w:val="nil"/>
              <w:left w:val="nil"/>
              <w:bottom w:val="single" w:color="auto" w:sz="4" w:space="0"/>
              <w:right w:val="single" w:color="auto" w:sz="4" w:space="0"/>
            </w:tcBorders>
            <w:shd w:val="clear" w:color="000000" w:fill="FFFFFF"/>
            <w:noWrap/>
            <w:vAlign w:val="center"/>
          </w:tcPr>
          <w:p w14:paraId="29FEB33F">
            <w:pPr>
              <w:widowControl/>
              <w:spacing w:line="360" w:lineRule="auto"/>
              <w:jc w:val="center"/>
              <w:rPr>
                <w:rFonts w:hint="eastAsia" w:ascii="宋体" w:hAnsi="宋体" w:cs="宋体"/>
                <w:kern w:val="0"/>
                <w:sz w:val="22"/>
                <w:szCs w:val="22"/>
                <w:highlight w:val="none"/>
              </w:rPr>
            </w:pPr>
            <w:r>
              <w:rPr>
                <w:rFonts w:ascii="宋体" w:hAnsi="宋体" w:cs="宋体"/>
                <w:color w:val="auto"/>
                <w:kern w:val="0"/>
                <w:sz w:val="22"/>
                <w:szCs w:val="22"/>
                <w:highlight w:val="none"/>
              </w:rPr>
              <w:t>1</w:t>
            </w:r>
          </w:p>
        </w:tc>
        <w:tc>
          <w:tcPr>
            <w:tcW w:w="1650" w:type="dxa"/>
            <w:tcBorders>
              <w:top w:val="nil"/>
              <w:left w:val="nil"/>
              <w:bottom w:val="single" w:color="auto" w:sz="4" w:space="0"/>
              <w:right w:val="single" w:color="auto" w:sz="4" w:space="0"/>
            </w:tcBorders>
            <w:vAlign w:val="center"/>
          </w:tcPr>
          <w:p w14:paraId="2B2F4032">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c>
          <w:tcPr>
            <w:tcW w:w="1089" w:type="dxa"/>
            <w:tcBorders>
              <w:top w:val="nil"/>
              <w:left w:val="nil"/>
              <w:bottom w:val="single" w:color="auto" w:sz="4" w:space="0"/>
              <w:right w:val="single" w:color="auto" w:sz="4" w:space="0"/>
            </w:tcBorders>
            <w:vAlign w:val="center"/>
          </w:tcPr>
          <w:p w14:paraId="4EBE7C81">
            <w:pPr>
              <w:widowControl/>
              <w:spacing w:line="360" w:lineRule="auto"/>
              <w:jc w:val="center"/>
              <w:rPr>
                <w:rFonts w:hint="eastAsia" w:ascii="宋体" w:hAnsi="宋体" w:cs="宋体"/>
                <w:kern w:val="0"/>
                <w:sz w:val="22"/>
                <w:szCs w:val="22"/>
                <w:highlight w:val="none"/>
              </w:rPr>
            </w:pPr>
            <w:r>
              <w:rPr>
                <w:rFonts w:ascii="宋体" w:hAnsi="宋体" w:cs="宋体"/>
                <w:kern w:val="0"/>
                <w:sz w:val="22"/>
                <w:szCs w:val="22"/>
                <w:highlight w:val="none"/>
              </w:rPr>
              <w:t>否</w:t>
            </w:r>
          </w:p>
        </w:tc>
      </w:tr>
    </w:tbl>
    <w:p w14:paraId="6B4A0635">
      <w:pPr>
        <w:rPr>
          <w:rFonts w:hint="eastAsia" w:ascii="宋体" w:hAnsi="宋体"/>
        </w:rPr>
      </w:pPr>
    </w:p>
    <w:p w14:paraId="635274C6">
      <w:r>
        <w:rPr>
          <w:rFonts w:hint="eastAsia"/>
        </w:rPr>
        <w:t>注：</w:t>
      </w:r>
    </w:p>
    <w:p w14:paraId="3E8D8857">
      <w:r>
        <w:t>加注“</w:t>
      </w:r>
      <w:r>
        <w:rPr>
          <w:rFonts w:hint="eastAsia" w:ascii="宋体" w:hAnsi="宋体" w:cs="宋体"/>
        </w:rPr>
        <w:t>★</w:t>
      </w:r>
      <w:r>
        <w:t>”号条款为实质性条款，不得出现负偏离，发生负偏离即做无效标处理。</w:t>
      </w:r>
    </w:p>
    <w:p w14:paraId="56B43BC9">
      <w:r>
        <w:rPr>
          <w:rFonts w:hint="eastAsia"/>
        </w:rPr>
        <w:t>加注“▲”号的产品为核心产品（如项目需求书中未明确核心产品，则视为全部产品均为核心产品）。</w:t>
      </w:r>
    </w:p>
    <w:p w14:paraId="5B66611D">
      <w:pPr>
        <w:pStyle w:val="2"/>
      </w:pPr>
      <w:r>
        <w:rPr>
          <w:rFonts w:hint="eastAsia"/>
        </w:rPr>
        <w:t>六、商务要求</w:t>
      </w:r>
    </w:p>
    <w:p w14:paraId="01A8803D">
      <w:r>
        <w:rPr>
          <w:rFonts w:hint="eastAsia"/>
        </w:rPr>
        <w:t>1. 提供所投产品原厂3年的免费上门保修服务。</w:t>
      </w:r>
    </w:p>
    <w:p w14:paraId="384C4A73">
      <w:r>
        <w:rPr>
          <w:rFonts w:hint="eastAsia"/>
        </w:rPr>
        <w:t>2. 货到：签订合同之日起30日内（特殊情况以合同为准）。</w:t>
      </w:r>
    </w:p>
    <w:p w14:paraId="61D0F0A6">
      <w:pPr>
        <w:ind w:firstLine="240" w:firstLineChars="100"/>
      </w:pPr>
      <w:r>
        <w:rPr>
          <w:rFonts w:hint="eastAsia"/>
        </w:rPr>
        <w:t>安装（施工）完成：货到之日起30日内（特殊情况以合同为准）。</w:t>
      </w:r>
    </w:p>
    <w:p w14:paraId="27ACF190">
      <w:r>
        <w:rPr>
          <w:rFonts w:hint="eastAsia"/>
        </w:rPr>
        <w:t xml:space="preserve">3. </w:t>
      </w:r>
      <w:r>
        <w:t>付款方式：签订合同之日起30日内支付合同总额的30%，货到安装调试完成验收合格之日起30日内支付合同总额的60%，项目验收合格之日起1年后30日内支付合同总额的10%。</w:t>
      </w:r>
    </w:p>
    <w:p w14:paraId="62F3318E">
      <w:pPr>
        <w:rPr>
          <w:rFonts w:hint="eastAsia" w:ascii="宋体" w:hAnsi="宋体"/>
        </w:rPr>
        <w:sectPr>
          <w:pgSz w:w="11906" w:h="16838"/>
          <w:pgMar w:top="1440" w:right="1800" w:bottom="1440" w:left="1800" w:header="851" w:footer="992" w:gutter="0"/>
          <w:cols w:space="425" w:num="1"/>
          <w:docGrid w:type="lines" w:linePitch="312" w:charSpace="0"/>
        </w:sectPr>
      </w:pPr>
      <w:r>
        <w:rPr>
          <w:rFonts w:hint="eastAsia"/>
        </w:rPr>
        <w:t>4. 项目报价包含项目交付实施中所需要的所有配套辅料，甲方不再因项目实施增加任何连接线缆及工程相关配套辅料内容。</w:t>
      </w:r>
      <w:bookmarkStart w:id="0" w:name="_GoBack"/>
      <w:bookmarkEnd w:id="0"/>
    </w:p>
    <w:p w14:paraId="0F44378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EA7E77"/>
    <w:multiLevelType w:val="multilevel"/>
    <w:tmpl w:val="41EA7E77"/>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02"/>
    <w:rsid w:val="000247DC"/>
    <w:rsid w:val="00045631"/>
    <w:rsid w:val="00063554"/>
    <w:rsid w:val="00071693"/>
    <w:rsid w:val="000A17E6"/>
    <w:rsid w:val="000A2D6B"/>
    <w:rsid w:val="000A6FE9"/>
    <w:rsid w:val="000B0C33"/>
    <w:rsid w:val="000C184F"/>
    <w:rsid w:val="000E2EAA"/>
    <w:rsid w:val="000F4788"/>
    <w:rsid w:val="00111F73"/>
    <w:rsid w:val="001335EE"/>
    <w:rsid w:val="001400A9"/>
    <w:rsid w:val="00143A84"/>
    <w:rsid w:val="00155DBE"/>
    <w:rsid w:val="00170C09"/>
    <w:rsid w:val="00171635"/>
    <w:rsid w:val="0017514B"/>
    <w:rsid w:val="00186E16"/>
    <w:rsid w:val="00192958"/>
    <w:rsid w:val="001D0C0D"/>
    <w:rsid w:val="001E7CF5"/>
    <w:rsid w:val="001F23CA"/>
    <w:rsid w:val="001F60D5"/>
    <w:rsid w:val="00201493"/>
    <w:rsid w:val="002053EF"/>
    <w:rsid w:val="00244BBF"/>
    <w:rsid w:val="00265B3D"/>
    <w:rsid w:val="00270221"/>
    <w:rsid w:val="00293B30"/>
    <w:rsid w:val="002964AE"/>
    <w:rsid w:val="002C0717"/>
    <w:rsid w:val="002E519C"/>
    <w:rsid w:val="0030395F"/>
    <w:rsid w:val="00305686"/>
    <w:rsid w:val="00306C12"/>
    <w:rsid w:val="00315235"/>
    <w:rsid w:val="00330E0D"/>
    <w:rsid w:val="0033397A"/>
    <w:rsid w:val="00341997"/>
    <w:rsid w:val="003463B1"/>
    <w:rsid w:val="003545AA"/>
    <w:rsid w:val="00362C3F"/>
    <w:rsid w:val="00387764"/>
    <w:rsid w:val="003A0037"/>
    <w:rsid w:val="003A4767"/>
    <w:rsid w:val="003B371B"/>
    <w:rsid w:val="003D64C9"/>
    <w:rsid w:val="003D6EFB"/>
    <w:rsid w:val="003E7311"/>
    <w:rsid w:val="003F429C"/>
    <w:rsid w:val="00410F83"/>
    <w:rsid w:val="00412918"/>
    <w:rsid w:val="00416906"/>
    <w:rsid w:val="004323A6"/>
    <w:rsid w:val="004459D2"/>
    <w:rsid w:val="0045575F"/>
    <w:rsid w:val="00483C3E"/>
    <w:rsid w:val="004D4FF3"/>
    <w:rsid w:val="004D5662"/>
    <w:rsid w:val="004E5CED"/>
    <w:rsid w:val="004F0C45"/>
    <w:rsid w:val="005128DF"/>
    <w:rsid w:val="00531A73"/>
    <w:rsid w:val="0057138B"/>
    <w:rsid w:val="00573DF2"/>
    <w:rsid w:val="00574287"/>
    <w:rsid w:val="00584AB5"/>
    <w:rsid w:val="00586D52"/>
    <w:rsid w:val="005C0E7E"/>
    <w:rsid w:val="005C42B1"/>
    <w:rsid w:val="005D55EA"/>
    <w:rsid w:val="006050FB"/>
    <w:rsid w:val="00616E51"/>
    <w:rsid w:val="00620A87"/>
    <w:rsid w:val="0062621F"/>
    <w:rsid w:val="00634D3F"/>
    <w:rsid w:val="00640150"/>
    <w:rsid w:val="00642C22"/>
    <w:rsid w:val="00645A07"/>
    <w:rsid w:val="0067597D"/>
    <w:rsid w:val="00680419"/>
    <w:rsid w:val="00682E4E"/>
    <w:rsid w:val="006947BD"/>
    <w:rsid w:val="00694F18"/>
    <w:rsid w:val="006B06EF"/>
    <w:rsid w:val="006B0B20"/>
    <w:rsid w:val="006C25FA"/>
    <w:rsid w:val="006D0878"/>
    <w:rsid w:val="006D17C5"/>
    <w:rsid w:val="007135F6"/>
    <w:rsid w:val="00715A48"/>
    <w:rsid w:val="007433F3"/>
    <w:rsid w:val="00762711"/>
    <w:rsid w:val="00776974"/>
    <w:rsid w:val="007A45E1"/>
    <w:rsid w:val="007C31E2"/>
    <w:rsid w:val="007F3389"/>
    <w:rsid w:val="00815E68"/>
    <w:rsid w:val="00845E60"/>
    <w:rsid w:val="00861373"/>
    <w:rsid w:val="00861EA9"/>
    <w:rsid w:val="008662DD"/>
    <w:rsid w:val="008A6D81"/>
    <w:rsid w:val="008C13E0"/>
    <w:rsid w:val="008C68C8"/>
    <w:rsid w:val="008D7BF7"/>
    <w:rsid w:val="008E4452"/>
    <w:rsid w:val="00902800"/>
    <w:rsid w:val="00910D91"/>
    <w:rsid w:val="009161CD"/>
    <w:rsid w:val="0091671E"/>
    <w:rsid w:val="00922E8E"/>
    <w:rsid w:val="00924D79"/>
    <w:rsid w:val="00930995"/>
    <w:rsid w:val="00932B6E"/>
    <w:rsid w:val="009356EC"/>
    <w:rsid w:val="00944537"/>
    <w:rsid w:val="00945B13"/>
    <w:rsid w:val="0094738D"/>
    <w:rsid w:val="009620B6"/>
    <w:rsid w:val="00973637"/>
    <w:rsid w:val="00986326"/>
    <w:rsid w:val="00990B50"/>
    <w:rsid w:val="00992DED"/>
    <w:rsid w:val="00992DF8"/>
    <w:rsid w:val="009A06BA"/>
    <w:rsid w:val="009A114C"/>
    <w:rsid w:val="009D6ECB"/>
    <w:rsid w:val="009E14A0"/>
    <w:rsid w:val="00A21C5C"/>
    <w:rsid w:val="00A27F3F"/>
    <w:rsid w:val="00A41912"/>
    <w:rsid w:val="00A706C1"/>
    <w:rsid w:val="00A71C25"/>
    <w:rsid w:val="00A737BF"/>
    <w:rsid w:val="00A772E5"/>
    <w:rsid w:val="00A85B58"/>
    <w:rsid w:val="00AA0AF1"/>
    <w:rsid w:val="00AA137D"/>
    <w:rsid w:val="00AB1AAA"/>
    <w:rsid w:val="00AB486E"/>
    <w:rsid w:val="00AB683B"/>
    <w:rsid w:val="00AC1733"/>
    <w:rsid w:val="00AC7179"/>
    <w:rsid w:val="00AD6209"/>
    <w:rsid w:val="00AE2D62"/>
    <w:rsid w:val="00B14697"/>
    <w:rsid w:val="00B15F5E"/>
    <w:rsid w:val="00B169E3"/>
    <w:rsid w:val="00B46012"/>
    <w:rsid w:val="00B462D8"/>
    <w:rsid w:val="00B514E7"/>
    <w:rsid w:val="00B66838"/>
    <w:rsid w:val="00B729D2"/>
    <w:rsid w:val="00BA2061"/>
    <w:rsid w:val="00BE4CA9"/>
    <w:rsid w:val="00BE67AF"/>
    <w:rsid w:val="00BF4747"/>
    <w:rsid w:val="00C17BFA"/>
    <w:rsid w:val="00C560F1"/>
    <w:rsid w:val="00C60BAE"/>
    <w:rsid w:val="00C75C8E"/>
    <w:rsid w:val="00C817E5"/>
    <w:rsid w:val="00C82EF1"/>
    <w:rsid w:val="00C86D81"/>
    <w:rsid w:val="00CB1A31"/>
    <w:rsid w:val="00CC180E"/>
    <w:rsid w:val="00CC29E1"/>
    <w:rsid w:val="00CD24E9"/>
    <w:rsid w:val="00CD4337"/>
    <w:rsid w:val="00CE1F46"/>
    <w:rsid w:val="00CE576F"/>
    <w:rsid w:val="00CE6309"/>
    <w:rsid w:val="00CF60F5"/>
    <w:rsid w:val="00D07F9E"/>
    <w:rsid w:val="00D17989"/>
    <w:rsid w:val="00D34004"/>
    <w:rsid w:val="00D440D3"/>
    <w:rsid w:val="00D5625F"/>
    <w:rsid w:val="00D655A7"/>
    <w:rsid w:val="00D70B5B"/>
    <w:rsid w:val="00D771BB"/>
    <w:rsid w:val="00D874CD"/>
    <w:rsid w:val="00D9695F"/>
    <w:rsid w:val="00DA6A8E"/>
    <w:rsid w:val="00DB3902"/>
    <w:rsid w:val="00DC5E5F"/>
    <w:rsid w:val="00DE48FB"/>
    <w:rsid w:val="00E00018"/>
    <w:rsid w:val="00E21D51"/>
    <w:rsid w:val="00E268BE"/>
    <w:rsid w:val="00E34602"/>
    <w:rsid w:val="00E37BD1"/>
    <w:rsid w:val="00E425EF"/>
    <w:rsid w:val="00E46AEF"/>
    <w:rsid w:val="00E55C1F"/>
    <w:rsid w:val="00E568D8"/>
    <w:rsid w:val="00E66643"/>
    <w:rsid w:val="00E73617"/>
    <w:rsid w:val="00E81D0D"/>
    <w:rsid w:val="00EA09C5"/>
    <w:rsid w:val="00EB4F1E"/>
    <w:rsid w:val="00EC4AE3"/>
    <w:rsid w:val="00ED0E8C"/>
    <w:rsid w:val="00ED4738"/>
    <w:rsid w:val="00EF0A57"/>
    <w:rsid w:val="00F11972"/>
    <w:rsid w:val="00F12DFA"/>
    <w:rsid w:val="00F1480B"/>
    <w:rsid w:val="00F1663C"/>
    <w:rsid w:val="00F40AFD"/>
    <w:rsid w:val="00F435AC"/>
    <w:rsid w:val="00F50D93"/>
    <w:rsid w:val="00F73D28"/>
    <w:rsid w:val="00F873E2"/>
    <w:rsid w:val="00F87F9F"/>
    <w:rsid w:val="00F9636C"/>
    <w:rsid w:val="00FB44EF"/>
    <w:rsid w:val="00FB491C"/>
    <w:rsid w:val="00FB5A1D"/>
    <w:rsid w:val="00FC126E"/>
    <w:rsid w:val="00FC14A6"/>
    <w:rsid w:val="00FE0B72"/>
    <w:rsid w:val="13157E25"/>
    <w:rsid w:val="161844A8"/>
    <w:rsid w:val="1A41799A"/>
    <w:rsid w:val="27FF733B"/>
    <w:rsid w:val="28814A83"/>
    <w:rsid w:val="2BF62B52"/>
    <w:rsid w:val="33DFDC8F"/>
    <w:rsid w:val="38FF4C96"/>
    <w:rsid w:val="39E6F46D"/>
    <w:rsid w:val="3F143E33"/>
    <w:rsid w:val="3FD91CAF"/>
    <w:rsid w:val="3FFFEA54"/>
    <w:rsid w:val="4488774C"/>
    <w:rsid w:val="46D41773"/>
    <w:rsid w:val="4A9FF374"/>
    <w:rsid w:val="5D3BAF2F"/>
    <w:rsid w:val="5E5F2EEF"/>
    <w:rsid w:val="5F3D5CD7"/>
    <w:rsid w:val="5FF98DCC"/>
    <w:rsid w:val="67D53EC8"/>
    <w:rsid w:val="67DCFF1B"/>
    <w:rsid w:val="67FBCBC6"/>
    <w:rsid w:val="6A3F6622"/>
    <w:rsid w:val="6AEF1E50"/>
    <w:rsid w:val="6BBF4151"/>
    <w:rsid w:val="6D0159EC"/>
    <w:rsid w:val="6D7BA00E"/>
    <w:rsid w:val="6FFF74DF"/>
    <w:rsid w:val="739C08E9"/>
    <w:rsid w:val="73FF88FB"/>
    <w:rsid w:val="77DDBDEA"/>
    <w:rsid w:val="77FD6F94"/>
    <w:rsid w:val="77FF2983"/>
    <w:rsid w:val="7DA362B0"/>
    <w:rsid w:val="7DFA29A6"/>
    <w:rsid w:val="7ED36810"/>
    <w:rsid w:val="7EFA36A0"/>
    <w:rsid w:val="7EFE4572"/>
    <w:rsid w:val="7F771CB2"/>
    <w:rsid w:val="7F9ED31A"/>
    <w:rsid w:val="7FB65716"/>
    <w:rsid w:val="7FE3FBDB"/>
    <w:rsid w:val="7FFABC73"/>
    <w:rsid w:val="8F6F0488"/>
    <w:rsid w:val="9F65C16C"/>
    <w:rsid w:val="9FDFBCE2"/>
    <w:rsid w:val="AB7F97EE"/>
    <w:rsid w:val="AE3FBE1A"/>
    <w:rsid w:val="BBB50423"/>
    <w:rsid w:val="BEDD3ACA"/>
    <w:rsid w:val="BEDFB3CE"/>
    <w:rsid w:val="BFB8739E"/>
    <w:rsid w:val="BFEF307A"/>
    <w:rsid w:val="BFFF4B8F"/>
    <w:rsid w:val="D6EFDF37"/>
    <w:rsid w:val="D6FF8E10"/>
    <w:rsid w:val="D77F37AB"/>
    <w:rsid w:val="D7FEDF38"/>
    <w:rsid w:val="DB5F27B7"/>
    <w:rsid w:val="DC1853C4"/>
    <w:rsid w:val="DD7FB74E"/>
    <w:rsid w:val="DFB92EF1"/>
    <w:rsid w:val="EDF3ED37"/>
    <w:rsid w:val="EFEFA768"/>
    <w:rsid w:val="F25E8E09"/>
    <w:rsid w:val="F2F8E0F7"/>
    <w:rsid w:val="F7F7DC44"/>
    <w:rsid w:val="F7FE112A"/>
    <w:rsid w:val="F7FEA160"/>
    <w:rsid w:val="F9EDE13B"/>
    <w:rsid w:val="F9FDA249"/>
    <w:rsid w:val="FB57CBD0"/>
    <w:rsid w:val="FBF3E9AD"/>
    <w:rsid w:val="FCFF232E"/>
    <w:rsid w:val="FDBFB7DF"/>
    <w:rsid w:val="FDD5144F"/>
    <w:rsid w:val="FDF94CCA"/>
    <w:rsid w:val="FEFF5B89"/>
    <w:rsid w:val="FF73EA6A"/>
    <w:rsid w:val="FFADE8C7"/>
    <w:rsid w:val="FFFBCC54"/>
    <w:rsid w:val="FFFE9530"/>
    <w:rsid w:val="FFFFC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link w:val="21"/>
    <w:qFormat/>
    <w:uiPriority w:val="0"/>
    <w:pPr>
      <w:jc w:val="left"/>
    </w:pPr>
  </w:style>
  <w:style w:type="paragraph" w:styleId="5">
    <w:name w:val="Balloon Text"/>
    <w:basedOn w:val="1"/>
    <w:semiHidden/>
    <w:qFormat/>
    <w:uiPriority w:val="0"/>
    <w:rPr>
      <w:sz w:val="18"/>
      <w:szCs w:val="18"/>
    </w:rPr>
  </w:style>
  <w:style w:type="paragraph" w:styleId="6">
    <w:name w:val="footer"/>
    <w:basedOn w:val="1"/>
    <w:link w:val="16"/>
    <w:qFormat/>
    <w:uiPriority w:val="0"/>
    <w:pPr>
      <w:tabs>
        <w:tab w:val="center" w:pos="4153"/>
        <w:tab w:val="right" w:pos="8306"/>
      </w:tabs>
      <w:snapToGrid w:val="0"/>
      <w:jc w:val="left"/>
    </w:pPr>
    <w:rPr>
      <w:sz w:val="18"/>
      <w:szCs w:val="18"/>
      <w:lang w:val="zh-CN" w:eastAsia="zh-CN"/>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8">
    <w:name w:val="Title"/>
    <w:basedOn w:val="1"/>
    <w:next w:val="1"/>
    <w:link w:val="18"/>
    <w:qFormat/>
    <w:uiPriority w:val="10"/>
    <w:pPr>
      <w:spacing w:before="240" w:after="60"/>
      <w:jc w:val="center"/>
      <w:outlineLvl w:val="0"/>
    </w:pPr>
    <w:rPr>
      <w:rFonts w:ascii="Cambria" w:hAnsi="Cambria"/>
      <w:b/>
      <w:bCs/>
      <w:sz w:val="32"/>
      <w:szCs w:val="32"/>
    </w:rPr>
  </w:style>
  <w:style w:type="paragraph" w:styleId="9">
    <w:name w:val="annotation subject"/>
    <w:basedOn w:val="4"/>
    <w:next w:val="4"/>
    <w:link w:val="22"/>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unhideWhenUsed/>
    <w:qFormat/>
    <w:uiPriority w:val="99"/>
    <w:rPr>
      <w:color w:val="0000FF"/>
      <w:u w:val="single"/>
    </w:rPr>
  </w:style>
  <w:style w:type="character" w:styleId="14">
    <w:name w:val="annotation reference"/>
    <w:basedOn w:val="12"/>
    <w:qFormat/>
    <w:uiPriority w:val="0"/>
    <w:rPr>
      <w:sz w:val="21"/>
      <w:szCs w:val="21"/>
    </w:rPr>
  </w:style>
  <w:style w:type="character" w:customStyle="1" w:styleId="15">
    <w:name w:val="页眉 字符"/>
    <w:link w:val="7"/>
    <w:qFormat/>
    <w:uiPriority w:val="0"/>
    <w:rPr>
      <w:kern w:val="2"/>
      <w:sz w:val="18"/>
      <w:szCs w:val="18"/>
    </w:rPr>
  </w:style>
  <w:style w:type="character" w:customStyle="1" w:styleId="16">
    <w:name w:val="页脚 字符"/>
    <w:link w:val="6"/>
    <w:qFormat/>
    <w:uiPriority w:val="0"/>
    <w:rPr>
      <w:kern w:val="2"/>
      <w:sz w:val="18"/>
      <w:szCs w:val="18"/>
    </w:rPr>
  </w:style>
  <w:style w:type="paragraph" w:customStyle="1" w:styleId="17">
    <w:name w:val="Char Char1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8">
    <w:name w:val="标题 字符"/>
    <w:link w:val="8"/>
    <w:qFormat/>
    <w:uiPriority w:val="10"/>
    <w:rPr>
      <w:rFonts w:ascii="Cambria" w:hAnsi="Cambria"/>
      <w:b/>
      <w:bCs/>
      <w:kern w:val="2"/>
      <w:sz w:val="32"/>
      <w:szCs w:val="32"/>
    </w:rPr>
  </w:style>
  <w:style w:type="paragraph" w:styleId="19">
    <w:name w:val="List Paragraph"/>
    <w:basedOn w:val="1"/>
    <w:qFormat/>
    <w:uiPriority w:val="34"/>
    <w:pPr>
      <w:ind w:firstLine="420" w:firstLineChars="200"/>
    </w:pPr>
  </w:style>
  <w:style w:type="character" w:customStyle="1" w:styleId="20">
    <w:name w:val="标题 1 字符"/>
    <w:basedOn w:val="12"/>
    <w:link w:val="2"/>
    <w:qFormat/>
    <w:uiPriority w:val="0"/>
    <w:rPr>
      <w:b/>
      <w:bCs/>
      <w:kern w:val="44"/>
      <w:sz w:val="44"/>
      <w:szCs w:val="44"/>
    </w:rPr>
  </w:style>
  <w:style w:type="character" w:customStyle="1" w:styleId="21">
    <w:name w:val="批注文字 字符"/>
    <w:basedOn w:val="12"/>
    <w:link w:val="4"/>
    <w:qFormat/>
    <w:uiPriority w:val="0"/>
    <w:rPr>
      <w:kern w:val="2"/>
      <w:sz w:val="24"/>
      <w:szCs w:val="24"/>
    </w:rPr>
  </w:style>
  <w:style w:type="character" w:customStyle="1" w:styleId="22">
    <w:name w:val="批注主题 字符"/>
    <w:basedOn w:val="21"/>
    <w:link w:val="9"/>
    <w:uiPriority w:val="0"/>
    <w:rPr>
      <w:b/>
      <w:bCs/>
      <w:kern w:val="2"/>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6757</Words>
  <Characters>7373</Characters>
  <Lines>575</Lines>
  <Paragraphs>332</Paragraphs>
  <TotalTime>65</TotalTime>
  <ScaleCrop>false</ScaleCrop>
  <LinksUpToDate>false</LinksUpToDate>
  <CharactersWithSpaces>7427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2026-10-18T01:49:00Z</dcterms:created>
  <dc:creator>86150</dc:creator>
  <cp:lastModifiedBy>Lin</cp:lastModifiedBy>
  <cp:lastPrinted>2012-08-30T04:05:00Z</cp:lastPrinted>
  <dcterms:modified xsi:type="dcterms:W3CDTF">2026-10-28T02:45:01Z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CF96106B9BB7454B9CC73CB5A72602FF_13</vt:lpwstr>
  </property>
  <property fmtid="{D5CDD505-2E9C-101B-9397-08002B2CF9AE}" pid="4" name="KSOTemplateDocerSaveRecord">
    <vt:lpwstr>eyJoZGlkIjoiNzJiNWQ2NDYxNjMyZjMyNjg5NzU4Mzk3MzM0YTk1ODQiLCJ1c2VySWQiOiI2NzI5MTcyNDcifQ==</vt:lpwstr>
  </property>
</Properties>
</file>