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D2AC0">
      <w:pPr>
        <w:pStyle w:val="6"/>
      </w:pPr>
      <w:r>
        <w:rPr>
          <w:rFonts w:hint="eastAsia"/>
        </w:rPr>
        <w:t>项目需求书</w:t>
      </w:r>
    </w:p>
    <w:p w14:paraId="0B2C8921">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一、项目背景</w:t>
      </w:r>
    </w:p>
    <w:p w14:paraId="6C8996AE">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本项目为2026年度修购专项“消防设施可靠性实验平台功能扩增改造项目”中实验平台各系统节点自动控制功能扩增改造采购项目。主要采购内容包括对现有平台消防水系统和防排烟系统中的手动阀门进行远程电控改造，对关键点位加装传感器，并对原有传感器设备重新接线，完成数据采集，并开发配套控制软件，采购内容包含配套材料和安装调试。</w:t>
      </w:r>
    </w:p>
    <w:p w14:paraId="5E43264D">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二、项目预算</w:t>
      </w:r>
    </w:p>
    <w:p w14:paraId="6751B79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本项目预算经费为</w:t>
      </w:r>
      <w:r>
        <w:rPr>
          <w:rFonts w:ascii="宋体" w:hAnsi="宋体" w:eastAsia="宋体" w:cs="宋体"/>
          <w:sz w:val="24"/>
          <w:szCs w:val="24"/>
        </w:rPr>
        <w:t>431221</w:t>
      </w:r>
      <w:r>
        <w:rPr>
          <w:rFonts w:hint="eastAsia" w:ascii="Times New Roman" w:hAnsi="Times New Roman" w:cs="Times New Roman"/>
          <w:sz w:val="24"/>
          <w:szCs w:val="24"/>
        </w:rPr>
        <w:t>元。</w:t>
      </w:r>
      <w:bookmarkStart w:id="0" w:name="_GoBack"/>
      <w:bookmarkEnd w:id="0"/>
    </w:p>
    <w:p w14:paraId="1F628A9E">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三、资格要求</w:t>
      </w:r>
    </w:p>
    <w:p w14:paraId="3E5F9B02">
      <w:pPr>
        <w:spacing w:line="360" w:lineRule="auto"/>
        <w:ind w:firstLine="480" w:firstLineChars="200"/>
        <w:rPr>
          <w:sz w:val="24"/>
        </w:rPr>
      </w:pPr>
      <w:r>
        <w:rPr>
          <w:rFonts w:hint="eastAsia"/>
          <w:sz w:val="24"/>
        </w:rPr>
        <w:t>（</w:t>
      </w:r>
      <w:r>
        <w:rPr>
          <w:rFonts w:hint="eastAsia"/>
          <w:sz w:val="24"/>
          <w:lang w:val="en-US" w:eastAsia="zh-CN"/>
        </w:rPr>
        <w:t>一</w:t>
      </w:r>
      <w:r>
        <w:rPr>
          <w:rFonts w:hint="eastAsia"/>
          <w:sz w:val="24"/>
        </w:rPr>
        <w:t>）投标人须具备《中华人民共和国政府采购法》第二十二条第一款规定的条件。</w:t>
      </w:r>
    </w:p>
    <w:p w14:paraId="7C09D658">
      <w:pPr>
        <w:spacing w:line="360" w:lineRule="auto"/>
        <w:ind w:firstLine="480" w:firstLineChars="200"/>
        <w:rPr>
          <w:rFonts w:hint="eastAsia"/>
          <w:sz w:val="24"/>
          <w:highlight w:val="none"/>
        </w:rPr>
      </w:pPr>
      <w:r>
        <w:rPr>
          <w:rFonts w:hint="eastAsia"/>
          <w:sz w:val="24"/>
        </w:rPr>
        <w:t>（</w:t>
      </w:r>
      <w:r>
        <w:rPr>
          <w:rFonts w:hint="eastAsia"/>
          <w:sz w:val="24"/>
          <w:lang w:val="en-US" w:eastAsia="zh-CN"/>
        </w:rPr>
        <w:t>二</w:t>
      </w:r>
      <w:r>
        <w:rPr>
          <w:rFonts w:hint="eastAsia"/>
          <w:sz w:val="24"/>
        </w:rPr>
        <w:t>）</w:t>
      </w:r>
      <w:r>
        <w:rPr>
          <w:rFonts w:hint="eastAsia"/>
          <w:sz w:val="24"/>
          <w:highlight w:val="none"/>
        </w:rPr>
        <w:t>本项目</w:t>
      </w:r>
      <w:r>
        <w:rPr>
          <w:rFonts w:hint="eastAsia"/>
          <w:color w:val="auto"/>
          <w:sz w:val="24"/>
          <w:highlight w:val="none"/>
        </w:rPr>
        <w:t>不接受</w:t>
      </w:r>
      <w:r>
        <w:rPr>
          <w:rFonts w:hint="eastAsia"/>
          <w:sz w:val="24"/>
          <w:highlight w:val="none"/>
        </w:rPr>
        <w:t>联合体。</w:t>
      </w:r>
    </w:p>
    <w:p w14:paraId="124E26B9">
      <w:pPr>
        <w:spacing w:line="360" w:lineRule="auto"/>
        <w:ind w:firstLine="480" w:firstLineChars="200"/>
        <w:rPr>
          <w:rFonts w:hint="eastAsia" w:eastAsiaTheme="minorEastAsia"/>
          <w:sz w:val="24"/>
          <w:highlight w:val="none"/>
          <w:lang w:eastAsia="zh-CN"/>
        </w:rPr>
      </w:pPr>
      <w:r>
        <w:rPr>
          <w:rFonts w:hint="eastAsia"/>
          <w:sz w:val="24"/>
        </w:rPr>
        <w:t>（</w:t>
      </w:r>
      <w:r>
        <w:rPr>
          <w:rFonts w:hint="eastAsia"/>
          <w:sz w:val="24"/>
          <w:lang w:val="en-US" w:eastAsia="zh-CN"/>
        </w:rPr>
        <w:t>三</w:t>
      </w:r>
      <w:r>
        <w:rPr>
          <w:rFonts w:hint="eastAsia"/>
          <w:sz w:val="24"/>
        </w:rPr>
        <w:t>）不单独面向中小微企业</w:t>
      </w:r>
      <w:r>
        <w:rPr>
          <w:rFonts w:hint="eastAsia"/>
          <w:sz w:val="24"/>
          <w:lang w:eastAsia="zh-CN"/>
        </w:rPr>
        <w:t>。</w:t>
      </w:r>
    </w:p>
    <w:p w14:paraId="13B6FA8E">
      <w:pPr>
        <w:spacing w:line="360" w:lineRule="auto"/>
        <w:ind w:firstLine="482" w:firstLineChars="200"/>
        <w:rPr>
          <w:rFonts w:hint="eastAsia"/>
          <w:b/>
          <w:sz w:val="24"/>
        </w:rPr>
      </w:pPr>
      <w:r>
        <w:rPr>
          <w:rFonts w:hint="eastAsia"/>
          <w:b/>
          <w:sz w:val="24"/>
          <w:lang w:val="en-US" w:eastAsia="zh-CN"/>
        </w:rPr>
        <w:t>四</w:t>
      </w:r>
      <w:r>
        <w:rPr>
          <w:rFonts w:hint="eastAsia"/>
          <w:b/>
          <w:sz w:val="24"/>
        </w:rPr>
        <w:t>、技术要求</w:t>
      </w:r>
    </w:p>
    <w:p w14:paraId="090D9451">
      <w:pPr>
        <w:spacing w:line="360" w:lineRule="auto"/>
        <w:ind w:firstLine="480" w:firstLineChars="200"/>
        <w:rPr>
          <w:rFonts w:hint="eastAsia"/>
          <w:sz w:val="24"/>
          <w:lang w:eastAsia="zh-CN"/>
        </w:rPr>
      </w:pPr>
      <w:r>
        <w:rPr>
          <w:rFonts w:hint="eastAsia"/>
          <w:sz w:val="24"/>
        </w:rPr>
        <w:t>采购内容包括电动阀门、排烟阀、传感器安装、PLC设备、线缆、定制软件开发及现场新增阀门软硬件调测</w:t>
      </w:r>
      <w:r>
        <w:rPr>
          <w:rFonts w:hint="eastAsia"/>
          <w:sz w:val="24"/>
          <w:lang w:eastAsia="zh-CN"/>
        </w:rPr>
        <w:t>。</w:t>
      </w:r>
    </w:p>
    <w:p w14:paraId="5D9335F1">
      <w:pPr>
        <w:pStyle w:val="18"/>
        <w:widowControl/>
        <w:spacing w:line="360" w:lineRule="auto"/>
        <w:ind w:left="0" w:firstLine="480" w:firstLineChars="200"/>
        <w:jc w:val="both"/>
        <w:rPr>
          <w:rFonts w:hint="default" w:ascii="Times New Roman" w:hAnsi="Times New Roman" w:eastAsia="宋体" w:cs="Times New Roman"/>
          <w:sz w:val="24"/>
          <w:szCs w:val="24"/>
        </w:rPr>
      </w:pPr>
    </w:p>
    <w:tbl>
      <w:tblPr>
        <w:tblStyle w:val="7"/>
        <w:tblW w:w="52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65"/>
        <w:gridCol w:w="1469"/>
        <w:gridCol w:w="5295"/>
        <w:gridCol w:w="707"/>
        <w:gridCol w:w="707"/>
      </w:tblGrid>
      <w:tr w14:paraId="5E73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23ADFA5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序号</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3D50D9D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标的名称</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41F67E3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需求条款</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019F8BF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单位</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0925365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数量</w:t>
            </w:r>
          </w:p>
        </w:tc>
      </w:tr>
      <w:tr w14:paraId="3259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44C1D86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FE3F23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电动闸阀（DN150，PN1.6MPa）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495D6B0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1.开、关控制；全开、全关及故障反馈。</w:t>
            </w:r>
          </w:p>
          <w:p w14:paraId="1214321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2.执行器应具有就地、停止和远程模式，模式状态应反馈PLC；控制回路应避免开关命令同时有效。</w:t>
            </w:r>
          </w:p>
          <w:p w14:paraId="54C6E74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3.开关型阀门应设置动作超时，超时后撤销输出、锁定后续步骤、记录故障并要求受控复位。</w:t>
            </w:r>
          </w:p>
          <w:p w14:paraId="51F36C9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 手轮操作、力矩保护、过热保护和机械限位应在深化设计中逐台确认。</w:t>
            </w:r>
          </w:p>
          <w:p w14:paraId="37F8D03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4ACFD09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2CB0791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11</w:t>
            </w:r>
          </w:p>
        </w:tc>
      </w:tr>
      <w:tr w14:paraId="1066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6DFB570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4B27E0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电动闸阀（DN200，PN2.5MPa）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2496D14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1.开、关控制；全开、全关及故障反馈。</w:t>
            </w:r>
          </w:p>
          <w:p w14:paraId="2ECDD958">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2.执行器应具有就地、停止和远程模式，模式状态应反馈PLC；控制回路应避免开关命令同时有效。</w:t>
            </w:r>
          </w:p>
          <w:p w14:paraId="01031ECD">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3.开关型阀门应设置动作超时，超时后撤销输出、锁定后续步骤、记录故障并要求受控复位。</w:t>
            </w:r>
          </w:p>
          <w:p w14:paraId="5FCBEFF4">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4.阀门手轮操作、力矩保护、过热保护和机械限位应在深化设计中逐台确认。</w:t>
            </w:r>
          </w:p>
          <w:p w14:paraId="0B7CD274">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E60F10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5C8672C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3</w:t>
            </w:r>
          </w:p>
        </w:tc>
      </w:tr>
      <w:tr w14:paraId="0639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427C4EB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3</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3A17F65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电动闸阀（DN125，PN1.6MPa）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28B0624F">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1.开、关控制；全开、全关及故障反馈。</w:t>
            </w:r>
          </w:p>
          <w:p w14:paraId="3A56AD8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2.执行器应具有就地、停止和远程模式，模式状态应反馈PLC；控制回路应避免开关命令同时有效。</w:t>
            </w:r>
          </w:p>
          <w:p w14:paraId="0766B09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3.开关型阀门应设置动作超时，超时后撤销输出、锁定后续步骤、记录故障并要求受控复位。</w:t>
            </w:r>
          </w:p>
          <w:p w14:paraId="6ABB3143">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4.阀门手轮操作、力矩保护、过热保护和机械限位应在深化设计中逐台确认。</w:t>
            </w:r>
          </w:p>
          <w:p w14:paraId="2744AFA1">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61EEE3A5">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0C81C4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4</w:t>
            </w:r>
          </w:p>
        </w:tc>
      </w:tr>
      <w:tr w14:paraId="1DD0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0CE21B4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4</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286C57A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电动闸阀（DN100，PN1.6MPa）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730FD385">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1.开、关控制；全开、全关及故障反馈。</w:t>
            </w:r>
          </w:p>
          <w:p w14:paraId="794EF225">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2.执行器应具有就地、停止和远程模式，模式状态应反馈PLC；控制回路应避免开关命令同时有效。</w:t>
            </w:r>
          </w:p>
          <w:p w14:paraId="1262FB3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3.开关型阀门应设置动作超时，超时后撤销输出、锁定后续步骤、记录故障并要求受控复位。</w:t>
            </w:r>
          </w:p>
          <w:p w14:paraId="1453F418">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4.阀门手轮操作、力矩保护、过热保护和机械限位应在深化设计中逐台确认。</w:t>
            </w:r>
          </w:p>
          <w:p w14:paraId="49039A4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4C797E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A2675B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p>
        </w:tc>
      </w:tr>
      <w:tr w14:paraId="1DEB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01F29AC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5</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024930F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电动闸阀（DN80，PN1.6MPa）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2EBC3DE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1.开、关控制；全开、全关及故障反馈。</w:t>
            </w:r>
          </w:p>
          <w:p w14:paraId="52B3DF15">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2.执行器应具有就地、停止和远程模式，模式状态应反馈PLC；控制回路应避免开关命令同时有效。</w:t>
            </w:r>
          </w:p>
          <w:p w14:paraId="166ED45E">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3.开关型阀门应设置动作超时，超时后撤销输出、锁定后续步骤、记录故障并要求受控复位。</w:t>
            </w:r>
          </w:p>
          <w:p w14:paraId="12F0EAE0">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4.阀门手轮操作、力矩保护、过热保护和机械限位应在深化设计中逐台确认。</w:t>
            </w:r>
          </w:p>
          <w:p w14:paraId="33DDCA7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050BA66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20C0BFF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2</w:t>
            </w:r>
          </w:p>
        </w:tc>
      </w:tr>
      <w:tr w14:paraId="7E3B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182D179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6</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FC7418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电动调节阀（DN150，PN1.6MPa）</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10FEF68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1.★开度给定、阀位反馈及端位反馈。</w:t>
            </w:r>
          </w:p>
          <w:p w14:paraId="7D06DCCF">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2.调节阀应明确4-20mA、现场总线或点动定位方式；采用4-20mA给定时，PLC必须配置AO。</w:t>
            </w:r>
          </w:p>
          <w:p w14:paraId="3F07BB03">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3.执行器应具有就地、停止和远程模式，模式状态应反馈PLC。</w:t>
            </w:r>
          </w:p>
          <w:p w14:paraId="0B8DDBB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4.阀门手轮操作、力矩保护、过热保护和机械限位应在深化设计中逐台确认。</w:t>
            </w:r>
          </w:p>
          <w:p w14:paraId="72FA0BA7">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5.消防本体的温感熔断、机械关闭或法定硬联锁不得由软件屏蔽。</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FDF167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3699DE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r>
      <w:tr w14:paraId="78DF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707129F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7</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3261638">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排烟防火阀（定制电动复位型）</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7EB76EA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1.开启或复位命令、到位及熔断等状态反馈。</w:t>
            </w:r>
          </w:p>
          <w:p w14:paraId="5AD70B8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2.消防本体的温感熔断、机械关闭或法定硬联锁不得由软件屏蔽。</w:t>
            </w:r>
          </w:p>
          <w:p w14:paraId="22D5998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3.执行器应具有就地、停止和远程模式，模式状态应反馈PLC；设置动作超时，超时后撤销输出并记录故障。</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598929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台</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3C2A13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6</w:t>
            </w:r>
          </w:p>
        </w:tc>
      </w:tr>
      <w:tr w14:paraId="620B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11117D4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8</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4D61F7E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状态采集模块</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66937EA0">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压力、流量、选择阀、电磁阀、称重等传感器信号按现场接口确认；以DI及通信方式接入。</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697CA74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套</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E5237A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w:t>
            </w:r>
          </w:p>
        </w:tc>
      </w:tr>
      <w:tr w14:paraId="60C5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41BF660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9</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6DAA6EF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PLC控制系统</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5D6A074D">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1.★所有影响设备和人员安全的联锁、顺序控制、超时保护及故障处理必须在PLC内执行，不得依赖Web服务器、数据库、云平台或公网。</w:t>
            </w:r>
          </w:p>
          <w:p w14:paraId="0F573A7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2.★阀门自动控制必须采用命令、执行、阀位反馈和工艺参数确认的闭环。仅发出命令或仅检测流量变化不得视为阀门动作成功。</w:t>
            </w:r>
          </w:p>
          <w:p w14:paraId="4D641FC5">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3.CPU采用西门子S7-1200（或同等及以上档次产品），投标人复核性能、存储、通信、OPC UA能力及授权。</w:t>
            </w:r>
          </w:p>
          <w:p w14:paraId="4D5B277D">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4.远程I/O支持Profinet诊断和模块化扩展；DI、DO按最终点表留不少于20%备用，DO经中间继电器驱动；AI为4-20mA，通道隔离按回路风险配置；调节阀采用模拟给定时必须配置AO。</w:t>
            </w:r>
          </w:p>
          <w:p w14:paraId="3D520D3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5.★投标人应提供完整I/O点表、网络拓扑、控制原理图、端子图、Modbus寄存器表和联锁矩阵，并经采购人确认后实施。</w:t>
            </w:r>
          </w:p>
          <w:p w14:paraId="3A6F373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6.RS-485中转模块按串口负载、分区、隔离及网关方案核定，避免重复配置。</w:t>
            </w:r>
          </w:p>
          <w:p w14:paraId="43C946E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7.程序采用模块化结构，顺序控制采用明确状态机，记录当前步骤、进入时间、完成条件、超时条件和故障转移；PLC冷启动、通信恢复、急停复位和手自动切换不得引起阀门无命令动作。</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2661B23F">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套</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F32AB60">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r>
      <w:tr w14:paraId="71E6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03E51A7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10</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55B45FF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通信与网关设备</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570E313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1.RS-485网络采用屏蔽双绞线手拉手布线，禁止无控制星形分支；总线两端设置匹配终端电阻。</w:t>
            </w:r>
          </w:p>
          <w:p w14:paraId="46DC9C6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2.每条总线应明确主站、从站地址、波特率、校验、停止位、超时、重试和轮询周期；通信程序应限制连续重试，单台设备故障不得阻塞整条总线。</w:t>
            </w:r>
          </w:p>
          <w:p w14:paraId="5C8BB423">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3.现场RS-485采集和Modbus协议转换，PLC作为客户端通过Modbus-TCP读取；网关仅在跨网段、无线通信、缓存续传或平台协议转换确有需求时设置，优先从PLC或控制层读取已校验数据。</w:t>
            </w:r>
          </w:p>
          <w:p w14:paraId="54E0503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4.OPC UA采用证书信任和加密安全策略，禁用匿名写入；上层系统不得直接写物理输出地址。</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2DD2C3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批</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55BFE5E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r>
      <w:tr w14:paraId="0BCB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1B59FC4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71C4C0D6">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智阈工况管控平台</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5FCABC82">
            <w:pPr>
              <w:keepNext w:val="0"/>
              <w:keepLines w:val="0"/>
              <w:widowControl/>
              <w:suppressLineNumbers w:val="0"/>
              <w:spacing w:before="0" w:beforeAutospacing="0" w:after="0" w:afterAutospacing="0"/>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r>
              <w:rPr>
                <w:rFonts w:hint="eastAsia" w:ascii="宋体" w:hAnsi="宋体" w:eastAsia="宋体" w:cs="宋体"/>
                <w:kern w:val="0"/>
                <w:sz w:val="24"/>
                <w:szCs w:val="24"/>
                <w:lang w:val="en-US" w:eastAsia="zh-CN" w:bidi="ar"/>
              </w:rPr>
              <w:t>工业级远程安全控制机制，</w:t>
            </w:r>
            <w:r>
              <w:rPr>
                <w:rFonts w:hint="eastAsia" w:ascii="宋体" w:hAnsi="宋体" w:eastAsia="宋体" w:cs="宋体"/>
                <w:kern w:val="2"/>
                <w:sz w:val="24"/>
                <w:szCs w:val="24"/>
                <w:lang w:val="en-US" w:eastAsia="zh-CN" w:bidi="ar"/>
              </w:rPr>
              <w:t>必须具备身份鉴别、分级授权、操作审计、命令序号管理、防重复执行和超时撤销全流程管控能力。</w:t>
            </w:r>
          </w:p>
          <w:p w14:paraId="3C3BC44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2.★平台软件全功能</w:t>
            </w:r>
          </w:p>
          <w:p w14:paraId="2EEB9D8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平台覆盖物联网设备管理、生产实验管控、运维安全监测三大核心领域，具体包含：</w:t>
            </w:r>
          </w:p>
          <w:p w14:paraId="053EB23F">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1）监控交互层：提供系统总览驾驶舱、分系统工艺画面、阀门单控</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 组控操作、实时 / 历史趋势展示、分级告警管理、全链路通信诊断与状态可视化功能；</w:t>
            </w:r>
          </w:p>
          <w:p w14:paraId="3C23CE96">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2）权限安全层：实现组织、用户、角色三级架构与最小权限管控，支持权限颗粒化配置与安全审计追溯，符合等保合规要求；</w:t>
            </w:r>
          </w:p>
          <w:p w14:paraId="0638687A">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3）设备资产层：内置全生命周期设备台账管理，支持点位标准化编码、运行参数配置、设备维护记录全链路归档，适配多协议物联网设备接入；</w:t>
            </w:r>
          </w:p>
          <w:p w14:paraId="1581D15E">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4）实验流程层：具备实验流程可视化编辑、多级审批、版本管控、自动执行与全链路追溯能力，支持实验过程数据自动归档与复盘；</w:t>
            </w:r>
          </w:p>
          <w:p w14:paraId="333691CE">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5）工况管控层：构建标准化工况库，支持阀门目标状态分步调用、联锁校验与安全复核，实现生产</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和运维工况一键复刻与精准执行；</w:t>
            </w:r>
          </w:p>
          <w:p w14:paraId="09F08CC4">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6）数据输出层：提供实时监控看板、多维度历史趋势分析、智能告警推送、实验报告自动生成与结构化数据导出功能；</w:t>
            </w:r>
          </w:p>
          <w:p w14:paraId="2C774645">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7）智能预警层：内置机理</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 数据混合驱动的智能预警分级引擎，支持多维工况特征提取、动态阈值自适应与工况自学习，实现多级告警联动、异常根因自动溯源，具备智能安全监测核心能力。</w:t>
            </w:r>
          </w:p>
          <w:p w14:paraId="09F9EE7C">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支持纯本地化独立部署，可采用容器化部署或等效可回退架构，支持离线运行模式，断网场景下核心监测、控制、预警功能不中断；具备数据备份、版本升级与一键回退能力，无外部云端依赖，支持国产化软硬件环境适配，满足工业现场运维与数据安全要求。。</w:t>
            </w:r>
          </w:p>
          <w:p w14:paraId="161F805B">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4.★全栈交付与无锁化承诺，完整交付</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PLC 侧可编辑工程源文件、平台后端与前端全量源代码、数据库设计脚本、接口开发文档、部署运维手册及完整工程文档；不得设置任何未披露的远程停用、功能限制或许可锁机制，交付成果符合软件工程规范，支持业主方自主运维、功能迭代与二次开发。</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5AE1917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套</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0A56D2E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r>
      <w:tr w14:paraId="5764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203F07D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12</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45E22241">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控制柜及配套电气元件</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44021D2D">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1.控制柜设置总隔离、分路保护、24VDC电源分配、PE和N端子、浪涌保护、温控、风扇和照明。</w:t>
            </w:r>
          </w:p>
          <w:p w14:paraId="127D5209">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2.柜内动力、控制、模拟量和通信线分区布置；对外线缆全部经端子排，并预留不少于20%的端子。</w:t>
            </w:r>
          </w:p>
          <w:p w14:paraId="0FA1DE12">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3.线号、端子号、设备位号和图纸保持一致；电缆两端采用永久标识，备用芯线接入备用端子。</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45B41BE3">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批</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5AFEAC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1</w:t>
            </w:r>
          </w:p>
        </w:tc>
      </w:tr>
      <w:tr w14:paraId="4F8C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79DAE6E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13</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1BDFD07D">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线缆</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2FCA492C">
            <w:pPr>
              <w:keepNext w:val="0"/>
              <w:keepLines w:val="0"/>
              <w:widowControl w:val="0"/>
              <w:suppressLineNumbers w:val="0"/>
              <w:spacing w:before="0" w:beforeAutospacing="0" w:after="0" w:afterAutospacing="0"/>
              <w:ind w:left="0" w:right="0"/>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设备电源、信号接入、输出共需4类线缆规格：动力电缆 ZC-YJV 3×2.5mm²（1000米）、计算机电缆DHYVP-1×5×1.5mm²（2000米）、计算机电缆DHYVP-1×2×1.5mm²（1200）、双绞线 RVSP 2×1.5mm²（800）</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97884A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批</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F09C8A4">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r>
      <w:tr w14:paraId="5283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51768F89">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14</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151E25FA">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调测</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61B4A8B7">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现场软硬件数据衔接打通及联调测试，不少于103台设备</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37D7452B">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套</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75AB7EF7">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w:t>
            </w:r>
          </w:p>
        </w:tc>
      </w:tr>
      <w:tr w14:paraId="7ED6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8" w:type="pct"/>
            <w:tcBorders>
              <w:top w:val="single" w:color="auto" w:sz="4" w:space="0"/>
              <w:left w:val="single" w:color="auto" w:sz="4" w:space="0"/>
              <w:bottom w:val="single" w:color="auto" w:sz="4" w:space="0"/>
              <w:right w:val="single" w:color="auto" w:sz="4" w:space="0"/>
            </w:tcBorders>
            <w:shd w:val="clear" w:color="auto" w:fill="auto"/>
            <w:vAlign w:val="center"/>
          </w:tcPr>
          <w:p w14:paraId="340169F2">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15</w:t>
            </w:r>
          </w:p>
        </w:tc>
        <w:tc>
          <w:tcPr>
            <w:tcW w:w="821" w:type="pct"/>
            <w:tcBorders>
              <w:top w:val="single" w:color="auto" w:sz="4" w:space="0"/>
              <w:left w:val="single" w:color="auto" w:sz="4" w:space="0"/>
              <w:bottom w:val="single" w:color="auto" w:sz="4" w:space="0"/>
              <w:right w:val="single" w:color="auto" w:sz="4" w:space="0"/>
            </w:tcBorders>
            <w:shd w:val="clear" w:color="auto" w:fill="auto"/>
            <w:vAlign w:val="center"/>
          </w:tcPr>
          <w:p w14:paraId="47D4B0F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传感器安装</w:t>
            </w:r>
          </w:p>
        </w:tc>
        <w:tc>
          <w:tcPr>
            <w:tcW w:w="2959" w:type="pct"/>
            <w:tcBorders>
              <w:top w:val="single" w:color="auto" w:sz="4" w:space="0"/>
              <w:left w:val="single" w:color="auto" w:sz="4" w:space="0"/>
              <w:bottom w:val="single" w:color="auto" w:sz="4" w:space="0"/>
              <w:right w:val="single" w:color="auto" w:sz="4" w:space="0"/>
            </w:tcBorders>
            <w:shd w:val="clear" w:color="auto" w:fill="auto"/>
            <w:vAlign w:val="center"/>
          </w:tcPr>
          <w:p w14:paraId="22E2736E">
            <w:pPr>
              <w:keepNext w:val="0"/>
              <w:keepLines w:val="0"/>
              <w:widowControl w:val="0"/>
              <w:suppressLineNumbers w:val="0"/>
              <w:spacing w:before="0" w:beforeAutospacing="0" w:after="0" w:afterAutospacing="0"/>
              <w:ind w:left="0" w:right="0"/>
              <w:jc w:val="both"/>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24v485传感器安装</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5407692E">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套</w:t>
            </w:r>
          </w:p>
        </w:tc>
        <w:tc>
          <w:tcPr>
            <w:tcW w:w="395" w:type="pct"/>
            <w:tcBorders>
              <w:top w:val="single" w:color="auto" w:sz="4" w:space="0"/>
              <w:left w:val="single" w:color="auto" w:sz="4" w:space="0"/>
              <w:bottom w:val="single" w:color="auto" w:sz="4" w:space="0"/>
              <w:right w:val="single" w:color="auto" w:sz="4" w:space="0"/>
            </w:tcBorders>
            <w:shd w:val="clear" w:color="auto" w:fill="auto"/>
            <w:vAlign w:val="center"/>
          </w:tcPr>
          <w:p w14:paraId="152031AC">
            <w:pPr>
              <w:keepNext w:val="0"/>
              <w:keepLines w:val="0"/>
              <w:widowControl w:val="0"/>
              <w:suppressLineNumbers w:val="0"/>
              <w:spacing w:before="0" w:beforeAutospacing="0" w:after="0" w:afterAutospacing="0"/>
              <w:ind w:left="0" w:right="0"/>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6</w:t>
            </w:r>
          </w:p>
        </w:tc>
      </w:tr>
    </w:tbl>
    <w:p w14:paraId="49F8A63A">
      <w:pPr>
        <w:spacing w:line="360" w:lineRule="auto"/>
        <w:ind w:firstLine="482" w:firstLineChars="200"/>
        <w:rPr>
          <w:rFonts w:hint="eastAsia"/>
          <w:b/>
          <w:sz w:val="24"/>
          <w:lang w:val="en-US" w:eastAsia="zh-CN"/>
        </w:rPr>
      </w:pPr>
      <w:r>
        <w:rPr>
          <w:rFonts w:hint="eastAsia"/>
          <w:b/>
          <w:sz w:val="24"/>
          <w:lang w:val="en-US" w:eastAsia="zh-CN"/>
        </w:rPr>
        <w:t>五、商务要求</w:t>
      </w:r>
    </w:p>
    <w:p w14:paraId="6F257CE0">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（一）报价要求</w:t>
      </w:r>
    </w:p>
    <w:p w14:paraId="354649A3">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 投标报价以人民币填列。</w:t>
      </w:r>
    </w:p>
    <w:p w14:paraId="6C2DD7F5">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 投标人的报价应包括：设备主机及附件货款、运输费、运输保险费、装卸费、安装调试费及利润税金等为完成招标文件规定的全部要求所需的一切费用。投标人所报价格为货到现场安装调试完成的最终优惠价格。</w:t>
      </w:r>
    </w:p>
    <w:p w14:paraId="54641A29">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验收及相关费用由投标人负责。</w:t>
      </w:r>
    </w:p>
    <w:p w14:paraId="3A760C54">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（二）服务要求</w:t>
      </w:r>
    </w:p>
    <w:p w14:paraId="5A0A2D3D">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 提供所投产品1年的免费上门保修，终身维修。</w:t>
      </w:r>
    </w:p>
    <w:p w14:paraId="7B8A2A5A">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 提供7×24小时技术支持服务，接到故障报修后2小时内响应，本市24小时内、外埠48小时内到达现场处理。保修期自验收合格之日起计算。</w:t>
      </w:r>
    </w:p>
    <w:p w14:paraId="667F68EB">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保修期内设备出现非人为损坏故障，免费维修或更换零部件，更换零部件的质保期顺延；72小时内无法修复的，免费提供同型号备用设备。</w:t>
      </w:r>
    </w:p>
    <w:p w14:paraId="4EFC2C2B">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 保修期内提供免费软件升级服务，包括功能更新、漏洞修复、新设备及新应用适配；建立设备运维档案，每季度电话回访、每半年现场巡检一次。</w:t>
      </w:r>
    </w:p>
    <w:p w14:paraId="0FFB760F">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 提供免费现场培训，培训时长不少于 5 个工作日（2 天理论 + 3 天实操），培训对象不少于 10 人。培训内容包括：设备硬件操作、软件功能使用、事故调查数据处理流程、日常维护保养、常见故障排查与处理。培训结束后进行考核，考核不合格的免费提供二次培训；提供纸质版+电子版全套培训教材及操作手册。</w:t>
      </w:r>
    </w:p>
    <w:p w14:paraId="64418247">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（三）交货要求</w:t>
      </w:r>
    </w:p>
    <w:p w14:paraId="434841AB">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 交货期：自签订合同之日起60日内安装、调试完成，安装调试完成后3个工作日内，向采购人提交完整的安装调试报告及测试记录（特殊情况以合同为准）。</w:t>
      </w:r>
    </w:p>
    <w:p w14:paraId="44E1D5CB">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 交货地点：天津市南开区卫津南路110号（特殊情况以合同为准）。</w:t>
      </w:r>
    </w:p>
    <w:p w14:paraId="7AA70101">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 提供制造商完整的随机资料，包括完整的使用和维修手册等。</w:t>
      </w:r>
    </w:p>
    <w:p w14:paraId="19DBC5C3">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 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3049624F">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（四）付款方式</w:t>
      </w:r>
    </w:p>
    <w:p w14:paraId="6237D3CC">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签订合同后5个工作日内预付合同总额的30%；所有设备到货并通过开箱验收后5个工作日内，支付合同总额的30%；设备安装调试完成并通过最终验收后5个工作日内，支付合同总额的40%（特殊情况以合同为准）。</w:t>
      </w:r>
    </w:p>
    <w:p w14:paraId="6DE4B48E">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（五）验收方法及标准</w:t>
      </w:r>
    </w:p>
    <w:p w14:paraId="67A454E6">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4FF30E4B">
      <w:pPr>
        <w:spacing w:line="360" w:lineRule="auto"/>
        <w:ind w:firstLine="482" w:firstLineChars="200"/>
        <w:rPr>
          <w:rFonts w:hint="eastAsia"/>
          <w:b/>
          <w:sz w:val="24"/>
          <w:lang w:val="en-US" w:eastAsia="zh-CN"/>
        </w:rPr>
      </w:pPr>
      <w:r>
        <w:rPr>
          <w:rFonts w:hint="eastAsia"/>
          <w:b/>
          <w:sz w:val="24"/>
          <w:lang w:val="en-US" w:eastAsia="zh-CN"/>
        </w:rPr>
        <w:t>六、其他要求</w:t>
      </w:r>
    </w:p>
    <w:p w14:paraId="3D446844">
      <w:pPr>
        <w:spacing w:line="360" w:lineRule="auto"/>
        <w:ind w:firstLine="480" w:firstLineChars="20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C92C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1"/>
    <w:rsid w:val="00001B8B"/>
    <w:rsid w:val="0000216E"/>
    <w:rsid w:val="00002352"/>
    <w:rsid w:val="00003657"/>
    <w:rsid w:val="000038E8"/>
    <w:rsid w:val="00005094"/>
    <w:rsid w:val="00006D00"/>
    <w:rsid w:val="0001194C"/>
    <w:rsid w:val="00013B17"/>
    <w:rsid w:val="00015375"/>
    <w:rsid w:val="0001758C"/>
    <w:rsid w:val="000201A0"/>
    <w:rsid w:val="00022D3B"/>
    <w:rsid w:val="00030970"/>
    <w:rsid w:val="00031C61"/>
    <w:rsid w:val="00041BF5"/>
    <w:rsid w:val="000444D7"/>
    <w:rsid w:val="00045BF6"/>
    <w:rsid w:val="00046889"/>
    <w:rsid w:val="0005044D"/>
    <w:rsid w:val="00050AA1"/>
    <w:rsid w:val="00051F77"/>
    <w:rsid w:val="00057DDC"/>
    <w:rsid w:val="000627E1"/>
    <w:rsid w:val="00063D78"/>
    <w:rsid w:val="000703A0"/>
    <w:rsid w:val="00071EC9"/>
    <w:rsid w:val="00076FCA"/>
    <w:rsid w:val="0008024F"/>
    <w:rsid w:val="00080359"/>
    <w:rsid w:val="00083740"/>
    <w:rsid w:val="00092A75"/>
    <w:rsid w:val="0009311F"/>
    <w:rsid w:val="0009370A"/>
    <w:rsid w:val="00094C75"/>
    <w:rsid w:val="00094F15"/>
    <w:rsid w:val="000B1A4B"/>
    <w:rsid w:val="000B2CDB"/>
    <w:rsid w:val="000B734C"/>
    <w:rsid w:val="000C1ADC"/>
    <w:rsid w:val="000D0805"/>
    <w:rsid w:val="000D38A2"/>
    <w:rsid w:val="000D44A1"/>
    <w:rsid w:val="000D6032"/>
    <w:rsid w:val="000E0478"/>
    <w:rsid w:val="000E07EF"/>
    <w:rsid w:val="000E2220"/>
    <w:rsid w:val="000E2233"/>
    <w:rsid w:val="000E3C68"/>
    <w:rsid w:val="000E44C8"/>
    <w:rsid w:val="000E671F"/>
    <w:rsid w:val="000E7A2E"/>
    <w:rsid w:val="000F0530"/>
    <w:rsid w:val="000F1A81"/>
    <w:rsid w:val="000F30FE"/>
    <w:rsid w:val="00100461"/>
    <w:rsid w:val="001036BC"/>
    <w:rsid w:val="001051F6"/>
    <w:rsid w:val="001056C3"/>
    <w:rsid w:val="001060F0"/>
    <w:rsid w:val="0011064C"/>
    <w:rsid w:val="001120E6"/>
    <w:rsid w:val="001122CC"/>
    <w:rsid w:val="001165BB"/>
    <w:rsid w:val="00116633"/>
    <w:rsid w:val="00120AAE"/>
    <w:rsid w:val="00121F6A"/>
    <w:rsid w:val="00122150"/>
    <w:rsid w:val="00122935"/>
    <w:rsid w:val="00123373"/>
    <w:rsid w:val="00125DE1"/>
    <w:rsid w:val="00126C91"/>
    <w:rsid w:val="0012730D"/>
    <w:rsid w:val="00127EAB"/>
    <w:rsid w:val="00136ECC"/>
    <w:rsid w:val="00152E1D"/>
    <w:rsid w:val="001544A2"/>
    <w:rsid w:val="00155C92"/>
    <w:rsid w:val="00174A4C"/>
    <w:rsid w:val="00180BE8"/>
    <w:rsid w:val="00190FD0"/>
    <w:rsid w:val="00191F7E"/>
    <w:rsid w:val="001926A7"/>
    <w:rsid w:val="00193E52"/>
    <w:rsid w:val="00193EC1"/>
    <w:rsid w:val="001951BF"/>
    <w:rsid w:val="001A046D"/>
    <w:rsid w:val="001A104F"/>
    <w:rsid w:val="001A7F3A"/>
    <w:rsid w:val="001B081C"/>
    <w:rsid w:val="001B18FD"/>
    <w:rsid w:val="001B301B"/>
    <w:rsid w:val="001B481E"/>
    <w:rsid w:val="001C1284"/>
    <w:rsid w:val="001C1BDB"/>
    <w:rsid w:val="001C3DF0"/>
    <w:rsid w:val="001D1283"/>
    <w:rsid w:val="001D1896"/>
    <w:rsid w:val="001D2506"/>
    <w:rsid w:val="001D479B"/>
    <w:rsid w:val="001D76E3"/>
    <w:rsid w:val="001E28E1"/>
    <w:rsid w:val="001E58DB"/>
    <w:rsid w:val="001F4BBD"/>
    <w:rsid w:val="001F4EC2"/>
    <w:rsid w:val="001F515D"/>
    <w:rsid w:val="001F7CAE"/>
    <w:rsid w:val="00210D3C"/>
    <w:rsid w:val="00212361"/>
    <w:rsid w:val="002150E9"/>
    <w:rsid w:val="0021669B"/>
    <w:rsid w:val="00217D44"/>
    <w:rsid w:val="00220D5C"/>
    <w:rsid w:val="0022195C"/>
    <w:rsid w:val="00223AEA"/>
    <w:rsid w:val="00230F0A"/>
    <w:rsid w:val="00236F00"/>
    <w:rsid w:val="002376CD"/>
    <w:rsid w:val="00237D39"/>
    <w:rsid w:val="00240385"/>
    <w:rsid w:val="00241B2B"/>
    <w:rsid w:val="00242782"/>
    <w:rsid w:val="00244518"/>
    <w:rsid w:val="002471CA"/>
    <w:rsid w:val="00260A52"/>
    <w:rsid w:val="00275B64"/>
    <w:rsid w:val="00280225"/>
    <w:rsid w:val="00282BBF"/>
    <w:rsid w:val="00282ED3"/>
    <w:rsid w:val="00287A46"/>
    <w:rsid w:val="00290FB7"/>
    <w:rsid w:val="00291A3B"/>
    <w:rsid w:val="00293CF5"/>
    <w:rsid w:val="002947BF"/>
    <w:rsid w:val="00295191"/>
    <w:rsid w:val="002973B8"/>
    <w:rsid w:val="002A1F70"/>
    <w:rsid w:val="002A271F"/>
    <w:rsid w:val="002B119D"/>
    <w:rsid w:val="002B2539"/>
    <w:rsid w:val="002B4A0D"/>
    <w:rsid w:val="002B4CD9"/>
    <w:rsid w:val="002B7699"/>
    <w:rsid w:val="002C0B90"/>
    <w:rsid w:val="002C234F"/>
    <w:rsid w:val="002C4326"/>
    <w:rsid w:val="002D0435"/>
    <w:rsid w:val="002D321A"/>
    <w:rsid w:val="002D6819"/>
    <w:rsid w:val="002E0923"/>
    <w:rsid w:val="002E1FC9"/>
    <w:rsid w:val="002E7356"/>
    <w:rsid w:val="002F434F"/>
    <w:rsid w:val="00303FAE"/>
    <w:rsid w:val="003050A1"/>
    <w:rsid w:val="00306929"/>
    <w:rsid w:val="00313CA9"/>
    <w:rsid w:val="0032710F"/>
    <w:rsid w:val="0033139D"/>
    <w:rsid w:val="00333FC6"/>
    <w:rsid w:val="00336927"/>
    <w:rsid w:val="00336DE2"/>
    <w:rsid w:val="00342B8A"/>
    <w:rsid w:val="0034577B"/>
    <w:rsid w:val="0035319D"/>
    <w:rsid w:val="003568CB"/>
    <w:rsid w:val="00357422"/>
    <w:rsid w:val="00360F99"/>
    <w:rsid w:val="0036147C"/>
    <w:rsid w:val="0036260A"/>
    <w:rsid w:val="003665E0"/>
    <w:rsid w:val="0036780E"/>
    <w:rsid w:val="003704F7"/>
    <w:rsid w:val="003769CC"/>
    <w:rsid w:val="00380297"/>
    <w:rsid w:val="003805D9"/>
    <w:rsid w:val="00380F7A"/>
    <w:rsid w:val="00382C29"/>
    <w:rsid w:val="00384893"/>
    <w:rsid w:val="00385874"/>
    <w:rsid w:val="00390CDD"/>
    <w:rsid w:val="00391ECA"/>
    <w:rsid w:val="00391F49"/>
    <w:rsid w:val="00396063"/>
    <w:rsid w:val="003967A8"/>
    <w:rsid w:val="00397026"/>
    <w:rsid w:val="003A0D3D"/>
    <w:rsid w:val="003A55FF"/>
    <w:rsid w:val="003A65E6"/>
    <w:rsid w:val="003A6CD4"/>
    <w:rsid w:val="003B4524"/>
    <w:rsid w:val="003C17DB"/>
    <w:rsid w:val="003C58A3"/>
    <w:rsid w:val="003D1B15"/>
    <w:rsid w:val="003D2DFD"/>
    <w:rsid w:val="003D39DC"/>
    <w:rsid w:val="003E095C"/>
    <w:rsid w:val="003E0C6F"/>
    <w:rsid w:val="003E2F2B"/>
    <w:rsid w:val="003E5ABE"/>
    <w:rsid w:val="003E6494"/>
    <w:rsid w:val="003F0967"/>
    <w:rsid w:val="003F532A"/>
    <w:rsid w:val="00400170"/>
    <w:rsid w:val="004018C4"/>
    <w:rsid w:val="0040222C"/>
    <w:rsid w:val="00402754"/>
    <w:rsid w:val="004059A2"/>
    <w:rsid w:val="004112E2"/>
    <w:rsid w:val="004117D8"/>
    <w:rsid w:val="00411B82"/>
    <w:rsid w:val="004132DE"/>
    <w:rsid w:val="004142F2"/>
    <w:rsid w:val="00415870"/>
    <w:rsid w:val="00430711"/>
    <w:rsid w:val="00436F93"/>
    <w:rsid w:val="00440243"/>
    <w:rsid w:val="00440831"/>
    <w:rsid w:val="00445645"/>
    <w:rsid w:val="004521B7"/>
    <w:rsid w:val="00453386"/>
    <w:rsid w:val="0045467C"/>
    <w:rsid w:val="00455EC2"/>
    <w:rsid w:val="00461841"/>
    <w:rsid w:val="00464973"/>
    <w:rsid w:val="00473C5A"/>
    <w:rsid w:val="00473F4B"/>
    <w:rsid w:val="0047559B"/>
    <w:rsid w:val="0047782E"/>
    <w:rsid w:val="00480445"/>
    <w:rsid w:val="004809D5"/>
    <w:rsid w:val="00486F3D"/>
    <w:rsid w:val="00496036"/>
    <w:rsid w:val="004962C8"/>
    <w:rsid w:val="0049798F"/>
    <w:rsid w:val="004A4CE5"/>
    <w:rsid w:val="004B186E"/>
    <w:rsid w:val="004B19FC"/>
    <w:rsid w:val="004B3E0D"/>
    <w:rsid w:val="004B4FE8"/>
    <w:rsid w:val="004B52B9"/>
    <w:rsid w:val="004B7049"/>
    <w:rsid w:val="004C3024"/>
    <w:rsid w:val="004C4AD1"/>
    <w:rsid w:val="004C4DF0"/>
    <w:rsid w:val="004C6BD7"/>
    <w:rsid w:val="004D1E00"/>
    <w:rsid w:val="004D5166"/>
    <w:rsid w:val="004E28B6"/>
    <w:rsid w:val="004E56A9"/>
    <w:rsid w:val="004E6457"/>
    <w:rsid w:val="004E74F6"/>
    <w:rsid w:val="00503D0D"/>
    <w:rsid w:val="00511004"/>
    <w:rsid w:val="00514118"/>
    <w:rsid w:val="00514C01"/>
    <w:rsid w:val="00514E6A"/>
    <w:rsid w:val="00515FF6"/>
    <w:rsid w:val="00516FBC"/>
    <w:rsid w:val="00525CA0"/>
    <w:rsid w:val="005319D2"/>
    <w:rsid w:val="00532E4C"/>
    <w:rsid w:val="00544A8E"/>
    <w:rsid w:val="00544E25"/>
    <w:rsid w:val="005456D4"/>
    <w:rsid w:val="005514AE"/>
    <w:rsid w:val="005550E4"/>
    <w:rsid w:val="00557AFE"/>
    <w:rsid w:val="00560F76"/>
    <w:rsid w:val="00563FF1"/>
    <w:rsid w:val="005648BB"/>
    <w:rsid w:val="00564B22"/>
    <w:rsid w:val="00564DF5"/>
    <w:rsid w:val="00567151"/>
    <w:rsid w:val="005729F8"/>
    <w:rsid w:val="0057455D"/>
    <w:rsid w:val="0057493E"/>
    <w:rsid w:val="00574A18"/>
    <w:rsid w:val="00576F03"/>
    <w:rsid w:val="005800B4"/>
    <w:rsid w:val="005837B1"/>
    <w:rsid w:val="005848F8"/>
    <w:rsid w:val="00584E8F"/>
    <w:rsid w:val="005861AA"/>
    <w:rsid w:val="00587A03"/>
    <w:rsid w:val="005939C7"/>
    <w:rsid w:val="0059476A"/>
    <w:rsid w:val="005A00D4"/>
    <w:rsid w:val="005A16ED"/>
    <w:rsid w:val="005A1A7B"/>
    <w:rsid w:val="005A1BC2"/>
    <w:rsid w:val="005A26BD"/>
    <w:rsid w:val="005A3D66"/>
    <w:rsid w:val="005A569E"/>
    <w:rsid w:val="005A72F1"/>
    <w:rsid w:val="005B2210"/>
    <w:rsid w:val="005B234B"/>
    <w:rsid w:val="005B6133"/>
    <w:rsid w:val="005B6C15"/>
    <w:rsid w:val="005B795C"/>
    <w:rsid w:val="005C50C9"/>
    <w:rsid w:val="005C6174"/>
    <w:rsid w:val="005C6DE2"/>
    <w:rsid w:val="005C7371"/>
    <w:rsid w:val="005D1D26"/>
    <w:rsid w:val="005D53DD"/>
    <w:rsid w:val="005D75AC"/>
    <w:rsid w:val="005E222B"/>
    <w:rsid w:val="005E399B"/>
    <w:rsid w:val="005E426C"/>
    <w:rsid w:val="005F0F64"/>
    <w:rsid w:val="005F612F"/>
    <w:rsid w:val="006028F8"/>
    <w:rsid w:val="006110CB"/>
    <w:rsid w:val="00612F24"/>
    <w:rsid w:val="006132AF"/>
    <w:rsid w:val="00620633"/>
    <w:rsid w:val="0062201E"/>
    <w:rsid w:val="00623663"/>
    <w:rsid w:val="00625D96"/>
    <w:rsid w:val="00627027"/>
    <w:rsid w:val="006310C5"/>
    <w:rsid w:val="00632FE0"/>
    <w:rsid w:val="0063682D"/>
    <w:rsid w:val="00645F87"/>
    <w:rsid w:val="00654ED3"/>
    <w:rsid w:val="00657B36"/>
    <w:rsid w:val="006614EA"/>
    <w:rsid w:val="00666A13"/>
    <w:rsid w:val="00683109"/>
    <w:rsid w:val="00684B38"/>
    <w:rsid w:val="00685CA9"/>
    <w:rsid w:val="00694F76"/>
    <w:rsid w:val="00697FC8"/>
    <w:rsid w:val="006A576A"/>
    <w:rsid w:val="006A6667"/>
    <w:rsid w:val="006B1A26"/>
    <w:rsid w:val="006B1D92"/>
    <w:rsid w:val="006B2397"/>
    <w:rsid w:val="006B26AC"/>
    <w:rsid w:val="006C3800"/>
    <w:rsid w:val="006C3A7D"/>
    <w:rsid w:val="006D03B5"/>
    <w:rsid w:val="006D162E"/>
    <w:rsid w:val="006D359D"/>
    <w:rsid w:val="006D3D29"/>
    <w:rsid w:val="006D5191"/>
    <w:rsid w:val="006D7335"/>
    <w:rsid w:val="006D7346"/>
    <w:rsid w:val="006E0283"/>
    <w:rsid w:val="006E204E"/>
    <w:rsid w:val="006E789F"/>
    <w:rsid w:val="006F2CD9"/>
    <w:rsid w:val="006F2CDB"/>
    <w:rsid w:val="006F3002"/>
    <w:rsid w:val="006F625B"/>
    <w:rsid w:val="006F6CC2"/>
    <w:rsid w:val="0070603C"/>
    <w:rsid w:val="0070731E"/>
    <w:rsid w:val="00710E09"/>
    <w:rsid w:val="00712BC9"/>
    <w:rsid w:val="00714F5F"/>
    <w:rsid w:val="007161D7"/>
    <w:rsid w:val="007166FA"/>
    <w:rsid w:val="00722DFD"/>
    <w:rsid w:val="00730EB1"/>
    <w:rsid w:val="00732ED6"/>
    <w:rsid w:val="00733968"/>
    <w:rsid w:val="00737820"/>
    <w:rsid w:val="00742AD4"/>
    <w:rsid w:val="00744234"/>
    <w:rsid w:val="00747CCE"/>
    <w:rsid w:val="00750A0C"/>
    <w:rsid w:val="007652AA"/>
    <w:rsid w:val="00770A17"/>
    <w:rsid w:val="007726B1"/>
    <w:rsid w:val="0077484E"/>
    <w:rsid w:val="00775FB7"/>
    <w:rsid w:val="007866D0"/>
    <w:rsid w:val="00787BD4"/>
    <w:rsid w:val="00793489"/>
    <w:rsid w:val="0079568D"/>
    <w:rsid w:val="007A61A3"/>
    <w:rsid w:val="007A7DEB"/>
    <w:rsid w:val="007B24A3"/>
    <w:rsid w:val="007B2D67"/>
    <w:rsid w:val="007B3330"/>
    <w:rsid w:val="007D2855"/>
    <w:rsid w:val="007D46D4"/>
    <w:rsid w:val="007E12C1"/>
    <w:rsid w:val="007E4E77"/>
    <w:rsid w:val="007E5D1E"/>
    <w:rsid w:val="007F15C3"/>
    <w:rsid w:val="007F396B"/>
    <w:rsid w:val="007F68BC"/>
    <w:rsid w:val="007F74CB"/>
    <w:rsid w:val="00800AF6"/>
    <w:rsid w:val="00804D8A"/>
    <w:rsid w:val="008066C0"/>
    <w:rsid w:val="00810443"/>
    <w:rsid w:val="008174A7"/>
    <w:rsid w:val="008214A3"/>
    <w:rsid w:val="008303EC"/>
    <w:rsid w:val="0083510A"/>
    <w:rsid w:val="00852A16"/>
    <w:rsid w:val="00852FEE"/>
    <w:rsid w:val="008540A7"/>
    <w:rsid w:val="00855249"/>
    <w:rsid w:val="0086102B"/>
    <w:rsid w:val="0086504C"/>
    <w:rsid w:val="00865BF8"/>
    <w:rsid w:val="00865D6D"/>
    <w:rsid w:val="008662BA"/>
    <w:rsid w:val="00866461"/>
    <w:rsid w:val="00867135"/>
    <w:rsid w:val="00873B36"/>
    <w:rsid w:val="00881774"/>
    <w:rsid w:val="008830BC"/>
    <w:rsid w:val="008843E0"/>
    <w:rsid w:val="00894277"/>
    <w:rsid w:val="00894514"/>
    <w:rsid w:val="008A326F"/>
    <w:rsid w:val="008A7C76"/>
    <w:rsid w:val="008A7E45"/>
    <w:rsid w:val="008B0D4C"/>
    <w:rsid w:val="008C0A91"/>
    <w:rsid w:val="008C19A9"/>
    <w:rsid w:val="008C3213"/>
    <w:rsid w:val="008C3F15"/>
    <w:rsid w:val="008C4824"/>
    <w:rsid w:val="008C5637"/>
    <w:rsid w:val="008D722D"/>
    <w:rsid w:val="008D74FB"/>
    <w:rsid w:val="008E1096"/>
    <w:rsid w:val="008E259E"/>
    <w:rsid w:val="008F0138"/>
    <w:rsid w:val="008F24FE"/>
    <w:rsid w:val="008F4BCF"/>
    <w:rsid w:val="00904C68"/>
    <w:rsid w:val="00905659"/>
    <w:rsid w:val="0090625E"/>
    <w:rsid w:val="009070F4"/>
    <w:rsid w:val="00914426"/>
    <w:rsid w:val="00916888"/>
    <w:rsid w:val="00917D5D"/>
    <w:rsid w:val="0092251F"/>
    <w:rsid w:val="00923DCC"/>
    <w:rsid w:val="00923F79"/>
    <w:rsid w:val="009303E6"/>
    <w:rsid w:val="00932E09"/>
    <w:rsid w:val="00933B1F"/>
    <w:rsid w:val="00935951"/>
    <w:rsid w:val="0094106F"/>
    <w:rsid w:val="0094121C"/>
    <w:rsid w:val="00953106"/>
    <w:rsid w:val="00954FDC"/>
    <w:rsid w:val="00956B4C"/>
    <w:rsid w:val="00956E1F"/>
    <w:rsid w:val="00957EFA"/>
    <w:rsid w:val="00960D79"/>
    <w:rsid w:val="00961AAB"/>
    <w:rsid w:val="00962357"/>
    <w:rsid w:val="00964C8F"/>
    <w:rsid w:val="00966E97"/>
    <w:rsid w:val="00976792"/>
    <w:rsid w:val="00981C48"/>
    <w:rsid w:val="00982FCA"/>
    <w:rsid w:val="009848D4"/>
    <w:rsid w:val="0099019D"/>
    <w:rsid w:val="0099244B"/>
    <w:rsid w:val="009A16E4"/>
    <w:rsid w:val="009A3AD3"/>
    <w:rsid w:val="009B148C"/>
    <w:rsid w:val="009B2944"/>
    <w:rsid w:val="009B4D85"/>
    <w:rsid w:val="009C0448"/>
    <w:rsid w:val="009C08E7"/>
    <w:rsid w:val="009C0915"/>
    <w:rsid w:val="009C2EC5"/>
    <w:rsid w:val="009D1F4B"/>
    <w:rsid w:val="009D2C69"/>
    <w:rsid w:val="009D6ED3"/>
    <w:rsid w:val="009E1653"/>
    <w:rsid w:val="009E1B63"/>
    <w:rsid w:val="009E1FFC"/>
    <w:rsid w:val="009E6933"/>
    <w:rsid w:val="009E71FE"/>
    <w:rsid w:val="009E72D8"/>
    <w:rsid w:val="009E7EC6"/>
    <w:rsid w:val="009F4CCC"/>
    <w:rsid w:val="009F632F"/>
    <w:rsid w:val="00A02F20"/>
    <w:rsid w:val="00A0501B"/>
    <w:rsid w:val="00A124FC"/>
    <w:rsid w:val="00A14DF7"/>
    <w:rsid w:val="00A24104"/>
    <w:rsid w:val="00A24AA1"/>
    <w:rsid w:val="00A253D7"/>
    <w:rsid w:val="00A32309"/>
    <w:rsid w:val="00A37DA3"/>
    <w:rsid w:val="00A52D2C"/>
    <w:rsid w:val="00A534BC"/>
    <w:rsid w:val="00A54E6A"/>
    <w:rsid w:val="00A55AA3"/>
    <w:rsid w:val="00A57C85"/>
    <w:rsid w:val="00A602C4"/>
    <w:rsid w:val="00A63A56"/>
    <w:rsid w:val="00A63F1F"/>
    <w:rsid w:val="00A642CC"/>
    <w:rsid w:val="00A659BB"/>
    <w:rsid w:val="00A744F3"/>
    <w:rsid w:val="00A754FB"/>
    <w:rsid w:val="00A82C8D"/>
    <w:rsid w:val="00A843CC"/>
    <w:rsid w:val="00A84BF4"/>
    <w:rsid w:val="00A84C49"/>
    <w:rsid w:val="00A85126"/>
    <w:rsid w:val="00A85D1B"/>
    <w:rsid w:val="00A85DC6"/>
    <w:rsid w:val="00A951F1"/>
    <w:rsid w:val="00A95D7F"/>
    <w:rsid w:val="00A9766D"/>
    <w:rsid w:val="00AB2D2D"/>
    <w:rsid w:val="00AB34DC"/>
    <w:rsid w:val="00AB4688"/>
    <w:rsid w:val="00AC14FF"/>
    <w:rsid w:val="00AC3586"/>
    <w:rsid w:val="00AD0B4B"/>
    <w:rsid w:val="00AD3A8C"/>
    <w:rsid w:val="00AD5A32"/>
    <w:rsid w:val="00AD6D85"/>
    <w:rsid w:val="00AD7DF9"/>
    <w:rsid w:val="00AE1C81"/>
    <w:rsid w:val="00AE4430"/>
    <w:rsid w:val="00AE5C2D"/>
    <w:rsid w:val="00AE5C2E"/>
    <w:rsid w:val="00AF61CF"/>
    <w:rsid w:val="00AF74B0"/>
    <w:rsid w:val="00B03186"/>
    <w:rsid w:val="00B0502A"/>
    <w:rsid w:val="00B05776"/>
    <w:rsid w:val="00B066A8"/>
    <w:rsid w:val="00B12B6E"/>
    <w:rsid w:val="00B13614"/>
    <w:rsid w:val="00B20018"/>
    <w:rsid w:val="00B26000"/>
    <w:rsid w:val="00B2768B"/>
    <w:rsid w:val="00B30405"/>
    <w:rsid w:val="00B30EF8"/>
    <w:rsid w:val="00B36100"/>
    <w:rsid w:val="00B37D40"/>
    <w:rsid w:val="00B415FD"/>
    <w:rsid w:val="00B4181B"/>
    <w:rsid w:val="00B41C78"/>
    <w:rsid w:val="00B44300"/>
    <w:rsid w:val="00B46D4F"/>
    <w:rsid w:val="00B56BB3"/>
    <w:rsid w:val="00B57CF3"/>
    <w:rsid w:val="00B60520"/>
    <w:rsid w:val="00B642AA"/>
    <w:rsid w:val="00B64B90"/>
    <w:rsid w:val="00B65280"/>
    <w:rsid w:val="00B66786"/>
    <w:rsid w:val="00B70FE0"/>
    <w:rsid w:val="00B74AF0"/>
    <w:rsid w:val="00B7562B"/>
    <w:rsid w:val="00B80E1B"/>
    <w:rsid w:val="00B82819"/>
    <w:rsid w:val="00B86B17"/>
    <w:rsid w:val="00B90C85"/>
    <w:rsid w:val="00B90D97"/>
    <w:rsid w:val="00B910A3"/>
    <w:rsid w:val="00B915D0"/>
    <w:rsid w:val="00B9619B"/>
    <w:rsid w:val="00BA2649"/>
    <w:rsid w:val="00BA4713"/>
    <w:rsid w:val="00BA7D08"/>
    <w:rsid w:val="00BB2FF8"/>
    <w:rsid w:val="00BB4DC7"/>
    <w:rsid w:val="00BC26CD"/>
    <w:rsid w:val="00BC4386"/>
    <w:rsid w:val="00BD12F3"/>
    <w:rsid w:val="00BD4F7A"/>
    <w:rsid w:val="00BD5E4D"/>
    <w:rsid w:val="00BE1938"/>
    <w:rsid w:val="00BE54C4"/>
    <w:rsid w:val="00BF0E23"/>
    <w:rsid w:val="00BF4694"/>
    <w:rsid w:val="00C00A72"/>
    <w:rsid w:val="00C02430"/>
    <w:rsid w:val="00C02C79"/>
    <w:rsid w:val="00C04A73"/>
    <w:rsid w:val="00C0537F"/>
    <w:rsid w:val="00C11572"/>
    <w:rsid w:val="00C16522"/>
    <w:rsid w:val="00C16D83"/>
    <w:rsid w:val="00C17FB8"/>
    <w:rsid w:val="00C25664"/>
    <w:rsid w:val="00C25CAB"/>
    <w:rsid w:val="00C312AA"/>
    <w:rsid w:val="00C328BA"/>
    <w:rsid w:val="00C36338"/>
    <w:rsid w:val="00C3722E"/>
    <w:rsid w:val="00C4607B"/>
    <w:rsid w:val="00C4645F"/>
    <w:rsid w:val="00C469CA"/>
    <w:rsid w:val="00C51D76"/>
    <w:rsid w:val="00C541A8"/>
    <w:rsid w:val="00C57869"/>
    <w:rsid w:val="00C6079D"/>
    <w:rsid w:val="00C6121A"/>
    <w:rsid w:val="00C633DD"/>
    <w:rsid w:val="00C65D92"/>
    <w:rsid w:val="00C665DF"/>
    <w:rsid w:val="00C745B3"/>
    <w:rsid w:val="00C802E1"/>
    <w:rsid w:val="00C82827"/>
    <w:rsid w:val="00C82D5E"/>
    <w:rsid w:val="00C83547"/>
    <w:rsid w:val="00C83684"/>
    <w:rsid w:val="00C855D0"/>
    <w:rsid w:val="00C918B3"/>
    <w:rsid w:val="00C93205"/>
    <w:rsid w:val="00C95C3A"/>
    <w:rsid w:val="00CA2135"/>
    <w:rsid w:val="00CB4228"/>
    <w:rsid w:val="00CB60C1"/>
    <w:rsid w:val="00CB7C26"/>
    <w:rsid w:val="00CC1932"/>
    <w:rsid w:val="00CC539E"/>
    <w:rsid w:val="00CD2002"/>
    <w:rsid w:val="00CD3E76"/>
    <w:rsid w:val="00CD524B"/>
    <w:rsid w:val="00CE0D06"/>
    <w:rsid w:val="00CE0F57"/>
    <w:rsid w:val="00CE166B"/>
    <w:rsid w:val="00CE22D2"/>
    <w:rsid w:val="00CE6C23"/>
    <w:rsid w:val="00CF5507"/>
    <w:rsid w:val="00CF6098"/>
    <w:rsid w:val="00D00A02"/>
    <w:rsid w:val="00D06D28"/>
    <w:rsid w:val="00D0716A"/>
    <w:rsid w:val="00D11CA5"/>
    <w:rsid w:val="00D1256D"/>
    <w:rsid w:val="00D13B1F"/>
    <w:rsid w:val="00D253D6"/>
    <w:rsid w:val="00D26323"/>
    <w:rsid w:val="00D30673"/>
    <w:rsid w:val="00D31C5E"/>
    <w:rsid w:val="00D34F2B"/>
    <w:rsid w:val="00D40813"/>
    <w:rsid w:val="00D42607"/>
    <w:rsid w:val="00D44340"/>
    <w:rsid w:val="00D4704E"/>
    <w:rsid w:val="00D478DD"/>
    <w:rsid w:val="00D5144A"/>
    <w:rsid w:val="00D514FA"/>
    <w:rsid w:val="00D52CBB"/>
    <w:rsid w:val="00D55405"/>
    <w:rsid w:val="00D555E6"/>
    <w:rsid w:val="00D56605"/>
    <w:rsid w:val="00D615A9"/>
    <w:rsid w:val="00D61B3B"/>
    <w:rsid w:val="00D72814"/>
    <w:rsid w:val="00D72F8F"/>
    <w:rsid w:val="00D73BE8"/>
    <w:rsid w:val="00D75EFD"/>
    <w:rsid w:val="00D772A5"/>
    <w:rsid w:val="00D8113F"/>
    <w:rsid w:val="00D86BBB"/>
    <w:rsid w:val="00D90E4B"/>
    <w:rsid w:val="00D9219E"/>
    <w:rsid w:val="00D93812"/>
    <w:rsid w:val="00D94014"/>
    <w:rsid w:val="00D95586"/>
    <w:rsid w:val="00D95980"/>
    <w:rsid w:val="00D96517"/>
    <w:rsid w:val="00DA3BA6"/>
    <w:rsid w:val="00DA3ED5"/>
    <w:rsid w:val="00DB0EF0"/>
    <w:rsid w:val="00DB15D3"/>
    <w:rsid w:val="00DB39E9"/>
    <w:rsid w:val="00DB5DC5"/>
    <w:rsid w:val="00DB6FFC"/>
    <w:rsid w:val="00DC320C"/>
    <w:rsid w:val="00DD03A8"/>
    <w:rsid w:val="00DD69AA"/>
    <w:rsid w:val="00DE1C15"/>
    <w:rsid w:val="00DE6F40"/>
    <w:rsid w:val="00DF0350"/>
    <w:rsid w:val="00DF30C8"/>
    <w:rsid w:val="00DF4DBF"/>
    <w:rsid w:val="00DF5E05"/>
    <w:rsid w:val="00E01359"/>
    <w:rsid w:val="00E02003"/>
    <w:rsid w:val="00E02235"/>
    <w:rsid w:val="00E02D77"/>
    <w:rsid w:val="00E02E1F"/>
    <w:rsid w:val="00E058BE"/>
    <w:rsid w:val="00E05910"/>
    <w:rsid w:val="00E23576"/>
    <w:rsid w:val="00E23DF7"/>
    <w:rsid w:val="00E243BD"/>
    <w:rsid w:val="00E25134"/>
    <w:rsid w:val="00E25152"/>
    <w:rsid w:val="00E31218"/>
    <w:rsid w:val="00E32D98"/>
    <w:rsid w:val="00E3390F"/>
    <w:rsid w:val="00E36D79"/>
    <w:rsid w:val="00E42CD1"/>
    <w:rsid w:val="00E47F9C"/>
    <w:rsid w:val="00E502BE"/>
    <w:rsid w:val="00E5077A"/>
    <w:rsid w:val="00E50998"/>
    <w:rsid w:val="00E550CA"/>
    <w:rsid w:val="00E571BB"/>
    <w:rsid w:val="00E5763E"/>
    <w:rsid w:val="00E60B40"/>
    <w:rsid w:val="00E636F0"/>
    <w:rsid w:val="00E63A07"/>
    <w:rsid w:val="00E67663"/>
    <w:rsid w:val="00E7122A"/>
    <w:rsid w:val="00E745DB"/>
    <w:rsid w:val="00E74E5A"/>
    <w:rsid w:val="00E776E6"/>
    <w:rsid w:val="00E77A30"/>
    <w:rsid w:val="00E81A83"/>
    <w:rsid w:val="00E846EA"/>
    <w:rsid w:val="00E8796C"/>
    <w:rsid w:val="00E90274"/>
    <w:rsid w:val="00EA485D"/>
    <w:rsid w:val="00EA5B72"/>
    <w:rsid w:val="00EB0F94"/>
    <w:rsid w:val="00EB178D"/>
    <w:rsid w:val="00EB576B"/>
    <w:rsid w:val="00EB6720"/>
    <w:rsid w:val="00EB69A5"/>
    <w:rsid w:val="00EC059B"/>
    <w:rsid w:val="00EC09CE"/>
    <w:rsid w:val="00EC0C95"/>
    <w:rsid w:val="00EC1AF9"/>
    <w:rsid w:val="00EC6642"/>
    <w:rsid w:val="00ED0984"/>
    <w:rsid w:val="00ED1AB4"/>
    <w:rsid w:val="00ED5875"/>
    <w:rsid w:val="00ED74E1"/>
    <w:rsid w:val="00EE005D"/>
    <w:rsid w:val="00EE4049"/>
    <w:rsid w:val="00EF28BA"/>
    <w:rsid w:val="00EF4744"/>
    <w:rsid w:val="00EF5114"/>
    <w:rsid w:val="00F059B8"/>
    <w:rsid w:val="00F102DB"/>
    <w:rsid w:val="00F21683"/>
    <w:rsid w:val="00F21CED"/>
    <w:rsid w:val="00F226CB"/>
    <w:rsid w:val="00F22752"/>
    <w:rsid w:val="00F2393A"/>
    <w:rsid w:val="00F30F43"/>
    <w:rsid w:val="00F37358"/>
    <w:rsid w:val="00F40E78"/>
    <w:rsid w:val="00F426E0"/>
    <w:rsid w:val="00F44DC5"/>
    <w:rsid w:val="00F511FF"/>
    <w:rsid w:val="00F5179B"/>
    <w:rsid w:val="00F532AA"/>
    <w:rsid w:val="00F60723"/>
    <w:rsid w:val="00F62F22"/>
    <w:rsid w:val="00F64946"/>
    <w:rsid w:val="00F728EE"/>
    <w:rsid w:val="00F734DD"/>
    <w:rsid w:val="00F7552C"/>
    <w:rsid w:val="00F80E40"/>
    <w:rsid w:val="00F81091"/>
    <w:rsid w:val="00F86534"/>
    <w:rsid w:val="00F9337C"/>
    <w:rsid w:val="00F935A1"/>
    <w:rsid w:val="00FA6E85"/>
    <w:rsid w:val="00FA760A"/>
    <w:rsid w:val="00FB76CC"/>
    <w:rsid w:val="00FC00DF"/>
    <w:rsid w:val="00FC6BE9"/>
    <w:rsid w:val="00FD13E3"/>
    <w:rsid w:val="00FD2D6D"/>
    <w:rsid w:val="00FE0857"/>
    <w:rsid w:val="00FE4354"/>
    <w:rsid w:val="00FE64CF"/>
    <w:rsid w:val="00FE6960"/>
    <w:rsid w:val="00FF06C7"/>
    <w:rsid w:val="00FF14C8"/>
    <w:rsid w:val="00FF77BC"/>
    <w:rsid w:val="00FF7C14"/>
    <w:rsid w:val="08154537"/>
    <w:rsid w:val="142C42D7"/>
    <w:rsid w:val="2ABE22D8"/>
    <w:rsid w:val="4BBA244A"/>
    <w:rsid w:val="5329476E"/>
    <w:rsid w:val="58115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rPr>
      <w:rFonts w:ascii="Times New Roman" w:hAnsi="Times New Roman" w:eastAsia="宋体" w:cs="Times New Roman"/>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1"/>
    <w:qFormat/>
    <w:uiPriority w:val="1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character" w:customStyle="1" w:styleId="11">
    <w:name w:val="标题 Char"/>
    <w:basedOn w:val="9"/>
    <w:link w:val="6"/>
    <w:qFormat/>
    <w:uiPriority w:val="10"/>
    <w:rPr>
      <w:rFonts w:eastAsia="宋体" w:asciiTheme="majorHAnsi" w:hAnsiTheme="majorHAnsi" w:cstheme="majorBidi"/>
      <w:b/>
      <w:bCs/>
      <w:sz w:val="32"/>
      <w:szCs w:val="32"/>
    </w:rPr>
  </w:style>
  <w:style w:type="character" w:customStyle="1" w:styleId="12">
    <w:name w:val="批注文字 Char"/>
    <w:basedOn w:val="9"/>
    <w:link w:val="2"/>
    <w:semiHidden/>
    <w:qFormat/>
    <w:uiPriority w:val="99"/>
    <w:rPr>
      <w:rFonts w:ascii="Times New Roman" w:hAnsi="Times New Roman" w:eastAsia="宋体" w:cs="Times New Roman"/>
      <w:szCs w:val="20"/>
    </w:rPr>
  </w:style>
  <w:style w:type="character" w:customStyle="1" w:styleId="13">
    <w:name w:val="批注框文本 Char"/>
    <w:basedOn w:val="9"/>
    <w:link w:val="3"/>
    <w:semiHidden/>
    <w:qFormat/>
    <w:uiPriority w:val="99"/>
    <w:rPr>
      <w:sz w:val="18"/>
      <w:szCs w:val="18"/>
    </w:r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font31"/>
    <w:basedOn w:val="9"/>
    <w:qFormat/>
    <w:uiPriority w:val="0"/>
    <w:rPr>
      <w:rFonts w:ascii="宋体" w:hAnsi="宋体" w:eastAsia="宋体" w:cs="宋体"/>
      <w:b/>
      <w:bCs/>
      <w:color w:val="000000"/>
      <w:sz w:val="56"/>
      <w:szCs w:val="56"/>
      <w:u w:val="none"/>
    </w:rPr>
  </w:style>
  <w:style w:type="character" w:customStyle="1" w:styleId="17">
    <w:name w:val="font61"/>
    <w:basedOn w:val="9"/>
    <w:qFormat/>
    <w:uiPriority w:val="0"/>
    <w:rPr>
      <w:rFonts w:ascii="宋体" w:hAnsi="宋体" w:eastAsia="宋体" w:cs="宋体"/>
      <w:color w:val="000000"/>
      <w:sz w:val="56"/>
      <w:szCs w:val="56"/>
      <w:u w:val="none"/>
    </w:rPr>
  </w:style>
  <w:style w:type="paragraph" w:customStyle="1" w:styleId="18">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default" w:ascii="......." w:hAnsi="Calibri" w:eastAsia="......." w:cs="......."/>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6</Pages>
  <Words>4305</Words>
  <Characters>4646</Characters>
  <Lines>1</Lines>
  <Paragraphs>1</Paragraphs>
  <TotalTime>1</TotalTime>
  <ScaleCrop>false</ScaleCrop>
  <LinksUpToDate>false</LinksUpToDate>
  <CharactersWithSpaces>4682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2021-08-09T01:43:00Z</dcterms:created>
  <dc:creator>未定义</dc:creator>
  <cp:lastModifiedBy>J。</cp:lastModifiedBy>
  <dcterms:modified xsi:type="dcterms:W3CDTF">2026-10-10T08:12:19Z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eyJoZGlkIjoiM2FjNjc2YzFhOGUzZWVlYTc4ZmJkNzIwMTBlZjNjNjIiLCJ1c2VySWQiOiI0MzI1NDYyMzYifQ==</vt:lpwstr>
  </property>
  <property fmtid="{D5CDD505-2E9C-101B-9397-08002B2CF9AE}" pid="3" name="KSOProductBuildVer">
    <vt:lpwstr>2052-12.1.0.28488</vt:lpwstr>
  </property>
  <property fmtid="{D5CDD505-2E9C-101B-9397-08002B2CF9AE}" pid="4" name="ICV">
    <vt:lpwstr>B88C13519E2A44C09621DA74C6313606_13</vt:lpwstr>
  </property>
</Properties>
</file>