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D3066E">
      <w:pPr>
        <w:pStyle w:val="5"/>
        <w:rPr>
          <w:rFonts w:hint="eastAsia" w:ascii="Times New Roman" w:hAnsi="Times New Roman" w:eastAsia="宋体" w:cs="Times New Roman"/>
          <w:lang w:eastAsia="zh-CN"/>
        </w:rPr>
      </w:pPr>
      <w:r>
        <w:rPr>
          <w:rFonts w:hint="eastAsia" w:ascii="Times New Roman" w:hAnsi="Times New Roman" w:cs="Times New Roman"/>
        </w:rPr>
        <w:t>天津理工大学学一食堂自动扶梯设施更换项</w:t>
      </w:r>
      <w:r>
        <w:rPr>
          <w:rFonts w:hint="eastAsia" w:ascii="Times New Roman" w:hAnsi="Times New Roman" w:cs="Times New Roman"/>
          <w:lang w:eastAsia="zh-CN"/>
        </w:rPr>
        <w:t>目</w:t>
      </w:r>
    </w:p>
    <w:p w14:paraId="5F51E750">
      <w:pPr>
        <w:pStyle w:val="5"/>
        <w:rPr>
          <w:rFonts w:ascii="Times New Roman" w:hAnsi="Times New Roman" w:cs="Times New Roman"/>
        </w:rPr>
      </w:pPr>
      <w:r>
        <w:rPr>
          <w:rFonts w:ascii="Times New Roman" w:hAnsi="Times New Roman" w:cs="Times New Roman"/>
        </w:rPr>
        <w:t>项目需求书</w:t>
      </w:r>
    </w:p>
    <w:p w14:paraId="5B1B9C31">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电梯项目需求书应至少包括以下各点，请采购人按此标准填写，谢谢。</w:t>
      </w:r>
    </w:p>
    <w:p w14:paraId="29D3EFEF">
      <w:pPr>
        <w:spacing w:line="360" w:lineRule="auto"/>
        <w:ind w:firstLine="482" w:firstLineChars="200"/>
        <w:rPr>
          <w:rFonts w:ascii="Times New Roman" w:hAnsi="Times New Roman" w:cs="Times New Roman"/>
          <w:b/>
          <w:sz w:val="24"/>
          <w:szCs w:val="24"/>
        </w:rPr>
      </w:pPr>
      <w:r>
        <w:rPr>
          <w:rFonts w:ascii="Times New Roman" w:hAnsi="Times New Roman" w:cs="Times New Roman"/>
          <w:b/>
          <w:sz w:val="24"/>
          <w:szCs w:val="24"/>
        </w:rPr>
        <w:t>一、项目背景</w:t>
      </w:r>
    </w:p>
    <w:p w14:paraId="05AC793E">
      <w:pPr>
        <w:tabs>
          <w:tab w:val="left" w:pos="1260"/>
          <w:tab w:val="center" w:pos="4156"/>
        </w:tabs>
        <w:autoSpaceDE w:val="0"/>
        <w:autoSpaceDN w:val="0"/>
        <w:adjustRightInd w:val="0"/>
        <w:spacing w:line="560" w:lineRule="exact"/>
        <w:ind w:firstLine="480" w:firstLineChars="200"/>
        <w:outlineLvl w:val="0"/>
        <w:rPr>
          <w:rFonts w:hint="eastAsia" w:ascii="宋体" w:hAnsi="宋体" w:eastAsia="宋体" w:cs="宋体"/>
          <w:b w:val="0"/>
          <w:bCs/>
          <w:color w:val="000000"/>
          <w:sz w:val="24"/>
          <w:szCs w:val="24"/>
        </w:rPr>
      </w:pPr>
      <w:r>
        <w:rPr>
          <w:rFonts w:hint="eastAsia" w:ascii="宋体" w:hAnsi="宋体" w:eastAsia="宋体" w:cs="宋体"/>
          <w:b w:val="0"/>
          <w:bCs/>
          <w:color w:val="000000"/>
          <w:sz w:val="24"/>
          <w:szCs w:val="24"/>
        </w:rPr>
        <w:t>我校学一食堂现有6台自动扶梯自2005年投入使用至今已运行19年，长期使用已经主要部件发生不可逆转的磨损，存在一定的安全隐患。根据相关规范和现场实际情况，现需在现有电梯空间内进行6台自动扶梯设施更换、安装、调试。</w:t>
      </w:r>
    </w:p>
    <w:p w14:paraId="7F900F25">
      <w:pPr>
        <w:spacing w:line="360" w:lineRule="auto"/>
        <w:ind w:firstLine="482" w:firstLineChars="200"/>
        <w:rPr>
          <w:rFonts w:ascii="Times New Roman" w:hAnsi="Times New Roman" w:cs="Times New Roman"/>
          <w:b/>
          <w:sz w:val="24"/>
          <w:szCs w:val="24"/>
        </w:rPr>
      </w:pPr>
      <w:r>
        <w:rPr>
          <w:rFonts w:ascii="Times New Roman" w:hAnsi="Times New Roman" w:cs="Times New Roman"/>
          <w:b/>
          <w:sz w:val="24"/>
          <w:szCs w:val="24"/>
        </w:rPr>
        <w:t>二、项目预算</w:t>
      </w:r>
    </w:p>
    <w:p w14:paraId="42AE8023">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第一包：</w:t>
      </w:r>
      <w:r>
        <w:rPr>
          <w:rFonts w:hint="eastAsia" w:ascii="Times New Roman" w:hAnsi="Times New Roman" w:cs="Times New Roman"/>
          <w:sz w:val="24"/>
          <w:szCs w:val="24"/>
          <w:lang w:val="en-US" w:eastAsia="zh-CN"/>
        </w:rPr>
        <w:t>1296000</w:t>
      </w:r>
      <w:r>
        <w:rPr>
          <w:rFonts w:ascii="Times New Roman" w:hAnsi="Times New Roman" w:cs="Times New Roman"/>
          <w:sz w:val="24"/>
          <w:szCs w:val="24"/>
        </w:rPr>
        <w:t xml:space="preserve"> 元；</w:t>
      </w:r>
    </w:p>
    <w:p w14:paraId="366DAAF5">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三</w:t>
      </w:r>
      <w:r>
        <w:rPr>
          <w:rFonts w:ascii="Times New Roman" w:hAnsi="Times New Roman" w:cs="Times New Roman"/>
          <w:b/>
          <w:sz w:val="24"/>
          <w:szCs w:val="24"/>
        </w:rPr>
        <w:t>、资格要求</w:t>
      </w:r>
    </w:p>
    <w:p w14:paraId="324F00BA">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（一）投标人资格要求</w:t>
      </w:r>
    </w:p>
    <w:p w14:paraId="1A282CFD">
      <w:pPr>
        <w:pStyle w:val="10"/>
        <w:numPr>
          <w:ilvl w:val="0"/>
          <w:numId w:val="1"/>
        </w:numPr>
        <w:spacing w:line="360" w:lineRule="auto"/>
        <w:ind w:left="0" w:firstLine="480" w:firstLineChars="200"/>
        <w:rPr>
          <w:rFonts w:ascii="Times New Roman" w:hAnsi="Times New Roman" w:eastAsia="宋体" w:cs="Times New Roman"/>
          <w:color w:val="auto"/>
        </w:rPr>
      </w:pPr>
      <w:r>
        <w:rPr>
          <w:rFonts w:ascii="Times New Roman" w:hAnsi="Times New Roman" w:eastAsia="宋体" w:cs="Times New Roman"/>
          <w:color w:val="auto"/>
        </w:rPr>
        <w:t>投标人</w:t>
      </w:r>
      <w:r>
        <w:rPr>
          <w:rFonts w:ascii="Times New Roman" w:hAnsi="Times New Roman" w:cs="Times New Roman"/>
        </w:rPr>
        <w:t>应</w:t>
      </w:r>
      <w:r>
        <w:rPr>
          <w:rFonts w:ascii="Times New Roman" w:hAnsi="Times New Roman" w:eastAsia="宋体" w:cs="Times New Roman"/>
          <w:color w:val="auto"/>
        </w:rPr>
        <w:t>具备有效期内的《中华人民共和国特种设备安装改造维修许可证》</w:t>
      </w:r>
      <w:r>
        <w:rPr>
          <w:rFonts w:ascii="Times New Roman" w:hAnsi="Times New Roman" w:eastAsia="宋体" w:cs="Times New Roman"/>
          <w:color w:val="FF0000"/>
        </w:rPr>
        <w:t>（自动扶梯</w:t>
      </w:r>
      <w:r>
        <w:rPr>
          <w:rFonts w:hint="eastAsia" w:ascii="Times New Roman" w:hAnsi="Times New Roman" w:eastAsia="宋体" w:cs="Times New Roman"/>
          <w:color w:val="FF0000"/>
          <w:lang w:eastAsia="zh-CN"/>
        </w:rPr>
        <w:t>，</w:t>
      </w:r>
      <w:r>
        <w:rPr>
          <w:rFonts w:ascii="Times New Roman" w:hAnsi="Times New Roman" w:eastAsia="宋体" w:cs="Times New Roman"/>
          <w:color w:val="FF0000"/>
        </w:rPr>
        <w:t>施工类别需包含安装/改造/维修）</w:t>
      </w:r>
      <w:r>
        <w:rPr>
          <w:rFonts w:ascii="Times New Roman" w:hAnsi="Times New Roman" w:eastAsia="宋体" w:cs="Times New Roman"/>
          <w:color w:val="auto"/>
        </w:rPr>
        <w:t>，或具备有效期内的《中华人民共和国特种设备生产许可证》</w:t>
      </w:r>
      <w:r>
        <w:rPr>
          <w:rFonts w:ascii="Times New Roman" w:hAnsi="Times New Roman" w:eastAsia="宋体" w:cs="Times New Roman"/>
          <w:color w:val="FF0000"/>
        </w:rPr>
        <w:t>（电梯制造（含安装、修理、改造）或电梯安装（含修理），子项目中需包含</w:t>
      </w:r>
      <w:r>
        <w:rPr>
          <w:rFonts w:hint="eastAsia" w:ascii="Times New Roman" w:hAnsi="Times New Roman" w:eastAsia="宋体" w:cs="Times New Roman"/>
          <w:color w:val="FF0000"/>
          <w:lang w:eastAsia="zh-CN"/>
        </w:rPr>
        <w:t>自</w:t>
      </w:r>
      <w:r>
        <w:rPr>
          <w:rFonts w:ascii="Times New Roman" w:hAnsi="Times New Roman" w:eastAsia="宋体" w:cs="Times New Roman"/>
          <w:color w:val="FF0000"/>
        </w:rPr>
        <w:t>动扶梯）。</w:t>
      </w:r>
    </w:p>
    <w:p w14:paraId="03A71B38">
      <w:pPr>
        <w:pStyle w:val="12"/>
        <w:numPr>
          <w:ilvl w:val="0"/>
          <w:numId w:val="1"/>
        </w:numPr>
        <w:spacing w:line="360" w:lineRule="auto"/>
        <w:ind w:left="0" w:firstLine="480"/>
        <w:rPr>
          <w:rFonts w:ascii="Times New Roman" w:hAnsi="Times New Roman" w:cs="Times New Roman"/>
          <w:sz w:val="24"/>
          <w:szCs w:val="24"/>
        </w:rPr>
      </w:pPr>
      <w:r>
        <w:rPr>
          <w:rFonts w:ascii="Times New Roman" w:hAnsi="Times New Roman" w:cs="Times New Roman"/>
          <w:sz w:val="24"/>
          <w:szCs w:val="24"/>
        </w:rPr>
        <w:t>投标人应具备《中华人民共和国政府采购法》第二十二条第一款规定的条件。</w:t>
      </w:r>
    </w:p>
    <w:p w14:paraId="2CB7DB59">
      <w:pPr>
        <w:pStyle w:val="12"/>
        <w:numPr>
          <w:ilvl w:val="0"/>
          <w:numId w:val="1"/>
        </w:numPr>
        <w:spacing w:line="360" w:lineRule="auto"/>
        <w:ind w:left="0" w:firstLine="480"/>
        <w:rPr>
          <w:rFonts w:ascii="Times New Roman" w:hAnsi="Times New Roman" w:cs="Times New Roman"/>
          <w:sz w:val="24"/>
          <w:szCs w:val="24"/>
        </w:rPr>
      </w:pPr>
      <w:r>
        <w:rPr>
          <w:rFonts w:ascii="Times New Roman" w:hAnsi="Times New Roman" w:cs="Times New Roman"/>
          <w:sz w:val="24"/>
          <w:szCs w:val="24"/>
        </w:rPr>
        <w:t>本项目</w:t>
      </w:r>
      <w:r>
        <w:rPr>
          <w:rFonts w:ascii="Times New Roman" w:hAnsi="Times New Roman" w:cs="Times New Roman"/>
          <w:color w:val="FF0000"/>
          <w:sz w:val="24"/>
          <w:szCs w:val="24"/>
        </w:rPr>
        <w:t>不接受</w:t>
      </w:r>
      <w:r>
        <w:rPr>
          <w:rFonts w:ascii="Times New Roman" w:hAnsi="Times New Roman" w:cs="Times New Roman"/>
          <w:sz w:val="24"/>
          <w:szCs w:val="24"/>
        </w:rPr>
        <w:t>联合体。</w:t>
      </w:r>
    </w:p>
    <w:p w14:paraId="33454F58">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（二）产品资格要求</w:t>
      </w:r>
    </w:p>
    <w:p w14:paraId="549700D8">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1. 所投产品制造商应具备《中华人民共和国特种设备制造许可证》</w:t>
      </w:r>
      <w:r>
        <w:rPr>
          <w:rFonts w:ascii="Times New Roman" w:hAnsi="Times New Roman" w:cs="Times New Roman"/>
          <w:color w:val="FF0000"/>
          <w:sz w:val="24"/>
          <w:szCs w:val="24"/>
        </w:rPr>
        <w:t>（自动扶梯）</w:t>
      </w:r>
      <w:r>
        <w:rPr>
          <w:rFonts w:ascii="Times New Roman" w:hAnsi="Times New Roman" w:cs="Times New Roman"/>
          <w:sz w:val="24"/>
          <w:szCs w:val="24"/>
        </w:rPr>
        <w:t>或《中华人民共和国特种设备生产许可证》</w:t>
      </w:r>
      <w:r>
        <w:rPr>
          <w:rFonts w:ascii="Times New Roman" w:hAnsi="Times New Roman" w:cs="Times New Roman"/>
          <w:color w:val="FF0000"/>
          <w:sz w:val="24"/>
          <w:szCs w:val="24"/>
        </w:rPr>
        <w:t>（电梯制造（含安装、修理、改造），子项目中需包含自动扶梯）。</w:t>
      </w:r>
    </w:p>
    <w:p w14:paraId="7CD3B266">
      <w:pPr>
        <w:spacing w:line="360" w:lineRule="auto"/>
        <w:ind w:firstLine="480" w:firstLineChars="200"/>
        <w:rPr>
          <w:rFonts w:ascii="Times New Roman" w:hAnsi="Times New Roman" w:cs="Times New Roman"/>
          <w:sz w:val="24"/>
          <w:szCs w:val="24"/>
        </w:rPr>
      </w:pPr>
      <w:r>
        <w:rPr>
          <w:rFonts w:ascii="Times New Roman" w:hAnsi="Times New Roman" w:cs="Times New Roman"/>
          <w:sz w:val="24"/>
          <w:szCs w:val="24"/>
        </w:rPr>
        <w:t>2. 所投产品应具备《特种设备型式试验证书》。</w:t>
      </w:r>
    </w:p>
    <w:p w14:paraId="549A2DF5">
      <w:pPr>
        <w:spacing w:line="360" w:lineRule="auto"/>
        <w:ind w:firstLine="482" w:firstLineChars="200"/>
        <w:outlineLvl w:val="0"/>
        <w:rPr>
          <w:rFonts w:ascii="Times New Roman" w:hAnsi="Times New Roman" w:cs="Times New Roman"/>
          <w:b/>
          <w:sz w:val="24"/>
        </w:rPr>
      </w:pPr>
      <w:r>
        <w:rPr>
          <w:rFonts w:hint="eastAsia" w:ascii="Times New Roman" w:hAnsi="Times New Roman" w:cs="Times New Roman"/>
          <w:b/>
          <w:sz w:val="24"/>
        </w:rPr>
        <w:t>四</w:t>
      </w:r>
      <w:r>
        <w:rPr>
          <w:rFonts w:ascii="Times New Roman" w:hAnsi="Times New Roman" w:cs="Times New Roman"/>
          <w:b/>
          <w:sz w:val="24"/>
        </w:rPr>
        <w:t>、技术要求</w:t>
      </w:r>
    </w:p>
    <w:p w14:paraId="78BA5034">
      <w:pPr>
        <w:spacing w:line="360" w:lineRule="auto"/>
        <w:ind w:firstLine="480" w:firstLineChars="200"/>
        <w:outlineLvl w:val="0"/>
        <w:rPr>
          <w:rFonts w:ascii="Times New Roman" w:hAnsi="Times New Roman" w:cs="Times New Roman"/>
          <w:sz w:val="24"/>
        </w:rPr>
      </w:pPr>
      <w:r>
        <w:rPr>
          <w:rFonts w:ascii="Times New Roman" w:hAnsi="Times New Roman" w:cs="Times New Roman"/>
          <w:sz w:val="24"/>
        </w:rPr>
        <w:t>扶梯：</w:t>
      </w:r>
    </w:p>
    <w:tbl>
      <w:tblPr>
        <w:tblStyle w:val="6"/>
        <w:tblW w:w="47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3"/>
        <w:gridCol w:w="1459"/>
        <w:gridCol w:w="763"/>
        <w:gridCol w:w="780"/>
        <w:gridCol w:w="4279"/>
      </w:tblGrid>
      <w:tr w14:paraId="4BF80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1" w:type="pct"/>
            <w:tcBorders>
              <w:top w:val="single" w:color="auto" w:sz="4" w:space="0"/>
              <w:left w:val="single" w:color="auto" w:sz="4" w:space="0"/>
              <w:bottom w:val="single" w:color="auto" w:sz="4" w:space="0"/>
              <w:right w:val="single" w:color="auto" w:sz="4" w:space="0"/>
            </w:tcBorders>
            <w:vAlign w:val="center"/>
          </w:tcPr>
          <w:p w14:paraId="637EA2B9">
            <w:pPr>
              <w:widowControl/>
              <w:spacing w:line="360" w:lineRule="auto"/>
              <w:jc w:val="center"/>
              <w:rPr>
                <w:rFonts w:ascii="Times New Roman" w:hAnsi="Times New Roman" w:cs="Times New Roman"/>
                <w:bCs/>
                <w:kern w:val="0"/>
                <w:sz w:val="24"/>
                <w:szCs w:val="24"/>
              </w:rPr>
            </w:pPr>
            <w:r>
              <w:rPr>
                <w:rFonts w:ascii="Times New Roman" w:hAnsi="Times New Roman" w:cs="Times New Roman"/>
                <w:bCs/>
                <w:kern w:val="0"/>
                <w:sz w:val="24"/>
                <w:szCs w:val="24"/>
              </w:rPr>
              <w:t>序号</w:t>
            </w:r>
          </w:p>
        </w:tc>
        <w:tc>
          <w:tcPr>
            <w:tcW w:w="903" w:type="pct"/>
            <w:tcBorders>
              <w:top w:val="single" w:color="auto" w:sz="4" w:space="0"/>
              <w:left w:val="single" w:color="auto" w:sz="4" w:space="0"/>
              <w:bottom w:val="single" w:color="auto" w:sz="4" w:space="0"/>
              <w:right w:val="single" w:color="auto" w:sz="4" w:space="0"/>
            </w:tcBorders>
            <w:vAlign w:val="center"/>
          </w:tcPr>
          <w:p w14:paraId="7AC09B78">
            <w:pPr>
              <w:widowControl/>
              <w:spacing w:line="360" w:lineRule="auto"/>
              <w:jc w:val="center"/>
              <w:rPr>
                <w:rFonts w:ascii="Times New Roman" w:hAnsi="Times New Roman" w:cs="Times New Roman"/>
                <w:bCs/>
                <w:kern w:val="0"/>
                <w:sz w:val="24"/>
                <w:szCs w:val="24"/>
              </w:rPr>
            </w:pPr>
            <w:r>
              <w:rPr>
                <w:rFonts w:ascii="Times New Roman" w:hAnsi="Times New Roman" w:cs="Times New Roman"/>
                <w:bCs/>
                <w:kern w:val="0"/>
                <w:sz w:val="24"/>
                <w:szCs w:val="24"/>
              </w:rPr>
              <w:t>采购项名称</w:t>
            </w:r>
          </w:p>
        </w:tc>
        <w:tc>
          <w:tcPr>
            <w:tcW w:w="472" w:type="pct"/>
            <w:tcBorders>
              <w:top w:val="single" w:color="auto" w:sz="4" w:space="0"/>
              <w:left w:val="single" w:color="auto" w:sz="4" w:space="0"/>
              <w:bottom w:val="single" w:color="auto" w:sz="4" w:space="0"/>
              <w:right w:val="single" w:color="auto" w:sz="4" w:space="0"/>
            </w:tcBorders>
            <w:vAlign w:val="center"/>
          </w:tcPr>
          <w:p w14:paraId="6F1EE611">
            <w:pPr>
              <w:widowControl/>
              <w:spacing w:line="360" w:lineRule="auto"/>
              <w:jc w:val="center"/>
              <w:rPr>
                <w:rFonts w:ascii="Times New Roman" w:hAnsi="Times New Roman" w:cs="Times New Roman"/>
                <w:bCs/>
                <w:kern w:val="0"/>
                <w:sz w:val="24"/>
                <w:szCs w:val="24"/>
              </w:rPr>
            </w:pPr>
            <w:r>
              <w:rPr>
                <w:rFonts w:ascii="Times New Roman" w:hAnsi="Times New Roman" w:cs="Times New Roman"/>
                <w:bCs/>
                <w:kern w:val="0"/>
                <w:sz w:val="24"/>
                <w:szCs w:val="24"/>
              </w:rPr>
              <w:t>数量</w:t>
            </w:r>
          </w:p>
        </w:tc>
        <w:tc>
          <w:tcPr>
            <w:tcW w:w="483" w:type="pct"/>
            <w:tcBorders>
              <w:top w:val="single" w:color="auto" w:sz="4" w:space="0"/>
              <w:left w:val="single" w:color="auto" w:sz="4" w:space="0"/>
              <w:bottom w:val="single" w:color="auto" w:sz="4" w:space="0"/>
              <w:right w:val="single" w:color="auto" w:sz="4" w:space="0"/>
            </w:tcBorders>
            <w:vAlign w:val="center"/>
          </w:tcPr>
          <w:p w14:paraId="6FCB2742">
            <w:pPr>
              <w:widowControl/>
              <w:spacing w:line="360" w:lineRule="auto"/>
              <w:jc w:val="center"/>
              <w:rPr>
                <w:rFonts w:ascii="Times New Roman" w:hAnsi="Times New Roman" w:cs="Times New Roman"/>
                <w:bCs/>
                <w:kern w:val="0"/>
                <w:sz w:val="24"/>
                <w:szCs w:val="24"/>
              </w:rPr>
            </w:pPr>
            <w:r>
              <w:rPr>
                <w:rFonts w:ascii="Times New Roman" w:hAnsi="Times New Roman" w:cs="Times New Roman"/>
                <w:bCs/>
                <w:kern w:val="0"/>
                <w:sz w:val="24"/>
                <w:szCs w:val="24"/>
              </w:rPr>
              <w:t>单位</w:t>
            </w:r>
          </w:p>
        </w:tc>
        <w:tc>
          <w:tcPr>
            <w:tcW w:w="2648" w:type="pct"/>
            <w:tcBorders>
              <w:top w:val="single" w:color="auto" w:sz="4" w:space="0"/>
              <w:left w:val="single" w:color="auto" w:sz="4" w:space="0"/>
              <w:bottom w:val="single" w:color="auto" w:sz="4" w:space="0"/>
              <w:right w:val="single" w:color="auto" w:sz="4" w:space="0"/>
            </w:tcBorders>
            <w:vAlign w:val="center"/>
          </w:tcPr>
          <w:p w14:paraId="0DA8CAE4">
            <w:pPr>
              <w:widowControl/>
              <w:spacing w:line="360" w:lineRule="auto"/>
              <w:jc w:val="center"/>
              <w:rPr>
                <w:rFonts w:ascii="Times New Roman" w:hAnsi="Times New Roman" w:cs="Times New Roman"/>
                <w:bCs/>
                <w:kern w:val="0"/>
                <w:sz w:val="24"/>
                <w:szCs w:val="24"/>
              </w:rPr>
            </w:pPr>
            <w:r>
              <w:rPr>
                <w:rFonts w:ascii="Times New Roman" w:hAnsi="Times New Roman" w:cs="Times New Roman"/>
                <w:bCs/>
                <w:kern w:val="0"/>
                <w:sz w:val="24"/>
                <w:szCs w:val="24"/>
              </w:rPr>
              <w:t>需求条款</w:t>
            </w:r>
          </w:p>
        </w:tc>
      </w:tr>
      <w:tr w14:paraId="53870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1" w:type="pct"/>
            <w:tcBorders>
              <w:top w:val="single" w:color="auto" w:sz="4" w:space="0"/>
              <w:left w:val="single" w:color="auto" w:sz="4" w:space="0"/>
              <w:bottom w:val="single" w:color="auto" w:sz="4" w:space="0"/>
              <w:right w:val="single" w:color="auto" w:sz="4" w:space="0"/>
            </w:tcBorders>
            <w:vAlign w:val="center"/>
          </w:tcPr>
          <w:p w14:paraId="75B36472">
            <w:pPr>
              <w:widowControl/>
              <w:spacing w:line="360" w:lineRule="auto"/>
              <w:jc w:val="center"/>
              <w:rPr>
                <w:rFonts w:ascii="Times New Roman" w:hAnsi="Times New Roman" w:cs="Times New Roman"/>
                <w:kern w:val="0"/>
                <w:sz w:val="24"/>
                <w:szCs w:val="24"/>
              </w:rPr>
            </w:pPr>
            <w:r>
              <w:rPr>
                <w:rFonts w:ascii="Times New Roman" w:hAnsi="Times New Roman" w:cs="Times New Roman"/>
                <w:kern w:val="0"/>
                <w:sz w:val="24"/>
                <w:szCs w:val="24"/>
              </w:rPr>
              <w:t>1</w:t>
            </w:r>
          </w:p>
        </w:tc>
        <w:tc>
          <w:tcPr>
            <w:tcW w:w="903" w:type="pct"/>
            <w:tcBorders>
              <w:top w:val="single" w:color="auto" w:sz="4" w:space="0"/>
              <w:left w:val="single" w:color="auto" w:sz="4" w:space="0"/>
              <w:bottom w:val="single" w:color="auto" w:sz="4" w:space="0"/>
              <w:right w:val="single" w:color="auto" w:sz="4" w:space="0"/>
            </w:tcBorders>
            <w:vAlign w:val="center"/>
          </w:tcPr>
          <w:p w14:paraId="6B24DD3B">
            <w:pPr>
              <w:widowControl/>
              <w:spacing w:line="360" w:lineRule="auto"/>
              <w:jc w:val="center"/>
              <w:rPr>
                <w:rFonts w:ascii="Times New Roman" w:hAnsi="Times New Roman" w:cs="Times New Roman"/>
                <w:kern w:val="0"/>
                <w:sz w:val="24"/>
                <w:szCs w:val="24"/>
              </w:rPr>
            </w:pPr>
            <w:r>
              <w:rPr>
                <w:rFonts w:ascii="Times New Roman" w:hAnsi="Times New Roman" w:cs="Times New Roman"/>
                <w:kern w:val="0"/>
                <w:sz w:val="24"/>
                <w:szCs w:val="24"/>
              </w:rPr>
              <w:t>扶梯1</w:t>
            </w:r>
          </w:p>
        </w:tc>
        <w:tc>
          <w:tcPr>
            <w:tcW w:w="472" w:type="pct"/>
            <w:tcBorders>
              <w:top w:val="single" w:color="auto" w:sz="4" w:space="0"/>
              <w:left w:val="single" w:color="auto" w:sz="4" w:space="0"/>
              <w:bottom w:val="single" w:color="auto" w:sz="4" w:space="0"/>
              <w:right w:val="single" w:color="auto" w:sz="4" w:space="0"/>
            </w:tcBorders>
            <w:vAlign w:val="center"/>
          </w:tcPr>
          <w:p w14:paraId="37FD3C00">
            <w:pPr>
              <w:spacing w:line="360" w:lineRule="auto"/>
              <w:jc w:val="center"/>
              <w:rPr>
                <w:rFonts w:ascii="Times New Roman" w:hAnsi="Times New Roman" w:cs="Times New Roman"/>
                <w:kern w:val="0"/>
                <w:sz w:val="24"/>
                <w:szCs w:val="24"/>
              </w:rPr>
            </w:pPr>
            <w:r>
              <w:rPr>
                <w:rFonts w:hint="eastAsia" w:ascii="Times New Roman" w:hAnsi="Times New Roman" w:cs="Times New Roman"/>
                <w:kern w:val="0"/>
                <w:sz w:val="24"/>
                <w:szCs w:val="24"/>
                <w:lang w:val="en-US" w:eastAsia="zh-CN"/>
              </w:rPr>
              <w:t>6</w:t>
            </w:r>
            <w:r>
              <w:rPr>
                <w:rFonts w:ascii="Times New Roman" w:hAnsi="Times New Roman" w:cs="Times New Roman"/>
                <w:kern w:val="0"/>
                <w:sz w:val="24"/>
                <w:szCs w:val="24"/>
              </w:rPr>
              <w:t xml:space="preserve"> </w:t>
            </w:r>
          </w:p>
        </w:tc>
        <w:tc>
          <w:tcPr>
            <w:tcW w:w="483" w:type="pct"/>
            <w:tcBorders>
              <w:top w:val="single" w:color="auto" w:sz="4" w:space="0"/>
              <w:left w:val="single" w:color="auto" w:sz="4" w:space="0"/>
              <w:bottom w:val="single" w:color="auto" w:sz="4" w:space="0"/>
              <w:right w:val="single" w:color="auto" w:sz="4" w:space="0"/>
            </w:tcBorders>
            <w:vAlign w:val="center"/>
          </w:tcPr>
          <w:p w14:paraId="1AFCFFB2">
            <w:pPr>
              <w:spacing w:line="360" w:lineRule="auto"/>
              <w:jc w:val="center"/>
              <w:rPr>
                <w:rFonts w:ascii="Times New Roman" w:hAnsi="Times New Roman" w:cs="Times New Roman"/>
                <w:sz w:val="24"/>
                <w:szCs w:val="24"/>
              </w:rPr>
            </w:pPr>
            <w:r>
              <w:rPr>
                <w:rFonts w:ascii="Times New Roman" w:hAnsi="Times New Roman" w:cs="Times New Roman"/>
                <w:sz w:val="24"/>
                <w:szCs w:val="24"/>
              </w:rPr>
              <w:t>台</w:t>
            </w:r>
          </w:p>
        </w:tc>
        <w:tc>
          <w:tcPr>
            <w:tcW w:w="2648" w:type="pct"/>
            <w:tcBorders>
              <w:top w:val="single" w:color="auto" w:sz="4" w:space="0"/>
              <w:left w:val="single" w:color="auto" w:sz="4" w:space="0"/>
              <w:bottom w:val="single" w:color="auto" w:sz="4" w:space="0"/>
              <w:right w:val="single" w:color="auto" w:sz="4" w:space="0"/>
            </w:tcBorders>
            <w:vAlign w:val="center"/>
          </w:tcPr>
          <w:p w14:paraId="56FB9BCA">
            <w:pPr>
              <w:spacing w:line="360" w:lineRule="auto"/>
              <w:jc w:val="left"/>
              <w:rPr>
                <w:rFonts w:ascii="Times New Roman" w:hAnsi="Times New Roman" w:cs="Times New Roman"/>
                <w:color w:val="FF0000"/>
                <w:sz w:val="24"/>
                <w:szCs w:val="24"/>
              </w:rPr>
            </w:pPr>
            <w:r>
              <w:rPr>
                <w:rFonts w:ascii="Times New Roman" w:hAnsi="Times New Roman" w:cs="Times New Roman"/>
                <w:color w:val="FF0000"/>
                <w:sz w:val="24"/>
                <w:szCs w:val="24"/>
              </w:rPr>
              <w:t xml:space="preserve">主机功率： </w:t>
            </w:r>
          </w:p>
          <w:p w14:paraId="5BDD9122">
            <w:pPr>
              <w:spacing w:line="360" w:lineRule="auto"/>
              <w:jc w:val="left"/>
              <w:rPr>
                <w:rFonts w:ascii="Times New Roman" w:hAnsi="Times New Roman" w:cs="Times New Roman"/>
                <w:sz w:val="24"/>
                <w:szCs w:val="24"/>
              </w:rPr>
            </w:pPr>
            <w:r>
              <w:rPr>
                <w:rFonts w:ascii="Times New Roman" w:hAnsi="Times New Roman" w:cs="Times New Roman"/>
                <w:sz w:val="24"/>
                <w:szCs w:val="24"/>
              </w:rPr>
              <w:t>最大输送能力：</w:t>
            </w:r>
            <w:r>
              <w:rPr>
                <w:rFonts w:hint="eastAsia" w:ascii="Times New Roman" w:hAnsi="Times New Roman" w:cs="Times New Roman"/>
                <w:sz w:val="24"/>
                <w:szCs w:val="24"/>
                <w:lang w:val="en-US" w:eastAsia="zh-CN"/>
              </w:rPr>
              <w:t>9000</w:t>
            </w:r>
            <w:r>
              <w:rPr>
                <w:rFonts w:ascii="Times New Roman" w:hAnsi="Times New Roman" w:cs="Times New Roman"/>
                <w:sz w:val="24"/>
                <w:szCs w:val="24"/>
              </w:rPr>
              <w:t>人/小时；</w:t>
            </w:r>
          </w:p>
          <w:p w14:paraId="053E9CA9">
            <w:pPr>
              <w:spacing w:line="360" w:lineRule="auto"/>
              <w:jc w:val="left"/>
              <w:rPr>
                <w:rFonts w:hint="default" w:ascii="Times New Roman" w:hAnsi="Times New Roman" w:cs="Times New Roman" w:eastAsiaTheme="minorEastAsia"/>
                <w:sz w:val="24"/>
                <w:szCs w:val="24"/>
                <w:lang w:val="en-US" w:eastAsia="zh-CN"/>
              </w:rPr>
            </w:pPr>
            <w:r>
              <w:rPr>
                <w:rFonts w:ascii="Times New Roman" w:hAnsi="Times New Roman" w:cs="Times New Roman"/>
                <w:sz w:val="24"/>
                <w:szCs w:val="24"/>
              </w:rPr>
              <w:t>额定速度：</w:t>
            </w:r>
            <w:r>
              <w:rPr>
                <w:rFonts w:hint="eastAsia" w:ascii="Times New Roman" w:hAnsi="Times New Roman" w:cs="Times New Roman"/>
                <w:sz w:val="24"/>
                <w:szCs w:val="24"/>
                <w:lang w:eastAsia="zh-CN"/>
              </w:rPr>
              <w:t>≥</w:t>
            </w:r>
            <w:r>
              <w:rPr>
                <w:rFonts w:hint="eastAsia" w:ascii="Times New Roman" w:hAnsi="Times New Roman" w:cs="Times New Roman"/>
                <w:sz w:val="24"/>
                <w:szCs w:val="24"/>
                <w:lang w:val="en-US" w:eastAsia="zh-CN"/>
              </w:rPr>
              <w:t>0.5m/s；</w:t>
            </w:r>
          </w:p>
          <w:p w14:paraId="441BB599">
            <w:pPr>
              <w:spacing w:line="360" w:lineRule="auto"/>
              <w:jc w:val="left"/>
              <w:rPr>
                <w:rFonts w:ascii="Times New Roman" w:hAnsi="Times New Roman" w:cs="Times New Roman"/>
                <w:sz w:val="24"/>
                <w:szCs w:val="24"/>
              </w:rPr>
            </w:pPr>
            <w:r>
              <w:rPr>
                <w:rFonts w:ascii="Times New Roman" w:hAnsi="Times New Roman" w:cs="Times New Roman"/>
                <w:sz w:val="24"/>
                <w:szCs w:val="24"/>
              </w:rPr>
              <w:t>维修、节能速度：</w:t>
            </w:r>
          </w:p>
          <w:p w14:paraId="6ED92F1B">
            <w:pPr>
              <w:spacing w:line="360" w:lineRule="auto"/>
              <w:jc w:val="left"/>
              <w:rPr>
                <w:rFonts w:ascii="Times New Roman" w:hAnsi="Times New Roman" w:cs="Times New Roman"/>
                <w:color w:val="auto"/>
                <w:sz w:val="24"/>
                <w:szCs w:val="24"/>
              </w:rPr>
            </w:pPr>
            <w:r>
              <w:rPr>
                <w:rFonts w:ascii="Times New Roman" w:hAnsi="Times New Roman" w:cs="Times New Roman"/>
                <w:sz w:val="24"/>
                <w:szCs w:val="24"/>
              </w:rPr>
              <w:t>排布方式：</w:t>
            </w:r>
            <w:r>
              <w:rPr>
                <w:rFonts w:ascii="Times New Roman" w:hAnsi="Times New Roman" w:cs="Times New Roman"/>
                <w:color w:val="auto"/>
                <w:sz w:val="24"/>
                <w:szCs w:val="24"/>
              </w:rPr>
              <w:t>单梯；</w:t>
            </w:r>
          </w:p>
          <w:p w14:paraId="130A390E">
            <w:pPr>
              <w:spacing w:line="360" w:lineRule="auto"/>
              <w:jc w:val="left"/>
              <w:rPr>
                <w:rFonts w:ascii="Times New Roman" w:hAnsi="Times New Roman" w:cs="Times New Roman"/>
                <w:color w:val="auto"/>
                <w:sz w:val="24"/>
                <w:szCs w:val="24"/>
              </w:rPr>
            </w:pPr>
            <w:r>
              <w:rPr>
                <w:rFonts w:ascii="Times New Roman" w:hAnsi="Times New Roman" w:cs="Times New Roman"/>
                <w:color w:val="auto"/>
                <w:sz w:val="24"/>
                <w:szCs w:val="24"/>
              </w:rPr>
              <w:t>倾斜角度：</w:t>
            </w:r>
            <w:r>
              <w:rPr>
                <w:rFonts w:hint="eastAsia" w:ascii="Times New Roman" w:hAnsi="Times New Roman" w:cs="Times New Roman"/>
                <w:color w:val="auto"/>
                <w:sz w:val="24"/>
                <w:szCs w:val="24"/>
                <w:lang w:val="en-US" w:eastAsia="zh-CN"/>
              </w:rPr>
              <w:t>35度；</w:t>
            </w:r>
            <w:r>
              <w:rPr>
                <w:rFonts w:ascii="Times New Roman" w:hAnsi="Times New Roman" w:cs="Times New Roman"/>
                <w:color w:val="auto"/>
                <w:sz w:val="24"/>
                <w:szCs w:val="24"/>
              </w:rPr>
              <w:t xml:space="preserve">  </w:t>
            </w:r>
          </w:p>
          <w:p w14:paraId="6DF35561">
            <w:pPr>
              <w:spacing w:line="360" w:lineRule="auto"/>
              <w:jc w:val="left"/>
              <w:rPr>
                <w:rFonts w:ascii="Times New Roman" w:hAnsi="Times New Roman" w:cs="Times New Roman"/>
                <w:color w:val="auto"/>
                <w:sz w:val="24"/>
                <w:szCs w:val="24"/>
              </w:rPr>
            </w:pPr>
            <w:r>
              <w:rPr>
                <w:rFonts w:ascii="Times New Roman" w:hAnsi="Times New Roman" w:cs="Times New Roman"/>
                <w:color w:val="auto"/>
                <w:sz w:val="24"/>
                <w:szCs w:val="24"/>
              </w:rPr>
              <w:t>提升高度：</w:t>
            </w:r>
            <w:r>
              <w:rPr>
                <w:rFonts w:hint="eastAsia" w:ascii="Times New Roman" w:hAnsi="Times New Roman" w:cs="Times New Roman"/>
                <w:color w:val="auto"/>
                <w:sz w:val="24"/>
                <w:szCs w:val="24"/>
                <w:lang w:val="en-US" w:eastAsia="zh-CN"/>
              </w:rPr>
              <w:t>5400mm</w:t>
            </w:r>
            <w:r>
              <w:rPr>
                <w:rFonts w:ascii="Times New Roman" w:hAnsi="Times New Roman" w:cs="Times New Roman"/>
                <w:color w:val="auto"/>
                <w:sz w:val="24"/>
                <w:szCs w:val="24"/>
              </w:rPr>
              <w:t xml:space="preserve"> </w:t>
            </w:r>
          </w:p>
          <w:p w14:paraId="0586B478">
            <w:pPr>
              <w:spacing w:line="360" w:lineRule="auto"/>
              <w:jc w:val="left"/>
              <w:rPr>
                <w:rFonts w:hint="default" w:ascii="Times New Roman" w:hAnsi="Times New Roman" w:cs="Times New Roman" w:eastAsiaTheme="minorEastAsia"/>
                <w:color w:val="auto"/>
                <w:sz w:val="24"/>
                <w:szCs w:val="24"/>
                <w:lang w:val="en-US" w:eastAsia="zh-CN"/>
              </w:rPr>
            </w:pPr>
            <w:r>
              <w:rPr>
                <w:rFonts w:ascii="Times New Roman" w:hAnsi="Times New Roman" w:cs="Times New Roman"/>
                <w:color w:val="auto"/>
                <w:sz w:val="24"/>
                <w:szCs w:val="24"/>
              </w:rPr>
              <w:t>梯级名义宽度：</w:t>
            </w:r>
            <w:r>
              <w:rPr>
                <w:rFonts w:hint="eastAsia" w:ascii="Times New Roman" w:hAnsi="Times New Roman" w:cs="Times New Roman"/>
                <w:color w:val="auto"/>
                <w:sz w:val="24"/>
                <w:szCs w:val="24"/>
                <w:lang w:val="en-US" w:eastAsia="zh-CN"/>
              </w:rPr>
              <w:t>1000mm</w:t>
            </w:r>
          </w:p>
          <w:p w14:paraId="0585BE2A">
            <w:pPr>
              <w:spacing w:line="360" w:lineRule="auto"/>
              <w:jc w:val="left"/>
              <w:rPr>
                <w:rFonts w:ascii="Times New Roman" w:hAnsi="Times New Roman" w:cs="Times New Roman"/>
                <w:color w:val="FF0000"/>
                <w:sz w:val="24"/>
                <w:szCs w:val="24"/>
              </w:rPr>
            </w:pPr>
            <w:r>
              <w:rPr>
                <w:rFonts w:ascii="Times New Roman" w:hAnsi="Times New Roman" w:cs="Times New Roman"/>
                <w:color w:val="FF0000"/>
                <w:sz w:val="24"/>
                <w:szCs w:val="24"/>
              </w:rPr>
              <w:t xml:space="preserve">梯级材质：原铝梯级； </w:t>
            </w:r>
          </w:p>
          <w:p w14:paraId="49832B11">
            <w:pPr>
              <w:spacing w:line="360" w:lineRule="auto"/>
              <w:jc w:val="left"/>
              <w:rPr>
                <w:rFonts w:ascii="Times New Roman" w:hAnsi="Times New Roman" w:cs="Times New Roman"/>
                <w:color w:val="auto"/>
                <w:sz w:val="24"/>
                <w:szCs w:val="24"/>
              </w:rPr>
            </w:pPr>
            <w:r>
              <w:rPr>
                <w:rFonts w:ascii="Times New Roman" w:hAnsi="Times New Roman" w:cs="Times New Roman"/>
                <w:color w:val="auto"/>
                <w:sz w:val="24"/>
                <w:szCs w:val="24"/>
              </w:rPr>
              <w:t>梯级安全线：三侧黄色喷漆边；</w:t>
            </w:r>
          </w:p>
          <w:p w14:paraId="3BEBA182">
            <w:pPr>
              <w:spacing w:line="360" w:lineRule="auto"/>
              <w:jc w:val="left"/>
              <w:rPr>
                <w:rFonts w:ascii="Times New Roman" w:hAnsi="Times New Roman" w:cs="Times New Roman"/>
                <w:color w:val="auto"/>
                <w:sz w:val="24"/>
                <w:szCs w:val="24"/>
                <w:highlight w:val="none"/>
              </w:rPr>
            </w:pPr>
            <w:r>
              <w:rPr>
                <w:rFonts w:ascii="Times New Roman" w:hAnsi="Times New Roman" w:cs="Times New Roman"/>
                <w:color w:val="auto"/>
                <w:sz w:val="24"/>
                <w:szCs w:val="24"/>
                <w:highlight w:val="none"/>
              </w:rPr>
              <w:t>水平梯级数量：上下各2块；</w:t>
            </w:r>
          </w:p>
          <w:p w14:paraId="19D4FB60">
            <w:pPr>
              <w:spacing w:line="360" w:lineRule="auto"/>
              <w:jc w:val="left"/>
              <w:rPr>
                <w:rFonts w:ascii="Times New Roman" w:hAnsi="Times New Roman" w:cs="Times New Roman"/>
                <w:color w:val="FF0000"/>
                <w:sz w:val="24"/>
                <w:szCs w:val="24"/>
                <w:highlight w:val="none"/>
              </w:rPr>
            </w:pPr>
            <w:r>
              <w:rPr>
                <w:rFonts w:ascii="Times New Roman" w:hAnsi="Times New Roman" w:cs="Times New Roman"/>
                <w:color w:val="FF0000"/>
                <w:sz w:val="24"/>
                <w:szCs w:val="24"/>
                <w:highlight w:val="none"/>
              </w:rPr>
              <w:t>梳齿：例如：原色铝型材，带凹槽；</w:t>
            </w:r>
          </w:p>
          <w:p w14:paraId="5815121F">
            <w:pPr>
              <w:spacing w:line="360" w:lineRule="auto"/>
              <w:jc w:val="left"/>
              <w:rPr>
                <w:rFonts w:ascii="Times New Roman" w:hAnsi="Times New Roman" w:cs="Times New Roman"/>
                <w:color w:val="FF0000"/>
                <w:sz w:val="24"/>
                <w:szCs w:val="24"/>
                <w:highlight w:val="none"/>
              </w:rPr>
            </w:pPr>
            <w:r>
              <w:rPr>
                <w:rFonts w:ascii="Times New Roman" w:hAnsi="Times New Roman" w:cs="Times New Roman"/>
                <w:color w:val="FF0000"/>
                <w:sz w:val="24"/>
                <w:szCs w:val="24"/>
                <w:highlight w:val="none"/>
              </w:rPr>
              <w:t>运转形式：例如：上、下可逆转；</w:t>
            </w:r>
          </w:p>
          <w:p w14:paraId="486D8B86">
            <w:pPr>
              <w:spacing w:line="360" w:lineRule="auto"/>
              <w:jc w:val="left"/>
              <w:rPr>
                <w:rFonts w:ascii="Times New Roman" w:hAnsi="Times New Roman" w:cs="Times New Roman"/>
                <w:color w:val="FF0000"/>
                <w:sz w:val="24"/>
                <w:szCs w:val="24"/>
                <w:highlight w:val="none"/>
              </w:rPr>
            </w:pPr>
            <w:r>
              <w:rPr>
                <w:rFonts w:ascii="Times New Roman" w:hAnsi="Times New Roman" w:cs="Times New Roman"/>
                <w:color w:val="FF0000"/>
                <w:sz w:val="24"/>
                <w:szCs w:val="24"/>
                <w:highlight w:val="none"/>
              </w:rPr>
              <w:t>控制方式：</w:t>
            </w:r>
          </w:p>
          <w:p w14:paraId="40ED5CF7">
            <w:pPr>
              <w:spacing w:line="360" w:lineRule="auto"/>
              <w:jc w:val="left"/>
              <w:rPr>
                <w:rFonts w:ascii="Times New Roman" w:hAnsi="Times New Roman" w:cs="Times New Roman"/>
                <w:color w:val="FF0000"/>
                <w:sz w:val="24"/>
                <w:szCs w:val="24"/>
                <w:highlight w:val="none"/>
              </w:rPr>
            </w:pPr>
            <w:r>
              <w:rPr>
                <w:rFonts w:ascii="Times New Roman" w:hAnsi="Times New Roman" w:cs="Times New Roman"/>
                <w:color w:val="FF0000"/>
                <w:sz w:val="24"/>
                <w:szCs w:val="24"/>
                <w:highlight w:val="none"/>
              </w:rPr>
              <w:t>驱动方式：</w:t>
            </w:r>
          </w:p>
          <w:p w14:paraId="6FFB6253">
            <w:pPr>
              <w:spacing w:line="360" w:lineRule="auto"/>
              <w:jc w:val="left"/>
              <w:rPr>
                <w:rFonts w:hint="eastAsia" w:ascii="Times New Roman" w:hAnsi="Times New Roman" w:cs="Times New Roman" w:eastAsiaTheme="minorEastAsia"/>
                <w:color w:val="auto"/>
                <w:sz w:val="24"/>
                <w:szCs w:val="24"/>
                <w:highlight w:val="none"/>
                <w:lang w:eastAsia="zh-CN"/>
              </w:rPr>
            </w:pPr>
            <w:r>
              <w:rPr>
                <w:rFonts w:ascii="Times New Roman" w:hAnsi="Times New Roman" w:cs="Times New Roman"/>
                <w:color w:val="auto"/>
                <w:sz w:val="24"/>
                <w:szCs w:val="24"/>
                <w:highlight w:val="none"/>
              </w:rPr>
              <w:t>供电制式：</w:t>
            </w:r>
            <w:r>
              <w:rPr>
                <w:rFonts w:hint="eastAsia" w:ascii="Times New Roman" w:hAnsi="Times New Roman" w:cs="Times New Roman"/>
                <w:color w:val="auto"/>
                <w:sz w:val="24"/>
                <w:szCs w:val="24"/>
                <w:highlight w:val="none"/>
                <w:lang w:eastAsia="zh-CN"/>
              </w:rPr>
              <w:t>三相五线</w:t>
            </w:r>
          </w:p>
          <w:p w14:paraId="5DA35548">
            <w:pPr>
              <w:spacing w:line="360" w:lineRule="auto"/>
              <w:jc w:val="left"/>
              <w:rPr>
                <w:rFonts w:ascii="Times New Roman" w:hAnsi="Times New Roman" w:cs="Times New Roman"/>
                <w:color w:val="auto"/>
                <w:sz w:val="24"/>
                <w:szCs w:val="24"/>
                <w:highlight w:val="none"/>
              </w:rPr>
            </w:pPr>
            <w:r>
              <w:rPr>
                <w:rFonts w:ascii="Times New Roman" w:hAnsi="Times New Roman" w:cs="Times New Roman"/>
                <w:color w:val="auto"/>
                <w:sz w:val="24"/>
                <w:szCs w:val="24"/>
                <w:highlight w:val="none"/>
              </w:rPr>
              <w:t>扶手带：黑色橡胶；</w:t>
            </w:r>
          </w:p>
          <w:p w14:paraId="639343A4">
            <w:pPr>
              <w:spacing w:line="360" w:lineRule="auto"/>
              <w:jc w:val="left"/>
              <w:rPr>
                <w:rFonts w:ascii="Times New Roman" w:hAnsi="Times New Roman" w:cs="Times New Roman"/>
                <w:color w:val="auto"/>
                <w:sz w:val="24"/>
                <w:szCs w:val="24"/>
                <w:highlight w:val="none"/>
              </w:rPr>
            </w:pPr>
            <w:r>
              <w:rPr>
                <w:rFonts w:ascii="Times New Roman" w:hAnsi="Times New Roman" w:cs="Times New Roman"/>
                <w:color w:val="auto"/>
                <w:sz w:val="24"/>
                <w:szCs w:val="24"/>
                <w:highlight w:val="none"/>
              </w:rPr>
              <w:t>润滑系统：自动润滑；</w:t>
            </w:r>
          </w:p>
          <w:p w14:paraId="2A3641E8">
            <w:pPr>
              <w:spacing w:line="360" w:lineRule="auto"/>
              <w:jc w:val="left"/>
              <w:rPr>
                <w:rFonts w:eastAsiaTheme="minorEastAsia"/>
                <w:color w:val="auto"/>
                <w:sz w:val="24"/>
                <w:szCs w:val="24"/>
                <w:highlight w:val="none"/>
              </w:rPr>
            </w:pPr>
            <w:r>
              <w:rPr>
                <w:rFonts w:hint="eastAsia" w:ascii="Times New Roman" w:hAnsi="Times New Roman" w:cs="Times New Roman"/>
                <w:color w:val="auto"/>
                <w:sz w:val="24"/>
                <w:szCs w:val="24"/>
                <w:highlight w:val="none"/>
                <w:lang w:eastAsia="zh-CN"/>
              </w:rPr>
              <w:t>其他要求：</w:t>
            </w:r>
            <w:r>
              <w:rPr>
                <w:rFonts w:hint="eastAsia" w:ascii="宋体" w:hAnsi="宋体" w:eastAsia="宋体" w:cs="宋体"/>
                <w:b w:val="0"/>
                <w:bCs/>
                <w:color w:val="auto"/>
                <w:kern w:val="0"/>
                <w:sz w:val="24"/>
                <w:szCs w:val="24"/>
                <w:highlight w:val="none"/>
              </w:rPr>
              <w:t>外观特征扶手导轨材质不锈钢</w:t>
            </w:r>
            <w:r>
              <w:rPr>
                <w:rFonts w:hint="eastAsia" w:ascii="宋体" w:hAnsi="宋体" w:eastAsia="宋体" w:cs="宋体"/>
                <w:b w:val="0"/>
                <w:bCs/>
                <w:color w:val="auto"/>
                <w:kern w:val="0"/>
                <w:sz w:val="24"/>
                <w:szCs w:val="24"/>
                <w:highlight w:val="none"/>
                <w:lang w:eastAsia="zh-CN"/>
              </w:rPr>
              <w:t>，</w:t>
            </w:r>
            <w:r>
              <w:rPr>
                <w:rFonts w:hint="eastAsia" w:ascii="宋体" w:hAnsi="宋体" w:eastAsia="宋体" w:cs="宋体"/>
                <w:b w:val="0"/>
                <w:bCs/>
                <w:color w:val="auto"/>
                <w:kern w:val="0"/>
                <w:sz w:val="24"/>
                <w:szCs w:val="24"/>
                <w:highlight w:val="none"/>
              </w:rPr>
              <w:t>扶手带黑色亚光</w:t>
            </w:r>
            <w:r>
              <w:rPr>
                <w:rFonts w:hint="eastAsia" w:ascii="宋体" w:hAnsi="宋体" w:eastAsia="宋体" w:cs="宋体"/>
                <w:b w:val="0"/>
                <w:bCs/>
                <w:color w:val="auto"/>
                <w:kern w:val="0"/>
                <w:sz w:val="24"/>
                <w:szCs w:val="24"/>
                <w:highlight w:val="none"/>
                <w:lang w:eastAsia="zh-CN"/>
              </w:rPr>
              <w:t>，</w:t>
            </w:r>
            <w:r>
              <w:rPr>
                <w:rFonts w:hint="eastAsia" w:ascii="宋体" w:hAnsi="宋体" w:eastAsia="宋体" w:cs="宋体"/>
                <w:b w:val="0"/>
                <w:bCs/>
                <w:color w:val="auto"/>
                <w:kern w:val="0"/>
                <w:sz w:val="24"/>
                <w:szCs w:val="24"/>
                <w:highlight w:val="none"/>
              </w:rPr>
              <w:t>扶手高度930 mm</w:t>
            </w:r>
            <w:r>
              <w:rPr>
                <w:rFonts w:hint="eastAsia" w:ascii="宋体" w:hAnsi="宋体" w:eastAsia="宋体" w:cs="宋体"/>
                <w:b w:val="0"/>
                <w:bCs/>
                <w:color w:val="auto"/>
                <w:kern w:val="0"/>
                <w:sz w:val="24"/>
                <w:szCs w:val="24"/>
                <w:highlight w:val="none"/>
                <w:lang w:eastAsia="zh-CN"/>
              </w:rPr>
              <w:t>，</w:t>
            </w:r>
            <w:r>
              <w:rPr>
                <w:rFonts w:hint="eastAsia" w:ascii="宋体" w:hAnsi="宋体" w:eastAsia="宋体" w:cs="宋体"/>
                <w:b w:val="0"/>
                <w:bCs/>
                <w:color w:val="auto"/>
                <w:kern w:val="0"/>
                <w:sz w:val="24"/>
                <w:szCs w:val="24"/>
                <w:highlight w:val="none"/>
              </w:rPr>
              <w:t>栏板材质</w:t>
            </w:r>
            <w:r>
              <w:rPr>
                <w:rFonts w:hint="eastAsia" w:ascii="宋体" w:hAnsi="宋体" w:eastAsia="宋体" w:cs="宋体"/>
                <w:b w:val="0"/>
                <w:bCs/>
                <w:color w:val="auto"/>
                <w:kern w:val="0"/>
                <w:sz w:val="24"/>
                <w:szCs w:val="24"/>
                <w:highlight w:val="none"/>
                <w:lang w:eastAsia="zh-CN"/>
              </w:rPr>
              <w:t>为</w:t>
            </w:r>
            <w:r>
              <w:rPr>
                <w:rFonts w:hint="eastAsia" w:ascii="宋体" w:hAnsi="宋体" w:eastAsia="宋体" w:cs="宋体"/>
                <w:b w:val="0"/>
                <w:bCs/>
                <w:color w:val="auto"/>
                <w:kern w:val="0"/>
                <w:sz w:val="24"/>
                <w:szCs w:val="24"/>
                <w:highlight w:val="none"/>
              </w:rPr>
              <w:t>钢化玻璃</w:t>
            </w:r>
            <w:r>
              <w:rPr>
                <w:rFonts w:hint="eastAsia" w:ascii="宋体" w:hAnsi="宋体" w:eastAsia="宋体" w:cs="宋体"/>
                <w:b w:val="0"/>
                <w:bCs/>
                <w:color w:val="auto"/>
                <w:kern w:val="0"/>
                <w:sz w:val="24"/>
                <w:szCs w:val="24"/>
                <w:highlight w:val="none"/>
                <w:lang w:eastAsia="zh-CN"/>
              </w:rPr>
              <w:t>，</w:t>
            </w:r>
            <w:r>
              <w:rPr>
                <w:rFonts w:hint="eastAsia" w:ascii="宋体" w:hAnsi="宋体" w:eastAsia="宋体" w:cs="宋体"/>
                <w:b w:val="0"/>
                <w:bCs/>
                <w:color w:val="auto"/>
                <w:kern w:val="0"/>
                <w:sz w:val="24"/>
                <w:szCs w:val="24"/>
                <w:highlight w:val="none"/>
              </w:rPr>
              <w:t>外装潢</w:t>
            </w:r>
            <w:r>
              <w:rPr>
                <w:rFonts w:hint="eastAsia" w:ascii="宋体" w:hAnsi="宋体" w:eastAsia="宋体" w:cs="宋体"/>
                <w:b w:val="0"/>
                <w:bCs/>
                <w:color w:val="auto"/>
                <w:kern w:val="0"/>
                <w:sz w:val="24"/>
                <w:szCs w:val="24"/>
                <w:highlight w:val="none"/>
                <w:lang w:eastAsia="zh-CN"/>
              </w:rPr>
              <w:t>厂家提供（</w:t>
            </w:r>
            <w:r>
              <w:rPr>
                <w:rFonts w:hint="eastAsia" w:ascii="宋体" w:hAnsi="宋体" w:eastAsia="宋体" w:cs="宋体"/>
                <w:b w:val="0"/>
                <w:bCs/>
                <w:color w:val="auto"/>
                <w:kern w:val="0"/>
                <w:sz w:val="24"/>
                <w:szCs w:val="24"/>
                <w:highlight w:val="none"/>
              </w:rPr>
              <w:t>外装潢布两侧面和底面(底坑无需)</w:t>
            </w:r>
            <w:r>
              <w:rPr>
                <w:rFonts w:hint="eastAsia" w:ascii="宋体" w:hAnsi="宋体" w:eastAsia="宋体" w:cs="宋体"/>
                <w:b w:val="0"/>
                <w:bCs/>
                <w:color w:val="auto"/>
                <w:kern w:val="0"/>
                <w:sz w:val="24"/>
                <w:szCs w:val="24"/>
                <w:highlight w:val="none"/>
                <w:lang w:eastAsia="zh-CN"/>
              </w:rPr>
              <w:t>）。</w:t>
            </w:r>
          </w:p>
          <w:p w14:paraId="19E43A2D">
            <w:pPr>
              <w:spacing w:line="360" w:lineRule="auto"/>
              <w:jc w:val="left"/>
              <w:rPr>
                <w:rFonts w:hint="eastAsia" w:ascii="宋体" w:hAnsi="宋体" w:eastAsia="宋体" w:cs="宋体"/>
                <w:b w:val="0"/>
                <w:bCs/>
                <w:color w:val="auto"/>
                <w:kern w:val="0"/>
                <w:sz w:val="24"/>
                <w:szCs w:val="24"/>
                <w:highlight w:val="none"/>
                <w:lang w:eastAsia="zh-CN"/>
              </w:rPr>
            </w:pPr>
            <w:r>
              <w:rPr>
                <w:rFonts w:eastAsiaTheme="minorEastAsia"/>
                <w:color w:val="auto"/>
                <w:sz w:val="24"/>
                <w:szCs w:val="24"/>
                <w:highlight w:val="none"/>
              </w:rPr>
              <w:t>附加功能要求：</w:t>
            </w:r>
            <w:r>
              <w:rPr>
                <w:rFonts w:hint="eastAsia" w:ascii="宋体" w:hAnsi="宋体" w:eastAsia="宋体" w:cs="宋体"/>
                <w:b w:val="0"/>
                <w:bCs/>
                <w:color w:val="auto"/>
                <w:kern w:val="0"/>
                <w:sz w:val="24"/>
                <w:szCs w:val="24"/>
                <w:highlight w:val="none"/>
              </w:rPr>
              <w:t>节能模式</w:t>
            </w:r>
            <w:r>
              <w:rPr>
                <w:rFonts w:hint="eastAsia" w:ascii="宋体" w:hAnsi="宋体" w:eastAsia="宋体" w:cs="宋体"/>
                <w:b w:val="0"/>
                <w:bCs/>
                <w:color w:val="auto"/>
                <w:kern w:val="0"/>
                <w:sz w:val="24"/>
                <w:szCs w:val="24"/>
                <w:highlight w:val="none"/>
                <w:lang w:eastAsia="zh-CN"/>
              </w:rPr>
              <w:t>为</w:t>
            </w:r>
            <w:r>
              <w:rPr>
                <w:rFonts w:hint="eastAsia" w:ascii="宋体" w:hAnsi="宋体" w:eastAsia="宋体" w:cs="宋体"/>
                <w:b w:val="0"/>
                <w:bCs/>
                <w:color w:val="auto"/>
                <w:kern w:val="0"/>
                <w:sz w:val="24"/>
                <w:szCs w:val="24"/>
                <w:highlight w:val="none"/>
              </w:rPr>
              <w:t>变频节能模式（低速到正常运行）</w:t>
            </w:r>
            <w:r>
              <w:rPr>
                <w:rFonts w:hint="eastAsia" w:ascii="宋体" w:hAnsi="宋体" w:eastAsia="宋体" w:cs="宋体"/>
                <w:b w:val="0"/>
                <w:bCs/>
                <w:color w:val="auto"/>
                <w:kern w:val="0"/>
                <w:sz w:val="24"/>
                <w:szCs w:val="24"/>
                <w:highlight w:val="none"/>
                <w:lang w:eastAsia="zh-CN"/>
              </w:rPr>
              <w:t>，</w:t>
            </w:r>
            <w:r>
              <w:rPr>
                <w:rFonts w:hint="eastAsia" w:ascii="宋体" w:hAnsi="宋体" w:eastAsia="宋体" w:cs="宋体"/>
                <w:b w:val="0"/>
                <w:bCs/>
                <w:color w:val="auto"/>
                <w:kern w:val="0"/>
                <w:sz w:val="24"/>
                <w:szCs w:val="24"/>
                <w:highlight w:val="none"/>
              </w:rPr>
              <w:t>感应方式压电感应</w:t>
            </w:r>
            <w:r>
              <w:rPr>
                <w:rFonts w:hint="eastAsia" w:ascii="宋体" w:hAnsi="宋体" w:eastAsia="宋体" w:cs="宋体"/>
                <w:b w:val="0"/>
                <w:bCs/>
                <w:color w:val="auto"/>
                <w:kern w:val="0"/>
                <w:sz w:val="24"/>
                <w:szCs w:val="24"/>
                <w:highlight w:val="none"/>
                <w:lang w:eastAsia="zh-CN"/>
              </w:rPr>
              <w:t>，</w:t>
            </w:r>
            <w:r>
              <w:rPr>
                <w:rFonts w:hint="eastAsia" w:ascii="宋体" w:hAnsi="宋体" w:eastAsia="宋体" w:cs="宋体"/>
                <w:b w:val="0"/>
                <w:bCs/>
                <w:color w:val="auto"/>
                <w:kern w:val="0"/>
                <w:sz w:val="24"/>
                <w:szCs w:val="24"/>
                <w:highlight w:val="none"/>
              </w:rPr>
              <w:t>有主驱动链条涨紧检测</w:t>
            </w:r>
            <w:r>
              <w:rPr>
                <w:rFonts w:hint="eastAsia" w:ascii="宋体" w:hAnsi="宋体" w:eastAsia="宋体" w:cs="宋体"/>
                <w:b w:val="0"/>
                <w:bCs/>
                <w:color w:val="auto"/>
                <w:kern w:val="0"/>
                <w:sz w:val="24"/>
                <w:szCs w:val="24"/>
                <w:highlight w:val="none"/>
                <w:lang w:eastAsia="zh-CN"/>
              </w:rPr>
              <w:t>，应提供垂直防护挡板和防攀爬装置。其他详见附件。</w:t>
            </w:r>
          </w:p>
        </w:tc>
      </w:tr>
    </w:tbl>
    <w:p w14:paraId="636EFE4F">
      <w:pPr>
        <w:pStyle w:val="2"/>
        <w:numPr>
          <w:ilvl w:val="0"/>
          <w:numId w:val="0"/>
        </w:numPr>
        <w:rPr>
          <w:rFonts w:hint="eastAsia"/>
          <w:bCs/>
          <w:color w:val="auto"/>
          <w:sz w:val="24"/>
        </w:rPr>
      </w:pPr>
    </w:p>
    <w:p w14:paraId="2E9814F3">
      <w:pPr>
        <w:pStyle w:val="2"/>
        <w:numPr>
          <w:ilvl w:val="0"/>
          <w:numId w:val="0"/>
        </w:numPr>
        <w:rPr>
          <w:rFonts w:hint="eastAsia"/>
          <w:bCs/>
          <w:color w:val="auto"/>
          <w:sz w:val="24"/>
        </w:rPr>
      </w:pPr>
      <w:r>
        <w:rPr>
          <w:rFonts w:hint="eastAsia"/>
          <w:bCs/>
          <w:color w:val="auto"/>
          <w:sz w:val="24"/>
        </w:rPr>
        <w:t>附件：</w:t>
      </w:r>
    </w:p>
    <w:tbl>
      <w:tblPr>
        <w:tblStyle w:val="6"/>
        <w:tblW w:w="84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68"/>
        <w:gridCol w:w="6032"/>
      </w:tblGrid>
      <w:tr w14:paraId="3576E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2368" w:type="dxa"/>
            <w:vAlign w:val="center"/>
          </w:tcPr>
          <w:p w14:paraId="7DCC7B6B">
            <w:pPr>
              <w:pStyle w:val="15"/>
              <w:jc w:val="center"/>
              <w:rPr>
                <w:rFonts w:asciiTheme="minorEastAsia" w:hAnsiTheme="minorEastAsia"/>
                <w:b/>
                <w:bCs/>
                <w:color w:val="auto"/>
                <w:szCs w:val="24"/>
              </w:rPr>
            </w:pPr>
            <w:r>
              <w:rPr>
                <w:rFonts w:hint="eastAsia" w:asciiTheme="minorEastAsia" w:hAnsiTheme="minorEastAsia"/>
                <w:b/>
                <w:bCs/>
                <w:color w:val="auto"/>
                <w:szCs w:val="24"/>
              </w:rPr>
              <w:t>功能名称</w:t>
            </w:r>
          </w:p>
        </w:tc>
        <w:tc>
          <w:tcPr>
            <w:tcW w:w="6032" w:type="dxa"/>
            <w:vAlign w:val="center"/>
          </w:tcPr>
          <w:p w14:paraId="2A5ED6A2">
            <w:pPr>
              <w:pStyle w:val="15"/>
              <w:jc w:val="center"/>
              <w:rPr>
                <w:rFonts w:asciiTheme="minorEastAsia" w:hAnsiTheme="minorEastAsia"/>
                <w:b/>
                <w:bCs/>
                <w:color w:val="auto"/>
                <w:szCs w:val="24"/>
              </w:rPr>
            </w:pPr>
            <w:r>
              <w:rPr>
                <w:rFonts w:hint="eastAsia" w:asciiTheme="minorEastAsia" w:hAnsiTheme="minorEastAsia"/>
                <w:b/>
                <w:bCs/>
                <w:color w:val="auto"/>
                <w:szCs w:val="24"/>
              </w:rPr>
              <w:t>功能描述</w:t>
            </w:r>
          </w:p>
        </w:tc>
      </w:tr>
      <w:tr w14:paraId="43D67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42B24683">
            <w:pPr>
              <w:pStyle w:val="15"/>
              <w:rPr>
                <w:rFonts w:asciiTheme="minorEastAsia" w:hAnsiTheme="minorEastAsia"/>
                <w:color w:val="auto"/>
                <w:szCs w:val="24"/>
              </w:rPr>
            </w:pPr>
            <w:r>
              <w:rPr>
                <w:rFonts w:hint="eastAsia" w:asciiTheme="minorEastAsia" w:hAnsiTheme="minorEastAsia"/>
                <w:color w:val="auto"/>
                <w:szCs w:val="24"/>
              </w:rPr>
              <w:t>防逆转保护</w:t>
            </w:r>
          </w:p>
        </w:tc>
        <w:tc>
          <w:tcPr>
            <w:tcW w:w="6032" w:type="dxa"/>
            <w:vAlign w:val="center"/>
          </w:tcPr>
          <w:p w14:paraId="7F7A08F4">
            <w:pPr>
              <w:pStyle w:val="15"/>
              <w:rPr>
                <w:rFonts w:hint="eastAsia" w:asciiTheme="minorEastAsia" w:hAnsiTheme="minorEastAsia" w:eastAsiaTheme="minorEastAsia"/>
                <w:color w:val="auto"/>
                <w:szCs w:val="24"/>
                <w:lang w:eastAsia="zh-CN"/>
              </w:rPr>
            </w:pPr>
            <w:r>
              <w:rPr>
                <w:rFonts w:hint="eastAsia" w:asciiTheme="minorEastAsia" w:hAnsiTheme="minorEastAsia"/>
                <w:color w:val="auto"/>
                <w:szCs w:val="24"/>
              </w:rPr>
              <w:t>当自动扶梯因超载或机械故障而反向运行时，该装置必须在极短时间内（约0.5秒）响应并触发制动。在梯级逆转距离不超过150mm（通常在100mm以内）时完成制动，以确保不会造成乘客摔倒</w:t>
            </w:r>
            <w:r>
              <w:rPr>
                <w:rFonts w:hint="eastAsia" w:asciiTheme="minorEastAsia" w:hAnsiTheme="minorEastAsia"/>
                <w:color w:val="auto"/>
                <w:szCs w:val="24"/>
                <w:lang w:eastAsia="zh-CN"/>
              </w:rPr>
              <w:t>。</w:t>
            </w:r>
          </w:p>
        </w:tc>
      </w:tr>
      <w:tr w14:paraId="382AB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4317E3A9">
            <w:pPr>
              <w:pStyle w:val="15"/>
              <w:rPr>
                <w:rFonts w:asciiTheme="minorEastAsia" w:hAnsiTheme="minorEastAsia"/>
                <w:color w:val="auto"/>
                <w:szCs w:val="24"/>
              </w:rPr>
            </w:pPr>
            <w:r>
              <w:rPr>
                <w:rFonts w:hint="eastAsia" w:asciiTheme="minorEastAsia" w:hAnsiTheme="minorEastAsia"/>
                <w:color w:val="auto"/>
                <w:szCs w:val="24"/>
              </w:rPr>
              <w:t>紧急停止功能</w:t>
            </w:r>
          </w:p>
        </w:tc>
        <w:tc>
          <w:tcPr>
            <w:tcW w:w="6032" w:type="dxa"/>
            <w:vAlign w:val="center"/>
          </w:tcPr>
          <w:p w14:paraId="696BABA5">
            <w:pPr>
              <w:pStyle w:val="15"/>
              <w:rPr>
                <w:rFonts w:hint="eastAsia" w:asciiTheme="minorEastAsia" w:hAnsiTheme="minorEastAsia" w:eastAsiaTheme="minorEastAsia"/>
                <w:color w:val="auto"/>
                <w:szCs w:val="24"/>
                <w:lang w:eastAsia="zh-CN"/>
              </w:rPr>
            </w:pPr>
            <w:r>
              <w:rPr>
                <w:rFonts w:hint="eastAsia" w:asciiTheme="minorEastAsia" w:hAnsiTheme="minorEastAsia"/>
                <w:color w:val="auto"/>
                <w:szCs w:val="24"/>
              </w:rPr>
              <w:t>扶梯的上下出入口设有醒目的“急停”按钮。其动作响应时间要求不超过0.3秒，一旦按下，所有运行部件必须立即停止运行</w:t>
            </w:r>
            <w:r>
              <w:rPr>
                <w:rFonts w:hint="eastAsia" w:asciiTheme="minorEastAsia" w:hAnsiTheme="minorEastAsia"/>
                <w:color w:val="auto"/>
                <w:szCs w:val="24"/>
                <w:lang w:eastAsia="zh-CN"/>
              </w:rPr>
              <w:t>。</w:t>
            </w:r>
          </w:p>
        </w:tc>
      </w:tr>
      <w:tr w14:paraId="333FD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37420667">
            <w:pPr>
              <w:pStyle w:val="15"/>
              <w:rPr>
                <w:rFonts w:asciiTheme="minorEastAsia" w:hAnsiTheme="minorEastAsia"/>
                <w:color w:val="auto"/>
                <w:szCs w:val="24"/>
              </w:rPr>
            </w:pPr>
            <w:r>
              <w:rPr>
                <w:rFonts w:hint="eastAsia" w:asciiTheme="minorEastAsia" w:hAnsiTheme="minorEastAsia"/>
                <w:color w:val="auto"/>
                <w:szCs w:val="24"/>
              </w:rPr>
              <w:t>防夹保护</w:t>
            </w:r>
          </w:p>
        </w:tc>
        <w:tc>
          <w:tcPr>
            <w:tcW w:w="6032" w:type="dxa"/>
            <w:vAlign w:val="center"/>
          </w:tcPr>
          <w:p w14:paraId="75CA9201">
            <w:pPr>
              <w:pStyle w:val="15"/>
              <w:rPr>
                <w:rFonts w:hint="eastAsia" w:asciiTheme="minorEastAsia" w:hAnsiTheme="minorEastAsia" w:eastAsiaTheme="minorEastAsia"/>
                <w:color w:val="auto"/>
                <w:szCs w:val="24"/>
                <w:lang w:eastAsia="zh-CN"/>
              </w:rPr>
            </w:pPr>
            <w:r>
              <w:rPr>
                <w:rFonts w:hint="eastAsia" w:asciiTheme="minorEastAsia" w:hAnsiTheme="minorEastAsia"/>
                <w:color w:val="auto"/>
                <w:szCs w:val="24"/>
                <w:lang w:eastAsia="zh-CN"/>
              </w:rPr>
              <w:t>包括梳齿板保护、围裙板间隙控制、扶手带入口保护等。</w:t>
            </w:r>
          </w:p>
        </w:tc>
      </w:tr>
      <w:tr w14:paraId="15769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8" w:type="dxa"/>
            <w:vAlign w:val="center"/>
          </w:tcPr>
          <w:p w14:paraId="579B0D00">
            <w:pPr>
              <w:pStyle w:val="15"/>
              <w:rPr>
                <w:rFonts w:asciiTheme="minorEastAsia" w:hAnsiTheme="minorEastAsia"/>
                <w:color w:val="auto"/>
                <w:szCs w:val="24"/>
              </w:rPr>
            </w:pPr>
            <w:r>
              <w:rPr>
                <w:rFonts w:hint="eastAsia" w:asciiTheme="minorEastAsia" w:hAnsiTheme="minorEastAsia"/>
                <w:color w:val="auto"/>
                <w:szCs w:val="24"/>
              </w:rPr>
              <w:t>扶手带同步功能</w:t>
            </w:r>
          </w:p>
        </w:tc>
        <w:tc>
          <w:tcPr>
            <w:tcW w:w="6032" w:type="dxa"/>
            <w:vAlign w:val="center"/>
          </w:tcPr>
          <w:p w14:paraId="663253EC">
            <w:pPr>
              <w:pStyle w:val="15"/>
              <w:rPr>
                <w:rFonts w:hint="eastAsia" w:asciiTheme="minorEastAsia" w:hAnsiTheme="minorEastAsia" w:eastAsiaTheme="minorEastAsia"/>
                <w:color w:val="auto"/>
                <w:szCs w:val="24"/>
                <w:lang w:eastAsia="zh-CN"/>
              </w:rPr>
            </w:pPr>
            <w:r>
              <w:rPr>
                <w:rFonts w:hint="eastAsia" w:asciiTheme="minorEastAsia" w:hAnsiTheme="minorEastAsia"/>
                <w:color w:val="auto"/>
                <w:szCs w:val="24"/>
              </w:rPr>
              <w:t>运行时，扶手带的速度与梯级速度要保持高度一致，两者之间的偏差要求不超过0.02m/s。这可以避免因速度差导致乘客身体失去平衡</w:t>
            </w:r>
            <w:r>
              <w:rPr>
                <w:rFonts w:hint="eastAsia" w:asciiTheme="minorEastAsia" w:hAnsiTheme="minorEastAsia"/>
                <w:color w:val="auto"/>
                <w:szCs w:val="24"/>
                <w:lang w:eastAsia="zh-CN"/>
              </w:rPr>
              <w:t>。</w:t>
            </w:r>
          </w:p>
        </w:tc>
      </w:tr>
    </w:tbl>
    <w:p w14:paraId="1157CBF5">
      <w:pPr>
        <w:spacing w:line="360" w:lineRule="auto"/>
        <w:ind w:firstLine="480" w:firstLineChars="200"/>
        <w:outlineLvl w:val="0"/>
        <w:rPr>
          <w:rFonts w:ascii="Times New Roman" w:hAnsi="Times New Roman" w:cs="Times New Roman"/>
          <w:sz w:val="24"/>
        </w:rPr>
      </w:pPr>
      <w:r>
        <w:rPr>
          <w:rFonts w:ascii="Times New Roman" w:hAnsi="Times New Roman" w:cs="Times New Roman"/>
          <w:sz w:val="24"/>
        </w:rPr>
        <w:t>注：</w:t>
      </w:r>
    </w:p>
    <w:p w14:paraId="5F48E77F">
      <w:pPr>
        <w:spacing w:line="360" w:lineRule="auto"/>
        <w:ind w:firstLine="480" w:firstLineChars="200"/>
        <w:outlineLvl w:val="0"/>
        <w:rPr>
          <w:rFonts w:ascii="Times New Roman" w:hAnsi="Times New Roman" w:cs="Times New Roman"/>
          <w:sz w:val="24"/>
        </w:rPr>
      </w:pPr>
      <w:r>
        <w:rPr>
          <w:rFonts w:ascii="Times New Roman" w:hAnsi="Times New Roman" w:cs="Times New Roman"/>
          <w:sz w:val="24"/>
        </w:rPr>
        <w:t>加注“</w:t>
      </w:r>
      <w:r>
        <w:rPr>
          <w:rFonts w:hint="eastAsia" w:ascii="宋体" w:hAnsi="宋体" w:eastAsia="宋体" w:cs="宋体"/>
          <w:sz w:val="24"/>
        </w:rPr>
        <w:t>★</w:t>
      </w:r>
      <w:r>
        <w:rPr>
          <w:rFonts w:ascii="Times New Roman" w:hAnsi="Times New Roman" w:cs="Times New Roman"/>
          <w:sz w:val="24"/>
        </w:rPr>
        <w:t>”号条款为实质性条款，不得出现负偏离，发生负偏离即做无效标处理。</w:t>
      </w:r>
    </w:p>
    <w:p w14:paraId="458B2F3D">
      <w:pPr>
        <w:spacing w:line="360" w:lineRule="auto"/>
        <w:ind w:firstLine="480" w:firstLineChars="200"/>
        <w:rPr>
          <w:rFonts w:ascii="Times New Roman" w:hAnsi="Times New Roman" w:cs="Times New Roman"/>
          <w:sz w:val="24"/>
        </w:rPr>
      </w:pPr>
      <w:r>
        <w:rPr>
          <w:rFonts w:ascii="Times New Roman" w:hAnsi="Times New Roman" w:cs="Times New Roman"/>
          <w:sz w:val="24"/>
        </w:rPr>
        <w:t>加注“▲”号的产品为核心产品（如项目需求书中未明确核心产品，则视为全部产品均为核心产品）。</w:t>
      </w:r>
    </w:p>
    <w:p w14:paraId="44D9E40D">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五</w:t>
      </w:r>
      <w:r>
        <w:rPr>
          <w:rFonts w:ascii="Times New Roman" w:hAnsi="Times New Roman" w:cs="Times New Roman"/>
          <w:b/>
          <w:sz w:val="24"/>
          <w:szCs w:val="24"/>
        </w:rPr>
        <w:t>、商务要求</w:t>
      </w:r>
    </w:p>
    <w:p w14:paraId="4EF49F96">
      <w:pPr>
        <w:autoSpaceDE w:val="0"/>
        <w:autoSpaceDN w:val="0"/>
        <w:adjustRightInd w:val="0"/>
        <w:spacing w:line="360" w:lineRule="auto"/>
        <w:ind w:firstLine="480" w:firstLineChars="200"/>
        <w:rPr>
          <w:color w:val="000000"/>
          <w:sz w:val="24"/>
        </w:rPr>
      </w:pPr>
      <w:r>
        <w:rPr>
          <w:rFonts w:hint="eastAsia"/>
          <w:color w:val="000000"/>
          <w:sz w:val="24"/>
          <w:lang w:val="en-US" w:eastAsia="zh-CN"/>
        </w:rPr>
        <w:t>1.</w:t>
      </w:r>
      <w:r>
        <w:rPr>
          <w:color w:val="000000"/>
          <w:sz w:val="24"/>
        </w:rPr>
        <w:t>报价要求</w:t>
      </w:r>
    </w:p>
    <w:p w14:paraId="34EA668D">
      <w:pPr>
        <w:autoSpaceDE w:val="0"/>
        <w:autoSpaceDN w:val="0"/>
        <w:adjustRightInd w:val="0"/>
        <w:spacing w:line="360" w:lineRule="auto"/>
        <w:ind w:firstLine="480" w:firstLineChars="200"/>
        <w:rPr>
          <w:color w:val="000000"/>
          <w:sz w:val="24"/>
        </w:rPr>
      </w:pPr>
      <w:r>
        <w:rPr>
          <w:rFonts w:hint="eastAsia"/>
          <w:color w:val="000000"/>
          <w:sz w:val="24"/>
          <w:lang w:eastAsia="zh-CN"/>
        </w:rPr>
        <w:t>（</w:t>
      </w:r>
      <w:r>
        <w:rPr>
          <w:rFonts w:hint="eastAsia"/>
          <w:color w:val="000000"/>
          <w:sz w:val="24"/>
          <w:lang w:val="en-US" w:eastAsia="zh-CN"/>
        </w:rPr>
        <w:t>1</w:t>
      </w:r>
      <w:r>
        <w:rPr>
          <w:rFonts w:hint="eastAsia"/>
          <w:color w:val="000000"/>
          <w:sz w:val="24"/>
          <w:lang w:eastAsia="zh-CN"/>
        </w:rPr>
        <w:t>）</w:t>
      </w:r>
      <w:r>
        <w:rPr>
          <w:color w:val="000000"/>
          <w:sz w:val="24"/>
        </w:rPr>
        <w:t>投标报价以人民币填列。</w:t>
      </w:r>
    </w:p>
    <w:p w14:paraId="1C7C7B6D">
      <w:pPr>
        <w:autoSpaceDE w:val="0"/>
        <w:autoSpaceDN w:val="0"/>
        <w:adjustRightInd w:val="0"/>
        <w:spacing w:line="360" w:lineRule="auto"/>
        <w:ind w:firstLine="480" w:firstLineChars="200"/>
        <w:rPr>
          <w:color w:val="000000"/>
          <w:sz w:val="24"/>
        </w:rPr>
      </w:pPr>
      <w:r>
        <w:rPr>
          <w:rFonts w:hint="eastAsia"/>
          <w:color w:val="000000"/>
          <w:sz w:val="24"/>
          <w:lang w:eastAsia="zh-CN"/>
        </w:rPr>
        <w:t>（</w:t>
      </w:r>
      <w:r>
        <w:rPr>
          <w:rFonts w:hint="eastAsia"/>
          <w:color w:val="000000"/>
          <w:sz w:val="24"/>
          <w:lang w:val="en-US" w:eastAsia="zh-CN"/>
        </w:rPr>
        <w:t>2</w:t>
      </w:r>
      <w:r>
        <w:rPr>
          <w:rFonts w:hint="eastAsia"/>
          <w:color w:val="000000"/>
          <w:sz w:val="24"/>
          <w:lang w:eastAsia="zh-CN"/>
        </w:rPr>
        <w:t>）</w:t>
      </w:r>
      <w:r>
        <w:rPr>
          <w:color w:val="000000"/>
          <w:sz w:val="24"/>
        </w:rPr>
        <w:t>投标人的报价应包括：</w:t>
      </w:r>
      <w:r>
        <w:rPr>
          <w:rFonts w:hint="eastAsia"/>
          <w:color w:val="000000"/>
          <w:sz w:val="24"/>
        </w:rPr>
        <w:t>设备货款、标准附件、备品备件、专用工具、包装、运输、装卸、保险、税金、货到就位以及安装、调试、验收、</w:t>
      </w:r>
      <w:r>
        <w:rPr>
          <w:rFonts w:hint="eastAsia"/>
          <w:color w:val="000000"/>
          <w:sz w:val="24"/>
          <w:lang w:eastAsia="zh-CN"/>
        </w:rPr>
        <w:t>电梯检验取证、</w:t>
      </w:r>
      <w:r>
        <w:rPr>
          <w:rFonts w:hint="eastAsia"/>
          <w:color w:val="000000"/>
          <w:sz w:val="24"/>
        </w:rPr>
        <w:t>培训、保修、</w:t>
      </w:r>
      <w:r>
        <w:rPr>
          <w:rFonts w:hint="eastAsia"/>
          <w:sz w:val="24"/>
        </w:rPr>
        <w:t>配套工程费（含旧设备拆除，拆除设备实物及残值由采购人处置）、电梯相关整改费（包含但不限于土建、供电）</w:t>
      </w:r>
      <w:r>
        <w:rPr>
          <w:rFonts w:hint="eastAsia"/>
          <w:color w:val="000000"/>
          <w:sz w:val="24"/>
        </w:rPr>
        <w:t>及利润税金等为完成招标文件规定的全部要求所需的一切费用。</w:t>
      </w:r>
      <w:r>
        <w:rPr>
          <w:rFonts w:hint="eastAsia"/>
          <w:color w:val="000000"/>
          <w:sz w:val="24"/>
          <w:lang w:eastAsia="zh-CN"/>
        </w:rPr>
        <w:t>项目为交钥匙项目，</w:t>
      </w:r>
      <w:r>
        <w:rPr>
          <w:color w:val="000000"/>
          <w:sz w:val="24"/>
        </w:rPr>
        <w:t>投标人所报价为货到现场安装调试完成并验收合格的最终优惠价格。</w:t>
      </w:r>
    </w:p>
    <w:p w14:paraId="512DFFB4">
      <w:pPr>
        <w:autoSpaceDE w:val="0"/>
        <w:autoSpaceDN w:val="0"/>
        <w:adjustRightInd w:val="0"/>
        <w:spacing w:line="360" w:lineRule="auto"/>
        <w:ind w:firstLine="480" w:firstLineChars="200"/>
        <w:rPr>
          <w:color w:val="000000"/>
          <w:sz w:val="24"/>
        </w:rPr>
      </w:pPr>
      <w:r>
        <w:rPr>
          <w:rFonts w:hint="eastAsia"/>
          <w:color w:val="000000"/>
          <w:sz w:val="24"/>
          <w:lang w:eastAsia="zh-CN"/>
        </w:rPr>
        <w:t>（</w:t>
      </w:r>
      <w:r>
        <w:rPr>
          <w:rFonts w:hint="eastAsia"/>
          <w:color w:val="000000"/>
          <w:sz w:val="24"/>
          <w:lang w:val="en-US" w:eastAsia="zh-CN"/>
        </w:rPr>
        <w:t>3</w:t>
      </w:r>
      <w:r>
        <w:rPr>
          <w:rFonts w:hint="eastAsia"/>
          <w:color w:val="000000"/>
          <w:sz w:val="24"/>
          <w:lang w:eastAsia="zh-CN"/>
        </w:rPr>
        <w:t>）</w:t>
      </w:r>
      <w:r>
        <w:rPr>
          <w:color w:val="000000"/>
          <w:sz w:val="24"/>
        </w:rPr>
        <w:t>验收及相关费用由投标人负责。</w:t>
      </w:r>
    </w:p>
    <w:p w14:paraId="09501E6B">
      <w:pPr>
        <w:spacing w:line="360" w:lineRule="auto"/>
        <w:ind w:firstLine="480" w:firstLineChars="200"/>
        <w:rPr>
          <w:rFonts w:asciiTheme="minorEastAsia" w:hAnsiTheme="minorEastAsia" w:eastAsiaTheme="minorEastAsia"/>
          <w:color w:val="auto"/>
          <w:sz w:val="24"/>
          <w:highlight w:val="none"/>
        </w:rPr>
      </w:pPr>
      <w:r>
        <w:rPr>
          <w:rFonts w:hint="eastAsia" w:ascii="Times New Roman" w:hAnsi="Times New Roman" w:cs="Times New Roman"/>
          <w:color w:val="auto"/>
          <w:sz w:val="24"/>
          <w:szCs w:val="24"/>
          <w:highlight w:val="none"/>
          <w:lang w:val="en-US" w:eastAsia="zh-CN"/>
        </w:rPr>
        <w:t>2</w:t>
      </w:r>
      <w:r>
        <w:rPr>
          <w:rFonts w:ascii="Times New Roman" w:hAnsi="Times New Roman" w:cs="Times New Roman"/>
          <w:color w:val="auto"/>
          <w:sz w:val="24"/>
          <w:szCs w:val="24"/>
          <w:highlight w:val="none"/>
        </w:rPr>
        <w:t>.</w:t>
      </w:r>
      <w:r>
        <w:rPr>
          <w:rFonts w:hint="eastAsia" w:asciiTheme="minorEastAsia" w:hAnsiTheme="minorEastAsia" w:eastAsiaTheme="minorEastAsia"/>
          <w:color w:val="auto"/>
          <w:sz w:val="24"/>
          <w:highlight w:val="none"/>
        </w:rPr>
        <w:t>投标人提供所投产品</w:t>
      </w:r>
      <w:r>
        <w:rPr>
          <w:rFonts w:hint="eastAsia" w:asciiTheme="minorEastAsia" w:hAnsiTheme="minorEastAsia" w:eastAsiaTheme="minorEastAsia"/>
          <w:color w:val="auto"/>
          <w:sz w:val="24"/>
          <w:highlight w:val="none"/>
          <w:lang w:eastAsia="zh-CN"/>
        </w:rPr>
        <w:t>不少于</w:t>
      </w:r>
      <w:r>
        <w:rPr>
          <w:rFonts w:hint="eastAsia" w:asciiTheme="minorEastAsia" w:hAnsiTheme="minorEastAsia" w:eastAsiaTheme="minorEastAsia"/>
          <w:color w:val="auto"/>
          <w:sz w:val="24"/>
          <w:highlight w:val="none"/>
          <w:lang w:val="en-US" w:eastAsia="zh-CN"/>
        </w:rPr>
        <w:t>2</w:t>
      </w:r>
      <w:r>
        <w:rPr>
          <w:rFonts w:hint="eastAsia" w:asciiTheme="minorEastAsia" w:hAnsiTheme="minorEastAsia" w:eastAsiaTheme="minorEastAsia"/>
          <w:color w:val="auto"/>
          <w:sz w:val="24"/>
          <w:highlight w:val="none"/>
        </w:rPr>
        <w:t>年的质保</w:t>
      </w:r>
      <w:r>
        <w:rPr>
          <w:rFonts w:hint="eastAsia" w:asciiTheme="minorEastAsia" w:hAnsiTheme="minorEastAsia"/>
          <w:color w:val="auto"/>
          <w:sz w:val="24"/>
          <w:highlight w:val="none"/>
          <w:lang w:eastAsia="zh-CN"/>
        </w:rPr>
        <w:t>（质保期期间包含</w:t>
      </w:r>
      <w:r>
        <w:rPr>
          <w:rFonts w:hint="eastAsia" w:asciiTheme="minorEastAsia" w:hAnsiTheme="minorEastAsia" w:eastAsiaTheme="minorEastAsia"/>
          <w:color w:val="auto"/>
          <w:sz w:val="24"/>
          <w:highlight w:val="none"/>
        </w:rPr>
        <w:t>全免费维保服务</w:t>
      </w:r>
      <w:r>
        <w:rPr>
          <w:rFonts w:hint="eastAsia" w:asciiTheme="minorEastAsia" w:hAnsiTheme="minorEastAsia"/>
          <w:color w:val="auto"/>
          <w:sz w:val="24"/>
          <w:highlight w:val="none"/>
          <w:lang w:eastAsia="zh-CN"/>
        </w:rPr>
        <w:t>，</w:t>
      </w:r>
      <w:r>
        <w:rPr>
          <w:rFonts w:hint="eastAsia" w:asciiTheme="minorEastAsia" w:hAnsiTheme="minorEastAsia" w:eastAsiaTheme="minorEastAsia"/>
          <w:color w:val="auto"/>
          <w:sz w:val="24"/>
          <w:highlight w:val="none"/>
        </w:rPr>
        <w:t>投标人免费维修及更换零配件</w:t>
      </w:r>
      <w:r>
        <w:rPr>
          <w:rFonts w:hint="eastAsia" w:asciiTheme="minorEastAsia" w:hAnsiTheme="minorEastAsia"/>
          <w:color w:val="auto"/>
          <w:sz w:val="24"/>
          <w:highlight w:val="none"/>
          <w:lang w:eastAsia="zh-CN"/>
        </w:rPr>
        <w:t>）</w:t>
      </w:r>
      <w:r>
        <w:rPr>
          <w:rFonts w:hint="eastAsia" w:asciiTheme="minorEastAsia" w:hAnsiTheme="minorEastAsia" w:eastAsiaTheme="minorEastAsia"/>
          <w:color w:val="auto"/>
          <w:sz w:val="24"/>
          <w:highlight w:val="none"/>
        </w:rPr>
        <w:t>，终身维修。</w:t>
      </w:r>
      <w:r>
        <w:rPr>
          <w:rFonts w:hint="eastAsia" w:asciiTheme="minorEastAsia" w:hAnsiTheme="minorEastAsia"/>
          <w:color w:val="auto"/>
          <w:sz w:val="24"/>
          <w:highlight w:val="none"/>
          <w:lang w:eastAsia="zh-CN"/>
        </w:rPr>
        <w:t>电梯发生事故后半小时内到达现场进行处理。保修期</w:t>
      </w:r>
      <w:r>
        <w:rPr>
          <w:rFonts w:hint="eastAsia" w:asciiTheme="minorEastAsia" w:hAnsiTheme="minorEastAsia" w:eastAsiaTheme="minorEastAsia"/>
          <w:color w:val="auto"/>
          <w:sz w:val="24"/>
          <w:highlight w:val="none"/>
        </w:rPr>
        <w:t>自</w:t>
      </w:r>
      <w:r>
        <w:rPr>
          <w:rFonts w:asciiTheme="minorEastAsia" w:hAnsiTheme="minorEastAsia" w:eastAsiaTheme="minorEastAsia"/>
          <w:color w:val="auto"/>
          <w:sz w:val="24"/>
          <w:szCs w:val="24"/>
          <w:highlight w:val="none"/>
        </w:rPr>
        <w:t>获得特种设备监督检验机构颁发的电梯检验合格证之日起计算</w:t>
      </w:r>
      <w:r>
        <w:rPr>
          <w:rFonts w:hint="eastAsia" w:asciiTheme="minorEastAsia" w:hAnsiTheme="minorEastAsia"/>
          <w:color w:val="auto"/>
          <w:sz w:val="24"/>
          <w:szCs w:val="24"/>
          <w:highlight w:val="none"/>
          <w:lang w:eastAsia="zh-CN"/>
        </w:rPr>
        <w:t>；</w:t>
      </w:r>
      <w:r>
        <w:rPr>
          <w:rFonts w:hint="eastAsia" w:asciiTheme="minorEastAsia" w:hAnsiTheme="minorEastAsia" w:eastAsiaTheme="minorEastAsia"/>
          <w:color w:val="auto"/>
          <w:sz w:val="24"/>
          <w:highlight w:val="none"/>
        </w:rPr>
        <w:t>提供所投电梯核心部件</w:t>
      </w:r>
      <w:r>
        <w:rPr>
          <w:rFonts w:hint="eastAsia" w:asciiTheme="minorEastAsia" w:hAnsiTheme="minorEastAsia" w:eastAsiaTheme="minorEastAsia"/>
          <w:color w:val="auto"/>
          <w:sz w:val="24"/>
          <w:highlight w:val="none"/>
          <w:lang w:eastAsia="zh-CN"/>
        </w:rPr>
        <w:t>不低于</w:t>
      </w:r>
      <w:r>
        <w:rPr>
          <w:rFonts w:hint="eastAsia" w:asciiTheme="minorEastAsia" w:hAnsiTheme="minorEastAsia" w:eastAsiaTheme="minorEastAsia"/>
          <w:color w:val="auto"/>
          <w:sz w:val="24"/>
          <w:highlight w:val="none"/>
          <w:lang w:val="en-US" w:eastAsia="zh-CN"/>
        </w:rPr>
        <w:t>5</w:t>
      </w:r>
      <w:r>
        <w:rPr>
          <w:rFonts w:hint="eastAsia" w:asciiTheme="minorEastAsia" w:hAnsiTheme="minorEastAsia" w:eastAsiaTheme="minorEastAsia"/>
          <w:color w:val="auto"/>
          <w:sz w:val="24"/>
          <w:highlight w:val="none"/>
        </w:rPr>
        <w:t>年质保，质保期自验收合格之日起计算。</w:t>
      </w:r>
    </w:p>
    <w:p w14:paraId="7FAA2267">
      <w:pPr>
        <w:tabs>
          <w:tab w:val="left" w:pos="210"/>
        </w:tabs>
        <w:autoSpaceDE w:val="0"/>
        <w:autoSpaceDN w:val="0"/>
        <w:adjustRightInd w:val="0"/>
        <w:spacing w:line="360" w:lineRule="auto"/>
        <w:ind w:firstLine="480" w:firstLineChars="200"/>
        <w:outlineLvl w:val="0"/>
        <w:rPr>
          <w:rFonts w:hint="eastAsia" w:ascii="宋体" w:hAnsi="宋体" w:eastAsia="宋体" w:cs="宋体"/>
          <w:color w:val="auto"/>
          <w:sz w:val="24"/>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 xml:space="preserve">. </w:t>
      </w:r>
      <w:r>
        <w:rPr>
          <w:rFonts w:hint="eastAsia" w:ascii="宋体" w:hAnsi="宋体" w:eastAsia="宋体" w:cs="宋体"/>
          <w:color w:val="auto"/>
          <w:sz w:val="24"/>
        </w:rPr>
        <w:t>货到时间：签订合同之日起</w:t>
      </w:r>
      <w:r>
        <w:rPr>
          <w:rFonts w:hint="eastAsia" w:ascii="宋体" w:hAnsi="宋体" w:eastAsia="宋体" w:cs="宋体"/>
          <w:color w:val="auto"/>
          <w:sz w:val="24"/>
          <w:lang w:val="en-US" w:eastAsia="zh-CN"/>
        </w:rPr>
        <w:t>30</w:t>
      </w:r>
      <w:r>
        <w:rPr>
          <w:rFonts w:hint="eastAsia" w:ascii="宋体" w:hAnsi="宋体" w:eastAsia="宋体" w:cs="宋体"/>
          <w:color w:val="auto"/>
          <w:sz w:val="24"/>
        </w:rPr>
        <w:t>日内到货（特殊情况以合同为准）。安装完成：货到之日起10日内（特殊情况以合同为准）。</w:t>
      </w:r>
    </w:p>
    <w:p w14:paraId="511FDE2D">
      <w:pPr>
        <w:autoSpaceDE w:val="0"/>
        <w:autoSpaceDN w:val="0"/>
        <w:adjustRightInd w:val="0"/>
        <w:spacing w:line="360" w:lineRule="auto"/>
        <w:ind w:firstLine="480" w:firstLineChars="200"/>
        <w:rPr>
          <w:rFonts w:ascii="Times New Roman" w:hAnsi="Times New Roman" w:cs="Times New Roman"/>
          <w:color w:val="000000"/>
          <w:sz w:val="24"/>
        </w:rPr>
      </w:pPr>
      <w:r>
        <w:rPr>
          <w:rFonts w:hint="eastAsia" w:ascii="Times New Roman" w:hAnsi="Times New Roman" w:cs="Times New Roman"/>
          <w:sz w:val="24"/>
          <w:szCs w:val="24"/>
          <w:lang w:val="en-US" w:eastAsia="zh-CN"/>
        </w:rPr>
        <w:t>4.</w:t>
      </w:r>
      <w:r>
        <w:rPr>
          <w:rFonts w:ascii="Times New Roman" w:hAnsi="Times New Roman" w:cs="Times New Roman"/>
          <w:sz w:val="24"/>
          <w:szCs w:val="24"/>
        </w:rPr>
        <w:t xml:space="preserve"> </w:t>
      </w:r>
      <w:r>
        <w:rPr>
          <w:rFonts w:ascii="Times New Roman" w:hAnsi="Times New Roman" w:cs="Times New Roman"/>
          <w:color w:val="000000"/>
          <w:sz w:val="24"/>
        </w:rPr>
        <w:t>付款方式：</w:t>
      </w:r>
    </w:p>
    <w:p w14:paraId="59406474">
      <w:pPr>
        <w:autoSpaceDE w:val="0"/>
        <w:autoSpaceDN w:val="0"/>
        <w:adjustRightInd w:val="0"/>
        <w:spacing w:line="360" w:lineRule="auto"/>
        <w:ind w:firstLine="480" w:firstLineChars="200"/>
        <w:rPr>
          <w:color w:val="auto"/>
          <w:sz w:val="24"/>
        </w:rPr>
      </w:pPr>
      <w:r>
        <w:rPr>
          <w:rFonts w:hint="eastAsia" w:ascii="宋体" w:hAnsi="宋体"/>
          <w:color w:val="auto"/>
          <w:sz w:val="24"/>
        </w:rPr>
        <w:t>合同签订后</w:t>
      </w:r>
      <w:r>
        <w:rPr>
          <w:rFonts w:hint="eastAsia" w:ascii="宋体" w:hAnsi="宋体"/>
          <w:color w:val="auto"/>
          <w:sz w:val="24"/>
          <w:lang w:val="en-US" w:eastAsia="zh-CN"/>
        </w:rPr>
        <w:t>20</w:t>
      </w:r>
      <w:r>
        <w:rPr>
          <w:rFonts w:hint="eastAsia" w:ascii="宋体" w:hAnsi="宋体"/>
          <w:color w:val="auto"/>
          <w:sz w:val="24"/>
        </w:rPr>
        <w:t>个工作日内支付合同总额的</w:t>
      </w:r>
      <w:r>
        <w:rPr>
          <w:rFonts w:hint="eastAsia"/>
          <w:color w:val="auto"/>
          <w:sz w:val="24"/>
          <w:lang w:val="en-US" w:eastAsia="zh-CN"/>
        </w:rPr>
        <w:t>30</w:t>
      </w:r>
      <w:r>
        <w:rPr>
          <w:rFonts w:hint="eastAsia"/>
          <w:color w:val="auto"/>
          <w:sz w:val="24"/>
        </w:rPr>
        <w:t>%</w:t>
      </w:r>
      <w:r>
        <w:rPr>
          <w:rFonts w:hint="eastAsia" w:ascii="宋体" w:hAnsi="宋体"/>
          <w:color w:val="auto"/>
          <w:sz w:val="24"/>
        </w:rPr>
        <w:t>，货到采购人按照指定地点安装、调试完毕</w:t>
      </w:r>
      <w:r>
        <w:rPr>
          <w:rFonts w:hint="eastAsia" w:ascii="宋体" w:hAnsi="宋体"/>
          <w:color w:val="auto"/>
          <w:sz w:val="24"/>
          <w:lang w:eastAsia="zh-CN"/>
        </w:rPr>
        <w:t>后支付合同总额的</w:t>
      </w:r>
      <w:r>
        <w:rPr>
          <w:rFonts w:hint="eastAsia" w:ascii="宋体" w:hAnsi="宋体"/>
          <w:color w:val="auto"/>
          <w:sz w:val="24"/>
          <w:lang w:val="en-US" w:eastAsia="zh-CN"/>
        </w:rPr>
        <w:t>40%，特种设备检测机构检测合格并取得</w:t>
      </w:r>
      <w:r>
        <w:rPr>
          <w:rFonts w:hint="eastAsia" w:asciiTheme="minorEastAsia" w:hAnsiTheme="minorEastAsia" w:eastAsiaTheme="minorEastAsia"/>
          <w:color w:val="auto"/>
          <w:sz w:val="24"/>
        </w:rPr>
        <w:t>《电梯监督检验报告》</w:t>
      </w:r>
      <w:r>
        <w:rPr>
          <w:rFonts w:hint="eastAsia" w:asciiTheme="minorEastAsia" w:hAnsiTheme="minorEastAsia"/>
          <w:color w:val="auto"/>
          <w:sz w:val="24"/>
          <w:lang w:eastAsia="zh-CN"/>
        </w:rPr>
        <w:t>、</w:t>
      </w:r>
      <w:r>
        <w:rPr>
          <w:rFonts w:asciiTheme="minorEastAsia" w:hAnsiTheme="minorEastAsia" w:eastAsiaTheme="minorEastAsia"/>
          <w:color w:val="auto"/>
          <w:sz w:val="24"/>
          <w:szCs w:val="24"/>
          <w:highlight w:val="none"/>
        </w:rPr>
        <w:t>特种设备监督检验机构颁发的电梯检验合格证</w:t>
      </w:r>
      <w:r>
        <w:rPr>
          <w:rFonts w:hint="eastAsia" w:asciiTheme="minorEastAsia" w:hAnsiTheme="minorEastAsia" w:eastAsiaTheme="minorEastAsia"/>
          <w:color w:val="auto"/>
          <w:sz w:val="24"/>
          <w:lang w:eastAsia="zh-CN"/>
        </w:rPr>
        <w:t>后</w:t>
      </w:r>
      <w:r>
        <w:rPr>
          <w:rFonts w:hint="eastAsia" w:ascii="宋体" w:hAnsi="宋体"/>
          <w:color w:val="auto"/>
          <w:sz w:val="24"/>
        </w:rPr>
        <w:t>支付合同总额的</w:t>
      </w:r>
      <w:r>
        <w:rPr>
          <w:rFonts w:hint="eastAsia" w:ascii="宋体" w:hAnsi="宋体"/>
          <w:color w:val="auto"/>
          <w:sz w:val="24"/>
          <w:lang w:val="en-US" w:eastAsia="zh-CN"/>
        </w:rPr>
        <w:t>30</w:t>
      </w:r>
      <w:r>
        <w:rPr>
          <w:rFonts w:hint="eastAsia"/>
          <w:color w:val="auto"/>
          <w:sz w:val="24"/>
        </w:rPr>
        <w:t>%</w:t>
      </w:r>
      <w:r>
        <w:rPr>
          <w:color w:val="auto"/>
          <w:sz w:val="24"/>
        </w:rPr>
        <w:t>（特殊情况以合同为准）。</w:t>
      </w:r>
    </w:p>
    <w:p w14:paraId="210771F2">
      <w:pPr>
        <w:autoSpaceDE w:val="0"/>
        <w:autoSpaceDN w:val="0"/>
        <w:adjustRightInd w:val="0"/>
        <w:spacing w:line="360" w:lineRule="auto"/>
        <w:ind w:firstLine="480" w:firstLineChars="200"/>
        <w:rPr>
          <w:rFonts w:hint="eastAsia" w:ascii="Times New Roman" w:hAnsi="Times New Roman" w:cs="Times New Roman" w:eastAsiaTheme="minorEastAsia"/>
          <w:color w:val="auto"/>
          <w:sz w:val="24"/>
          <w:lang w:eastAsia="zh-CN"/>
        </w:rPr>
      </w:pPr>
      <w:r>
        <w:rPr>
          <w:rFonts w:hint="eastAsia" w:ascii="Times New Roman" w:hAnsi="Times New Roman" w:cs="Times New Roman"/>
          <w:color w:val="auto"/>
          <w:sz w:val="24"/>
          <w:lang w:val="en-US" w:eastAsia="zh-CN"/>
        </w:rPr>
        <w:t>5</w:t>
      </w:r>
      <w:r>
        <w:rPr>
          <w:rFonts w:ascii="Times New Roman" w:hAnsi="Times New Roman" w:cs="Times New Roman"/>
          <w:color w:val="auto"/>
          <w:sz w:val="24"/>
        </w:rPr>
        <w:t>. 涉及旧电梯拆除</w:t>
      </w:r>
      <w:r>
        <w:rPr>
          <w:rFonts w:hint="eastAsia" w:ascii="Times New Roman" w:hAnsi="Times New Roman" w:cs="Times New Roman"/>
          <w:color w:val="auto"/>
          <w:sz w:val="24"/>
          <w:lang w:eastAsia="zh-CN"/>
        </w:rPr>
        <w:t>，</w:t>
      </w:r>
      <w:r>
        <w:rPr>
          <w:rFonts w:ascii="Times New Roman" w:hAnsi="Times New Roman" w:cs="Times New Roman"/>
          <w:color w:val="auto"/>
          <w:sz w:val="24"/>
        </w:rPr>
        <w:t>拆除费用</w:t>
      </w:r>
      <w:r>
        <w:rPr>
          <w:rFonts w:hint="eastAsia" w:ascii="Times New Roman" w:hAnsi="Times New Roman" w:cs="Times New Roman"/>
          <w:color w:val="auto"/>
          <w:sz w:val="24"/>
          <w:lang w:eastAsia="zh-CN"/>
        </w:rPr>
        <w:t>包含在投标报价内</w:t>
      </w:r>
      <w:r>
        <w:rPr>
          <w:rFonts w:ascii="Times New Roman" w:hAnsi="Times New Roman" w:cs="Times New Roman"/>
          <w:color w:val="auto"/>
          <w:sz w:val="24"/>
        </w:rPr>
        <w:t>，</w:t>
      </w:r>
      <w:r>
        <w:rPr>
          <w:rFonts w:hint="eastAsia"/>
          <w:color w:val="auto"/>
          <w:sz w:val="24"/>
        </w:rPr>
        <w:t>拆除设备实物及残值由采购人处置</w:t>
      </w:r>
      <w:r>
        <w:rPr>
          <w:rFonts w:hint="eastAsia"/>
          <w:color w:val="auto"/>
          <w:sz w:val="24"/>
          <w:lang w:eastAsia="zh-CN"/>
        </w:rPr>
        <w:t>。</w:t>
      </w:r>
    </w:p>
    <w:p w14:paraId="0BA7F154">
      <w:pPr>
        <w:autoSpaceDE w:val="0"/>
        <w:autoSpaceDN w:val="0"/>
        <w:spacing w:line="360" w:lineRule="auto"/>
        <w:ind w:firstLine="482" w:firstLineChars="200"/>
        <w:rPr>
          <w:b/>
          <w:sz w:val="24"/>
        </w:rPr>
      </w:pPr>
      <w:r>
        <w:rPr>
          <w:rFonts w:hint="eastAsia"/>
          <w:b/>
          <w:sz w:val="24"/>
        </w:rPr>
        <w:t>六、验收标准</w:t>
      </w:r>
    </w:p>
    <w:p w14:paraId="7E64B219">
      <w:pPr>
        <w:autoSpaceDE w:val="0"/>
        <w:autoSpaceDN w:val="0"/>
        <w:adjustRightInd w:val="0"/>
        <w:spacing w:line="360" w:lineRule="auto"/>
        <w:ind w:firstLine="480" w:firstLineChars="200"/>
        <w:rPr>
          <w:color w:val="000000"/>
          <w:sz w:val="24"/>
        </w:rPr>
      </w:pPr>
      <w:r>
        <w:rPr>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11514C0D">
      <w:pPr>
        <w:numPr>
          <w:ilvl w:val="0"/>
          <w:numId w:val="2"/>
        </w:numPr>
        <w:spacing w:line="360" w:lineRule="auto"/>
        <w:ind w:firstLine="482" w:firstLineChars="200"/>
        <w:outlineLvl w:val="0"/>
        <w:rPr>
          <w:rFonts w:hint="eastAsia"/>
          <w:b/>
          <w:sz w:val="24"/>
        </w:rPr>
      </w:pPr>
      <w:r>
        <w:rPr>
          <w:rFonts w:hint="eastAsia"/>
          <w:b/>
          <w:sz w:val="24"/>
        </w:rPr>
        <w:t>其他要求</w:t>
      </w:r>
    </w:p>
    <w:p w14:paraId="2ECF1CF6">
      <w:pPr>
        <w:spacing w:line="360" w:lineRule="auto"/>
        <w:ind w:firstLine="480" w:firstLineChars="200"/>
        <w:outlineLvl w:val="0"/>
        <w:rPr>
          <w:rFonts w:hint="eastAsia"/>
          <w:sz w:val="24"/>
          <w:lang w:val="en-US" w:eastAsia="zh-CN"/>
        </w:rPr>
      </w:pPr>
      <w:r>
        <w:rPr>
          <w:rFonts w:hint="eastAsia"/>
          <w:sz w:val="24"/>
          <w:lang w:val="en-US" w:eastAsia="zh-CN"/>
        </w:rPr>
        <w:t>（一）技术要求</w:t>
      </w:r>
    </w:p>
    <w:p w14:paraId="7C9BE03C">
      <w:pPr>
        <w:spacing w:line="360" w:lineRule="auto"/>
        <w:ind w:firstLine="480" w:firstLineChars="200"/>
        <w:outlineLvl w:val="0"/>
        <w:rPr>
          <w:sz w:val="24"/>
        </w:rPr>
      </w:pPr>
      <w:r>
        <w:rPr>
          <w:rFonts w:hint="eastAsia"/>
          <w:sz w:val="24"/>
          <w:lang w:val="en-US" w:eastAsia="zh-CN"/>
        </w:rPr>
        <w:t>1.</w:t>
      </w:r>
      <w:r>
        <w:rPr>
          <w:sz w:val="24"/>
        </w:rPr>
        <w:t>投标人须承诺所投产品和服务符合相关强制性规定。交货时采购人有权要求投标人出具所投产品、服务符合上述规定的证明文件。</w:t>
      </w:r>
    </w:p>
    <w:p w14:paraId="4A88E0BE">
      <w:pPr>
        <w:spacing w:line="360" w:lineRule="auto"/>
        <w:ind w:firstLine="480" w:firstLineChars="200"/>
        <w:outlineLvl w:val="0"/>
        <w:rPr>
          <w:rFonts w:hint="eastAsia"/>
          <w:sz w:val="24"/>
          <w:lang w:eastAsia="zh-CN"/>
        </w:rPr>
      </w:pPr>
      <w:r>
        <w:rPr>
          <w:rFonts w:hint="eastAsia"/>
          <w:sz w:val="24"/>
          <w:lang w:val="en-US" w:eastAsia="zh-CN"/>
        </w:rPr>
        <w:t>2.</w:t>
      </w:r>
      <w:r>
        <w:rPr>
          <w:sz w:val="24"/>
        </w:rPr>
        <w:t>投标人负责施工现场旧电梯拆除、搬离，以及地面恢复、安装时造成的墙面及地面破损恢复等根据实际需要的安装、土建</w:t>
      </w:r>
      <w:r>
        <w:rPr>
          <w:rFonts w:hint="eastAsia"/>
          <w:sz w:val="24"/>
          <w:lang w:eastAsia="zh-CN"/>
        </w:rPr>
        <w:t>、供电</w:t>
      </w:r>
      <w:r>
        <w:rPr>
          <w:sz w:val="24"/>
        </w:rPr>
        <w:t>等项目均含在项目中。中标供应商需要完成电梯</w:t>
      </w:r>
      <w:r>
        <w:rPr>
          <w:rFonts w:hint="eastAsia"/>
          <w:sz w:val="24"/>
          <w:lang w:eastAsia="zh-CN"/>
        </w:rPr>
        <w:t>安装</w:t>
      </w:r>
      <w:r>
        <w:rPr>
          <w:sz w:val="24"/>
        </w:rPr>
        <w:t>，检验合格后交付给采购方</w:t>
      </w:r>
      <w:r>
        <w:rPr>
          <w:rFonts w:hint="eastAsia"/>
          <w:sz w:val="24"/>
          <w:lang w:eastAsia="zh-CN"/>
        </w:rPr>
        <w:t>，为交钥匙项目。</w:t>
      </w:r>
    </w:p>
    <w:p w14:paraId="708FC8CC">
      <w:pPr>
        <w:spacing w:line="360" w:lineRule="auto"/>
        <w:ind w:firstLine="480" w:firstLineChars="200"/>
        <w:outlineLvl w:val="0"/>
        <w:rPr>
          <w:rFonts w:hint="eastAsia"/>
          <w:sz w:val="24"/>
          <w:lang w:val="en-US" w:eastAsia="zh-CN"/>
        </w:rPr>
      </w:pPr>
      <w:r>
        <w:rPr>
          <w:rFonts w:hint="eastAsia"/>
          <w:sz w:val="24"/>
          <w:lang w:val="en-US" w:eastAsia="zh-CN"/>
        </w:rPr>
        <w:t>（二）服务要求</w:t>
      </w:r>
    </w:p>
    <w:p w14:paraId="7E3EA134">
      <w:pPr>
        <w:spacing w:line="360" w:lineRule="auto"/>
        <w:ind w:firstLine="480" w:firstLineChars="200"/>
        <w:outlineLvl w:val="0"/>
        <w:rPr>
          <w:rFonts w:asciiTheme="minorEastAsia" w:hAnsiTheme="minorEastAsia" w:eastAsiaTheme="minorEastAsia"/>
          <w:sz w:val="24"/>
        </w:rPr>
      </w:pPr>
      <w:r>
        <w:rPr>
          <w:rFonts w:hint="eastAsia"/>
          <w:sz w:val="24"/>
        </w:rPr>
        <w:t xml:space="preserve"> </w:t>
      </w:r>
      <w:r>
        <w:rPr>
          <w:rFonts w:hint="eastAsia" w:asciiTheme="minorEastAsia" w:hAnsiTheme="minorEastAsia" w:eastAsiaTheme="minorEastAsia"/>
          <w:sz w:val="24"/>
        </w:rPr>
        <w:t>1. 所投电梯的电梯制造商须按照《特种设备安全法》、《特种设备安全监察条例》等国家及天津市强制性规定提供电梯的安装、改造、修理服务，提供电梯制造商的全包维保服务内容、价格清单及质保期满后的折扣率。若采购人或其服务单位有需要，电梯制造商须按照本次采购的价格及折扣率提供相应服务。</w:t>
      </w:r>
    </w:p>
    <w:p w14:paraId="3FB8FCAF">
      <w:pPr>
        <w:spacing w:line="360" w:lineRule="auto"/>
        <w:ind w:firstLine="480" w:firstLineChars="200"/>
        <w:outlineLvl w:val="0"/>
        <w:rPr>
          <w:rFonts w:asciiTheme="minorEastAsia" w:hAnsiTheme="minorEastAsia" w:eastAsiaTheme="minorEastAsia"/>
          <w:sz w:val="24"/>
        </w:rPr>
      </w:pPr>
      <w:r>
        <w:rPr>
          <w:rFonts w:hint="eastAsia" w:asciiTheme="minorEastAsia" w:hAnsiTheme="minorEastAsia" w:eastAsiaTheme="minorEastAsia"/>
          <w:sz w:val="24"/>
        </w:rPr>
        <w:t>2. 投标人须在天津地区设有常驻分支机构或售后服务机构，投标文件中应提供常驻分支机构或售后服务机构的营业执照或租赁合同或委托服务合同。</w:t>
      </w:r>
    </w:p>
    <w:p w14:paraId="095DAD25">
      <w:pPr>
        <w:spacing w:line="360" w:lineRule="auto"/>
        <w:ind w:firstLine="480" w:firstLineChars="200"/>
        <w:outlineLvl w:val="0"/>
        <w:rPr>
          <w:rFonts w:asciiTheme="minorEastAsia" w:hAnsiTheme="minorEastAsia" w:eastAsiaTheme="minorEastAsia"/>
          <w:sz w:val="24"/>
        </w:rPr>
      </w:pPr>
      <w:r>
        <w:rPr>
          <w:rFonts w:hint="eastAsia" w:asciiTheme="minorEastAsia" w:hAnsiTheme="minorEastAsia" w:eastAsiaTheme="minorEastAsia"/>
          <w:sz w:val="24"/>
        </w:rPr>
        <w:t>3. 投标人须具有完善的售后服务体系和制度，应提供服务计划与内容、维修服务人员名单、维保服务的内容、货物备品备件。</w:t>
      </w:r>
    </w:p>
    <w:p w14:paraId="1AEAAD4F">
      <w:pPr>
        <w:spacing w:line="360" w:lineRule="auto"/>
        <w:ind w:firstLine="480" w:firstLineChars="200"/>
        <w:outlineLvl w:val="0"/>
        <w:rPr>
          <w:rFonts w:asciiTheme="minorEastAsia" w:hAnsiTheme="minorEastAsia" w:eastAsiaTheme="minorEastAsia"/>
          <w:sz w:val="24"/>
        </w:rPr>
      </w:pPr>
      <w:r>
        <w:rPr>
          <w:rFonts w:hint="eastAsia" w:asciiTheme="minorEastAsia" w:hAnsiTheme="minorEastAsia" w:eastAsiaTheme="minorEastAsia"/>
          <w:sz w:val="24"/>
        </w:rPr>
        <w:t>4. 售后服务</w:t>
      </w:r>
    </w:p>
    <w:p w14:paraId="63784C63">
      <w:pPr>
        <w:spacing w:line="360" w:lineRule="auto"/>
        <w:ind w:firstLine="480" w:firstLineChars="200"/>
        <w:outlineLvl w:val="0"/>
        <w:rPr>
          <w:rFonts w:asciiTheme="minorEastAsia" w:hAnsiTheme="minorEastAsia" w:eastAsiaTheme="minorEastAsia"/>
          <w:sz w:val="24"/>
        </w:rPr>
      </w:pPr>
      <w:r>
        <w:rPr>
          <w:rFonts w:hint="eastAsia" w:asciiTheme="minorEastAsia" w:hAnsiTheme="minorEastAsia" w:eastAsiaTheme="minorEastAsia"/>
          <w:sz w:val="24"/>
        </w:rPr>
        <w:t>验收合格后，投标人应提供售后服务。投标人</w:t>
      </w:r>
      <w:r>
        <w:rPr>
          <w:rFonts w:hint="eastAsia" w:asciiTheme="minorEastAsia" w:hAnsiTheme="minorEastAsia"/>
          <w:sz w:val="24"/>
          <w:lang w:eastAsia="zh-CN"/>
        </w:rPr>
        <w:t>需</w:t>
      </w:r>
      <w:r>
        <w:rPr>
          <w:rFonts w:hint="eastAsia" w:asciiTheme="minorEastAsia" w:hAnsiTheme="minorEastAsia" w:eastAsiaTheme="minorEastAsia"/>
          <w:sz w:val="24"/>
        </w:rPr>
        <w:t>制定售后服务方案，内容包括质保期、维护保养、维修（热线支持、响应时间及解决问题时间）、售后服务机构/网点、应急预案等。</w:t>
      </w:r>
    </w:p>
    <w:p w14:paraId="66985DBD">
      <w:pPr>
        <w:spacing w:line="360" w:lineRule="auto"/>
        <w:ind w:firstLine="480" w:firstLineChars="200"/>
        <w:outlineLvl w:val="0"/>
        <w:rPr>
          <w:rFonts w:hint="eastAsia" w:eastAsiaTheme="minorEastAsia"/>
          <w:sz w:val="24"/>
          <w:lang w:eastAsia="zh-CN"/>
        </w:rPr>
      </w:pPr>
      <w:r>
        <w:rPr>
          <w:rFonts w:hint="eastAsia"/>
          <w:sz w:val="24"/>
          <w:lang w:eastAsia="zh-CN"/>
        </w:rPr>
        <w:t>（</w:t>
      </w:r>
      <w:r>
        <w:rPr>
          <w:rFonts w:hint="eastAsia"/>
          <w:sz w:val="24"/>
          <w:lang w:val="en-US" w:eastAsia="zh-CN"/>
        </w:rPr>
        <w:t>1</w:t>
      </w:r>
      <w:r>
        <w:rPr>
          <w:rFonts w:hint="eastAsia"/>
          <w:sz w:val="24"/>
          <w:lang w:eastAsia="zh-CN"/>
        </w:rPr>
        <w:t>）质保期</w:t>
      </w:r>
      <w:r>
        <w:rPr>
          <w:rFonts w:hint="eastAsia" w:asciiTheme="minorEastAsia" w:hAnsiTheme="minorEastAsia" w:eastAsiaTheme="minorEastAsia"/>
          <w:color w:val="auto"/>
          <w:sz w:val="24"/>
          <w:highlight w:val="none"/>
        </w:rPr>
        <w:t>投标人提供所投产品</w:t>
      </w:r>
      <w:r>
        <w:rPr>
          <w:rFonts w:hint="eastAsia" w:asciiTheme="minorEastAsia" w:hAnsiTheme="minorEastAsia" w:eastAsiaTheme="minorEastAsia"/>
          <w:color w:val="auto"/>
          <w:sz w:val="24"/>
          <w:highlight w:val="none"/>
          <w:lang w:eastAsia="zh-CN"/>
        </w:rPr>
        <w:t>不少于</w:t>
      </w:r>
      <w:r>
        <w:rPr>
          <w:rFonts w:hint="eastAsia" w:asciiTheme="minorEastAsia" w:hAnsiTheme="minorEastAsia" w:eastAsiaTheme="minorEastAsia"/>
          <w:color w:val="auto"/>
          <w:sz w:val="24"/>
          <w:highlight w:val="none"/>
          <w:lang w:val="en-US" w:eastAsia="zh-CN"/>
        </w:rPr>
        <w:t>2</w:t>
      </w:r>
      <w:r>
        <w:rPr>
          <w:rFonts w:hint="eastAsia" w:asciiTheme="minorEastAsia" w:hAnsiTheme="minorEastAsia" w:eastAsiaTheme="minorEastAsia"/>
          <w:color w:val="auto"/>
          <w:sz w:val="24"/>
          <w:highlight w:val="none"/>
        </w:rPr>
        <w:t>年的质保</w:t>
      </w:r>
      <w:r>
        <w:rPr>
          <w:rFonts w:hint="eastAsia" w:asciiTheme="minorEastAsia" w:hAnsiTheme="minorEastAsia"/>
          <w:color w:val="auto"/>
          <w:sz w:val="24"/>
          <w:highlight w:val="none"/>
          <w:lang w:eastAsia="zh-CN"/>
        </w:rPr>
        <w:t>（质保期期间包含</w:t>
      </w:r>
      <w:r>
        <w:rPr>
          <w:rFonts w:hint="eastAsia" w:asciiTheme="minorEastAsia" w:hAnsiTheme="minorEastAsia" w:eastAsiaTheme="minorEastAsia"/>
          <w:color w:val="auto"/>
          <w:sz w:val="24"/>
          <w:highlight w:val="none"/>
        </w:rPr>
        <w:t>全免费维保服务</w:t>
      </w:r>
      <w:r>
        <w:rPr>
          <w:rFonts w:hint="eastAsia" w:asciiTheme="minorEastAsia" w:hAnsiTheme="minorEastAsia"/>
          <w:color w:val="auto"/>
          <w:sz w:val="24"/>
          <w:highlight w:val="none"/>
          <w:lang w:eastAsia="zh-CN"/>
        </w:rPr>
        <w:t>，</w:t>
      </w:r>
      <w:r>
        <w:rPr>
          <w:rFonts w:hint="eastAsia" w:asciiTheme="minorEastAsia" w:hAnsiTheme="minorEastAsia" w:eastAsiaTheme="minorEastAsia"/>
          <w:color w:val="auto"/>
          <w:sz w:val="24"/>
          <w:highlight w:val="none"/>
        </w:rPr>
        <w:t>投标人免费维修及更换零配件</w:t>
      </w:r>
      <w:r>
        <w:rPr>
          <w:rFonts w:hint="eastAsia" w:asciiTheme="minorEastAsia" w:hAnsiTheme="minorEastAsia"/>
          <w:color w:val="auto"/>
          <w:sz w:val="24"/>
          <w:highlight w:val="none"/>
          <w:lang w:eastAsia="zh-CN"/>
        </w:rPr>
        <w:t>）</w:t>
      </w:r>
      <w:r>
        <w:rPr>
          <w:rFonts w:hint="eastAsia" w:asciiTheme="minorEastAsia" w:hAnsiTheme="minorEastAsia" w:eastAsiaTheme="minorEastAsia"/>
          <w:color w:val="auto"/>
          <w:sz w:val="24"/>
          <w:highlight w:val="none"/>
        </w:rPr>
        <w:t>，终身维修。</w:t>
      </w:r>
      <w:r>
        <w:rPr>
          <w:rFonts w:hint="eastAsia" w:asciiTheme="minorEastAsia" w:hAnsiTheme="minorEastAsia"/>
          <w:color w:val="auto"/>
          <w:sz w:val="24"/>
          <w:highlight w:val="none"/>
          <w:lang w:eastAsia="zh-CN"/>
        </w:rPr>
        <w:t>电梯发生事故后半小时内到达现场进行处理。保修期</w:t>
      </w:r>
      <w:r>
        <w:rPr>
          <w:rFonts w:hint="eastAsia" w:asciiTheme="minorEastAsia" w:hAnsiTheme="minorEastAsia" w:eastAsiaTheme="minorEastAsia"/>
          <w:color w:val="auto"/>
          <w:sz w:val="24"/>
          <w:highlight w:val="none"/>
        </w:rPr>
        <w:t>自</w:t>
      </w:r>
      <w:r>
        <w:rPr>
          <w:rFonts w:asciiTheme="minorEastAsia" w:hAnsiTheme="minorEastAsia" w:eastAsiaTheme="minorEastAsia"/>
          <w:color w:val="auto"/>
          <w:sz w:val="24"/>
          <w:szCs w:val="24"/>
          <w:highlight w:val="none"/>
        </w:rPr>
        <w:t>获得特种设备监督检验机构颁发的电梯检验合格证之日起计算</w:t>
      </w:r>
      <w:r>
        <w:rPr>
          <w:rFonts w:hint="eastAsia" w:asciiTheme="minorEastAsia" w:hAnsiTheme="minorEastAsia"/>
          <w:color w:val="auto"/>
          <w:sz w:val="24"/>
          <w:szCs w:val="24"/>
          <w:highlight w:val="none"/>
          <w:lang w:eastAsia="zh-CN"/>
        </w:rPr>
        <w:t>；</w:t>
      </w:r>
      <w:r>
        <w:rPr>
          <w:rFonts w:hint="eastAsia" w:asciiTheme="minorEastAsia" w:hAnsiTheme="minorEastAsia" w:eastAsiaTheme="minorEastAsia"/>
          <w:color w:val="auto"/>
          <w:sz w:val="24"/>
          <w:highlight w:val="none"/>
        </w:rPr>
        <w:t>提供所投电梯核心部件</w:t>
      </w:r>
      <w:r>
        <w:rPr>
          <w:rFonts w:hint="eastAsia" w:asciiTheme="minorEastAsia" w:hAnsiTheme="minorEastAsia" w:eastAsiaTheme="minorEastAsia"/>
          <w:color w:val="auto"/>
          <w:sz w:val="24"/>
          <w:highlight w:val="none"/>
          <w:lang w:eastAsia="zh-CN"/>
        </w:rPr>
        <w:t>不低于</w:t>
      </w:r>
      <w:r>
        <w:rPr>
          <w:rFonts w:hint="eastAsia" w:asciiTheme="minorEastAsia" w:hAnsiTheme="minorEastAsia" w:eastAsiaTheme="minorEastAsia"/>
          <w:color w:val="auto"/>
          <w:sz w:val="24"/>
          <w:highlight w:val="none"/>
          <w:lang w:val="en-US" w:eastAsia="zh-CN"/>
        </w:rPr>
        <w:t>5</w:t>
      </w:r>
      <w:r>
        <w:rPr>
          <w:rFonts w:hint="eastAsia" w:asciiTheme="minorEastAsia" w:hAnsiTheme="minorEastAsia" w:eastAsiaTheme="minorEastAsia"/>
          <w:color w:val="auto"/>
          <w:sz w:val="24"/>
          <w:highlight w:val="none"/>
        </w:rPr>
        <w:t>年质保，质保期自验收合格之日起计算。</w:t>
      </w:r>
      <w:r>
        <w:rPr>
          <w:rFonts w:hint="eastAsia" w:asciiTheme="minorEastAsia" w:hAnsiTheme="minorEastAsia"/>
          <w:color w:val="auto"/>
          <w:sz w:val="24"/>
          <w:highlight w:val="none"/>
          <w:lang w:eastAsia="zh-CN"/>
        </w:rPr>
        <w:t>具体质保时间在满足招标文件要求基础上按照投标人投标文件相关承诺执行。</w:t>
      </w:r>
    </w:p>
    <w:p w14:paraId="206A0374">
      <w:pPr>
        <w:spacing w:line="360" w:lineRule="auto"/>
        <w:ind w:firstLine="480" w:firstLineChars="200"/>
        <w:outlineLvl w:val="0"/>
        <w:rPr>
          <w:rFonts w:hint="eastAsia"/>
          <w:sz w:val="24"/>
        </w:rPr>
      </w:pPr>
      <w:r>
        <w:rPr>
          <w:rFonts w:hint="eastAsia"/>
          <w:sz w:val="24"/>
        </w:rPr>
        <w:t>（</w:t>
      </w:r>
      <w:r>
        <w:rPr>
          <w:rFonts w:hint="eastAsia"/>
          <w:sz w:val="24"/>
          <w:lang w:val="en-US" w:eastAsia="zh-CN"/>
        </w:rPr>
        <w:t>2</w:t>
      </w:r>
      <w:r>
        <w:rPr>
          <w:rFonts w:hint="eastAsia"/>
          <w:sz w:val="24"/>
        </w:rPr>
        <w:t>）维护保养</w:t>
      </w:r>
    </w:p>
    <w:p w14:paraId="5E233816">
      <w:pPr>
        <w:spacing w:line="360" w:lineRule="auto"/>
        <w:ind w:firstLine="480" w:firstLineChars="200"/>
        <w:outlineLvl w:val="0"/>
        <w:rPr>
          <w:rFonts w:hint="eastAsia"/>
          <w:sz w:val="24"/>
        </w:rPr>
      </w:pPr>
      <w:r>
        <w:rPr>
          <w:rFonts w:hint="eastAsia"/>
          <w:sz w:val="24"/>
          <w:lang w:eastAsia="zh-CN"/>
        </w:rPr>
        <w:t>在质保期内，</w:t>
      </w:r>
      <w:r>
        <w:rPr>
          <w:rFonts w:hint="eastAsia"/>
          <w:sz w:val="24"/>
        </w:rPr>
        <w:t>为保证产品正常运行，投标人应制定维保操作规则及程序，以供采购人监督，并对所投产品进行定期上门例行检查及做好记录，同时建立产品维保档案，跟踪产品使用过程中的质量情况。维修保养内容包括但不限于：a、每月提供两次定期保养；保养须在非繁忙时间进行。b、24小时应急服务，并不收取法定工作日和日常工作时间以外的附加费用。 c、普通故障的修复时间为不大于8小时；如果需要更换曳引机之类的笨重部件，其修复时间允许适当延长但不能超过基准值72小时。修复时间从投标人接到故障通知时计算。注明由谁提供维修保养服务，如果不是制造商提供维修保养服务，则需提供制造商的委托书，制造商承担连带责任。</w:t>
      </w:r>
    </w:p>
    <w:p w14:paraId="77A2FF66">
      <w:pPr>
        <w:spacing w:line="360" w:lineRule="auto"/>
        <w:ind w:firstLine="480" w:firstLineChars="200"/>
        <w:outlineLvl w:val="0"/>
        <w:rPr>
          <w:rFonts w:hint="eastAsia"/>
          <w:sz w:val="24"/>
        </w:rPr>
      </w:pPr>
      <w:r>
        <w:rPr>
          <w:rFonts w:hint="eastAsia"/>
          <w:sz w:val="24"/>
        </w:rPr>
        <w:t>（</w:t>
      </w:r>
      <w:r>
        <w:rPr>
          <w:rFonts w:hint="eastAsia"/>
          <w:sz w:val="24"/>
          <w:lang w:val="en-US" w:eastAsia="zh-CN"/>
        </w:rPr>
        <w:t>3</w:t>
      </w:r>
      <w:r>
        <w:rPr>
          <w:rFonts w:hint="eastAsia"/>
          <w:sz w:val="24"/>
        </w:rPr>
        <w:t>）应急预案</w:t>
      </w:r>
    </w:p>
    <w:p w14:paraId="21F15DB4">
      <w:pPr>
        <w:spacing w:line="360" w:lineRule="auto"/>
        <w:ind w:firstLine="480" w:firstLineChars="200"/>
        <w:outlineLvl w:val="0"/>
        <w:rPr>
          <w:rFonts w:hint="eastAsia"/>
          <w:sz w:val="24"/>
        </w:rPr>
      </w:pPr>
      <w:r>
        <w:rPr>
          <w:rFonts w:hint="eastAsia"/>
          <w:sz w:val="24"/>
        </w:rPr>
        <w:t>投标人应制定应急预案，应急预案即在面对因产品本身或重大服务质量问题产生的突发事件，给采购人或社会公众的安全或利益造成严重威胁或重大损害的情况下，投标人所提供的应急管理、指挥、救援措施等预先规划方案。</w:t>
      </w:r>
    </w:p>
    <w:p w14:paraId="6AD5CAAF">
      <w:pPr>
        <w:spacing w:line="360" w:lineRule="auto"/>
        <w:ind w:firstLine="480" w:firstLineChars="200"/>
        <w:outlineLvl w:val="0"/>
        <w:rPr>
          <w:rFonts w:hint="eastAsia"/>
          <w:sz w:val="24"/>
        </w:rPr>
      </w:pPr>
      <w:r>
        <w:rPr>
          <w:rFonts w:hint="eastAsia"/>
          <w:sz w:val="24"/>
        </w:rPr>
        <w:t>5. 投标人须提供接报后能到达现场提供应急服务的最短时间、解救困人时间承诺和排除常规故障时限承诺及维保协议文件。</w:t>
      </w:r>
    </w:p>
    <w:p w14:paraId="47763E32">
      <w:pPr>
        <w:spacing w:line="360" w:lineRule="auto"/>
        <w:ind w:firstLine="480" w:firstLineChars="200"/>
        <w:outlineLvl w:val="0"/>
        <w:rPr>
          <w:rFonts w:hint="eastAsia"/>
          <w:sz w:val="24"/>
        </w:rPr>
      </w:pPr>
      <w:r>
        <w:rPr>
          <w:rFonts w:hint="eastAsia"/>
          <w:sz w:val="24"/>
        </w:rPr>
        <w:t>6. 投标人近三年内未发生过重大安全责任事故，在本项目安装维保过程中不得发生任何安全责任事故，否则一切责任由投标人承担并须赔偿由此给采购人造成的所有损失。</w:t>
      </w:r>
    </w:p>
    <w:p w14:paraId="1769FD03">
      <w:pPr>
        <w:spacing w:line="360" w:lineRule="auto"/>
        <w:ind w:firstLine="480" w:firstLineChars="200"/>
        <w:outlineLvl w:val="0"/>
        <w:rPr>
          <w:rFonts w:hint="eastAsia"/>
          <w:sz w:val="24"/>
        </w:rPr>
      </w:pPr>
      <w:r>
        <w:rPr>
          <w:rFonts w:hint="eastAsia"/>
          <w:sz w:val="24"/>
        </w:rPr>
        <w:t>7. 投标人须提供所投产品制造商服务机构情况，包括地址、联系方式及技术人员数量等。</w:t>
      </w:r>
    </w:p>
    <w:p w14:paraId="430ECC36">
      <w:pPr>
        <w:spacing w:line="360" w:lineRule="auto"/>
        <w:ind w:firstLine="480" w:firstLineChars="200"/>
        <w:outlineLvl w:val="0"/>
        <w:rPr>
          <w:rFonts w:hint="eastAsia"/>
          <w:sz w:val="24"/>
        </w:rPr>
      </w:pPr>
      <w:r>
        <w:rPr>
          <w:rFonts w:hint="eastAsia"/>
          <w:sz w:val="24"/>
        </w:rPr>
        <w:t>8. 所投产品包装应符合国家或行业标准规定。由于包装不善导致货物锈蚀、失缺或损坏，由供货商承担一切责任。</w:t>
      </w:r>
    </w:p>
    <w:p w14:paraId="5382D9F9">
      <w:pPr>
        <w:spacing w:line="360" w:lineRule="auto"/>
        <w:ind w:firstLine="480" w:firstLineChars="200"/>
        <w:outlineLvl w:val="0"/>
        <w:rPr>
          <w:rFonts w:hint="eastAsia"/>
          <w:sz w:val="24"/>
        </w:rPr>
      </w:pPr>
      <w:r>
        <w:rPr>
          <w:rFonts w:hint="eastAsia"/>
          <w:sz w:val="24"/>
        </w:rPr>
        <w:t>9. 运输</w:t>
      </w:r>
    </w:p>
    <w:p w14:paraId="08B33DCD">
      <w:pPr>
        <w:spacing w:line="360" w:lineRule="auto"/>
        <w:ind w:firstLine="480" w:firstLineChars="200"/>
        <w:outlineLvl w:val="0"/>
        <w:rPr>
          <w:rFonts w:hint="eastAsia"/>
          <w:sz w:val="24"/>
        </w:rPr>
      </w:pPr>
      <w:r>
        <w:rPr>
          <w:rFonts w:hint="eastAsia"/>
          <w:sz w:val="24"/>
        </w:rPr>
        <w:t>投标人应制定供应运输方案，内容包括运输方式、配送能力、运输管理等。</w:t>
      </w:r>
    </w:p>
    <w:p w14:paraId="4F548DFF">
      <w:pPr>
        <w:spacing w:line="360" w:lineRule="auto"/>
        <w:ind w:firstLine="480" w:firstLineChars="200"/>
        <w:outlineLvl w:val="0"/>
        <w:rPr>
          <w:rFonts w:hint="eastAsia"/>
          <w:sz w:val="24"/>
        </w:rPr>
      </w:pPr>
      <w:r>
        <w:rPr>
          <w:rFonts w:hint="eastAsia"/>
          <w:sz w:val="24"/>
        </w:rPr>
        <w:t>10. 安装、调试、取证</w:t>
      </w:r>
    </w:p>
    <w:p w14:paraId="5752BB07">
      <w:pPr>
        <w:spacing w:line="360" w:lineRule="auto"/>
        <w:ind w:firstLine="480" w:firstLineChars="200"/>
        <w:outlineLvl w:val="0"/>
        <w:rPr>
          <w:rFonts w:hint="eastAsia"/>
          <w:sz w:val="24"/>
        </w:rPr>
      </w:pPr>
      <w:r>
        <w:rPr>
          <w:rFonts w:hint="eastAsia"/>
          <w:sz w:val="24"/>
        </w:rPr>
        <w:t>投标人须根据学校楼宇电梯使用的实际情况制定科学合理的安装、调试方案，统筹协调安装进度、人员配置等，按时保质保量的完成安装、调试，确保师生电梯使用需求。</w:t>
      </w:r>
    </w:p>
    <w:p w14:paraId="643E1B86">
      <w:pPr>
        <w:spacing w:line="360" w:lineRule="auto"/>
        <w:ind w:firstLine="480" w:firstLineChars="200"/>
        <w:outlineLvl w:val="0"/>
        <w:rPr>
          <w:rFonts w:hint="eastAsia"/>
          <w:sz w:val="24"/>
        </w:rPr>
      </w:pPr>
      <w:r>
        <w:rPr>
          <w:rFonts w:hint="eastAsia"/>
          <w:sz w:val="24"/>
        </w:rPr>
        <w:t>投标人须派出技术人员到现场负责指导或直接进行安装、调试，确保所提供的产品能按技术要求顺利安装、正确调试、可靠地启动运行。</w:t>
      </w:r>
    </w:p>
    <w:p w14:paraId="23F8FC0E">
      <w:pPr>
        <w:spacing w:line="360" w:lineRule="auto"/>
        <w:ind w:firstLine="480" w:firstLineChars="200"/>
        <w:outlineLvl w:val="0"/>
        <w:rPr>
          <w:rFonts w:hint="eastAsia"/>
          <w:sz w:val="24"/>
        </w:rPr>
      </w:pPr>
      <w:r>
        <w:rPr>
          <w:rFonts w:hint="eastAsia"/>
          <w:sz w:val="24"/>
        </w:rPr>
        <w:t>投标人在申请正式检验前，安装单位需依据制造标准和安装规范，对电梯的安装质量和运行性能进行全面自检，确保电梯状态已满足监督检验的条件。由投标人向所在地的特种设备检验机构提交安装监督检验申请，完成现场检测，检测合格后取得《电梯监督检验报告》。</w:t>
      </w:r>
    </w:p>
    <w:p w14:paraId="4C5199A5">
      <w:pPr>
        <w:spacing w:line="360" w:lineRule="auto"/>
        <w:ind w:firstLine="480" w:firstLineChars="200"/>
        <w:outlineLvl w:val="0"/>
        <w:rPr>
          <w:rFonts w:hint="eastAsia"/>
          <w:sz w:val="24"/>
        </w:rPr>
      </w:pPr>
      <w:r>
        <w:rPr>
          <w:rFonts w:hint="eastAsia"/>
          <w:sz w:val="24"/>
        </w:rPr>
        <w:t>11.技术培训</w:t>
      </w:r>
    </w:p>
    <w:p w14:paraId="34D06B18">
      <w:pPr>
        <w:spacing w:line="360" w:lineRule="auto"/>
        <w:ind w:firstLine="480" w:firstLineChars="200"/>
        <w:outlineLvl w:val="0"/>
        <w:rPr>
          <w:rFonts w:hint="eastAsia"/>
          <w:sz w:val="24"/>
        </w:rPr>
      </w:pPr>
      <w:r>
        <w:rPr>
          <w:rFonts w:hint="eastAsia"/>
          <w:sz w:val="24"/>
        </w:rPr>
        <w:t>投标人提供技术培训，内容包括培训计划、培训方式、培训目标、培训内容等。</w:t>
      </w:r>
    </w:p>
    <w:p w14:paraId="4B9D8656">
      <w:pPr>
        <w:spacing w:line="360" w:lineRule="auto"/>
        <w:ind w:firstLine="480" w:firstLineChars="200"/>
        <w:outlineLvl w:val="0"/>
        <w:rPr>
          <w:rFonts w:hint="eastAsia"/>
          <w:sz w:val="24"/>
        </w:rPr>
      </w:pPr>
      <w:r>
        <w:rPr>
          <w:rFonts w:hint="eastAsia"/>
          <w:sz w:val="24"/>
        </w:rPr>
        <w:t>投标人须按照如下要求进行相关培训。</w:t>
      </w:r>
    </w:p>
    <w:p w14:paraId="7EA0AA85">
      <w:pPr>
        <w:spacing w:line="360" w:lineRule="auto"/>
        <w:ind w:firstLine="480" w:firstLineChars="200"/>
        <w:outlineLvl w:val="0"/>
        <w:rPr>
          <w:rFonts w:hint="eastAsia"/>
          <w:sz w:val="24"/>
        </w:rPr>
      </w:pPr>
      <w:r>
        <w:rPr>
          <w:rFonts w:hint="eastAsia"/>
          <w:sz w:val="24"/>
        </w:rPr>
        <w:t>供货完毕后，委派培训人员去现场对采购人进行全面培训，包含产品的原理、操作、维护、维修和保养等相关培训。</w:t>
      </w:r>
    </w:p>
    <w:p w14:paraId="119B0476">
      <w:pPr>
        <w:spacing w:line="360" w:lineRule="auto"/>
        <w:ind w:firstLine="480" w:firstLineChars="200"/>
        <w:outlineLvl w:val="0"/>
        <w:rPr>
          <w:rFonts w:hint="eastAsia"/>
          <w:sz w:val="24"/>
        </w:rPr>
      </w:pPr>
      <w:r>
        <w:rPr>
          <w:rFonts w:hint="eastAsia"/>
          <w:sz w:val="24"/>
        </w:rPr>
        <w:t>12.原有电梯拆除技术要求及工期要求</w:t>
      </w:r>
    </w:p>
    <w:p w14:paraId="169F8185">
      <w:pPr>
        <w:spacing w:line="360" w:lineRule="auto"/>
        <w:ind w:firstLine="480" w:firstLineChars="200"/>
        <w:outlineLvl w:val="0"/>
        <w:rPr>
          <w:rFonts w:hint="eastAsia"/>
          <w:sz w:val="24"/>
        </w:rPr>
      </w:pPr>
      <w:r>
        <w:rPr>
          <w:rFonts w:hint="eastAsia"/>
          <w:sz w:val="24"/>
        </w:rPr>
        <w:t>（1）供方应制定电梯拆除方案，如电梯拆除顺序、安全作业等相应要求，严格按照方案执行。做好拆旧装新的时间衔接，每台电梯拆旧装新空窗期不超24小时。</w:t>
      </w:r>
    </w:p>
    <w:p w14:paraId="04444216">
      <w:pPr>
        <w:spacing w:line="360" w:lineRule="auto"/>
        <w:ind w:firstLine="480" w:firstLineChars="200"/>
        <w:outlineLvl w:val="0"/>
        <w:rPr>
          <w:rFonts w:hint="eastAsia"/>
          <w:sz w:val="24"/>
        </w:rPr>
      </w:pPr>
      <w:r>
        <w:rPr>
          <w:rFonts w:hint="eastAsia"/>
          <w:sz w:val="24"/>
        </w:rPr>
        <w:t>（2）所有进入现场的施工人员自觉遵守有关起重运安全技术的规定，正确使用劳动保护用品。</w:t>
      </w:r>
    </w:p>
    <w:p w14:paraId="2A80B209">
      <w:pPr>
        <w:spacing w:line="360" w:lineRule="auto"/>
        <w:ind w:firstLine="480" w:firstLineChars="200"/>
        <w:outlineLvl w:val="0"/>
        <w:rPr>
          <w:rFonts w:hint="eastAsia"/>
          <w:sz w:val="24"/>
        </w:rPr>
      </w:pPr>
      <w:r>
        <w:rPr>
          <w:rFonts w:hint="eastAsia"/>
          <w:sz w:val="24"/>
        </w:rPr>
        <w:t>（3）明确拆除顺序，作业之前认真检查拆梯所用工具的磨损情况，检查各索具的规格，正确使用各自的索具运相应的构件。</w:t>
      </w:r>
    </w:p>
    <w:p w14:paraId="05BB762F">
      <w:pPr>
        <w:spacing w:line="360" w:lineRule="auto"/>
        <w:ind w:firstLine="480" w:firstLineChars="200"/>
        <w:outlineLvl w:val="0"/>
        <w:rPr>
          <w:rFonts w:hint="eastAsia"/>
          <w:sz w:val="24"/>
        </w:rPr>
      </w:pPr>
      <w:r>
        <w:rPr>
          <w:rFonts w:hint="eastAsia"/>
          <w:sz w:val="24"/>
        </w:rPr>
        <w:t>（4）现场要设一名专人指挥人员、配备施工人员（电梯修理）、施工人员（电工）、施工人员（电焊工）。</w:t>
      </w:r>
    </w:p>
    <w:p w14:paraId="6F7F363A">
      <w:pPr>
        <w:spacing w:line="360" w:lineRule="auto"/>
        <w:ind w:firstLine="480" w:firstLineChars="200"/>
        <w:outlineLvl w:val="0"/>
        <w:rPr>
          <w:rFonts w:hint="eastAsia"/>
          <w:sz w:val="24"/>
        </w:rPr>
      </w:pPr>
      <w:r>
        <w:rPr>
          <w:rFonts w:hint="eastAsia"/>
          <w:sz w:val="24"/>
        </w:rPr>
        <w:t>（5）严格按照消防要求施工，检查消防隐患，做好消防防护。</w:t>
      </w:r>
    </w:p>
    <w:p w14:paraId="453FD7BB">
      <w:pPr>
        <w:spacing w:line="360" w:lineRule="auto"/>
        <w:ind w:firstLine="480" w:firstLineChars="200"/>
        <w:outlineLvl w:val="0"/>
        <w:rPr>
          <w:rFonts w:hint="eastAsia"/>
          <w:sz w:val="24"/>
        </w:rPr>
      </w:pPr>
      <w:r>
        <w:rPr>
          <w:rFonts w:hint="eastAsia"/>
          <w:sz w:val="24"/>
        </w:rPr>
        <w:t>（6）旧电梯拆除后存放于学校指定地点，实物及残值由</w:t>
      </w:r>
      <w:r>
        <w:rPr>
          <w:rFonts w:hint="eastAsia"/>
          <w:sz w:val="24"/>
          <w:lang w:eastAsia="zh-CN"/>
        </w:rPr>
        <w:t>采购人</w:t>
      </w:r>
      <w:r>
        <w:rPr>
          <w:rFonts w:hint="eastAsia"/>
          <w:sz w:val="24"/>
        </w:rPr>
        <w:t>处理。</w:t>
      </w:r>
    </w:p>
    <w:p w14:paraId="469FC1B4">
      <w:pPr>
        <w:spacing w:line="360" w:lineRule="auto"/>
        <w:ind w:firstLine="480" w:firstLineChars="200"/>
        <w:outlineLvl w:val="0"/>
        <w:rPr>
          <w:rFonts w:hint="eastAsia"/>
          <w:sz w:val="24"/>
        </w:rPr>
      </w:pPr>
      <w:r>
        <w:rPr>
          <w:rFonts w:hint="eastAsia"/>
          <w:sz w:val="24"/>
        </w:rPr>
        <w:t>（7）每台电梯拆除施工周期不超3天。</w:t>
      </w:r>
    </w:p>
    <w:p w14:paraId="227306C7">
      <w:pPr>
        <w:spacing w:line="360" w:lineRule="auto"/>
        <w:ind w:firstLine="480" w:firstLineChars="200"/>
        <w:outlineLvl w:val="0"/>
        <w:rPr>
          <w:rFonts w:hint="eastAsia"/>
          <w:sz w:val="24"/>
        </w:rPr>
      </w:pPr>
      <w:r>
        <w:rPr>
          <w:rFonts w:hint="eastAsia"/>
          <w:sz w:val="24"/>
        </w:rPr>
        <w:t xml:space="preserve">13.保密、免责要求     </w:t>
      </w:r>
    </w:p>
    <w:p w14:paraId="3A932C12">
      <w:pPr>
        <w:spacing w:line="360" w:lineRule="auto"/>
        <w:ind w:firstLine="480" w:firstLineChars="200"/>
        <w:outlineLvl w:val="0"/>
        <w:rPr>
          <w:rFonts w:hint="eastAsia"/>
          <w:sz w:val="24"/>
        </w:rPr>
      </w:pPr>
      <w:r>
        <w:rPr>
          <w:rFonts w:hint="eastAsia"/>
          <w:sz w:val="24"/>
        </w:rPr>
        <w:t>（1）在电梯拆装、服务过程中投标人须听从采购人指挥，自觉接受需方监督。如在拆装、服务过程中造成采购人建筑物本体及相关设施的损坏，投标人应予以修复或赔偿。</w:t>
      </w:r>
    </w:p>
    <w:p w14:paraId="420A9684">
      <w:pPr>
        <w:spacing w:line="360" w:lineRule="auto"/>
        <w:ind w:firstLine="480" w:firstLineChars="200"/>
        <w:outlineLvl w:val="0"/>
        <w:rPr>
          <w:rFonts w:hint="eastAsia"/>
          <w:sz w:val="24"/>
        </w:rPr>
      </w:pPr>
      <w:r>
        <w:rPr>
          <w:rFonts w:hint="eastAsia"/>
          <w:sz w:val="24"/>
        </w:rPr>
        <w:t>（2）在拆装、服务过程中发生一切安全事故，投标人负全责，采购人不负任何责任。如因投标人原因导致采购人对外承担责任，采购人有权向投标人追偿。</w:t>
      </w:r>
    </w:p>
    <w:p w14:paraId="5DDE1275">
      <w:pPr>
        <w:spacing w:line="360" w:lineRule="auto"/>
        <w:ind w:firstLine="480" w:firstLineChars="200"/>
        <w:outlineLvl w:val="0"/>
        <w:rPr>
          <w:rFonts w:hint="eastAsia"/>
          <w:sz w:val="24"/>
        </w:rPr>
      </w:pPr>
      <w:r>
        <w:rPr>
          <w:rFonts w:hint="eastAsia"/>
          <w:sz w:val="24"/>
        </w:rPr>
        <w:t>（3）投标人必须按时足额向其提供的服务人员支付薪酬，本项目涉及的投标人服务人员的任何劳动争议、劳务纠纷均由投标人负责并承担责任，与采购人无关。</w:t>
      </w:r>
    </w:p>
    <w:p w14:paraId="03BF13FA">
      <w:pPr>
        <w:spacing w:line="360" w:lineRule="auto"/>
        <w:ind w:firstLine="480" w:firstLineChars="200"/>
        <w:outlineLvl w:val="0"/>
        <w:rPr>
          <w:rFonts w:hint="eastAsia"/>
          <w:sz w:val="24"/>
        </w:rPr>
      </w:pPr>
      <w:r>
        <w:rPr>
          <w:rFonts w:hint="eastAsia"/>
          <w:sz w:val="24"/>
        </w:rPr>
        <w:t>（4）投标人未经采购人批准不得在服务场所拍照、录音、录像。</w:t>
      </w:r>
    </w:p>
    <w:p w14:paraId="051C5B92">
      <w:pPr>
        <w:spacing w:line="360" w:lineRule="auto"/>
        <w:ind w:firstLine="480" w:firstLineChars="200"/>
        <w:outlineLvl w:val="0"/>
        <w:rPr>
          <w:rFonts w:hint="eastAsia"/>
          <w:sz w:val="24"/>
        </w:rPr>
      </w:pPr>
      <w:r>
        <w:rPr>
          <w:rFonts w:hint="eastAsia"/>
          <w:sz w:val="24"/>
        </w:rPr>
        <w:t>（5）投标人在服务场所发现遗留的文件资料、U盘、光盘等物品及时上交采购人，严禁留存、翻阅、录像、复制、传抄。</w:t>
      </w:r>
    </w:p>
    <w:p w14:paraId="5444439D">
      <w:pPr>
        <w:spacing w:line="360" w:lineRule="auto"/>
        <w:ind w:firstLine="480" w:firstLineChars="200"/>
        <w:outlineLvl w:val="0"/>
        <w:rPr>
          <w:rFonts w:hint="eastAsia"/>
          <w:sz w:val="24"/>
        </w:rPr>
      </w:pPr>
      <w:r>
        <w:rPr>
          <w:rFonts w:hint="eastAsia"/>
          <w:sz w:val="24"/>
        </w:rPr>
        <w:t>（6）投标人不得向无关人员透漏涉及服务对象职责、人员、车辆、工作情况等敏感信息。</w:t>
      </w:r>
    </w:p>
    <w:p w14:paraId="17B5F9A8">
      <w:pPr>
        <w:numPr>
          <w:ilvl w:val="0"/>
          <w:numId w:val="0"/>
        </w:numPr>
        <w:spacing w:line="360" w:lineRule="auto"/>
        <w:outlineLvl w:val="0"/>
        <w:rPr>
          <w:rFonts w:hint="eastAsia"/>
          <w:b/>
          <w:sz w:val="24"/>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C36887"/>
    <w:multiLevelType w:val="singleLevel"/>
    <w:tmpl w:val="DFC36887"/>
    <w:lvl w:ilvl="0" w:tentative="0">
      <w:start w:val="7"/>
      <w:numFmt w:val="chineseCounting"/>
      <w:suff w:val="nothing"/>
      <w:lvlText w:val="%1、"/>
      <w:lvlJc w:val="left"/>
      <w:rPr>
        <w:rFonts w:hint="eastAsia"/>
      </w:rPr>
    </w:lvl>
  </w:abstractNum>
  <w:abstractNum w:abstractNumId="1">
    <w:nsid w:val="4537010C"/>
    <w:multiLevelType w:val="multilevel"/>
    <w:tmpl w:val="4537010C"/>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32B"/>
    <w:rsid w:val="00075C3A"/>
    <w:rsid w:val="000E2B47"/>
    <w:rsid w:val="002319D2"/>
    <w:rsid w:val="002A59E1"/>
    <w:rsid w:val="002E6BF0"/>
    <w:rsid w:val="002F0B4E"/>
    <w:rsid w:val="003A2301"/>
    <w:rsid w:val="003C441E"/>
    <w:rsid w:val="003C6DC4"/>
    <w:rsid w:val="005864BD"/>
    <w:rsid w:val="005D766F"/>
    <w:rsid w:val="00662F9C"/>
    <w:rsid w:val="007977AA"/>
    <w:rsid w:val="007D4A67"/>
    <w:rsid w:val="007F55EE"/>
    <w:rsid w:val="00872661"/>
    <w:rsid w:val="00883DE2"/>
    <w:rsid w:val="008E3078"/>
    <w:rsid w:val="00A14146"/>
    <w:rsid w:val="00AE0B51"/>
    <w:rsid w:val="00AE0C88"/>
    <w:rsid w:val="00B753DF"/>
    <w:rsid w:val="00C065E4"/>
    <w:rsid w:val="00C3232B"/>
    <w:rsid w:val="00C35F77"/>
    <w:rsid w:val="00CE3488"/>
    <w:rsid w:val="00CE3B69"/>
    <w:rsid w:val="00D76DA9"/>
    <w:rsid w:val="00DD10D5"/>
    <w:rsid w:val="00E4639F"/>
    <w:rsid w:val="00EE1AC7"/>
    <w:rsid w:val="00F574BF"/>
    <w:rsid w:val="00F8731A"/>
    <w:rsid w:val="00FC459C"/>
    <w:rsid w:val="01242E93"/>
    <w:rsid w:val="0AFC063C"/>
    <w:rsid w:val="1358537E"/>
    <w:rsid w:val="1F9D60FF"/>
    <w:rsid w:val="28F36609"/>
    <w:rsid w:val="3157781E"/>
    <w:rsid w:val="61CE18CC"/>
    <w:rsid w:val="64A47615"/>
    <w:rsid w:val="6648501B"/>
    <w:rsid w:val="68C63B41"/>
    <w:rsid w:val="76CF78BA"/>
    <w:rsid w:val="7AC25C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rPr>
      <w:sz w:val="28"/>
    </w:rPr>
  </w:style>
  <w:style w:type="paragraph" w:styleId="3">
    <w:name w:val="footer"/>
    <w:basedOn w:val="1"/>
    <w:link w:val="14"/>
    <w:unhideWhenUsed/>
    <w:qFormat/>
    <w:uiPriority w:val="99"/>
    <w:pPr>
      <w:tabs>
        <w:tab w:val="center" w:pos="4153"/>
        <w:tab w:val="right" w:pos="8306"/>
      </w:tabs>
      <w:snapToGrid w:val="0"/>
      <w:jc w:val="left"/>
    </w:pPr>
    <w:rPr>
      <w:sz w:val="18"/>
      <w:szCs w:val="18"/>
    </w:rPr>
  </w:style>
  <w:style w:type="paragraph" w:styleId="4">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itle"/>
    <w:basedOn w:val="1"/>
    <w:next w:val="1"/>
    <w:link w:val="9"/>
    <w:qFormat/>
    <w:uiPriority w:val="10"/>
    <w:pPr>
      <w:spacing w:before="240" w:after="60"/>
      <w:jc w:val="center"/>
      <w:outlineLvl w:val="0"/>
    </w:pPr>
    <w:rPr>
      <w:rFonts w:eastAsia="宋体" w:asciiTheme="majorHAnsi" w:hAnsiTheme="majorHAnsi" w:cstheme="majorBidi"/>
      <w:b/>
      <w:bCs/>
      <w:sz w:val="32"/>
      <w:szCs w:val="32"/>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标题 Char"/>
    <w:basedOn w:val="8"/>
    <w:link w:val="5"/>
    <w:qFormat/>
    <w:uiPriority w:val="10"/>
    <w:rPr>
      <w:rFonts w:eastAsia="宋体" w:asciiTheme="majorHAnsi" w:hAnsiTheme="majorHAnsi" w:cstheme="majorBidi"/>
      <w:b/>
      <w:bCs/>
      <w:sz w:val="32"/>
      <w:szCs w:val="32"/>
    </w:rPr>
  </w:style>
  <w:style w:type="paragraph" w:customStyle="1" w:styleId="10">
    <w:name w:val="Default"/>
    <w:link w:val="1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11">
    <w:name w:val="Default Char"/>
    <w:link w:val="10"/>
    <w:qFormat/>
    <w:locked/>
    <w:uiPriority w:val="0"/>
    <w:rPr>
      <w:rFonts w:ascii="......." w:hAnsi="Calibri" w:eastAsia="......." w:cs="......."/>
      <w:color w:val="000000"/>
      <w:kern w:val="0"/>
      <w:sz w:val="24"/>
      <w:szCs w:val="24"/>
    </w:rPr>
  </w:style>
  <w:style w:type="paragraph" w:styleId="12">
    <w:name w:val="List Paragraph"/>
    <w:basedOn w:val="1"/>
    <w:qFormat/>
    <w:uiPriority w:val="34"/>
    <w:pPr>
      <w:ind w:firstLine="420" w:firstLineChars="200"/>
    </w:pPr>
  </w:style>
  <w:style w:type="character" w:customStyle="1" w:styleId="13">
    <w:name w:val="页眉 Char"/>
    <w:basedOn w:val="8"/>
    <w:link w:val="4"/>
    <w:qFormat/>
    <w:uiPriority w:val="99"/>
    <w:rPr>
      <w:sz w:val="18"/>
      <w:szCs w:val="18"/>
    </w:rPr>
  </w:style>
  <w:style w:type="character" w:customStyle="1" w:styleId="14">
    <w:name w:val="页脚 Char"/>
    <w:basedOn w:val="8"/>
    <w:link w:val="3"/>
    <w:qFormat/>
    <w:uiPriority w:val="99"/>
    <w:rPr>
      <w:sz w:val="18"/>
      <w:szCs w:val="18"/>
    </w:rPr>
  </w:style>
  <w:style w:type="paragraph" w:customStyle="1" w:styleId="15">
    <w:name w:val="首行缩进"/>
    <w:basedOn w:val="1"/>
    <w:autoRedefine/>
    <w:qFormat/>
    <w:uiPriority w:val="0"/>
    <w:pPr>
      <w:spacing w:line="400" w:lineRule="exact"/>
    </w:pPr>
    <w:rPr>
      <w:rFonts w:asciiTheme="minorHAnsi" w:hAnsiTheme="minorHAnsi" w:eastAsiaTheme="minorEastAsia" w:cstheme="minorBidi"/>
      <w:sz w:val="24"/>
      <w:szCs w:val="22"/>
      <w:lang w:val="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神州网信技术有限公司</Company>
  <Pages>7</Pages>
  <Words>5326</Words>
  <Characters>5446</Characters>
  <Lines>9</Lines>
  <Paragraphs>2</Paragraphs>
  <TotalTime>3</TotalTime>
  <ScaleCrop>false</ScaleCrop>
  <LinksUpToDate>false</LinksUpToDate>
  <CharactersWithSpaces>5479</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2021-06-11T03:30:00Z</dcterms:created>
  <dc:creator>未定义</dc:creator>
  <cp:lastModifiedBy>片羽时光[咖啡]</cp:lastModifiedBy>
  <dcterms:modified xsi:type="dcterms:W3CDTF">2026-06-05T01:28:54Z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eyJoZGlkIjoiMGRkMTBjYzYwOTM4M2JlZmIxMjRiNmI0YzNmOTJmZDAiLCJ1c2VySWQiOiI3NTk1MzM0MzEifQ==</vt:lpwstr>
  </property>
  <property fmtid="{D5CDD505-2E9C-101B-9397-08002B2CF9AE}" pid="3" name="KSOProductBuildVer">
    <vt:lpwstr>2052-12.1.0.26895</vt:lpwstr>
  </property>
  <property fmtid="{D5CDD505-2E9C-101B-9397-08002B2CF9AE}" pid="4" name="ICV">
    <vt:lpwstr>2CC8DA7CE6BD476585F39D72B6AC2104_12</vt:lpwstr>
  </property>
</Properties>
</file>