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firstLine="482" w:firstLineChars="200"/>
        <w:rPr>
          <w:rFonts w:ascii="宋体" w:hAnsi="宋体"/>
          <w:b/>
          <w:sz w:val="24"/>
        </w:rPr>
      </w:pPr>
      <w:bookmarkStart w:id="15" w:name="_GoBack"/>
      <w:bookmarkEnd w:id="15"/>
      <w:r>
        <w:rPr>
          <w:rFonts w:hint="eastAsia" w:ascii="宋体" w:hAnsi="宋体"/>
          <w:b/>
          <w:sz w:val="24"/>
        </w:rPr>
        <w:t>四、技术要求</w:t>
      </w:r>
    </w:p>
    <w:p>
      <w:pPr>
        <w:spacing w:line="360" w:lineRule="auto"/>
        <w:ind w:firstLine="480" w:firstLineChars="200"/>
        <w:rPr>
          <w:rFonts w:ascii="宋体" w:hAnsi="宋体"/>
          <w:sz w:val="24"/>
        </w:rPr>
      </w:pPr>
      <w:r>
        <w:rPr>
          <w:rFonts w:hint="eastAsia" w:ascii="宋体" w:hAnsi="宋体"/>
          <w:sz w:val="24"/>
        </w:rPr>
        <w:t>第一包：中央实验台等</w:t>
      </w:r>
    </w:p>
    <w:tbl>
      <w:tblPr>
        <w:tblStyle w:val="10"/>
        <w:tblW w:w="824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053"/>
        <w:gridCol w:w="3553"/>
        <w:gridCol w:w="640"/>
        <w:gridCol w:w="636"/>
        <w:gridCol w:w="793"/>
        <w:gridCol w:w="8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0" w:type="dxa"/>
            <w:vAlign w:val="center"/>
          </w:tcPr>
          <w:p>
            <w:pPr>
              <w:jc w:val="center"/>
              <w:rPr>
                <w:szCs w:val="21"/>
              </w:rPr>
            </w:pPr>
            <w:r>
              <w:rPr>
                <w:szCs w:val="21"/>
              </w:rPr>
              <w:t>序号</w:t>
            </w:r>
          </w:p>
        </w:tc>
        <w:tc>
          <w:tcPr>
            <w:tcW w:w="1053" w:type="dxa"/>
            <w:vAlign w:val="center"/>
          </w:tcPr>
          <w:p>
            <w:pPr>
              <w:jc w:val="center"/>
              <w:rPr>
                <w:szCs w:val="21"/>
              </w:rPr>
            </w:pPr>
            <w:r>
              <w:rPr>
                <w:szCs w:val="21"/>
              </w:rPr>
              <w:t>货物名称</w:t>
            </w:r>
          </w:p>
        </w:tc>
        <w:tc>
          <w:tcPr>
            <w:tcW w:w="3553" w:type="dxa"/>
            <w:vAlign w:val="center"/>
          </w:tcPr>
          <w:p>
            <w:pPr>
              <w:jc w:val="center"/>
              <w:rPr>
                <w:szCs w:val="21"/>
              </w:rPr>
            </w:pPr>
            <w:r>
              <w:rPr>
                <w:szCs w:val="21"/>
              </w:rPr>
              <w:t>技术要求</w:t>
            </w:r>
          </w:p>
        </w:tc>
        <w:tc>
          <w:tcPr>
            <w:tcW w:w="640" w:type="dxa"/>
            <w:vAlign w:val="center"/>
          </w:tcPr>
          <w:p>
            <w:pPr>
              <w:jc w:val="center"/>
              <w:rPr>
                <w:szCs w:val="21"/>
              </w:rPr>
            </w:pPr>
            <w:r>
              <w:rPr>
                <w:szCs w:val="21"/>
              </w:rPr>
              <w:t>单位</w:t>
            </w:r>
          </w:p>
        </w:tc>
        <w:tc>
          <w:tcPr>
            <w:tcW w:w="636" w:type="dxa"/>
            <w:vAlign w:val="center"/>
          </w:tcPr>
          <w:p>
            <w:pPr>
              <w:jc w:val="center"/>
              <w:rPr>
                <w:szCs w:val="21"/>
              </w:rPr>
            </w:pPr>
            <w:r>
              <w:rPr>
                <w:szCs w:val="21"/>
              </w:rPr>
              <w:t>数量</w:t>
            </w:r>
          </w:p>
        </w:tc>
        <w:tc>
          <w:tcPr>
            <w:tcW w:w="793" w:type="dxa"/>
            <w:vAlign w:val="center"/>
          </w:tcPr>
          <w:p>
            <w:pPr>
              <w:jc w:val="center"/>
              <w:rPr>
                <w:szCs w:val="21"/>
              </w:rPr>
            </w:pPr>
            <w:r>
              <w:rPr>
                <w:rFonts w:hint="eastAsia"/>
                <w:szCs w:val="21"/>
              </w:rPr>
              <w:t>单价</w:t>
            </w:r>
          </w:p>
        </w:tc>
        <w:tc>
          <w:tcPr>
            <w:tcW w:w="851" w:type="dxa"/>
            <w:vAlign w:val="center"/>
          </w:tcPr>
          <w:p>
            <w:pPr>
              <w:jc w:val="center"/>
              <w:rPr>
                <w:szCs w:val="21"/>
              </w:rPr>
            </w:pPr>
            <w:r>
              <w:rPr>
                <w:rFonts w:hint="eastAsia"/>
                <w:szCs w:val="21"/>
              </w:rPr>
              <w:t>总额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0" w:type="dxa"/>
            <w:vAlign w:val="center"/>
          </w:tcPr>
          <w:p>
            <w:pPr>
              <w:numPr>
                <w:ilvl w:val="0"/>
                <w:numId w:val="1"/>
              </w:numPr>
              <w:jc w:val="center"/>
              <w:rPr>
                <w:szCs w:val="21"/>
              </w:rPr>
            </w:pPr>
          </w:p>
        </w:tc>
        <w:tc>
          <w:tcPr>
            <w:tcW w:w="1053" w:type="dxa"/>
            <w:vAlign w:val="center"/>
          </w:tcPr>
          <w:p>
            <w:pPr>
              <w:rPr>
                <w:szCs w:val="21"/>
              </w:rPr>
            </w:pPr>
            <w:r>
              <w:rPr>
                <w:rFonts w:hint="eastAsia" w:ascii="宋体" w:hAnsi="宋体" w:cs="宋体"/>
                <w:color w:val="000000"/>
                <w:sz w:val="24"/>
              </w:rPr>
              <w:t>中央台1</w:t>
            </w:r>
          </w:p>
        </w:tc>
        <w:tc>
          <w:tcPr>
            <w:tcW w:w="3553" w:type="dxa"/>
            <w:vAlign w:val="center"/>
          </w:tcPr>
          <w:p>
            <w:pPr>
              <w:rPr>
                <w:rFonts w:ascii="宋体" w:hAnsi="宋体" w:cs="宋体"/>
                <w:szCs w:val="21"/>
              </w:rPr>
            </w:pPr>
            <w:r>
              <w:rPr>
                <w:rFonts w:hint="eastAsia" w:ascii="宋体" w:hAnsi="宋体" w:cs="宋体"/>
                <w:szCs w:val="21"/>
              </w:rPr>
              <w:t>规格：3600*1500*850</w:t>
            </w:r>
          </w:p>
          <w:p>
            <w:pPr>
              <w:rPr>
                <w:rFonts w:ascii="宋体" w:hAnsi="宋体" w:cs="宋体"/>
                <w:szCs w:val="21"/>
              </w:rPr>
            </w:pPr>
            <w:r>
              <w:rPr>
                <w:rFonts w:hint="eastAsia" w:ascii="宋体" w:hAnsi="宋体" w:cs="宋体"/>
                <w:szCs w:val="21"/>
              </w:rPr>
              <w:t>1、实验台整体均为落地式结构，均采用一级冷轧钢板（盒板)，裸板1.0 mm厚。</w:t>
            </w:r>
          </w:p>
          <w:p>
            <w:pPr>
              <w:rPr>
                <w:rFonts w:ascii="宋体" w:hAnsi="宋体" w:cs="宋体"/>
                <w:szCs w:val="21"/>
              </w:rPr>
            </w:pPr>
            <w:r>
              <w:rPr>
                <w:rFonts w:hint="eastAsia" w:ascii="宋体" w:hAnsi="宋体" w:cs="宋体"/>
                <w:szCs w:val="21"/>
              </w:rPr>
              <w:t>2、门与门、门与抽屉缝隙或间隔为1mm～2mm，沿线长度与板长误差≤0.2mm，过线孔尺寸误差≤0.5mm，抽屉抽出后下垂≤20mm，摆动≤10mm，台面倒角要均匀一致，倒角半径为1mm。</w:t>
            </w:r>
          </w:p>
          <w:p>
            <w:pPr>
              <w:rPr>
                <w:rFonts w:ascii="宋体" w:hAnsi="宋体" w:cs="宋体"/>
                <w:szCs w:val="21"/>
              </w:rPr>
            </w:pPr>
            <w:r>
              <w:rPr>
                <w:rFonts w:hint="eastAsia" w:ascii="宋体" w:hAnsi="宋体" w:cs="宋体"/>
                <w:szCs w:val="21"/>
              </w:rPr>
              <w:t>3、上述尺寸误差≤3mm。邻边垂直度：台面对角线1000mm以内的允许误差值≤3mm，2000 mm以内的允许误差值≤4mm，3000mm以内的允许误差值≤5mm。地角平稳度≤2mm。</w:t>
            </w:r>
          </w:p>
          <w:p>
            <w:pPr>
              <w:rPr>
                <w:rFonts w:ascii="宋体" w:hAnsi="宋体" w:cs="宋体"/>
                <w:szCs w:val="21"/>
              </w:rPr>
            </w:pPr>
            <w:r>
              <w:rPr>
                <w:rFonts w:hint="eastAsia" w:ascii="宋体" w:hAnsi="宋体" w:cs="宋体"/>
                <w:szCs w:val="21"/>
              </w:rPr>
              <w:t>4、扣手：采用机械冲床冲压制作，套色组合式设计。</w:t>
            </w:r>
          </w:p>
          <w:p>
            <w:pPr>
              <w:rPr>
                <w:rFonts w:ascii="宋体" w:hAnsi="宋体" w:cs="宋体"/>
                <w:szCs w:val="21"/>
              </w:rPr>
            </w:pPr>
            <w:r>
              <w:rPr>
                <w:rFonts w:hint="eastAsia" w:ascii="宋体" w:hAnsi="宋体" w:cs="宋体"/>
                <w:szCs w:val="21"/>
              </w:rPr>
              <w:t>5、滑轨：DTC牌三段式滑轨，开关轻盈无噪音。</w:t>
            </w:r>
          </w:p>
          <w:p>
            <w:pPr>
              <w:rPr>
                <w:rFonts w:ascii="宋体" w:hAnsi="宋体" w:cs="宋体"/>
                <w:szCs w:val="21"/>
              </w:rPr>
            </w:pPr>
            <w:r>
              <w:rPr>
                <w:rFonts w:hint="eastAsia" w:ascii="宋体" w:hAnsi="宋体" w:cs="宋体"/>
                <w:szCs w:val="21"/>
              </w:rPr>
              <w:t>6、合页：才用304材质制作，抗酸碱耐腐蚀，使用年限长。</w:t>
            </w:r>
          </w:p>
          <w:p>
            <w:pPr>
              <w:rPr>
                <w:rFonts w:ascii="宋体" w:hAnsi="宋体" w:cs="宋体"/>
                <w:szCs w:val="21"/>
              </w:rPr>
            </w:pPr>
            <w:r>
              <w:rPr>
                <w:rFonts w:hint="eastAsia" w:ascii="宋体" w:hAnsi="宋体" w:cs="宋体"/>
                <w:szCs w:val="21"/>
              </w:rPr>
              <w:t>7、★安全性能参照GB/T 24820-2024 《实验室家具通用技术条件》执行、外观及外观性能，理化性能参照QB/T 1951.2-2013 《金属家具质量检验及质量评定》、GB/T 3325-2024 《金属家具通用技术条件》执行。</w:t>
            </w:r>
          </w:p>
          <w:p>
            <w:pPr>
              <w:rPr>
                <w:rFonts w:ascii="宋体" w:hAnsi="宋体" w:cs="宋体"/>
                <w:szCs w:val="21"/>
              </w:rPr>
            </w:pPr>
            <w:r>
              <w:rPr>
                <w:rFonts w:hint="eastAsia" w:ascii="宋体" w:hAnsi="宋体" w:cs="宋体"/>
                <w:szCs w:val="21"/>
              </w:rPr>
              <w:t>8、★钢部件表面必须经酸洗磷化并由环氧树脂塑粉高温固化处理，喷涂材料选用国际知名品牌粉末喷塑，各种配件应作除锈和防腐处理喷涂后的金属表面能达到如下性能：</w:t>
            </w:r>
          </w:p>
          <w:p>
            <w:pPr>
              <w:rPr>
                <w:rFonts w:ascii="宋体" w:hAnsi="宋体" w:cs="宋体"/>
                <w:szCs w:val="21"/>
              </w:rPr>
            </w:pPr>
            <w:r>
              <w:rPr>
                <w:rFonts w:hint="eastAsia" w:ascii="宋体" w:hAnsi="宋体" w:cs="宋体"/>
                <w:szCs w:val="21"/>
              </w:rPr>
              <w:t>湿度性能：88°C -96°C热水45度角冲淋5分钟没有变化。</w:t>
            </w:r>
          </w:p>
          <w:p>
            <w:pPr>
              <w:rPr>
                <w:rFonts w:ascii="宋体" w:hAnsi="宋体" w:cs="宋体"/>
                <w:szCs w:val="21"/>
              </w:rPr>
            </w:pPr>
            <w:r>
              <w:rPr>
                <w:rFonts w:hint="eastAsia" w:ascii="宋体" w:hAnsi="宋体" w:cs="宋体"/>
                <w:szCs w:val="21"/>
              </w:rPr>
              <w:t>抗冲击性能：重量1ib的球304.8mm高度跌落到水平漆面，无裂纹或龟裂</w:t>
            </w:r>
          </w:p>
          <w:p>
            <w:pPr>
              <w:rPr>
                <w:rFonts w:ascii="宋体" w:hAnsi="宋体" w:cs="宋体"/>
                <w:szCs w:val="21"/>
              </w:rPr>
            </w:pPr>
            <w:r>
              <w:rPr>
                <w:rFonts w:hint="eastAsia" w:ascii="宋体" w:hAnsi="宋体" w:cs="宋体"/>
                <w:szCs w:val="21"/>
              </w:rPr>
              <w:t>附着性能：交叉刻画（2mm X 2mm)各六条，漆膜完整。</w:t>
            </w:r>
          </w:p>
          <w:p>
            <w:pPr>
              <w:rPr>
                <w:rFonts w:ascii="宋体" w:hAnsi="宋体" w:cs="宋体"/>
                <w:szCs w:val="21"/>
              </w:rPr>
            </w:pPr>
            <w:r>
              <w:rPr>
                <w:rFonts w:hint="eastAsia" w:ascii="宋体" w:hAnsi="宋体" w:cs="宋体"/>
                <w:szCs w:val="21"/>
              </w:rPr>
              <w:t>硬度性能：参照GB T4340.1-2024 金属材料维氏硬度试验第1部分：试验方法检测，需提供检测报告。</w:t>
            </w:r>
          </w:p>
          <w:p>
            <w:pPr>
              <w:rPr>
                <w:rFonts w:ascii="宋体" w:hAnsi="宋体" w:cs="宋体"/>
                <w:szCs w:val="21"/>
              </w:rPr>
            </w:pPr>
            <w:r>
              <w:rPr>
                <w:rFonts w:hint="eastAsia" w:ascii="宋体" w:hAnsi="宋体" w:cs="宋体"/>
                <w:szCs w:val="21"/>
              </w:rPr>
              <w:t>耐腐蚀及耐酸碱功能：检验项目包含：①外观性能要求,②抗盐雾（120h，直径1.5mm以下锈点≤20点/dm2，其中直径≥1.0mm锈点不超过5点，达到10级）。</w:t>
            </w:r>
          </w:p>
          <w:p>
            <w:pPr>
              <w:rPr>
                <w:rFonts w:ascii="宋体" w:hAnsi="宋体" w:cs="宋体"/>
                <w:szCs w:val="21"/>
              </w:rPr>
            </w:pPr>
            <w:r>
              <w:rPr>
                <w:rFonts w:hint="eastAsia" w:ascii="宋体" w:hAnsi="宋体" w:cs="宋体"/>
                <w:szCs w:val="21"/>
              </w:rPr>
              <w:t>9、★柜体采用整柜焊接，非散件组装，单柜斜向对角抬起推拉无变形情况，焊接质量要求参照GB/T 43906-2024《金属材料硬钎焊质量要求》标准检测。</w:t>
            </w:r>
          </w:p>
          <w:p>
            <w:pPr>
              <w:rPr>
                <w:rFonts w:ascii="宋体" w:hAnsi="宋体" w:cs="宋体"/>
                <w:szCs w:val="21"/>
              </w:rPr>
            </w:pPr>
            <w:r>
              <w:rPr>
                <w:rFonts w:hint="eastAsia" w:ascii="宋体" w:hAnsi="宋体" w:cs="宋体"/>
                <w:szCs w:val="21"/>
              </w:rPr>
              <w:t>抽屉耐久性，在抽屉上加载0.2 ko/dm。抽屉从完全关闭位置打开至推拉件长度(深度)的三分之一或至少100mm保留在组件内的位置。以大约0.25 m/s的速率开合抽屉不少于70000次。</w:t>
            </w:r>
          </w:p>
          <w:p>
            <w:pPr>
              <w:rPr>
                <w:rFonts w:ascii="宋体" w:hAnsi="宋体" w:cs="宋体"/>
                <w:szCs w:val="21"/>
              </w:rPr>
            </w:pPr>
            <w:r>
              <w:rPr>
                <w:rFonts w:hint="eastAsia" w:ascii="宋体" w:hAnsi="宋体" w:cs="宋体"/>
                <w:szCs w:val="21"/>
              </w:rPr>
              <w:t>10、台面：材质：陶瓷台面</w:t>
            </w:r>
          </w:p>
          <w:p>
            <w:pPr>
              <w:rPr>
                <w:rFonts w:ascii="宋体" w:hAnsi="宋体" w:cs="宋体"/>
                <w:szCs w:val="21"/>
              </w:rPr>
            </w:pPr>
            <w:r>
              <w:rPr>
                <w:rFonts w:hint="eastAsia" w:ascii="宋体" w:hAnsi="宋体" w:cs="宋体"/>
                <w:szCs w:val="21"/>
              </w:rPr>
              <w:t>台面采用≥20mm厚一体实芯陶瓷台面，坯体与上表层釉面经高温一体烧制而成。为了实验人员试验过程中操作和维护的便捷性，并确保实验人员人身的安全性，实验室专业陶瓷台面需具备以下性能要求。投标人需提供满足以下性能要求证明文件，检测报告复印件需注明用于本次投标使用，并加盖台面品牌厂家公章。</w:t>
            </w:r>
          </w:p>
          <w:p>
            <w:pPr>
              <w:rPr>
                <w:rFonts w:ascii="宋体" w:hAnsi="宋体" w:cs="宋体"/>
                <w:szCs w:val="21"/>
              </w:rPr>
            </w:pPr>
            <w:r>
              <w:rPr>
                <w:rFonts w:hint="eastAsia" w:ascii="宋体" w:hAnsi="宋体" w:cs="宋体"/>
                <w:szCs w:val="21"/>
              </w:rPr>
              <w:t>11、★耐化学性能要求：依据GB/T 17657-2022标准，对台面进行化学试剂进行测试，包括四氯化碳（纯品）、二氯丙烷98%、环己酮99%、苯甲醛98%，氯化钙饱和溶液、煤油（试剂级），99%乙酸等，要求至少85种试剂检测结果为5级。</w:t>
            </w:r>
          </w:p>
          <w:p>
            <w:pPr>
              <w:rPr>
                <w:rFonts w:ascii="宋体" w:hAnsi="宋体" w:cs="宋体"/>
                <w:szCs w:val="21"/>
              </w:rPr>
            </w:pPr>
            <w:r>
              <w:rPr>
                <w:rFonts w:hint="eastAsia" w:ascii="宋体" w:hAnsi="宋体" w:cs="宋体"/>
                <w:szCs w:val="21"/>
              </w:rPr>
              <w:t>12、★弯曲强度要求：参照GB/T14390-2008检测标准，对台面进行弯曲强度测试，检测，结果为平均值≥82，标准差 ≥6。荷载性能要求：参照T/SLEA0021-2023的标准，载荷重量900KG，保载时间≥720H，检测结果为：样品未损坏。</w:t>
            </w:r>
          </w:p>
          <w:p>
            <w:pPr>
              <w:rPr>
                <w:rFonts w:ascii="宋体" w:hAnsi="宋体" w:cs="宋体"/>
                <w:szCs w:val="21"/>
              </w:rPr>
            </w:pPr>
            <w:r>
              <w:rPr>
                <w:rFonts w:hint="eastAsia" w:ascii="宋体" w:hAnsi="宋体" w:cs="宋体"/>
                <w:szCs w:val="21"/>
              </w:rPr>
              <w:t>13、★防霉性能要求：参照GB/T1741-2020的标准,陶瓷台面可抑制霉菌滋生，须提供国家建筑装修材料质量检验检测中心机构出具的测试项目为“耐霉菌性等级”检测报告，测试结果值0（霉种包括出芽短梗霉等）。</w:t>
            </w:r>
          </w:p>
          <w:p>
            <w:pPr>
              <w:rPr>
                <w:rFonts w:ascii="宋体" w:hAnsi="宋体" w:cs="宋体"/>
                <w:szCs w:val="21"/>
              </w:rPr>
            </w:pPr>
            <w:r>
              <w:rPr>
                <w:rFonts w:hint="eastAsia" w:ascii="宋体" w:hAnsi="宋体" w:cs="宋体"/>
                <w:szCs w:val="21"/>
              </w:rPr>
              <w:t>14、理化性能要求：参照GB/T26696-2011表面耐划痕，检测样品为一体实芯黑色胚体陶瓷板检测结果为：1级，并提供具有CMA、CNAS认证的第三方权威机构出具的合格检测报告证明。</w:t>
            </w:r>
          </w:p>
          <w:p>
            <w:pPr>
              <w:rPr>
                <w:rFonts w:ascii="宋体" w:hAnsi="宋体" w:cs="宋体"/>
                <w:szCs w:val="21"/>
              </w:rPr>
            </w:pPr>
            <w:r>
              <w:rPr>
                <w:rFonts w:hint="eastAsia" w:ascii="宋体" w:hAnsi="宋体" w:cs="宋体"/>
                <w:szCs w:val="21"/>
              </w:rPr>
              <w:t>15、为降低实验室火灾风险，试验台材质燃性性能需达到A1级不燃，炉内温升≤30℃,持续燃烧时间为0s,质量损失率≤0.5%,总热值≤0.2MJ/kg。并提供由国家建筑材料测试中心出具的检测报告。</w:t>
            </w:r>
          </w:p>
        </w:tc>
        <w:tc>
          <w:tcPr>
            <w:tcW w:w="640" w:type="dxa"/>
            <w:vAlign w:val="center"/>
          </w:tcPr>
          <w:p>
            <w:pPr>
              <w:rPr>
                <w:szCs w:val="21"/>
              </w:rPr>
            </w:pPr>
            <w:r>
              <w:rPr>
                <w:rFonts w:hint="eastAsia"/>
                <w:szCs w:val="21"/>
              </w:rPr>
              <w:t>组</w:t>
            </w:r>
          </w:p>
        </w:tc>
        <w:tc>
          <w:tcPr>
            <w:tcW w:w="636" w:type="dxa"/>
            <w:vAlign w:val="center"/>
          </w:tcPr>
          <w:p>
            <w:pPr>
              <w:rPr>
                <w:szCs w:val="21"/>
              </w:rPr>
            </w:pPr>
            <w:r>
              <w:rPr>
                <w:rFonts w:hint="eastAsia"/>
                <w:szCs w:val="21"/>
              </w:rPr>
              <w:t>8</w:t>
            </w:r>
          </w:p>
        </w:tc>
        <w:tc>
          <w:tcPr>
            <w:tcW w:w="793" w:type="dxa"/>
            <w:vAlign w:val="center"/>
          </w:tcPr>
          <w:p>
            <w:pPr>
              <w:rPr>
                <w:szCs w:val="21"/>
              </w:rPr>
            </w:pPr>
            <w:bookmarkStart w:id="0" w:name="OLE_LINK1"/>
            <w:bookmarkStart w:id="1" w:name="OLE_LINK2"/>
            <w:r>
              <w:rPr>
                <w:rFonts w:hint="eastAsia"/>
                <w:szCs w:val="21"/>
              </w:rPr>
              <w:t>10656</w:t>
            </w:r>
            <w:bookmarkEnd w:id="0"/>
            <w:bookmarkEnd w:id="1"/>
          </w:p>
        </w:tc>
        <w:tc>
          <w:tcPr>
            <w:tcW w:w="851" w:type="dxa"/>
            <w:vAlign w:val="center"/>
          </w:tcPr>
          <w:p>
            <w:pPr>
              <w:rPr>
                <w:szCs w:val="21"/>
              </w:rPr>
            </w:pPr>
            <w:r>
              <w:rPr>
                <w:szCs w:val="21"/>
              </w:rPr>
              <w:t>85248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0" w:type="dxa"/>
            <w:shd w:val="clear" w:color="auto" w:fill="auto"/>
            <w:vAlign w:val="center"/>
          </w:tcPr>
          <w:p>
            <w:pPr>
              <w:numPr>
                <w:ilvl w:val="0"/>
                <w:numId w:val="1"/>
              </w:numPr>
              <w:jc w:val="center"/>
              <w:rPr>
                <w:szCs w:val="21"/>
              </w:rPr>
            </w:pPr>
          </w:p>
        </w:tc>
        <w:tc>
          <w:tcPr>
            <w:tcW w:w="1053" w:type="dxa"/>
            <w:shd w:val="clear" w:color="auto" w:fill="auto"/>
            <w:vAlign w:val="center"/>
          </w:tcPr>
          <w:p>
            <w:pPr>
              <w:rPr>
                <w:szCs w:val="21"/>
              </w:rPr>
            </w:pPr>
            <w:r>
              <w:rPr>
                <w:rFonts w:hint="eastAsia" w:ascii="宋体" w:hAnsi="宋体" w:cs="宋体"/>
                <w:color w:val="000000"/>
                <w:sz w:val="24"/>
              </w:rPr>
              <w:t>中央台2</w:t>
            </w:r>
          </w:p>
        </w:tc>
        <w:tc>
          <w:tcPr>
            <w:tcW w:w="3553" w:type="dxa"/>
            <w:shd w:val="clear" w:color="auto" w:fill="auto"/>
            <w:vAlign w:val="center"/>
          </w:tcPr>
          <w:p>
            <w:pPr>
              <w:rPr>
                <w:rFonts w:ascii="宋体" w:hAnsi="宋体" w:cs="宋体"/>
                <w:szCs w:val="21"/>
              </w:rPr>
            </w:pPr>
            <w:r>
              <w:rPr>
                <w:rFonts w:hint="eastAsia" w:ascii="宋体" w:hAnsi="宋体" w:cs="宋体"/>
                <w:szCs w:val="21"/>
              </w:rPr>
              <w:t>规格：2850*1500*850</w:t>
            </w:r>
          </w:p>
          <w:p>
            <w:pPr>
              <w:rPr>
                <w:rFonts w:hint="eastAsia" w:ascii="宋体" w:hAnsi="宋体" w:cs="宋体"/>
                <w:color w:val="000000"/>
                <w:sz w:val="24"/>
              </w:rPr>
            </w:pPr>
            <w:r>
              <w:rPr>
                <w:rFonts w:hint="eastAsia"/>
                <w:szCs w:val="21"/>
              </w:rPr>
              <w:t>技术要求同</w:t>
            </w:r>
            <w:r>
              <w:rPr>
                <w:rFonts w:hint="eastAsia" w:ascii="宋体" w:hAnsi="宋体" w:cs="宋体"/>
                <w:color w:val="000000"/>
                <w:sz w:val="24"/>
              </w:rPr>
              <w:t>中央台1</w:t>
            </w:r>
          </w:p>
          <w:p>
            <w:pPr>
              <w:rPr>
                <w:szCs w:val="21"/>
              </w:rPr>
            </w:pPr>
            <w:r>
              <w:rPr>
                <w:rFonts w:hint="eastAsia"/>
                <w:szCs w:val="21"/>
              </w:rPr>
              <w:t>递交样品：规格：2850*1500*850mm、(包含台面、柜门、抽屉)1件、台面 三节滚珠滑轨1副。</w:t>
            </w:r>
          </w:p>
        </w:tc>
        <w:tc>
          <w:tcPr>
            <w:tcW w:w="640" w:type="dxa"/>
            <w:shd w:val="clear" w:color="auto" w:fill="auto"/>
            <w:vAlign w:val="center"/>
          </w:tcPr>
          <w:p>
            <w:pPr>
              <w:rPr>
                <w:szCs w:val="21"/>
              </w:rPr>
            </w:pPr>
            <w:r>
              <w:rPr>
                <w:rFonts w:hint="eastAsia"/>
                <w:szCs w:val="21"/>
              </w:rPr>
              <w:t>组</w:t>
            </w:r>
          </w:p>
        </w:tc>
        <w:tc>
          <w:tcPr>
            <w:tcW w:w="636" w:type="dxa"/>
            <w:shd w:val="clear" w:color="auto" w:fill="auto"/>
            <w:vAlign w:val="center"/>
          </w:tcPr>
          <w:p>
            <w:pPr>
              <w:rPr>
                <w:szCs w:val="21"/>
              </w:rPr>
            </w:pPr>
            <w:r>
              <w:rPr>
                <w:rFonts w:hint="eastAsia"/>
                <w:szCs w:val="21"/>
              </w:rPr>
              <w:t>4</w:t>
            </w:r>
          </w:p>
        </w:tc>
        <w:tc>
          <w:tcPr>
            <w:tcW w:w="793" w:type="dxa"/>
            <w:shd w:val="clear" w:color="auto" w:fill="auto"/>
            <w:vAlign w:val="center"/>
          </w:tcPr>
          <w:p>
            <w:pPr>
              <w:rPr>
                <w:szCs w:val="21"/>
              </w:rPr>
            </w:pPr>
            <w:r>
              <w:rPr>
                <w:rFonts w:hint="eastAsia"/>
                <w:szCs w:val="21"/>
              </w:rPr>
              <w:t>8438</w:t>
            </w:r>
          </w:p>
        </w:tc>
        <w:tc>
          <w:tcPr>
            <w:tcW w:w="851" w:type="dxa"/>
            <w:shd w:val="clear" w:color="auto" w:fill="auto"/>
            <w:vAlign w:val="center"/>
          </w:tcPr>
          <w:p>
            <w:pPr>
              <w:rPr>
                <w:szCs w:val="21"/>
              </w:rPr>
            </w:pPr>
            <w:bookmarkStart w:id="2" w:name="OLE_LINK8"/>
            <w:bookmarkStart w:id="3" w:name="OLE_LINK6"/>
            <w:bookmarkStart w:id="4" w:name="OLE_LINK7"/>
            <w:bookmarkStart w:id="5" w:name="OLE_LINK14"/>
            <w:r>
              <w:rPr>
                <w:rFonts w:hint="eastAsia"/>
                <w:szCs w:val="21"/>
              </w:rPr>
              <w:t>33752</w:t>
            </w:r>
            <w:bookmarkEnd w:id="2"/>
            <w:bookmarkEnd w:id="3"/>
            <w:bookmarkEnd w:id="4"/>
            <w:bookmarkEnd w:id="5"/>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720" w:type="dxa"/>
            <w:vAlign w:val="center"/>
          </w:tcPr>
          <w:p>
            <w:pPr>
              <w:numPr>
                <w:ilvl w:val="0"/>
                <w:numId w:val="1"/>
              </w:numPr>
              <w:jc w:val="center"/>
              <w:rPr>
                <w:szCs w:val="21"/>
              </w:rPr>
            </w:pPr>
          </w:p>
        </w:tc>
        <w:tc>
          <w:tcPr>
            <w:tcW w:w="1053" w:type="dxa"/>
            <w:vAlign w:val="center"/>
          </w:tcPr>
          <w:p>
            <w:pPr>
              <w:widowControl/>
              <w:rPr>
                <w:kern w:val="0"/>
                <w:szCs w:val="21"/>
              </w:rPr>
            </w:pPr>
            <w:r>
              <w:rPr>
                <w:rFonts w:hint="eastAsia"/>
                <w:szCs w:val="21"/>
              </w:rPr>
              <w:t>边台1</w:t>
            </w:r>
          </w:p>
        </w:tc>
        <w:tc>
          <w:tcPr>
            <w:tcW w:w="3553" w:type="dxa"/>
            <w:vAlign w:val="center"/>
          </w:tcPr>
          <w:p>
            <w:pPr>
              <w:rPr>
                <w:rFonts w:ascii="宋体" w:hAnsi="宋体" w:cs="宋体"/>
                <w:szCs w:val="21"/>
              </w:rPr>
            </w:pPr>
            <w:r>
              <w:rPr>
                <w:rFonts w:hint="eastAsia" w:ascii="宋体" w:hAnsi="宋体" w:cs="宋体"/>
                <w:szCs w:val="21"/>
              </w:rPr>
              <w:t>规格：2000*750*850</w:t>
            </w:r>
          </w:p>
          <w:p>
            <w:pPr>
              <w:rPr>
                <w:szCs w:val="21"/>
              </w:rPr>
            </w:pPr>
            <w:r>
              <w:rPr>
                <w:rFonts w:hint="eastAsia"/>
                <w:szCs w:val="21"/>
              </w:rPr>
              <w:t>技术要求同</w:t>
            </w:r>
            <w:r>
              <w:rPr>
                <w:rFonts w:hint="eastAsia" w:ascii="宋体" w:hAnsi="宋体" w:cs="宋体"/>
                <w:color w:val="000000"/>
                <w:sz w:val="24"/>
              </w:rPr>
              <w:t>中央台1</w:t>
            </w:r>
          </w:p>
        </w:tc>
        <w:tc>
          <w:tcPr>
            <w:tcW w:w="640" w:type="dxa"/>
            <w:vAlign w:val="center"/>
          </w:tcPr>
          <w:p>
            <w:pPr>
              <w:rPr>
                <w:szCs w:val="21"/>
              </w:rPr>
            </w:pPr>
            <w:r>
              <w:rPr>
                <w:rFonts w:hint="eastAsia"/>
                <w:szCs w:val="21"/>
              </w:rPr>
              <w:t>组</w:t>
            </w:r>
          </w:p>
        </w:tc>
        <w:tc>
          <w:tcPr>
            <w:tcW w:w="636" w:type="dxa"/>
            <w:vAlign w:val="center"/>
          </w:tcPr>
          <w:p>
            <w:pPr>
              <w:rPr>
                <w:szCs w:val="21"/>
              </w:rPr>
            </w:pPr>
            <w:r>
              <w:rPr>
                <w:rFonts w:hint="eastAsia"/>
                <w:szCs w:val="21"/>
              </w:rPr>
              <w:t>5</w:t>
            </w:r>
          </w:p>
        </w:tc>
        <w:tc>
          <w:tcPr>
            <w:tcW w:w="793" w:type="dxa"/>
            <w:vAlign w:val="center"/>
          </w:tcPr>
          <w:p>
            <w:pPr>
              <w:rPr>
                <w:szCs w:val="21"/>
              </w:rPr>
            </w:pPr>
            <w:r>
              <w:rPr>
                <w:rFonts w:hint="eastAsia"/>
                <w:szCs w:val="21"/>
              </w:rPr>
              <w:t>3200</w:t>
            </w:r>
          </w:p>
        </w:tc>
        <w:tc>
          <w:tcPr>
            <w:tcW w:w="851" w:type="dxa"/>
            <w:vAlign w:val="center"/>
          </w:tcPr>
          <w:p>
            <w:pPr>
              <w:rPr>
                <w:szCs w:val="21"/>
              </w:rPr>
            </w:pPr>
            <w:r>
              <w:rPr>
                <w:rFonts w:hint="eastAsia"/>
                <w:szCs w:val="21"/>
              </w:rPr>
              <w:t>16000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720" w:type="dxa"/>
            <w:shd w:val="clear" w:color="auto" w:fill="auto"/>
            <w:vAlign w:val="center"/>
          </w:tcPr>
          <w:p>
            <w:pPr>
              <w:numPr>
                <w:ilvl w:val="0"/>
                <w:numId w:val="1"/>
              </w:numPr>
              <w:jc w:val="center"/>
              <w:rPr>
                <w:szCs w:val="21"/>
              </w:rPr>
            </w:pPr>
          </w:p>
        </w:tc>
        <w:tc>
          <w:tcPr>
            <w:tcW w:w="1053" w:type="dxa"/>
            <w:shd w:val="clear" w:color="auto" w:fill="auto"/>
            <w:vAlign w:val="center"/>
          </w:tcPr>
          <w:p>
            <w:pPr>
              <w:widowControl/>
              <w:rPr>
                <w:kern w:val="0"/>
                <w:szCs w:val="21"/>
              </w:rPr>
            </w:pPr>
            <w:r>
              <w:rPr>
                <w:rFonts w:hint="eastAsia"/>
                <w:szCs w:val="21"/>
              </w:rPr>
              <w:t>边台2</w:t>
            </w:r>
          </w:p>
        </w:tc>
        <w:tc>
          <w:tcPr>
            <w:tcW w:w="3553" w:type="dxa"/>
            <w:shd w:val="clear" w:color="auto" w:fill="auto"/>
            <w:vAlign w:val="center"/>
          </w:tcPr>
          <w:p>
            <w:pPr>
              <w:rPr>
                <w:rFonts w:ascii="宋体" w:hAnsi="宋体" w:cs="宋体"/>
                <w:szCs w:val="21"/>
              </w:rPr>
            </w:pPr>
            <w:r>
              <w:rPr>
                <w:rFonts w:hint="eastAsia" w:ascii="宋体" w:hAnsi="宋体" w:cs="宋体"/>
                <w:szCs w:val="21"/>
              </w:rPr>
              <w:t>规格：3000*750*850</w:t>
            </w:r>
          </w:p>
          <w:p>
            <w:pPr>
              <w:rPr>
                <w:szCs w:val="21"/>
              </w:rPr>
            </w:pPr>
            <w:r>
              <w:rPr>
                <w:rFonts w:hint="eastAsia"/>
                <w:szCs w:val="21"/>
              </w:rPr>
              <w:t>技术要求同</w:t>
            </w:r>
            <w:r>
              <w:rPr>
                <w:rFonts w:hint="eastAsia" w:ascii="宋体" w:hAnsi="宋体" w:cs="宋体"/>
                <w:color w:val="000000"/>
                <w:sz w:val="24"/>
              </w:rPr>
              <w:t>中央台1</w:t>
            </w:r>
          </w:p>
        </w:tc>
        <w:tc>
          <w:tcPr>
            <w:tcW w:w="640" w:type="dxa"/>
            <w:shd w:val="clear" w:color="auto" w:fill="auto"/>
            <w:vAlign w:val="center"/>
          </w:tcPr>
          <w:p>
            <w:pPr>
              <w:rPr>
                <w:szCs w:val="21"/>
              </w:rPr>
            </w:pPr>
            <w:r>
              <w:rPr>
                <w:rFonts w:hint="eastAsia"/>
                <w:szCs w:val="21"/>
              </w:rPr>
              <w:t>组</w:t>
            </w:r>
          </w:p>
        </w:tc>
        <w:tc>
          <w:tcPr>
            <w:tcW w:w="636" w:type="dxa"/>
            <w:shd w:val="clear" w:color="auto" w:fill="auto"/>
            <w:vAlign w:val="center"/>
          </w:tcPr>
          <w:p>
            <w:pPr>
              <w:rPr>
                <w:szCs w:val="21"/>
              </w:rPr>
            </w:pPr>
            <w:r>
              <w:rPr>
                <w:rFonts w:hint="eastAsia"/>
                <w:szCs w:val="21"/>
              </w:rPr>
              <w:t>1</w:t>
            </w:r>
          </w:p>
        </w:tc>
        <w:tc>
          <w:tcPr>
            <w:tcW w:w="793" w:type="dxa"/>
            <w:shd w:val="clear" w:color="auto" w:fill="auto"/>
            <w:vAlign w:val="center"/>
          </w:tcPr>
          <w:p>
            <w:pPr>
              <w:rPr>
                <w:szCs w:val="21"/>
              </w:rPr>
            </w:pPr>
            <w:r>
              <w:rPr>
                <w:rFonts w:hint="eastAsia"/>
                <w:szCs w:val="21"/>
              </w:rPr>
              <w:t>4800</w:t>
            </w:r>
          </w:p>
        </w:tc>
        <w:tc>
          <w:tcPr>
            <w:tcW w:w="851" w:type="dxa"/>
            <w:shd w:val="clear" w:color="auto" w:fill="auto"/>
            <w:vAlign w:val="center"/>
          </w:tcPr>
          <w:p>
            <w:pPr>
              <w:rPr>
                <w:szCs w:val="21"/>
              </w:rPr>
            </w:pPr>
            <w:r>
              <w:rPr>
                <w:rFonts w:hint="eastAsia"/>
                <w:szCs w:val="21"/>
              </w:rPr>
              <w:t>4800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720" w:type="dxa"/>
            <w:shd w:val="clear" w:color="auto" w:fill="auto"/>
            <w:vAlign w:val="center"/>
          </w:tcPr>
          <w:p>
            <w:pPr>
              <w:numPr>
                <w:ilvl w:val="0"/>
                <w:numId w:val="1"/>
              </w:numPr>
              <w:jc w:val="center"/>
              <w:rPr>
                <w:szCs w:val="21"/>
              </w:rPr>
            </w:pPr>
          </w:p>
        </w:tc>
        <w:tc>
          <w:tcPr>
            <w:tcW w:w="1053" w:type="dxa"/>
            <w:shd w:val="clear" w:color="auto" w:fill="auto"/>
            <w:vAlign w:val="center"/>
          </w:tcPr>
          <w:p>
            <w:pPr>
              <w:widowControl/>
              <w:rPr>
                <w:szCs w:val="21"/>
              </w:rPr>
            </w:pPr>
            <w:r>
              <w:rPr>
                <w:rFonts w:hint="eastAsia"/>
                <w:szCs w:val="21"/>
              </w:rPr>
              <w:t>边台3</w:t>
            </w:r>
          </w:p>
        </w:tc>
        <w:tc>
          <w:tcPr>
            <w:tcW w:w="3553" w:type="dxa"/>
            <w:shd w:val="clear" w:color="auto" w:fill="auto"/>
            <w:vAlign w:val="center"/>
          </w:tcPr>
          <w:p>
            <w:pPr>
              <w:rPr>
                <w:szCs w:val="21"/>
              </w:rPr>
            </w:pPr>
            <w:r>
              <w:rPr>
                <w:rFonts w:hint="eastAsia"/>
                <w:szCs w:val="21"/>
              </w:rPr>
              <w:t>1000*1000*850</w:t>
            </w:r>
          </w:p>
          <w:p>
            <w:pPr>
              <w:rPr>
                <w:szCs w:val="21"/>
              </w:rPr>
            </w:pPr>
            <w:r>
              <w:rPr>
                <w:rFonts w:hint="eastAsia"/>
                <w:szCs w:val="21"/>
              </w:rPr>
              <w:t>技术要求同</w:t>
            </w:r>
            <w:r>
              <w:rPr>
                <w:rFonts w:hint="eastAsia" w:ascii="宋体" w:hAnsi="宋体" w:cs="宋体"/>
                <w:color w:val="000000"/>
                <w:sz w:val="24"/>
              </w:rPr>
              <w:t>中央台1</w:t>
            </w:r>
          </w:p>
        </w:tc>
        <w:tc>
          <w:tcPr>
            <w:tcW w:w="640" w:type="dxa"/>
            <w:shd w:val="clear" w:color="auto" w:fill="auto"/>
            <w:vAlign w:val="center"/>
          </w:tcPr>
          <w:p>
            <w:pPr>
              <w:rPr>
                <w:szCs w:val="21"/>
              </w:rPr>
            </w:pPr>
            <w:r>
              <w:rPr>
                <w:rFonts w:hint="eastAsia"/>
                <w:szCs w:val="21"/>
              </w:rPr>
              <w:t>组</w:t>
            </w:r>
          </w:p>
        </w:tc>
        <w:tc>
          <w:tcPr>
            <w:tcW w:w="636" w:type="dxa"/>
            <w:shd w:val="clear" w:color="auto" w:fill="auto"/>
            <w:vAlign w:val="center"/>
          </w:tcPr>
          <w:p>
            <w:pPr>
              <w:rPr>
                <w:szCs w:val="21"/>
              </w:rPr>
            </w:pPr>
            <w:r>
              <w:rPr>
                <w:rFonts w:hint="eastAsia"/>
                <w:szCs w:val="21"/>
              </w:rPr>
              <w:t>1</w:t>
            </w:r>
          </w:p>
        </w:tc>
        <w:tc>
          <w:tcPr>
            <w:tcW w:w="793" w:type="dxa"/>
            <w:shd w:val="clear" w:color="auto" w:fill="auto"/>
            <w:vAlign w:val="center"/>
          </w:tcPr>
          <w:p>
            <w:pPr>
              <w:rPr>
                <w:szCs w:val="21"/>
              </w:rPr>
            </w:pPr>
            <w:r>
              <w:rPr>
                <w:rFonts w:hint="eastAsia"/>
                <w:szCs w:val="21"/>
              </w:rPr>
              <w:t>1100</w:t>
            </w:r>
          </w:p>
        </w:tc>
        <w:tc>
          <w:tcPr>
            <w:tcW w:w="851" w:type="dxa"/>
            <w:shd w:val="clear" w:color="auto" w:fill="auto"/>
            <w:vAlign w:val="center"/>
          </w:tcPr>
          <w:p>
            <w:pPr>
              <w:rPr>
                <w:szCs w:val="21"/>
              </w:rPr>
            </w:pPr>
            <w:r>
              <w:rPr>
                <w:rFonts w:hint="eastAsia"/>
                <w:szCs w:val="21"/>
              </w:rPr>
              <w:t>1100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720" w:type="dxa"/>
            <w:vAlign w:val="center"/>
          </w:tcPr>
          <w:p>
            <w:pPr>
              <w:numPr>
                <w:ilvl w:val="0"/>
                <w:numId w:val="1"/>
              </w:numPr>
              <w:jc w:val="center"/>
              <w:rPr>
                <w:szCs w:val="21"/>
              </w:rPr>
            </w:pPr>
          </w:p>
        </w:tc>
        <w:tc>
          <w:tcPr>
            <w:tcW w:w="1053" w:type="dxa"/>
            <w:vAlign w:val="center"/>
          </w:tcPr>
          <w:p>
            <w:pPr>
              <w:widowControl/>
              <w:rPr>
                <w:szCs w:val="21"/>
              </w:rPr>
            </w:pPr>
            <w:r>
              <w:rPr>
                <w:rFonts w:hint="eastAsia"/>
                <w:szCs w:val="21"/>
              </w:rPr>
              <w:t>中央台试剂架1</w:t>
            </w:r>
          </w:p>
        </w:tc>
        <w:tc>
          <w:tcPr>
            <w:tcW w:w="3553" w:type="dxa"/>
            <w:vAlign w:val="center"/>
          </w:tcPr>
          <w:p>
            <w:pPr>
              <w:rPr>
                <w:rFonts w:ascii="宋体" w:hAnsi="宋体" w:cs="宋体"/>
                <w:color w:val="000000"/>
                <w:sz w:val="24"/>
              </w:rPr>
            </w:pPr>
            <w:r>
              <w:rPr>
                <w:rFonts w:hint="eastAsia" w:ascii="宋体" w:hAnsi="宋体" w:cs="宋体"/>
                <w:szCs w:val="21"/>
              </w:rPr>
              <w:t>规格：</w:t>
            </w:r>
            <w:r>
              <w:rPr>
                <w:rFonts w:hint="eastAsia" w:ascii="宋体" w:hAnsi="宋体" w:cs="宋体"/>
                <w:color w:val="000000"/>
                <w:sz w:val="24"/>
              </w:rPr>
              <w:t>3600*350*780</w:t>
            </w:r>
          </w:p>
          <w:p>
            <w:pPr>
              <w:rPr>
                <w:rFonts w:ascii="宋体" w:hAnsi="宋体" w:cs="宋体"/>
                <w:color w:val="000000"/>
                <w:sz w:val="24"/>
              </w:rPr>
            </w:pPr>
            <w:r>
              <w:rPr>
                <w:rFonts w:hint="eastAsia" w:ascii="宋体" w:hAnsi="宋体" w:cs="宋体"/>
                <w:szCs w:val="21"/>
              </w:rPr>
              <w:t>立柱采用70mm×100mm×1.2mm钢板数控加工而成，表面经高压静电环氧树脂粉末喷涂处理，具有耐腐蚀、防火、防潮等功能，层板采用≥8mm厚玻璃，四周磨直边处理，光滑，不伤手，配铝合金护栏，层板高度可调节。</w:t>
            </w:r>
          </w:p>
        </w:tc>
        <w:tc>
          <w:tcPr>
            <w:tcW w:w="640" w:type="dxa"/>
            <w:vAlign w:val="center"/>
          </w:tcPr>
          <w:p>
            <w:pPr>
              <w:rPr>
                <w:szCs w:val="21"/>
              </w:rPr>
            </w:pPr>
            <w:r>
              <w:rPr>
                <w:rFonts w:hint="eastAsia"/>
                <w:szCs w:val="21"/>
              </w:rPr>
              <w:t>组</w:t>
            </w:r>
          </w:p>
        </w:tc>
        <w:tc>
          <w:tcPr>
            <w:tcW w:w="636" w:type="dxa"/>
            <w:vAlign w:val="center"/>
          </w:tcPr>
          <w:p>
            <w:pPr>
              <w:rPr>
                <w:szCs w:val="21"/>
              </w:rPr>
            </w:pPr>
            <w:r>
              <w:rPr>
                <w:rFonts w:hint="eastAsia"/>
                <w:szCs w:val="21"/>
              </w:rPr>
              <w:t>8</w:t>
            </w:r>
          </w:p>
        </w:tc>
        <w:tc>
          <w:tcPr>
            <w:tcW w:w="793" w:type="dxa"/>
            <w:vAlign w:val="center"/>
          </w:tcPr>
          <w:p>
            <w:pPr>
              <w:rPr>
                <w:szCs w:val="21"/>
              </w:rPr>
            </w:pPr>
            <w:r>
              <w:rPr>
                <w:rFonts w:hint="eastAsia"/>
                <w:szCs w:val="21"/>
              </w:rPr>
              <w:t>2700</w:t>
            </w:r>
          </w:p>
        </w:tc>
        <w:tc>
          <w:tcPr>
            <w:tcW w:w="851" w:type="dxa"/>
            <w:vAlign w:val="center"/>
          </w:tcPr>
          <w:p>
            <w:pPr>
              <w:rPr>
                <w:szCs w:val="21"/>
              </w:rPr>
            </w:pPr>
            <w:r>
              <w:rPr>
                <w:rFonts w:hint="eastAsia"/>
                <w:szCs w:val="21"/>
              </w:rPr>
              <w:t>21600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720" w:type="dxa"/>
            <w:vAlign w:val="center"/>
          </w:tcPr>
          <w:p>
            <w:pPr>
              <w:numPr>
                <w:ilvl w:val="0"/>
                <w:numId w:val="1"/>
              </w:numPr>
              <w:jc w:val="center"/>
              <w:rPr>
                <w:szCs w:val="21"/>
              </w:rPr>
            </w:pPr>
          </w:p>
        </w:tc>
        <w:tc>
          <w:tcPr>
            <w:tcW w:w="1053" w:type="dxa"/>
            <w:shd w:val="clear" w:color="auto" w:fill="auto"/>
            <w:vAlign w:val="center"/>
          </w:tcPr>
          <w:p>
            <w:pPr>
              <w:widowControl/>
              <w:rPr>
                <w:szCs w:val="21"/>
              </w:rPr>
            </w:pPr>
            <w:r>
              <w:rPr>
                <w:rFonts w:hint="eastAsia"/>
                <w:szCs w:val="21"/>
              </w:rPr>
              <w:t>中央台试剂架2</w:t>
            </w:r>
          </w:p>
        </w:tc>
        <w:tc>
          <w:tcPr>
            <w:tcW w:w="3553" w:type="dxa"/>
            <w:shd w:val="clear" w:color="auto" w:fill="auto"/>
            <w:vAlign w:val="center"/>
          </w:tcPr>
          <w:p>
            <w:pPr>
              <w:rPr>
                <w:rFonts w:ascii="宋体" w:hAnsi="宋体" w:cs="宋体"/>
                <w:color w:val="000000"/>
                <w:sz w:val="24"/>
              </w:rPr>
            </w:pPr>
            <w:r>
              <w:rPr>
                <w:rFonts w:hint="eastAsia" w:ascii="宋体" w:hAnsi="宋体" w:cs="宋体"/>
                <w:szCs w:val="21"/>
              </w:rPr>
              <w:t>规格：</w:t>
            </w:r>
            <w:r>
              <w:rPr>
                <w:rFonts w:hint="eastAsia" w:ascii="宋体" w:hAnsi="宋体" w:cs="宋体"/>
                <w:color w:val="000000"/>
                <w:sz w:val="24"/>
              </w:rPr>
              <w:t>2850*350*700</w:t>
            </w:r>
          </w:p>
          <w:p>
            <w:pPr>
              <w:rPr>
                <w:rFonts w:hint="eastAsia"/>
                <w:szCs w:val="21"/>
              </w:rPr>
            </w:pPr>
            <w:r>
              <w:rPr>
                <w:rFonts w:hint="eastAsia"/>
                <w:szCs w:val="21"/>
              </w:rPr>
              <w:t>技术要求同中央台试剂架1</w:t>
            </w:r>
          </w:p>
          <w:p>
            <w:pPr>
              <w:rPr>
                <w:rFonts w:ascii="宋体" w:hAnsi="宋体" w:cs="宋体"/>
                <w:color w:val="000000"/>
                <w:sz w:val="24"/>
              </w:rPr>
            </w:pPr>
            <w:r>
              <w:rPr>
                <w:rFonts w:hint="eastAsia" w:ascii="宋体" w:hAnsi="宋体" w:cs="宋体"/>
                <w:color w:val="000000"/>
                <w:sz w:val="24"/>
              </w:rPr>
              <w:t>递交样品</w:t>
            </w:r>
          </w:p>
        </w:tc>
        <w:tc>
          <w:tcPr>
            <w:tcW w:w="640" w:type="dxa"/>
            <w:shd w:val="clear" w:color="auto" w:fill="auto"/>
            <w:vAlign w:val="center"/>
          </w:tcPr>
          <w:p>
            <w:pPr>
              <w:rPr>
                <w:szCs w:val="21"/>
              </w:rPr>
            </w:pPr>
            <w:r>
              <w:rPr>
                <w:rFonts w:hint="eastAsia"/>
                <w:szCs w:val="21"/>
              </w:rPr>
              <w:t>组</w:t>
            </w:r>
          </w:p>
        </w:tc>
        <w:tc>
          <w:tcPr>
            <w:tcW w:w="636" w:type="dxa"/>
            <w:shd w:val="clear" w:color="auto" w:fill="auto"/>
            <w:vAlign w:val="center"/>
          </w:tcPr>
          <w:p>
            <w:pPr>
              <w:rPr>
                <w:szCs w:val="21"/>
              </w:rPr>
            </w:pPr>
            <w:r>
              <w:rPr>
                <w:rFonts w:hint="eastAsia"/>
                <w:szCs w:val="21"/>
              </w:rPr>
              <w:t>4</w:t>
            </w:r>
          </w:p>
        </w:tc>
        <w:tc>
          <w:tcPr>
            <w:tcW w:w="793" w:type="dxa"/>
            <w:shd w:val="clear" w:color="auto" w:fill="auto"/>
            <w:vAlign w:val="center"/>
          </w:tcPr>
          <w:p>
            <w:pPr>
              <w:rPr>
                <w:szCs w:val="21"/>
              </w:rPr>
            </w:pPr>
            <w:r>
              <w:rPr>
                <w:szCs w:val="21"/>
              </w:rPr>
              <w:t>2150</w:t>
            </w:r>
          </w:p>
        </w:tc>
        <w:tc>
          <w:tcPr>
            <w:tcW w:w="851" w:type="dxa"/>
            <w:shd w:val="clear" w:color="auto" w:fill="auto"/>
            <w:vAlign w:val="center"/>
          </w:tcPr>
          <w:p>
            <w:pPr>
              <w:rPr>
                <w:szCs w:val="21"/>
              </w:rPr>
            </w:pPr>
            <w:r>
              <w:rPr>
                <w:szCs w:val="21"/>
              </w:rPr>
              <w:t>8600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720" w:type="dxa"/>
            <w:vAlign w:val="center"/>
          </w:tcPr>
          <w:p>
            <w:pPr>
              <w:numPr>
                <w:ilvl w:val="0"/>
                <w:numId w:val="1"/>
              </w:numPr>
              <w:jc w:val="center"/>
              <w:rPr>
                <w:szCs w:val="21"/>
              </w:rPr>
            </w:pPr>
          </w:p>
        </w:tc>
        <w:tc>
          <w:tcPr>
            <w:tcW w:w="1053" w:type="dxa"/>
            <w:vAlign w:val="center"/>
          </w:tcPr>
          <w:p>
            <w:pPr>
              <w:widowControl/>
              <w:rPr>
                <w:szCs w:val="21"/>
              </w:rPr>
            </w:pPr>
            <w:r>
              <w:rPr>
                <w:rFonts w:hint="eastAsia" w:ascii="宋体" w:hAnsi="宋体" w:cs="宋体"/>
                <w:color w:val="000000"/>
                <w:sz w:val="24"/>
              </w:rPr>
              <w:t>吊柜1</w:t>
            </w:r>
          </w:p>
        </w:tc>
        <w:tc>
          <w:tcPr>
            <w:tcW w:w="3553" w:type="dxa"/>
            <w:vAlign w:val="center"/>
          </w:tcPr>
          <w:p>
            <w:pPr>
              <w:rPr>
                <w:rFonts w:ascii="宋体" w:hAnsi="宋体" w:cs="宋体"/>
                <w:color w:val="000000"/>
                <w:sz w:val="24"/>
              </w:rPr>
            </w:pPr>
            <w:r>
              <w:rPr>
                <w:rFonts w:hint="eastAsia" w:ascii="宋体" w:hAnsi="宋体" w:cs="宋体"/>
                <w:szCs w:val="21"/>
              </w:rPr>
              <w:t>规格：</w:t>
            </w:r>
            <w:r>
              <w:rPr>
                <w:rFonts w:hint="eastAsia" w:ascii="宋体" w:hAnsi="宋体" w:cs="宋体"/>
                <w:color w:val="000000"/>
                <w:sz w:val="24"/>
              </w:rPr>
              <w:t>3600*600*600</w:t>
            </w:r>
          </w:p>
          <w:p>
            <w:pPr>
              <w:jc w:val="left"/>
              <w:rPr>
                <w:rFonts w:ascii="宋体" w:hAnsi="宋体" w:cs="宋体"/>
                <w:szCs w:val="21"/>
              </w:rPr>
            </w:pPr>
            <w:r>
              <w:rPr>
                <w:rFonts w:hint="eastAsia" w:ascii="宋体" w:hAnsi="宋体" w:cs="宋体"/>
                <w:szCs w:val="21"/>
              </w:rPr>
              <w:t>1、柜体采用1.2mm厚镀锌钢板冲折焊接制作，表面酸洗磷化再经环氧树脂静电粉末喷涂，喷涂厚度≥75μm。</w:t>
            </w:r>
          </w:p>
          <w:p>
            <w:pPr>
              <w:jc w:val="left"/>
              <w:rPr>
                <w:rFonts w:ascii="宋体" w:hAnsi="宋体" w:cs="宋体"/>
                <w:szCs w:val="21"/>
              </w:rPr>
            </w:pPr>
            <w:r>
              <w:rPr>
                <w:rFonts w:hint="eastAsia" w:ascii="宋体" w:hAnsi="宋体" w:cs="宋体"/>
                <w:szCs w:val="21"/>
              </w:rPr>
              <w:t>2、侧板采用1.2mm厚镀锌钢板焊接制作，表面喷涂环氧树脂粉末处理，可固定铰链、滑轨及层板挂钩，前后设有排孔可上下调整层板。</w:t>
            </w:r>
          </w:p>
          <w:p>
            <w:pPr>
              <w:jc w:val="left"/>
              <w:rPr>
                <w:rFonts w:ascii="宋体" w:hAnsi="宋体" w:cs="宋体"/>
                <w:szCs w:val="21"/>
              </w:rPr>
            </w:pPr>
            <w:r>
              <w:rPr>
                <w:rFonts w:hint="eastAsia" w:ascii="宋体" w:hAnsi="宋体" w:cs="宋体"/>
                <w:szCs w:val="21"/>
              </w:rPr>
              <w:t>3、拉手：钢制内嵌式拉手</w:t>
            </w:r>
          </w:p>
          <w:p>
            <w:pPr>
              <w:rPr>
                <w:rFonts w:hint="eastAsia" w:ascii="宋体" w:hAnsi="宋体" w:cs="宋体"/>
                <w:szCs w:val="21"/>
              </w:rPr>
            </w:pPr>
            <w:r>
              <w:rPr>
                <w:rFonts w:hint="eastAsia" w:ascii="宋体" w:hAnsi="宋体" w:cs="宋体"/>
                <w:szCs w:val="21"/>
              </w:rPr>
              <w:t>4、合页：阻尼铰链，防腐蚀，无噪音，强度好，不折断，柜门开启角度可达110度。</w:t>
            </w:r>
          </w:p>
          <w:p>
            <w:pPr>
              <w:rPr>
                <w:rFonts w:hint="eastAsia" w:ascii="宋体" w:hAnsi="宋体" w:cs="宋体"/>
                <w:color w:val="000000"/>
                <w:sz w:val="24"/>
              </w:rPr>
            </w:pPr>
          </w:p>
          <w:p>
            <w:pPr>
              <w:rPr>
                <w:rFonts w:ascii="宋体" w:hAnsi="宋体" w:cs="宋体"/>
                <w:color w:val="000000"/>
                <w:sz w:val="24"/>
              </w:rPr>
            </w:pPr>
            <w:r>
              <w:rPr>
                <w:rFonts w:hint="eastAsia" w:ascii="宋体" w:hAnsi="宋体" w:cs="宋体"/>
                <w:color w:val="000000"/>
                <w:sz w:val="24"/>
              </w:rPr>
              <w:t>递交样品</w:t>
            </w:r>
          </w:p>
        </w:tc>
        <w:tc>
          <w:tcPr>
            <w:tcW w:w="640" w:type="dxa"/>
            <w:vAlign w:val="center"/>
          </w:tcPr>
          <w:p>
            <w:pPr>
              <w:rPr>
                <w:szCs w:val="21"/>
              </w:rPr>
            </w:pPr>
            <w:r>
              <w:rPr>
                <w:rFonts w:hint="eastAsia"/>
                <w:szCs w:val="21"/>
              </w:rPr>
              <w:t>组</w:t>
            </w:r>
          </w:p>
        </w:tc>
        <w:tc>
          <w:tcPr>
            <w:tcW w:w="636" w:type="dxa"/>
            <w:vAlign w:val="center"/>
          </w:tcPr>
          <w:p>
            <w:pPr>
              <w:rPr>
                <w:szCs w:val="21"/>
              </w:rPr>
            </w:pPr>
            <w:r>
              <w:rPr>
                <w:rFonts w:hint="eastAsia"/>
                <w:szCs w:val="21"/>
              </w:rPr>
              <w:t>8</w:t>
            </w:r>
          </w:p>
        </w:tc>
        <w:tc>
          <w:tcPr>
            <w:tcW w:w="793" w:type="dxa"/>
            <w:vAlign w:val="center"/>
          </w:tcPr>
          <w:p>
            <w:pPr>
              <w:rPr>
                <w:szCs w:val="21"/>
              </w:rPr>
            </w:pPr>
            <w:r>
              <w:rPr>
                <w:rFonts w:hint="eastAsia"/>
                <w:szCs w:val="21"/>
              </w:rPr>
              <w:t>5616</w:t>
            </w:r>
          </w:p>
        </w:tc>
        <w:tc>
          <w:tcPr>
            <w:tcW w:w="851" w:type="dxa"/>
            <w:vAlign w:val="center"/>
          </w:tcPr>
          <w:p>
            <w:pPr>
              <w:rPr>
                <w:szCs w:val="21"/>
              </w:rPr>
            </w:pPr>
            <w:bookmarkStart w:id="6" w:name="OLE_LINK15"/>
            <w:r>
              <w:rPr>
                <w:rFonts w:hint="eastAsia"/>
                <w:szCs w:val="21"/>
              </w:rPr>
              <w:t>44928</w:t>
            </w:r>
            <w:bookmarkEnd w:id="6"/>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720" w:type="dxa"/>
            <w:vAlign w:val="center"/>
          </w:tcPr>
          <w:p>
            <w:pPr>
              <w:numPr>
                <w:ilvl w:val="0"/>
                <w:numId w:val="1"/>
              </w:numPr>
              <w:jc w:val="center"/>
              <w:rPr>
                <w:szCs w:val="21"/>
              </w:rPr>
            </w:pPr>
          </w:p>
        </w:tc>
        <w:tc>
          <w:tcPr>
            <w:tcW w:w="1053" w:type="dxa"/>
            <w:shd w:val="clear" w:color="auto" w:fill="auto"/>
            <w:vAlign w:val="center"/>
          </w:tcPr>
          <w:p>
            <w:pPr>
              <w:widowControl/>
              <w:rPr>
                <w:szCs w:val="21"/>
              </w:rPr>
            </w:pPr>
            <w:r>
              <w:rPr>
                <w:rFonts w:hint="eastAsia" w:ascii="宋体" w:hAnsi="宋体" w:cs="宋体"/>
                <w:color w:val="000000"/>
                <w:sz w:val="24"/>
              </w:rPr>
              <w:t>吊柜2</w:t>
            </w:r>
          </w:p>
        </w:tc>
        <w:tc>
          <w:tcPr>
            <w:tcW w:w="3553" w:type="dxa"/>
            <w:shd w:val="clear" w:color="auto" w:fill="auto"/>
            <w:vAlign w:val="center"/>
          </w:tcPr>
          <w:p>
            <w:pPr>
              <w:rPr>
                <w:rFonts w:ascii="宋体" w:hAnsi="宋体" w:cs="宋体"/>
                <w:color w:val="000000"/>
                <w:sz w:val="24"/>
              </w:rPr>
            </w:pPr>
            <w:r>
              <w:rPr>
                <w:rFonts w:hint="eastAsia" w:ascii="宋体" w:hAnsi="宋体" w:cs="宋体"/>
                <w:szCs w:val="21"/>
              </w:rPr>
              <w:t>规格：</w:t>
            </w:r>
            <w:r>
              <w:rPr>
                <w:rFonts w:hint="eastAsia" w:ascii="宋体" w:hAnsi="宋体" w:cs="宋体"/>
                <w:color w:val="000000"/>
                <w:sz w:val="24"/>
              </w:rPr>
              <w:t>2850*600*600</w:t>
            </w:r>
          </w:p>
          <w:p>
            <w:pPr>
              <w:rPr>
                <w:rFonts w:ascii="宋体" w:hAnsi="宋体" w:cs="宋体"/>
                <w:color w:val="000000"/>
                <w:sz w:val="24"/>
              </w:rPr>
            </w:pPr>
            <w:r>
              <w:rPr>
                <w:rFonts w:hint="eastAsia" w:ascii="宋体" w:hAnsi="宋体" w:cs="宋体"/>
                <w:szCs w:val="21"/>
              </w:rPr>
              <w:t>技术要求同吊柜1</w:t>
            </w:r>
          </w:p>
        </w:tc>
        <w:tc>
          <w:tcPr>
            <w:tcW w:w="640" w:type="dxa"/>
            <w:shd w:val="clear" w:color="auto" w:fill="auto"/>
            <w:vAlign w:val="center"/>
          </w:tcPr>
          <w:p>
            <w:pPr>
              <w:rPr>
                <w:szCs w:val="21"/>
              </w:rPr>
            </w:pPr>
            <w:r>
              <w:rPr>
                <w:rFonts w:hint="eastAsia"/>
                <w:szCs w:val="21"/>
              </w:rPr>
              <w:t>组</w:t>
            </w:r>
          </w:p>
        </w:tc>
        <w:tc>
          <w:tcPr>
            <w:tcW w:w="636" w:type="dxa"/>
            <w:shd w:val="clear" w:color="auto" w:fill="auto"/>
            <w:vAlign w:val="center"/>
          </w:tcPr>
          <w:p>
            <w:pPr>
              <w:rPr>
                <w:szCs w:val="21"/>
              </w:rPr>
            </w:pPr>
            <w:r>
              <w:rPr>
                <w:rFonts w:hint="eastAsia"/>
                <w:szCs w:val="21"/>
              </w:rPr>
              <w:t>4</w:t>
            </w:r>
          </w:p>
        </w:tc>
        <w:tc>
          <w:tcPr>
            <w:tcW w:w="793" w:type="dxa"/>
            <w:shd w:val="clear" w:color="auto" w:fill="auto"/>
            <w:vAlign w:val="center"/>
          </w:tcPr>
          <w:p>
            <w:pPr>
              <w:rPr>
                <w:szCs w:val="21"/>
              </w:rPr>
            </w:pPr>
            <w:r>
              <w:rPr>
                <w:rFonts w:hint="eastAsia"/>
                <w:szCs w:val="21"/>
              </w:rPr>
              <w:t>4446</w:t>
            </w:r>
          </w:p>
        </w:tc>
        <w:tc>
          <w:tcPr>
            <w:tcW w:w="851" w:type="dxa"/>
            <w:vAlign w:val="center"/>
          </w:tcPr>
          <w:p>
            <w:pPr>
              <w:rPr>
                <w:szCs w:val="21"/>
              </w:rPr>
            </w:pPr>
            <w:bookmarkStart w:id="7" w:name="OLE_LINK19"/>
            <w:bookmarkStart w:id="8" w:name="OLE_LINK20"/>
            <w:r>
              <w:rPr>
                <w:rFonts w:hint="eastAsia"/>
                <w:szCs w:val="21"/>
              </w:rPr>
              <w:t>17784</w:t>
            </w:r>
            <w:bookmarkEnd w:id="7"/>
            <w:bookmarkEnd w:id="8"/>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720" w:type="dxa"/>
            <w:vAlign w:val="center"/>
          </w:tcPr>
          <w:p>
            <w:pPr>
              <w:numPr>
                <w:ilvl w:val="0"/>
                <w:numId w:val="1"/>
              </w:numPr>
              <w:jc w:val="center"/>
              <w:rPr>
                <w:szCs w:val="21"/>
              </w:rPr>
            </w:pPr>
          </w:p>
        </w:tc>
        <w:tc>
          <w:tcPr>
            <w:tcW w:w="1053" w:type="dxa"/>
            <w:shd w:val="clear" w:color="auto" w:fill="auto"/>
            <w:vAlign w:val="center"/>
          </w:tcPr>
          <w:p>
            <w:pPr>
              <w:widowControl/>
              <w:rPr>
                <w:szCs w:val="21"/>
              </w:rPr>
            </w:pPr>
            <w:r>
              <w:rPr>
                <w:rFonts w:hint="eastAsia" w:ascii="宋体" w:hAnsi="宋体" w:cs="宋体"/>
                <w:color w:val="000000"/>
                <w:sz w:val="24"/>
              </w:rPr>
              <w:t>吊柜3</w:t>
            </w:r>
          </w:p>
        </w:tc>
        <w:tc>
          <w:tcPr>
            <w:tcW w:w="3553" w:type="dxa"/>
            <w:shd w:val="clear" w:color="auto" w:fill="auto"/>
            <w:vAlign w:val="center"/>
          </w:tcPr>
          <w:p>
            <w:pPr>
              <w:rPr>
                <w:rFonts w:ascii="宋体" w:hAnsi="宋体" w:cs="宋体"/>
                <w:color w:val="000000"/>
                <w:sz w:val="24"/>
              </w:rPr>
            </w:pPr>
            <w:r>
              <w:rPr>
                <w:rFonts w:hint="eastAsia" w:ascii="宋体" w:hAnsi="宋体" w:cs="宋体"/>
                <w:szCs w:val="21"/>
              </w:rPr>
              <w:t>规格：</w:t>
            </w:r>
            <w:r>
              <w:rPr>
                <w:rFonts w:hint="eastAsia" w:ascii="宋体" w:hAnsi="宋体" w:cs="宋体"/>
                <w:color w:val="000000"/>
                <w:sz w:val="24"/>
              </w:rPr>
              <w:t>4000*300*600</w:t>
            </w:r>
          </w:p>
          <w:p>
            <w:pPr>
              <w:rPr>
                <w:rFonts w:ascii="宋体" w:hAnsi="宋体" w:cs="宋体"/>
                <w:color w:val="000000"/>
                <w:sz w:val="24"/>
              </w:rPr>
            </w:pPr>
            <w:r>
              <w:rPr>
                <w:rFonts w:hint="eastAsia" w:ascii="宋体" w:hAnsi="宋体" w:cs="宋体"/>
                <w:szCs w:val="21"/>
              </w:rPr>
              <w:t>技术要求同吊柜1</w:t>
            </w:r>
          </w:p>
        </w:tc>
        <w:tc>
          <w:tcPr>
            <w:tcW w:w="640" w:type="dxa"/>
            <w:shd w:val="clear" w:color="auto" w:fill="auto"/>
            <w:vAlign w:val="center"/>
          </w:tcPr>
          <w:p>
            <w:pPr>
              <w:rPr>
                <w:szCs w:val="21"/>
              </w:rPr>
            </w:pPr>
            <w:r>
              <w:rPr>
                <w:rFonts w:hint="eastAsia"/>
                <w:szCs w:val="21"/>
              </w:rPr>
              <w:t>组</w:t>
            </w:r>
          </w:p>
        </w:tc>
        <w:tc>
          <w:tcPr>
            <w:tcW w:w="636" w:type="dxa"/>
            <w:shd w:val="clear" w:color="auto" w:fill="auto"/>
            <w:vAlign w:val="center"/>
          </w:tcPr>
          <w:p>
            <w:pPr>
              <w:rPr>
                <w:szCs w:val="21"/>
              </w:rPr>
            </w:pPr>
            <w:r>
              <w:rPr>
                <w:rFonts w:hint="eastAsia"/>
                <w:szCs w:val="21"/>
              </w:rPr>
              <w:t>3</w:t>
            </w:r>
          </w:p>
        </w:tc>
        <w:tc>
          <w:tcPr>
            <w:tcW w:w="793" w:type="dxa"/>
            <w:shd w:val="clear" w:color="auto" w:fill="auto"/>
            <w:vAlign w:val="center"/>
          </w:tcPr>
          <w:p>
            <w:pPr>
              <w:rPr>
                <w:szCs w:val="21"/>
              </w:rPr>
            </w:pPr>
            <w:r>
              <w:rPr>
                <w:rFonts w:hint="eastAsia"/>
                <w:szCs w:val="21"/>
              </w:rPr>
              <w:t>3120</w:t>
            </w:r>
          </w:p>
        </w:tc>
        <w:tc>
          <w:tcPr>
            <w:tcW w:w="851" w:type="dxa"/>
            <w:vAlign w:val="center"/>
          </w:tcPr>
          <w:p>
            <w:pPr>
              <w:rPr>
                <w:szCs w:val="21"/>
              </w:rPr>
            </w:pPr>
            <w:bookmarkStart w:id="9" w:name="OLE_LINK16"/>
            <w:bookmarkStart w:id="10" w:name="OLE_LINK17"/>
            <w:r>
              <w:rPr>
                <w:rFonts w:hint="eastAsia"/>
                <w:szCs w:val="21"/>
              </w:rPr>
              <w:t>9360</w:t>
            </w:r>
            <w:bookmarkEnd w:id="9"/>
            <w:bookmarkEnd w:id="1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720" w:type="dxa"/>
            <w:shd w:val="clear" w:color="auto" w:fill="auto"/>
            <w:vAlign w:val="center"/>
          </w:tcPr>
          <w:p>
            <w:pPr>
              <w:numPr>
                <w:ilvl w:val="0"/>
                <w:numId w:val="1"/>
              </w:numPr>
              <w:jc w:val="center"/>
              <w:rPr>
                <w:szCs w:val="21"/>
              </w:rPr>
            </w:pPr>
          </w:p>
        </w:tc>
        <w:tc>
          <w:tcPr>
            <w:tcW w:w="1053" w:type="dxa"/>
            <w:shd w:val="clear" w:color="auto" w:fill="auto"/>
            <w:vAlign w:val="center"/>
          </w:tcPr>
          <w:p>
            <w:pPr>
              <w:widowControl/>
              <w:rPr>
                <w:szCs w:val="21"/>
              </w:rPr>
            </w:pPr>
            <w:r>
              <w:rPr>
                <w:rFonts w:hint="eastAsia" w:ascii="宋体" w:hAnsi="宋体" w:cs="宋体"/>
                <w:color w:val="000000"/>
                <w:sz w:val="24"/>
              </w:rPr>
              <w:t>吊柜4</w:t>
            </w:r>
          </w:p>
        </w:tc>
        <w:tc>
          <w:tcPr>
            <w:tcW w:w="3553" w:type="dxa"/>
            <w:shd w:val="clear" w:color="auto" w:fill="auto"/>
            <w:vAlign w:val="center"/>
          </w:tcPr>
          <w:p>
            <w:pPr>
              <w:rPr>
                <w:rFonts w:ascii="宋体" w:hAnsi="宋体" w:cs="宋体"/>
                <w:color w:val="000000"/>
                <w:sz w:val="24"/>
              </w:rPr>
            </w:pPr>
            <w:r>
              <w:rPr>
                <w:rFonts w:hint="eastAsia" w:ascii="宋体" w:hAnsi="宋体" w:cs="宋体"/>
                <w:szCs w:val="21"/>
              </w:rPr>
              <w:t>规格：</w:t>
            </w:r>
            <w:r>
              <w:rPr>
                <w:rFonts w:hint="eastAsia" w:ascii="宋体" w:hAnsi="宋体" w:cs="宋体"/>
                <w:color w:val="000000"/>
                <w:sz w:val="24"/>
              </w:rPr>
              <w:t>3000*300*600</w:t>
            </w:r>
          </w:p>
          <w:p>
            <w:pPr>
              <w:rPr>
                <w:rFonts w:ascii="宋体" w:hAnsi="宋体" w:cs="宋体"/>
                <w:color w:val="000000"/>
                <w:sz w:val="24"/>
              </w:rPr>
            </w:pPr>
            <w:r>
              <w:rPr>
                <w:rFonts w:hint="eastAsia" w:ascii="宋体" w:hAnsi="宋体" w:cs="宋体"/>
                <w:szCs w:val="21"/>
              </w:rPr>
              <w:t>技术要求同吊柜1</w:t>
            </w:r>
          </w:p>
        </w:tc>
        <w:tc>
          <w:tcPr>
            <w:tcW w:w="640" w:type="dxa"/>
            <w:shd w:val="clear" w:color="auto" w:fill="auto"/>
            <w:vAlign w:val="center"/>
          </w:tcPr>
          <w:p>
            <w:pPr>
              <w:rPr>
                <w:szCs w:val="21"/>
              </w:rPr>
            </w:pPr>
            <w:r>
              <w:rPr>
                <w:rFonts w:hint="eastAsia"/>
                <w:szCs w:val="21"/>
              </w:rPr>
              <w:t>组</w:t>
            </w:r>
          </w:p>
        </w:tc>
        <w:tc>
          <w:tcPr>
            <w:tcW w:w="636" w:type="dxa"/>
            <w:shd w:val="clear" w:color="auto" w:fill="auto"/>
            <w:vAlign w:val="center"/>
          </w:tcPr>
          <w:p>
            <w:pPr>
              <w:rPr>
                <w:szCs w:val="21"/>
              </w:rPr>
            </w:pPr>
            <w:r>
              <w:rPr>
                <w:rFonts w:hint="eastAsia"/>
                <w:szCs w:val="21"/>
              </w:rPr>
              <w:t>1</w:t>
            </w:r>
          </w:p>
        </w:tc>
        <w:tc>
          <w:tcPr>
            <w:tcW w:w="793" w:type="dxa"/>
            <w:shd w:val="clear" w:color="auto" w:fill="auto"/>
            <w:vAlign w:val="center"/>
          </w:tcPr>
          <w:p>
            <w:pPr>
              <w:rPr>
                <w:szCs w:val="21"/>
              </w:rPr>
            </w:pPr>
            <w:r>
              <w:rPr>
                <w:rFonts w:hint="eastAsia"/>
                <w:szCs w:val="21"/>
              </w:rPr>
              <w:t>2340</w:t>
            </w:r>
          </w:p>
        </w:tc>
        <w:tc>
          <w:tcPr>
            <w:tcW w:w="851" w:type="dxa"/>
            <w:shd w:val="clear" w:color="auto" w:fill="auto"/>
            <w:vAlign w:val="center"/>
          </w:tcPr>
          <w:p>
            <w:pPr>
              <w:rPr>
                <w:szCs w:val="21"/>
              </w:rPr>
            </w:pPr>
            <w:r>
              <w:rPr>
                <w:rFonts w:hint="eastAsia"/>
                <w:szCs w:val="21"/>
              </w:rPr>
              <w:t>2340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25" w:hRule="atLeast"/>
          <w:jc w:val="center"/>
        </w:trPr>
        <w:tc>
          <w:tcPr>
            <w:tcW w:w="720" w:type="dxa"/>
            <w:vMerge w:val="restart"/>
            <w:shd w:val="clear" w:color="auto" w:fill="auto"/>
            <w:vAlign w:val="center"/>
          </w:tcPr>
          <w:p>
            <w:pPr>
              <w:numPr>
                <w:ilvl w:val="0"/>
                <w:numId w:val="1"/>
              </w:numPr>
              <w:jc w:val="center"/>
              <w:rPr>
                <w:szCs w:val="21"/>
              </w:rPr>
            </w:pPr>
          </w:p>
        </w:tc>
        <w:tc>
          <w:tcPr>
            <w:tcW w:w="1053" w:type="dxa"/>
            <w:vMerge w:val="restart"/>
            <w:shd w:val="clear" w:color="auto" w:fill="auto"/>
            <w:vAlign w:val="center"/>
          </w:tcPr>
          <w:p>
            <w:pPr>
              <w:widowControl/>
              <w:rPr>
                <w:rFonts w:ascii="宋体" w:hAnsi="宋体" w:cs="宋体"/>
                <w:color w:val="000000"/>
                <w:sz w:val="24"/>
              </w:rPr>
            </w:pPr>
            <w:r>
              <w:rPr>
                <w:rFonts w:hint="eastAsia" w:ascii="宋体" w:hAnsi="宋体" w:cs="宋体"/>
                <w:color w:val="000000"/>
                <w:sz w:val="24"/>
              </w:rPr>
              <w:t>水池柜1</w:t>
            </w:r>
          </w:p>
        </w:tc>
        <w:tc>
          <w:tcPr>
            <w:tcW w:w="3553" w:type="dxa"/>
            <w:vMerge w:val="restart"/>
            <w:shd w:val="clear" w:color="auto" w:fill="auto"/>
            <w:vAlign w:val="center"/>
          </w:tcPr>
          <w:p>
            <w:pPr>
              <w:rPr>
                <w:rFonts w:ascii="宋体" w:hAnsi="宋体" w:cs="宋体"/>
                <w:szCs w:val="21"/>
              </w:rPr>
            </w:pPr>
            <w:r>
              <w:rPr>
                <w:rFonts w:hint="eastAsia" w:ascii="宋体" w:hAnsi="宋体" w:cs="宋体"/>
                <w:szCs w:val="21"/>
              </w:rPr>
              <w:t>规格：1500*750*850</w:t>
            </w:r>
          </w:p>
          <w:p>
            <w:pPr>
              <w:rPr>
                <w:szCs w:val="21"/>
              </w:rPr>
            </w:pPr>
            <w:r>
              <w:rPr>
                <w:rFonts w:hint="eastAsia"/>
                <w:szCs w:val="21"/>
              </w:rPr>
              <w:t>1、★实验台整体均为落地式结构，均采用一级冷轧钢板（盒板)，裸板1.0 mm厚。安全性能参照GB/T 24820-2024 《实验室家具通用技术条件》执行、外观及外观性能，理化性能参照QB/T 1951.2-2013 《金属家具质量检验及质量评定》执行。</w:t>
            </w:r>
          </w:p>
          <w:p>
            <w:pPr>
              <w:rPr>
                <w:szCs w:val="21"/>
              </w:rPr>
            </w:pPr>
            <w:r>
              <w:rPr>
                <w:rFonts w:hint="eastAsia"/>
                <w:szCs w:val="21"/>
              </w:rPr>
              <w:t>上述尺寸误差≤3mm。邻边垂直度：台面对角线1000mm以内的允许误差值≤3mm，2000 mm以内的允许误差值≤4mm，3000mm以内的允许误差值≤5mm。地角平稳度≤2mm。</w:t>
            </w:r>
          </w:p>
          <w:p>
            <w:pPr>
              <w:rPr>
                <w:szCs w:val="21"/>
              </w:rPr>
            </w:pPr>
            <w:r>
              <w:rPr>
                <w:rFonts w:hint="eastAsia"/>
                <w:szCs w:val="21"/>
              </w:rPr>
              <w:t>2、★钢部件表面必须经酸洗磷化并由环氧树脂塑粉高温固化处理，喷涂材料选用国际知名品牌粉末喷塑，各种配件应作除锈和防腐处理喷涂后的金属表面能达到如下性能：</w:t>
            </w:r>
          </w:p>
          <w:p>
            <w:pPr>
              <w:rPr>
                <w:szCs w:val="21"/>
              </w:rPr>
            </w:pPr>
            <w:r>
              <w:rPr>
                <w:rFonts w:hint="eastAsia"/>
                <w:szCs w:val="21"/>
              </w:rPr>
              <w:t>湿度性能：88°C -96°C热水45度角冲淋5分钟没有变化。</w:t>
            </w:r>
          </w:p>
          <w:p>
            <w:pPr>
              <w:rPr>
                <w:szCs w:val="21"/>
              </w:rPr>
            </w:pPr>
            <w:r>
              <w:rPr>
                <w:rFonts w:hint="eastAsia"/>
                <w:szCs w:val="21"/>
              </w:rPr>
              <w:t>抗冲击性能：重量1ib的球304.8mm高度跌落到水平漆面，无裂纹或龟裂</w:t>
            </w:r>
          </w:p>
          <w:p>
            <w:pPr>
              <w:rPr>
                <w:szCs w:val="21"/>
              </w:rPr>
            </w:pPr>
            <w:r>
              <w:rPr>
                <w:rFonts w:hint="eastAsia"/>
                <w:szCs w:val="21"/>
              </w:rPr>
              <w:t>附着性能：交叉刻画（2mm X 2mm)各六条，漆膜完整。</w:t>
            </w:r>
          </w:p>
          <w:p>
            <w:pPr>
              <w:rPr>
                <w:szCs w:val="21"/>
              </w:rPr>
            </w:pPr>
            <w:r>
              <w:rPr>
                <w:rFonts w:hint="eastAsia"/>
                <w:szCs w:val="21"/>
              </w:rPr>
              <w:t>硬度性能：参照GB T4340.1-2024 金属材料维氏硬度试验第1部分：试验方法检测，需提供检测报告。</w:t>
            </w:r>
          </w:p>
          <w:p>
            <w:pPr>
              <w:rPr>
                <w:szCs w:val="21"/>
              </w:rPr>
            </w:pPr>
            <w:r>
              <w:rPr>
                <w:rFonts w:hint="eastAsia"/>
                <w:szCs w:val="21"/>
              </w:rPr>
              <w:t>耐腐蚀及耐酸碱功能：检验项目包含：①外观性能要求,②抗盐雾（120h，直径1.5mm以下锈点≤20点/dm2，其中直径≥1.0mm锈点不超过5点，达到10级）。</w:t>
            </w:r>
          </w:p>
          <w:p>
            <w:pPr>
              <w:rPr>
                <w:szCs w:val="21"/>
              </w:rPr>
            </w:pPr>
            <w:r>
              <w:rPr>
                <w:rFonts w:hint="eastAsia"/>
                <w:szCs w:val="21"/>
              </w:rPr>
              <w:t>3.★物理性能：柜体采用整柜焊接，非散件组装，单柜斜向对角抬起推拉无变形情况。</w:t>
            </w:r>
          </w:p>
          <w:p>
            <w:pPr>
              <w:rPr>
                <w:szCs w:val="21"/>
              </w:rPr>
            </w:pPr>
            <w:r>
              <w:rPr>
                <w:rFonts w:hint="eastAsia"/>
                <w:szCs w:val="21"/>
              </w:rPr>
              <w:t>硬件的结构强度和性能特征满足以下标准：</w:t>
            </w:r>
          </w:p>
          <w:p>
            <w:pPr>
              <w:rPr>
                <w:szCs w:val="21"/>
              </w:rPr>
            </w:pPr>
            <w:r>
              <w:rPr>
                <w:rFonts w:hint="eastAsia"/>
                <w:szCs w:val="21"/>
              </w:rPr>
              <w:t>落地式底柜柜体承重≥900kg；</w:t>
            </w:r>
          </w:p>
          <w:p>
            <w:pPr>
              <w:rPr>
                <w:szCs w:val="21"/>
              </w:rPr>
            </w:pPr>
            <w:r>
              <w:rPr>
                <w:rFonts w:hint="eastAsia"/>
                <w:szCs w:val="21"/>
              </w:rPr>
              <w:t>门片及铰链荷重≥90kg；</w:t>
            </w:r>
          </w:p>
          <w:p>
            <w:pPr>
              <w:rPr>
                <w:szCs w:val="21"/>
              </w:rPr>
            </w:pPr>
            <w:r>
              <w:rPr>
                <w:rFonts w:hint="eastAsia"/>
                <w:szCs w:val="21"/>
              </w:rPr>
              <w:t>抽屉静态荷重≥68kg；</w:t>
            </w:r>
          </w:p>
          <w:p>
            <w:pPr>
              <w:rPr>
                <w:szCs w:val="21"/>
              </w:rPr>
            </w:pPr>
            <w:r>
              <w:rPr>
                <w:rFonts w:hint="eastAsia"/>
                <w:szCs w:val="21"/>
              </w:rPr>
              <w:t>层板荷重≥90kg。</w:t>
            </w:r>
          </w:p>
          <w:p>
            <w:pPr>
              <w:rPr>
                <w:szCs w:val="21"/>
              </w:rPr>
            </w:pPr>
            <w:r>
              <w:rPr>
                <w:rFonts w:hint="eastAsia"/>
                <w:szCs w:val="21"/>
              </w:rPr>
              <w:t>抽屉耐久性，在抽屉上加载0.2 ko/dm。抽屉从完全关闭位置打开至推拉件长度(深度)的三分之一或至少100mm保留在组件内的位置。以大约0.25 m/s的速率开合抽屉不少于70000次。</w:t>
            </w:r>
          </w:p>
          <w:p>
            <w:pPr>
              <w:rPr>
                <w:szCs w:val="21"/>
              </w:rPr>
            </w:pPr>
            <w:r>
              <w:rPr>
                <w:rFonts w:hint="eastAsia"/>
                <w:szCs w:val="21"/>
              </w:rPr>
              <w:t>4、门与门、门与抽屉缝隙或间隔为1mm～2mm，沿线长度与板长误差≤0.2mm，过线孔尺寸误差≤0.5mm，抽屉抽出后下垂≤20mm，摆动≤10mm，台面倒角要均匀一致，倒角半径为1mm。</w:t>
            </w:r>
          </w:p>
          <w:p>
            <w:pPr>
              <w:rPr>
                <w:szCs w:val="21"/>
              </w:rPr>
            </w:pPr>
            <w:r>
              <w:rPr>
                <w:rFonts w:hint="eastAsia"/>
                <w:szCs w:val="21"/>
              </w:rPr>
              <w:t>5、扣手：采用裸板1.0 mm厚钢板经机械冲压制作，其中间断凸起向下延伸10mm。外形与柜门形状一致。采用套色组合式设计。</w:t>
            </w:r>
          </w:p>
          <w:p>
            <w:pPr>
              <w:rPr>
                <w:szCs w:val="21"/>
              </w:rPr>
            </w:pPr>
            <w:r>
              <w:rPr>
                <w:rFonts w:hint="eastAsia"/>
                <w:szCs w:val="21"/>
              </w:rPr>
              <w:t>6、滑轨：DTC牌三段式滑轨，开关轻盈无噪音。</w:t>
            </w:r>
          </w:p>
          <w:p>
            <w:pPr>
              <w:rPr>
                <w:szCs w:val="21"/>
              </w:rPr>
            </w:pPr>
            <w:r>
              <w:rPr>
                <w:rFonts w:hint="eastAsia"/>
                <w:szCs w:val="21"/>
              </w:rPr>
              <w:t>7、合页：才用304材质制作，抗酸碱耐腐蚀，使用年限长。</w:t>
            </w:r>
          </w:p>
          <w:p>
            <w:pPr>
              <w:rPr>
                <w:szCs w:val="21"/>
              </w:rPr>
            </w:pPr>
            <w:r>
              <w:rPr>
                <w:rFonts w:hint="eastAsia"/>
                <w:szCs w:val="21"/>
              </w:rPr>
              <w:t>8、台面：材质：≥20mm厚陶瓷台面，技术要求同实验台。</w:t>
            </w:r>
          </w:p>
          <w:p>
            <w:pPr>
              <w:rPr>
                <w:szCs w:val="21"/>
              </w:rPr>
            </w:pPr>
          </w:p>
          <w:p>
            <w:pPr>
              <w:rPr>
                <w:szCs w:val="21"/>
              </w:rPr>
            </w:pPr>
            <w:r>
              <w:rPr>
                <w:rFonts w:hint="eastAsia"/>
                <w:szCs w:val="21"/>
              </w:rPr>
              <w:t>实验室龙头</w:t>
            </w:r>
          </w:p>
          <w:p>
            <w:pPr>
              <w:rPr>
                <w:szCs w:val="21"/>
              </w:rPr>
            </w:pPr>
            <w:r>
              <w:rPr>
                <w:rFonts w:hint="eastAsia"/>
                <w:szCs w:val="21"/>
              </w:rPr>
              <w:t>1、★依据QB/T 1334-2013，对外观、表面性能、螺纹、耐压性能、密封性能、流量、寿命等项目，全部检测判定为合格，需提供带有CMA、CNAS和ilac-MRA的第三方权威机构出具的检测报告。</w:t>
            </w:r>
          </w:p>
          <w:p>
            <w:pPr>
              <w:rPr>
                <w:szCs w:val="21"/>
              </w:rPr>
            </w:pPr>
            <w:r>
              <w:rPr>
                <w:rFonts w:hint="eastAsia"/>
                <w:szCs w:val="21"/>
              </w:rPr>
              <w:t>2、★水龙头需提供中国节水产品 cQc 认证证书且具有流量≤4.5L/in 的1级中国水效标识认证。</w:t>
            </w:r>
          </w:p>
          <w:p>
            <w:pPr>
              <w:rPr>
                <w:szCs w:val="21"/>
              </w:rPr>
            </w:pPr>
            <w:r>
              <w:rPr>
                <w:rFonts w:hint="eastAsia"/>
                <w:szCs w:val="21"/>
              </w:rPr>
              <w:t>3、产品描述：涂层：高亮度环氧树脂涂层，耐腐蚀、耐热、防紫外线辐射。陶瓷阀芯90°旋转，使用寿命开关65万次以上。</w:t>
            </w:r>
          </w:p>
          <w:p>
            <w:pPr>
              <w:rPr>
                <w:szCs w:val="21"/>
              </w:rPr>
            </w:pPr>
            <w:r>
              <w:rPr>
                <w:rFonts w:hint="eastAsia"/>
                <w:szCs w:val="21"/>
              </w:rPr>
              <w:t>主体采用H63加厚铜管制作，整体高度≥585mm，重量≥1740g，直管管径Φ26*1.2mm，臂管管径Φ22*1.2mm，鹅颈管管径Φ19*1.0mm，可360°旋转，固定底座直径≥55mm，底座锁母与台面中间添加齿形止退垫，使连接后不易松动稳定性强，与台面安装牢固。</w:t>
            </w:r>
          </w:p>
          <w:p>
            <w:pPr>
              <w:rPr>
                <w:szCs w:val="21"/>
              </w:rPr>
            </w:pPr>
            <w:r>
              <w:rPr>
                <w:rFonts w:hint="eastAsia"/>
                <w:szCs w:val="21"/>
              </w:rPr>
              <w:t>4、实验室水龙头把手内置开关颜色装置，绿色为安全关闭状态，红色为开启使用状态，在停水的情况下快速了解水龙头的启闭情况。</w:t>
            </w:r>
          </w:p>
          <w:p>
            <w:pPr>
              <w:rPr>
                <w:szCs w:val="21"/>
              </w:rPr>
            </w:pPr>
            <w:r>
              <w:rPr>
                <w:rFonts w:hint="eastAsia"/>
                <w:szCs w:val="21"/>
              </w:rPr>
              <w:t>5、对实验室安全性，节水性要求的需要，水龙头配件好坏对实验尤为重要，投标人投标时须提供水龙头以下证书和检测报告：</w:t>
            </w:r>
          </w:p>
          <w:p>
            <w:pPr>
              <w:ind w:firstLine="210" w:firstLineChars="100"/>
              <w:rPr>
                <w:szCs w:val="21"/>
              </w:rPr>
            </w:pPr>
            <w:r>
              <w:rPr>
                <w:rFonts w:hint="eastAsia"/>
                <w:szCs w:val="21"/>
              </w:rPr>
              <w:t>a、实验室化验水龙头经评价，服务能力达到GB/T27922-2011《商品售后服务评价体系》规定的五星级要求，需提供售后服务认证证书。</w:t>
            </w:r>
          </w:p>
          <w:p>
            <w:pPr>
              <w:ind w:firstLine="210" w:firstLineChars="100"/>
              <w:rPr>
                <w:szCs w:val="21"/>
              </w:rPr>
            </w:pPr>
            <w:r>
              <w:rPr>
                <w:rFonts w:hint="eastAsia"/>
                <w:szCs w:val="21"/>
              </w:rPr>
              <w:t>b、水龙头用橡胶密封圈依据GB/T 7759.1—2015方法，在-10℃经过24h测试，检测压缩永久变形，要求形变不超过20%，符合要求。需提供第三方检测机构出具的检验报告。</w:t>
            </w:r>
          </w:p>
          <w:p>
            <w:pPr>
              <w:ind w:firstLine="210" w:firstLineChars="100"/>
              <w:rPr>
                <w:szCs w:val="21"/>
              </w:rPr>
            </w:pPr>
            <w:r>
              <w:rPr>
                <w:rFonts w:hint="eastAsia"/>
                <w:szCs w:val="21"/>
              </w:rPr>
              <w:t>c、水龙头检测表面耐腐蚀性能，依据GB/T 10125-2021 进行816h中性盐雾试验，结果为10级。</w:t>
            </w:r>
          </w:p>
          <w:p>
            <w:pPr>
              <w:ind w:firstLine="210" w:firstLineChars="100"/>
              <w:rPr>
                <w:szCs w:val="21"/>
              </w:rPr>
            </w:pPr>
            <w:r>
              <w:rPr>
                <w:rFonts w:hint="eastAsia"/>
                <w:szCs w:val="21"/>
              </w:rPr>
              <w:t>d、水龙头符合GB/T 5237.4-2017标准，在高温85℃，相对湿度50%，1000小时情况下检测高温高湿项目，结果无变化。检测加速耐侯性1000h，光泽保持率大于70%。（需提供CNAS或CMA国家认可的第三方权威机构出具的检测报告）。</w:t>
            </w:r>
          </w:p>
          <w:p>
            <w:pPr>
              <w:rPr>
                <w:szCs w:val="21"/>
              </w:rPr>
            </w:pPr>
            <w:r>
              <w:rPr>
                <w:rFonts w:hint="eastAsia"/>
                <w:szCs w:val="21"/>
              </w:rPr>
              <w:t>e、符合GB 18145-2014 标准。</w:t>
            </w:r>
          </w:p>
          <w:p>
            <w:pPr>
              <w:ind w:firstLine="210" w:firstLineChars="100"/>
              <w:rPr>
                <w:szCs w:val="21"/>
              </w:rPr>
            </w:pPr>
            <w:r>
              <w:rPr>
                <w:rFonts w:hint="eastAsia"/>
                <w:szCs w:val="21"/>
              </w:rPr>
              <w:t>f 、符合GB/T228.1-2021，断后伸长率≤55.5A，规定塑性延伸强度≥160MPa,需提供带有CMA、CNAS和ilac-MRA标志的检测报告。</w:t>
            </w:r>
          </w:p>
          <w:p>
            <w:pPr>
              <w:ind w:firstLine="210" w:firstLineChars="100"/>
              <w:rPr>
                <w:szCs w:val="21"/>
              </w:rPr>
            </w:pPr>
            <w:r>
              <w:rPr>
                <w:rFonts w:hint="eastAsia"/>
                <w:szCs w:val="21"/>
              </w:rPr>
              <w:t>g、符合GB/T1036-2008，线性热膨胀≤33.3，需提供带有CMA、CNAS和ilac-MRA标志的检测报告。</w:t>
            </w:r>
          </w:p>
          <w:p>
            <w:pPr>
              <w:rPr>
                <w:szCs w:val="21"/>
              </w:rPr>
            </w:pPr>
          </w:p>
          <w:p>
            <w:pPr>
              <w:rPr>
                <w:szCs w:val="21"/>
              </w:rPr>
            </w:pPr>
            <w:r>
              <w:rPr>
                <w:rFonts w:hint="eastAsia"/>
                <w:szCs w:val="21"/>
              </w:rPr>
              <w:t>实验室化验水槽</w:t>
            </w:r>
          </w:p>
          <w:p>
            <w:pPr>
              <w:rPr>
                <w:szCs w:val="21"/>
              </w:rPr>
            </w:pPr>
            <w:r>
              <w:rPr>
                <w:rFonts w:hint="eastAsia"/>
                <w:szCs w:val="21"/>
              </w:rPr>
              <w:t>1、★耐液体化学试剂：饱和乙二酸、二噁烷、环己酮、甲酸7：氯化锌2：水1，分别浸泡48h，表面未见变化。5%磷酸氢二钠、草酸、98%硫酸、95%甲酸、10%乳酸、N,N-二甲基乙酰胺、68%硝酸、77%硫酸和68%硝酸的混合物，分别浸泡48h，表面未见变化。（需提供国家认可的第三方权威机构出具的检验报告）。</w:t>
            </w:r>
          </w:p>
          <w:p>
            <w:pPr>
              <w:rPr>
                <w:szCs w:val="21"/>
              </w:rPr>
            </w:pPr>
            <w:r>
              <w:rPr>
                <w:rFonts w:hint="eastAsia"/>
                <w:szCs w:val="21"/>
              </w:rPr>
              <w:t>2、规格：长*宽*高 572mm*474mm*338mm。</w:t>
            </w:r>
          </w:p>
          <w:p>
            <w:pPr>
              <w:rPr>
                <w:szCs w:val="21"/>
              </w:rPr>
            </w:pPr>
            <w:r>
              <w:rPr>
                <w:rFonts w:hint="eastAsia"/>
                <w:szCs w:val="21"/>
              </w:rPr>
              <w:t>3、厚度：根据强度要求设计厚度为5mm-8mm，水槽底部加装导流线，防止出现存水现象。</w:t>
            </w:r>
          </w:p>
          <w:p>
            <w:pPr>
              <w:rPr>
                <w:szCs w:val="21"/>
              </w:rPr>
            </w:pPr>
            <w:r>
              <w:rPr>
                <w:rFonts w:hint="eastAsia"/>
                <w:szCs w:val="21"/>
              </w:rPr>
              <w:t>4、材质：采用优质全新高密度PP聚丙烯原包料，高压一体注塑成型，耐强酸强碱及有机溶液，化学稳定性良好，不易被化学试剂侵蚀；热力稳定性。</w:t>
            </w:r>
          </w:p>
          <w:p>
            <w:pPr>
              <w:rPr>
                <w:szCs w:val="21"/>
              </w:rPr>
            </w:pPr>
            <w:r>
              <w:rPr>
                <w:rFonts w:hint="eastAsia"/>
                <w:szCs w:val="21"/>
              </w:rPr>
              <w:t>5、符合GB/T16422.2-2014测试550h，检测结果等级4，无明显变化。需提供带有CMA、CNAS和ilac-MRA标志的检测报告。</w:t>
            </w:r>
          </w:p>
          <w:p>
            <w:pPr>
              <w:rPr>
                <w:szCs w:val="21"/>
              </w:rPr>
            </w:pPr>
            <w:r>
              <w:rPr>
                <w:rFonts w:hint="eastAsia"/>
                <w:szCs w:val="21"/>
              </w:rPr>
              <w:t>6、根据GB/T 2423.2-2008进行测试，环境条件28.14℃,64.9%RH,101kPa，在100℃的环境下放置24小时，外观无明显变化。投标人须提供第三方检测机构出具的检验报告。</w:t>
            </w:r>
          </w:p>
          <w:p>
            <w:pPr>
              <w:rPr>
                <w:szCs w:val="21"/>
              </w:rPr>
            </w:pPr>
            <w:r>
              <w:rPr>
                <w:rFonts w:hint="eastAsia"/>
                <w:szCs w:val="21"/>
              </w:rPr>
              <w:t>7、依据GB/T 17657测试高温180℃后，光线从不用角度照射条件，用正常视力观察试件，达到5级表面无明显变化。提供第三方权威机构检测报告。</w:t>
            </w:r>
          </w:p>
          <w:p>
            <w:pPr>
              <w:rPr>
                <w:szCs w:val="21"/>
              </w:rPr>
            </w:pPr>
          </w:p>
          <w:p>
            <w:pPr>
              <w:rPr>
                <w:szCs w:val="21"/>
              </w:rPr>
            </w:pPr>
            <w:r>
              <w:rPr>
                <w:rFonts w:hint="eastAsia"/>
                <w:szCs w:val="21"/>
              </w:rPr>
              <w:t>实验室台式洗眼器</w:t>
            </w:r>
          </w:p>
          <w:p>
            <w:pPr>
              <w:rPr>
                <w:szCs w:val="21"/>
              </w:rPr>
            </w:pPr>
            <w:r>
              <w:rPr>
                <w:rFonts w:hint="eastAsia"/>
                <w:szCs w:val="21"/>
              </w:rPr>
              <w:t>1、★配前置过滤器和流量调节装置，前置过滤器可去除管道内产生的沉淀杂质和细菌、微生物残骸、铁锈、泥沙等大于5微米以上的颗粒杂质；流量调节装置可任意调节水压大小，避免因水压过大冲伤眼睛和面部肌肤。</w:t>
            </w:r>
          </w:p>
          <w:p>
            <w:pPr>
              <w:rPr>
                <w:szCs w:val="21"/>
              </w:rPr>
            </w:pPr>
            <w:r>
              <w:rPr>
                <w:rFonts w:hint="eastAsia"/>
                <w:szCs w:val="21"/>
              </w:rPr>
              <w:t xml:space="preserve">2、洗眼器流量：工作压力0.20-0.40MPa，洗眼流量≥11.4/min。 </w:t>
            </w:r>
          </w:p>
          <w:p>
            <w:pPr>
              <w:rPr>
                <w:szCs w:val="21"/>
              </w:rPr>
            </w:pPr>
            <w:r>
              <w:rPr>
                <w:rFonts w:hint="eastAsia"/>
                <w:szCs w:val="21"/>
              </w:rPr>
              <w:t>3、开启方式：手动式。</w:t>
            </w:r>
          </w:p>
          <w:p>
            <w:pPr>
              <w:rPr>
                <w:szCs w:val="21"/>
              </w:rPr>
            </w:pPr>
            <w:r>
              <w:rPr>
                <w:rFonts w:hint="eastAsia"/>
                <w:szCs w:val="21"/>
              </w:rPr>
              <w:t>4、软管：供水软管长度 1.5米，软性 PVC 管外覆不锈钢网,外层包裹PE管，有效防止生锈、磨损、划手。软管接头管螺纹精度应符合GB/T 7307的要求，其中外螺纹精度等级应不低于B级。螺纹规格：G1/2,外螺纹m≥7mm。内螺纹m₂≥6mm，软管连接螺纹应能承受不小于20N·m的扭矩，经扭矩试验后螺纹应无裂纹、损坏，且应满足密封性的要求。密封性耐老化性耐压性测试软管各部位应无破裂、渗漏或其他缺陷。表面耐腐蚀涂镀件和不锈钢件按GB/T 10125进行24h乙酸盐雾实验(ASS)后，应不低于GB/T 6461-2002表1中外观评级(R₄)9级的要求。需提供带有CMA和CNAS的第三方权威机构出具的检测报告。</w:t>
            </w:r>
          </w:p>
          <w:p>
            <w:pPr>
              <w:rPr>
                <w:szCs w:val="21"/>
              </w:rPr>
            </w:pPr>
            <w:r>
              <w:rPr>
                <w:rFonts w:hint="eastAsia"/>
                <w:szCs w:val="21"/>
              </w:rPr>
              <w:t>5、主体加厚铜质，高度280mm，涂层表面为环氧树脂，耐腐蚀、耐弱酸、碱、盐溶液，防紫外线辐射。</w:t>
            </w:r>
          </w:p>
          <w:p>
            <w:pPr>
              <w:rPr>
                <w:szCs w:val="21"/>
              </w:rPr>
            </w:pPr>
            <w:r>
              <w:rPr>
                <w:rFonts w:hint="eastAsia"/>
                <w:szCs w:val="21"/>
              </w:rPr>
              <w:t>6、洗眼喷头采用不助燃材质铸模一体成型制作，具有过滤及防尘功能，上面防尘盖平时可防尘，使用时可被水冲开，降低突然打开的短暂高压，避免冲伤眼睛。</w:t>
            </w:r>
          </w:p>
          <w:p>
            <w:pPr>
              <w:rPr>
                <w:szCs w:val="21"/>
              </w:rPr>
            </w:pPr>
            <w:r>
              <w:rPr>
                <w:rFonts w:hint="eastAsia"/>
                <w:szCs w:val="21"/>
              </w:rPr>
              <w:t>7、洗眼器用橡胶密封圈依据GB/T 7759.1—2015方法，在-10℃经过24h测试，检测压缩永久变形，要求形变不超过20%，符合要求。需提供第三方检测机构出具的检验报告。</w:t>
            </w:r>
          </w:p>
          <w:p>
            <w:pPr>
              <w:rPr>
                <w:szCs w:val="21"/>
              </w:rPr>
            </w:pPr>
            <w:r>
              <w:rPr>
                <w:rFonts w:hint="eastAsia"/>
                <w:szCs w:val="21"/>
              </w:rPr>
              <w:t>8、洗眼器外层材料ABS，符合GB/T 11547-2008标准，耐腐蚀：王水、氢氧化钾（40%）、硫化钠（40%）、高锰酸钾（1%）、碘酒（2%）、红药水（2%）、甘醇（分析纯≥99.7%）、磷酸（85%）、等50种以上试剂检测。符合GB/T 16422.3-2014，在光照8h,冷凝4h,暴露时间72h情况下，测试光老化试验-紫外辐射暴露，外观无明显变化，结果≤0.20。需提供GTS第三方检测机构出具的检测报告。</w:t>
            </w:r>
          </w:p>
          <w:p>
            <w:pPr>
              <w:rPr>
                <w:szCs w:val="21"/>
              </w:rPr>
            </w:pPr>
            <w:r>
              <w:rPr>
                <w:rFonts w:hint="eastAsia"/>
                <w:szCs w:val="21"/>
              </w:rPr>
              <w:t>9、符合GB/T 23448-2019标准，水压≥3.5MPa，软管无破裂、 渗漏和其他缺陷，判定为合格，需提供带有CMA和CNAS的第三方权威机构出具的检测报告。</w:t>
            </w:r>
          </w:p>
          <w:p>
            <w:pPr>
              <w:rPr>
                <w:szCs w:val="21"/>
              </w:rPr>
            </w:pPr>
            <w:r>
              <w:rPr>
                <w:rFonts w:hint="eastAsia"/>
                <w:szCs w:val="21"/>
              </w:rPr>
              <w:t>10、符合GB/T 23448-2019标准，初始动压在0.3MPa,流速6L/min 保持5分钟，软管无破裂、 渗漏和其他缺陷，判定为合格，需提供带有CMA和CNAS的第三方权威机构出具的检测报告。</w:t>
            </w:r>
          </w:p>
          <w:p>
            <w:pPr>
              <w:rPr>
                <w:szCs w:val="21"/>
              </w:rPr>
            </w:pPr>
            <w:r>
              <w:rPr>
                <w:rFonts w:hint="eastAsia"/>
                <w:szCs w:val="21"/>
              </w:rPr>
              <w:t>11、符合GB/T1036-2008，线性热膨胀≤33.5，需提供带有CMA、CNAS和ilac-MRA标志的检测报告。</w:t>
            </w:r>
          </w:p>
          <w:p>
            <w:pPr>
              <w:rPr>
                <w:szCs w:val="21"/>
              </w:rPr>
            </w:pPr>
          </w:p>
          <w:p>
            <w:pPr>
              <w:rPr>
                <w:szCs w:val="21"/>
              </w:rPr>
            </w:pPr>
            <w:r>
              <w:rPr>
                <w:rFonts w:hint="eastAsia"/>
                <w:szCs w:val="21"/>
              </w:rPr>
              <w:t>滴水架</w:t>
            </w:r>
          </w:p>
          <w:p>
            <w:pPr>
              <w:rPr>
                <w:szCs w:val="21"/>
              </w:rPr>
            </w:pPr>
            <w:r>
              <w:rPr>
                <w:rFonts w:hint="eastAsia"/>
                <w:szCs w:val="21"/>
              </w:rPr>
              <w:t>1、★可拆卸式滴水架为72个插孔位，配备两种不同功能的滴水棒80根，标准滴水棒60根（直径15mm）和细小滴水棒20根（直径6mm），细小滴水棒可连接在标准滴水棒上，适用于更长玻璃器皿。</w:t>
            </w:r>
          </w:p>
          <w:p>
            <w:pPr>
              <w:rPr>
                <w:szCs w:val="21"/>
              </w:rPr>
            </w:pPr>
            <w:r>
              <w:rPr>
                <w:rFonts w:hint="eastAsia"/>
                <w:szCs w:val="21"/>
              </w:rPr>
              <w:t>2、选用高品质PS材质，款式新颖，欧式风格，具有优越的耐侯性与抗菌腐蚀性；整体不霉变，滴水棒就位后不易脱落。安装简便，固定实验台上紧固耐用。</w:t>
            </w:r>
          </w:p>
          <w:p>
            <w:pPr>
              <w:rPr>
                <w:szCs w:val="21"/>
              </w:rPr>
            </w:pPr>
            <w:r>
              <w:rPr>
                <w:rFonts w:hint="eastAsia"/>
                <w:szCs w:val="21"/>
              </w:rPr>
              <w:t>3、滴水棒安装仰角40°，器皿放置稳固，轻易拆装、省时方便。</w:t>
            </w:r>
          </w:p>
          <w:p>
            <w:pPr>
              <w:rPr>
                <w:szCs w:val="21"/>
              </w:rPr>
            </w:pPr>
            <w:r>
              <w:rPr>
                <w:rFonts w:hint="eastAsia"/>
                <w:szCs w:val="21"/>
              </w:rPr>
              <w:t>4、配套安装固定套件，支架底部设有无缝排水孔，排水管可连接至积液槽排液口，倾斜的设计能够迅速排走液体。</w:t>
            </w:r>
          </w:p>
          <w:p>
            <w:pPr>
              <w:rPr>
                <w:szCs w:val="21"/>
              </w:rPr>
            </w:pPr>
            <w:r>
              <w:rPr>
                <w:rFonts w:hint="eastAsia"/>
                <w:szCs w:val="21"/>
              </w:rPr>
              <w:t>5、尺寸：630mm*450mm*110mm</w:t>
            </w:r>
          </w:p>
          <w:p>
            <w:pPr>
              <w:rPr>
                <w:szCs w:val="21"/>
              </w:rPr>
            </w:pPr>
            <w:r>
              <w:rPr>
                <w:rFonts w:hint="eastAsia"/>
                <w:szCs w:val="21"/>
              </w:rPr>
              <w:t>6、滴水架底部应有向排水孔倾斜的排水槽设计以方便集水，迅速排水。</w:t>
            </w:r>
          </w:p>
          <w:p>
            <w:pPr>
              <w:rPr>
                <w:szCs w:val="21"/>
              </w:rPr>
            </w:pPr>
            <w:r>
              <w:rPr>
                <w:rFonts w:hint="eastAsia"/>
                <w:szCs w:val="21"/>
              </w:rPr>
              <w:t>7、耐液体化学试剂：40%硝酸、75%硫酸、40%氢氧化钠、99.5%乙酸、100%乙酸乙酯、95%乙醇、37%盐酸，分别浸泡48h，表面未见变化。（需提供国家认可的第三方权威机构出具的检验报告）。</w:t>
            </w:r>
          </w:p>
          <w:p>
            <w:pPr>
              <w:rPr>
                <w:rFonts w:hint="eastAsia"/>
                <w:szCs w:val="21"/>
              </w:rPr>
            </w:pPr>
            <w:r>
              <w:rPr>
                <w:rFonts w:hint="eastAsia"/>
                <w:szCs w:val="21"/>
              </w:rPr>
              <w:t>8、燃烧性能实测值为V-0级。提供第三方检测机构出具检测报告。</w:t>
            </w:r>
          </w:p>
          <w:p>
            <w:pPr>
              <w:rPr>
                <w:rFonts w:hint="eastAsia" w:ascii="宋体" w:hAnsi="宋体" w:cs="宋体"/>
                <w:szCs w:val="21"/>
              </w:rPr>
            </w:pPr>
          </w:p>
          <w:p>
            <w:pPr>
              <w:rPr>
                <w:rFonts w:ascii="宋体" w:hAnsi="宋体" w:cs="宋体"/>
                <w:szCs w:val="21"/>
              </w:rPr>
            </w:pPr>
            <w:r>
              <w:rPr>
                <w:rFonts w:hint="eastAsia" w:ascii="宋体" w:hAnsi="宋体" w:cs="宋体"/>
                <w:szCs w:val="21"/>
              </w:rPr>
              <w:t>递交样品</w:t>
            </w:r>
          </w:p>
        </w:tc>
        <w:tc>
          <w:tcPr>
            <w:tcW w:w="640" w:type="dxa"/>
            <w:vMerge w:val="restart"/>
            <w:shd w:val="clear" w:color="auto" w:fill="auto"/>
            <w:vAlign w:val="center"/>
          </w:tcPr>
          <w:p>
            <w:pPr>
              <w:rPr>
                <w:szCs w:val="21"/>
              </w:rPr>
            </w:pPr>
            <w:r>
              <w:rPr>
                <w:rFonts w:hint="eastAsia"/>
                <w:szCs w:val="21"/>
              </w:rPr>
              <w:t>组</w:t>
            </w:r>
          </w:p>
        </w:tc>
        <w:tc>
          <w:tcPr>
            <w:tcW w:w="636" w:type="dxa"/>
            <w:vMerge w:val="restart"/>
            <w:shd w:val="clear" w:color="auto" w:fill="auto"/>
            <w:vAlign w:val="center"/>
          </w:tcPr>
          <w:p>
            <w:pPr>
              <w:rPr>
                <w:szCs w:val="21"/>
              </w:rPr>
            </w:pPr>
            <w:r>
              <w:rPr>
                <w:rFonts w:hint="eastAsia"/>
                <w:szCs w:val="21"/>
              </w:rPr>
              <w:t>4</w:t>
            </w:r>
          </w:p>
        </w:tc>
        <w:tc>
          <w:tcPr>
            <w:tcW w:w="793" w:type="dxa"/>
            <w:vMerge w:val="restart"/>
            <w:shd w:val="clear" w:color="auto" w:fill="auto"/>
            <w:vAlign w:val="center"/>
          </w:tcPr>
          <w:p>
            <w:pPr>
              <w:rPr>
                <w:szCs w:val="21"/>
              </w:rPr>
            </w:pPr>
            <w:r>
              <w:rPr>
                <w:rFonts w:hint="eastAsia"/>
                <w:szCs w:val="21"/>
              </w:rPr>
              <w:t>5950</w:t>
            </w:r>
          </w:p>
        </w:tc>
        <w:tc>
          <w:tcPr>
            <w:tcW w:w="851" w:type="dxa"/>
            <w:vMerge w:val="restart"/>
            <w:shd w:val="clear" w:color="auto" w:fill="auto"/>
            <w:vAlign w:val="center"/>
          </w:tcPr>
          <w:p>
            <w:pPr>
              <w:rPr>
                <w:szCs w:val="21"/>
              </w:rPr>
            </w:pPr>
            <w:r>
              <w:rPr>
                <w:rFonts w:hint="eastAsia"/>
                <w:szCs w:val="21"/>
              </w:rPr>
              <w:t>23800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41" w:hRule="exact"/>
          <w:jc w:val="center"/>
        </w:trPr>
        <w:tc>
          <w:tcPr>
            <w:tcW w:w="720" w:type="dxa"/>
            <w:vMerge w:val="continue"/>
            <w:shd w:val="clear" w:color="auto" w:fill="auto"/>
            <w:vAlign w:val="center"/>
          </w:tcPr>
          <w:p>
            <w:pPr>
              <w:numPr>
                <w:ilvl w:val="0"/>
                <w:numId w:val="1"/>
              </w:numPr>
              <w:jc w:val="center"/>
              <w:rPr>
                <w:szCs w:val="21"/>
              </w:rPr>
            </w:pPr>
          </w:p>
        </w:tc>
        <w:tc>
          <w:tcPr>
            <w:tcW w:w="1053" w:type="dxa"/>
            <w:vMerge w:val="continue"/>
            <w:shd w:val="clear" w:color="auto" w:fill="auto"/>
            <w:vAlign w:val="center"/>
          </w:tcPr>
          <w:p>
            <w:pPr>
              <w:widowControl/>
              <w:rPr>
                <w:rFonts w:ascii="宋体" w:hAnsi="宋体" w:cs="宋体"/>
                <w:color w:val="000000"/>
                <w:sz w:val="24"/>
              </w:rPr>
            </w:pPr>
          </w:p>
        </w:tc>
        <w:tc>
          <w:tcPr>
            <w:tcW w:w="3553" w:type="dxa"/>
            <w:vMerge w:val="continue"/>
            <w:shd w:val="clear" w:color="auto" w:fill="auto"/>
            <w:vAlign w:val="center"/>
          </w:tcPr>
          <w:p>
            <w:pPr>
              <w:rPr>
                <w:rFonts w:ascii="宋体" w:hAnsi="宋体" w:cs="宋体"/>
                <w:szCs w:val="21"/>
              </w:rPr>
            </w:pPr>
          </w:p>
        </w:tc>
        <w:tc>
          <w:tcPr>
            <w:tcW w:w="640" w:type="dxa"/>
            <w:vMerge w:val="continue"/>
            <w:shd w:val="clear" w:color="auto" w:fill="auto"/>
            <w:vAlign w:val="center"/>
          </w:tcPr>
          <w:p>
            <w:pPr>
              <w:rPr>
                <w:szCs w:val="21"/>
              </w:rPr>
            </w:pPr>
          </w:p>
        </w:tc>
        <w:tc>
          <w:tcPr>
            <w:tcW w:w="636" w:type="dxa"/>
            <w:vMerge w:val="continue"/>
            <w:shd w:val="clear" w:color="auto" w:fill="auto"/>
            <w:vAlign w:val="center"/>
          </w:tcPr>
          <w:p>
            <w:pPr>
              <w:rPr>
                <w:szCs w:val="21"/>
              </w:rPr>
            </w:pPr>
          </w:p>
        </w:tc>
        <w:tc>
          <w:tcPr>
            <w:tcW w:w="793" w:type="dxa"/>
            <w:vMerge w:val="continue"/>
            <w:shd w:val="clear" w:color="auto" w:fill="auto"/>
            <w:vAlign w:val="center"/>
          </w:tcPr>
          <w:p>
            <w:pPr>
              <w:rPr>
                <w:szCs w:val="21"/>
              </w:rPr>
            </w:pPr>
          </w:p>
        </w:tc>
        <w:tc>
          <w:tcPr>
            <w:tcW w:w="851" w:type="dxa"/>
            <w:vMerge w:val="continue"/>
            <w:shd w:val="clear" w:color="auto" w:fill="auto"/>
            <w:vAlign w:val="center"/>
          </w:tcPr>
          <w:p>
            <w:pP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720" w:type="dxa"/>
            <w:shd w:val="clear" w:color="auto" w:fill="auto"/>
            <w:vAlign w:val="center"/>
          </w:tcPr>
          <w:p>
            <w:pPr>
              <w:numPr>
                <w:ilvl w:val="0"/>
                <w:numId w:val="1"/>
              </w:numPr>
              <w:jc w:val="center"/>
              <w:rPr>
                <w:szCs w:val="21"/>
              </w:rPr>
            </w:pPr>
          </w:p>
        </w:tc>
        <w:tc>
          <w:tcPr>
            <w:tcW w:w="1053" w:type="dxa"/>
            <w:shd w:val="clear" w:color="auto" w:fill="auto"/>
            <w:vAlign w:val="center"/>
          </w:tcPr>
          <w:p>
            <w:pPr>
              <w:widowControl/>
              <w:rPr>
                <w:rFonts w:ascii="宋体" w:hAnsi="宋体" w:cs="宋体"/>
                <w:color w:val="000000"/>
                <w:sz w:val="24"/>
              </w:rPr>
            </w:pPr>
            <w:r>
              <w:rPr>
                <w:rFonts w:hint="eastAsia" w:ascii="宋体" w:hAnsi="宋体" w:cs="宋体"/>
                <w:color w:val="000000"/>
                <w:sz w:val="24"/>
              </w:rPr>
              <w:t>水池柜2</w:t>
            </w:r>
          </w:p>
        </w:tc>
        <w:tc>
          <w:tcPr>
            <w:tcW w:w="3553" w:type="dxa"/>
            <w:shd w:val="clear" w:color="auto" w:fill="auto"/>
            <w:vAlign w:val="center"/>
          </w:tcPr>
          <w:p>
            <w:pPr>
              <w:rPr>
                <w:rFonts w:ascii="宋体" w:hAnsi="宋体" w:cs="宋体"/>
                <w:szCs w:val="21"/>
              </w:rPr>
            </w:pPr>
            <w:r>
              <w:rPr>
                <w:rFonts w:hint="eastAsia" w:ascii="宋体" w:hAnsi="宋体" w:cs="宋体"/>
                <w:szCs w:val="21"/>
              </w:rPr>
              <w:t>1、规格：800*750*850</w:t>
            </w:r>
          </w:p>
          <w:p>
            <w:pPr>
              <w:rPr>
                <w:rFonts w:ascii="宋体" w:hAnsi="宋体" w:cs="宋体"/>
                <w:szCs w:val="21"/>
              </w:rPr>
            </w:pPr>
            <w:r>
              <w:rPr>
                <w:rFonts w:hint="eastAsia"/>
                <w:szCs w:val="21"/>
              </w:rPr>
              <w:t>2、技术要求同</w:t>
            </w:r>
            <w:r>
              <w:rPr>
                <w:rFonts w:hint="eastAsia" w:ascii="宋体" w:hAnsi="宋体" w:cs="宋体"/>
                <w:color w:val="000000"/>
                <w:sz w:val="24"/>
              </w:rPr>
              <w:t>水池柜1</w:t>
            </w:r>
          </w:p>
        </w:tc>
        <w:tc>
          <w:tcPr>
            <w:tcW w:w="640" w:type="dxa"/>
            <w:shd w:val="clear" w:color="auto" w:fill="auto"/>
            <w:vAlign w:val="center"/>
          </w:tcPr>
          <w:p>
            <w:pPr>
              <w:rPr>
                <w:szCs w:val="21"/>
              </w:rPr>
            </w:pPr>
            <w:r>
              <w:rPr>
                <w:rFonts w:hint="eastAsia"/>
                <w:szCs w:val="21"/>
              </w:rPr>
              <w:t>组</w:t>
            </w:r>
          </w:p>
        </w:tc>
        <w:tc>
          <w:tcPr>
            <w:tcW w:w="636" w:type="dxa"/>
            <w:shd w:val="clear" w:color="auto" w:fill="auto"/>
            <w:vAlign w:val="center"/>
          </w:tcPr>
          <w:p>
            <w:pPr>
              <w:rPr>
                <w:szCs w:val="21"/>
              </w:rPr>
            </w:pPr>
            <w:r>
              <w:rPr>
                <w:rFonts w:hint="eastAsia"/>
                <w:szCs w:val="21"/>
              </w:rPr>
              <w:t>4</w:t>
            </w:r>
          </w:p>
        </w:tc>
        <w:tc>
          <w:tcPr>
            <w:tcW w:w="793" w:type="dxa"/>
            <w:shd w:val="clear" w:color="auto" w:fill="auto"/>
            <w:vAlign w:val="center"/>
          </w:tcPr>
          <w:p>
            <w:pPr>
              <w:rPr>
                <w:szCs w:val="21"/>
              </w:rPr>
            </w:pPr>
            <w:r>
              <w:rPr>
                <w:szCs w:val="21"/>
              </w:rPr>
              <w:t>3925</w:t>
            </w:r>
          </w:p>
        </w:tc>
        <w:tc>
          <w:tcPr>
            <w:tcW w:w="851" w:type="dxa"/>
            <w:shd w:val="clear" w:color="auto" w:fill="auto"/>
            <w:vAlign w:val="center"/>
          </w:tcPr>
          <w:p>
            <w:pPr>
              <w:rPr>
                <w:szCs w:val="21"/>
              </w:rPr>
            </w:pPr>
            <w:bookmarkStart w:id="11" w:name="OLE_LINK12"/>
            <w:bookmarkStart w:id="12" w:name="OLE_LINK18"/>
            <w:r>
              <w:rPr>
                <w:szCs w:val="21"/>
              </w:rPr>
              <w:t>15700</w:t>
            </w:r>
            <w:bookmarkEnd w:id="11"/>
            <w:bookmarkEnd w:id="12"/>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1" w:hRule="atLeast"/>
          <w:jc w:val="center"/>
        </w:trPr>
        <w:tc>
          <w:tcPr>
            <w:tcW w:w="720" w:type="dxa"/>
            <w:shd w:val="clear" w:color="auto" w:fill="auto"/>
            <w:vAlign w:val="center"/>
          </w:tcPr>
          <w:p>
            <w:pPr>
              <w:numPr>
                <w:ilvl w:val="0"/>
                <w:numId w:val="1"/>
              </w:numPr>
              <w:jc w:val="center"/>
              <w:rPr>
                <w:szCs w:val="21"/>
              </w:rPr>
            </w:pPr>
          </w:p>
        </w:tc>
        <w:tc>
          <w:tcPr>
            <w:tcW w:w="1053" w:type="dxa"/>
            <w:shd w:val="clear" w:color="auto" w:fill="auto"/>
            <w:vAlign w:val="center"/>
          </w:tcPr>
          <w:p>
            <w:pPr>
              <w:widowControl/>
              <w:rPr>
                <w:rFonts w:ascii="宋体" w:hAnsi="宋体" w:cs="宋体"/>
                <w:color w:val="000000"/>
                <w:sz w:val="24"/>
              </w:rPr>
            </w:pPr>
            <w:r>
              <w:rPr>
                <w:rFonts w:hint="eastAsia" w:ascii="宋体" w:hAnsi="宋体" w:cs="宋体"/>
                <w:color w:val="000000"/>
                <w:sz w:val="24"/>
              </w:rPr>
              <w:t>通风柜</w:t>
            </w:r>
          </w:p>
        </w:tc>
        <w:tc>
          <w:tcPr>
            <w:tcW w:w="3553" w:type="dxa"/>
            <w:shd w:val="clear" w:color="auto" w:fill="auto"/>
            <w:vAlign w:val="center"/>
          </w:tcPr>
          <w:p>
            <w:pPr>
              <w:rPr>
                <w:rFonts w:ascii="宋体" w:hAnsi="宋体" w:cs="宋体"/>
                <w:szCs w:val="21"/>
              </w:rPr>
            </w:pPr>
            <w:r>
              <w:rPr>
                <w:rFonts w:ascii="宋体" w:hAnsi="宋体" w:cs="宋体"/>
                <w:szCs w:val="21"/>
              </w:rPr>
              <w:t>规格尺寸：1500*</w:t>
            </w:r>
            <w:r>
              <w:rPr>
                <w:rFonts w:hint="eastAsia" w:ascii="宋体" w:hAnsi="宋体" w:cs="宋体"/>
                <w:szCs w:val="21"/>
              </w:rPr>
              <w:t>90</w:t>
            </w:r>
            <w:r>
              <w:rPr>
                <w:rFonts w:ascii="宋体" w:hAnsi="宋体" w:cs="宋体"/>
                <w:szCs w:val="21"/>
              </w:rPr>
              <w:t>0*2</w:t>
            </w:r>
            <w:r>
              <w:rPr>
                <w:rFonts w:hint="eastAsia" w:ascii="宋体" w:hAnsi="宋体" w:cs="宋体"/>
                <w:szCs w:val="21"/>
              </w:rPr>
              <w:t>40</w:t>
            </w:r>
            <w:r>
              <w:rPr>
                <w:rFonts w:ascii="宋体" w:hAnsi="宋体" w:cs="宋体"/>
                <w:szCs w:val="21"/>
              </w:rPr>
              <w:t>0</w:t>
            </w:r>
          </w:p>
          <w:p>
            <w:pPr>
              <w:rPr>
                <w:rFonts w:ascii="宋体" w:hAnsi="宋体" w:cs="宋体"/>
                <w:szCs w:val="21"/>
              </w:rPr>
            </w:pPr>
            <w:r>
              <w:rPr>
                <w:rFonts w:ascii="宋体" w:hAnsi="宋体" w:cs="宋体"/>
                <w:szCs w:val="21"/>
              </w:rPr>
              <w:t>1</w:t>
            </w:r>
            <w:r>
              <w:rPr>
                <w:rFonts w:hint="eastAsia" w:ascii="宋体" w:hAnsi="宋体" w:cs="宋体"/>
                <w:szCs w:val="21"/>
              </w:rPr>
              <w:t>、</w:t>
            </w:r>
            <w:r>
              <w:rPr>
                <w:rFonts w:ascii="宋体" w:hAnsi="宋体" w:cs="宋体"/>
                <w:szCs w:val="21"/>
              </w:rPr>
              <w:t>★通风柜是为了保证实验室的安全和使用实验室的人员免受有毒气体的危害。因此，通风柜设计从围绕安全开始。每个通风柜都经过检测和压力测试。坚持严格按照GB24820-2024、JB/T 6412-1999等标准生产制作及测试。由于通风柜是一种通风设备，主要功能是防止化学烟雾，气体，气溶胶，致癌物质和其他有害介质的侵入，同时也起到通风柜内和实验室内部反应之间物理屏障的作用。通风柜也被设计作为防止化学品泄漏、失控反应和火灾的保护措施 .通风柜连接到建筑物的通风系统，可以是连接到主通风系统的电动风门或单独的频率控制风扇。集成的通风控制器和报警器，确保通风柜运行时自动进行一致的安全通风。</w:t>
            </w:r>
          </w:p>
          <w:p>
            <w:pPr>
              <w:rPr>
                <w:rFonts w:ascii="宋体" w:hAnsi="宋体" w:cs="宋体"/>
                <w:szCs w:val="21"/>
              </w:rPr>
            </w:pPr>
            <w:r>
              <w:rPr>
                <w:rFonts w:ascii="宋体" w:hAnsi="宋体" w:cs="宋体"/>
                <w:szCs w:val="21"/>
              </w:rPr>
              <w:t>2</w:t>
            </w:r>
            <w:r>
              <w:rPr>
                <w:rFonts w:hint="eastAsia" w:ascii="宋体" w:hAnsi="宋体" w:cs="宋体"/>
                <w:szCs w:val="21"/>
              </w:rPr>
              <w:t>、</w:t>
            </w:r>
            <w:r>
              <w:rPr>
                <w:rFonts w:ascii="宋体" w:hAnsi="宋体" w:cs="宋体"/>
                <w:szCs w:val="21"/>
              </w:rPr>
              <w:t>★主体、外壳材质：采用≥1.0mm镀锌钢板冲折焊接制作, 主体上段外部尺寸与内部尺寸长度</w:t>
            </w:r>
            <w:r>
              <w:rPr>
                <w:rFonts w:hint="eastAsia" w:ascii="宋体" w:hAnsi="宋体" w:cs="宋体"/>
                <w:szCs w:val="21"/>
              </w:rPr>
              <w:t>差</w:t>
            </w:r>
            <w:r>
              <w:rPr>
                <w:rFonts w:ascii="宋体" w:hAnsi="宋体" w:cs="宋体"/>
                <w:szCs w:val="21"/>
              </w:rPr>
              <w:t>小于≥80mm。</w:t>
            </w:r>
          </w:p>
          <w:p>
            <w:pPr>
              <w:rPr>
                <w:rFonts w:ascii="宋体" w:hAnsi="宋体" w:cs="宋体"/>
                <w:szCs w:val="21"/>
              </w:rPr>
            </w:pPr>
            <w:r>
              <w:rPr>
                <w:rFonts w:ascii="宋体" w:hAnsi="宋体" w:cs="宋体"/>
                <w:szCs w:val="21"/>
              </w:rPr>
              <w:t>3</w:t>
            </w:r>
            <w:r>
              <w:rPr>
                <w:rFonts w:hint="eastAsia" w:ascii="宋体" w:hAnsi="宋体" w:cs="宋体"/>
                <w:szCs w:val="21"/>
              </w:rPr>
              <w:t>、</w:t>
            </w:r>
            <w:r>
              <w:rPr>
                <w:rFonts w:ascii="宋体" w:hAnsi="宋体" w:cs="宋体"/>
                <w:szCs w:val="21"/>
              </w:rPr>
              <w:t>★金属焊接处应符合GB/T 3325-2024《金属家具通用技术条件》标准要求，无脱焊、虚焊、焊穿、错位，应无夹渣、气孔、焊瘤、焊丝头、咬边、飞溅，表面波纹应均匀。喷涂层应无漏喷、锈蚀和脱色、掉色现象，涂层应光滑均匀，色泽一致，应无流挂、疙瘩、皱皮、飞漆等缺陷。</w:t>
            </w:r>
          </w:p>
          <w:p>
            <w:pPr>
              <w:rPr>
                <w:rFonts w:ascii="宋体" w:hAnsi="宋体" w:cs="宋体"/>
                <w:szCs w:val="21"/>
              </w:rPr>
            </w:pPr>
            <w:r>
              <w:rPr>
                <w:rFonts w:ascii="宋体" w:hAnsi="宋体" w:cs="宋体"/>
                <w:szCs w:val="21"/>
              </w:rPr>
              <w:t>立柱.两侧前段立柱侧板采用2mm厚高强度铝镁合金制作，外侧整体厚度小于40mm宽，提供符合GB/T 6892-2023《一般工业用铝及铝合金挤压型材》、GB/T 14846-2014《铝及铝合金挤压型材尺寸偏》标准检测内容的国家级检测报告。</w:t>
            </w:r>
          </w:p>
          <w:p>
            <w:pPr>
              <w:rPr>
                <w:rFonts w:ascii="宋体" w:hAnsi="宋体" w:cs="宋体"/>
                <w:szCs w:val="21"/>
              </w:rPr>
            </w:pPr>
            <w:r>
              <w:rPr>
                <w:rFonts w:ascii="宋体" w:hAnsi="宋体" w:cs="宋体"/>
                <w:szCs w:val="21"/>
              </w:rPr>
              <w:t>4</w:t>
            </w:r>
            <w:r>
              <w:rPr>
                <w:rFonts w:hint="eastAsia" w:ascii="宋体" w:hAnsi="宋体" w:cs="宋体"/>
                <w:szCs w:val="21"/>
              </w:rPr>
              <w:t>、</w:t>
            </w:r>
            <w:r>
              <w:rPr>
                <w:rFonts w:ascii="宋体" w:hAnsi="宋体" w:cs="宋体"/>
                <w:szCs w:val="21"/>
              </w:rPr>
              <w:t>★防坠落功能：装置参照JG/T222-2007标准执行，调节门设计有防坠落功能装置，即同步带突然断裂，调节门也会停留在最初位置附近，不大于 25mm。有效防止调节门坠落发生意外。</w:t>
            </w:r>
          </w:p>
          <w:p>
            <w:pPr>
              <w:rPr>
                <w:rFonts w:ascii="宋体" w:hAnsi="宋体" w:cs="宋体"/>
                <w:szCs w:val="21"/>
              </w:rPr>
            </w:pPr>
            <w:r>
              <w:rPr>
                <w:rFonts w:ascii="宋体" w:hAnsi="宋体" w:cs="宋体"/>
                <w:szCs w:val="21"/>
              </w:rPr>
              <w:t>5</w:t>
            </w:r>
            <w:r>
              <w:rPr>
                <w:rFonts w:hint="eastAsia" w:ascii="宋体" w:hAnsi="宋体" w:cs="宋体"/>
                <w:szCs w:val="21"/>
              </w:rPr>
              <w:t>、</w:t>
            </w:r>
            <w:r>
              <w:rPr>
                <w:rFonts w:ascii="宋体" w:hAnsi="宋体" w:cs="宋体"/>
                <w:szCs w:val="21"/>
              </w:rPr>
              <w:t>台面：陶瓷板。</w:t>
            </w:r>
          </w:p>
          <w:p>
            <w:pPr>
              <w:rPr>
                <w:rFonts w:ascii="宋体" w:hAnsi="宋体" w:cs="宋体"/>
                <w:szCs w:val="21"/>
              </w:rPr>
            </w:pPr>
            <w:r>
              <w:rPr>
                <w:rFonts w:ascii="宋体" w:hAnsi="宋体" w:cs="宋体"/>
                <w:szCs w:val="21"/>
              </w:rPr>
              <w:t>台面材料必须符合以下技术参数要求：同</w:t>
            </w:r>
            <w:r>
              <w:rPr>
                <w:rFonts w:hint="eastAsia" w:ascii="宋体" w:hAnsi="宋体" w:cs="宋体"/>
                <w:szCs w:val="21"/>
              </w:rPr>
              <w:t>中央</w:t>
            </w:r>
            <w:r>
              <w:rPr>
                <w:rFonts w:ascii="宋体" w:hAnsi="宋体" w:cs="宋体"/>
                <w:szCs w:val="21"/>
              </w:rPr>
              <w:t>实验台</w:t>
            </w:r>
            <w:r>
              <w:rPr>
                <w:rFonts w:hint="eastAsia" w:ascii="宋体" w:hAnsi="宋体" w:cs="宋体"/>
                <w:szCs w:val="21"/>
              </w:rPr>
              <w:t>。</w:t>
            </w:r>
          </w:p>
          <w:p>
            <w:pPr>
              <w:rPr>
                <w:rFonts w:ascii="宋体" w:hAnsi="宋体" w:cs="宋体"/>
                <w:szCs w:val="21"/>
              </w:rPr>
            </w:pPr>
            <w:r>
              <w:rPr>
                <w:rFonts w:ascii="宋体" w:hAnsi="宋体" w:cs="宋体"/>
                <w:szCs w:val="21"/>
              </w:rPr>
              <w:t>6</w:t>
            </w:r>
            <w:r>
              <w:rPr>
                <w:rFonts w:hint="eastAsia" w:ascii="宋体" w:hAnsi="宋体" w:cs="宋体"/>
                <w:szCs w:val="21"/>
              </w:rPr>
              <w:t>、</w:t>
            </w:r>
            <w:r>
              <w:rPr>
                <w:rFonts w:ascii="宋体" w:hAnsi="宋体" w:cs="宋体"/>
                <w:szCs w:val="21"/>
              </w:rPr>
              <w:t>内衬板、导流板：</w:t>
            </w:r>
          </w:p>
          <w:p>
            <w:pPr>
              <w:rPr>
                <w:rFonts w:ascii="宋体" w:hAnsi="宋体" w:cs="宋体"/>
                <w:szCs w:val="21"/>
              </w:rPr>
            </w:pPr>
            <w:r>
              <w:rPr>
                <w:rFonts w:ascii="宋体" w:hAnsi="宋体" w:cs="宋体"/>
                <w:szCs w:val="21"/>
              </w:rPr>
              <w:t>7</w:t>
            </w:r>
            <w:r>
              <w:rPr>
                <w:rFonts w:hint="eastAsia" w:ascii="宋体" w:hAnsi="宋体" w:cs="宋体"/>
                <w:szCs w:val="21"/>
              </w:rPr>
              <w:t>、</w:t>
            </w:r>
            <w:r>
              <w:rPr>
                <w:rFonts w:ascii="宋体" w:hAnsi="宋体" w:cs="宋体"/>
                <w:szCs w:val="21"/>
              </w:rPr>
              <w:t>材质规格≥5mm 厚抗贝特板。</w:t>
            </w:r>
          </w:p>
          <w:p>
            <w:pPr>
              <w:rPr>
                <w:rFonts w:ascii="宋体" w:hAnsi="宋体" w:cs="宋体"/>
                <w:szCs w:val="21"/>
              </w:rPr>
            </w:pPr>
            <w:r>
              <w:rPr>
                <w:rFonts w:ascii="宋体" w:hAnsi="宋体" w:cs="宋体"/>
                <w:szCs w:val="21"/>
              </w:rPr>
              <w:t>8</w:t>
            </w:r>
            <w:r>
              <w:rPr>
                <w:rFonts w:hint="eastAsia" w:ascii="宋体" w:hAnsi="宋体" w:cs="宋体"/>
                <w:szCs w:val="21"/>
              </w:rPr>
              <w:t>、</w:t>
            </w:r>
            <w:r>
              <w:rPr>
                <w:rFonts w:ascii="宋体" w:hAnsi="宋体" w:cs="宋体"/>
                <w:szCs w:val="21"/>
              </w:rPr>
              <w:t>内衬板：内侧板可固定供水和供气考克，背板可固定导流板，顶板设照明及集气装置。</w:t>
            </w:r>
          </w:p>
          <w:p>
            <w:pPr>
              <w:rPr>
                <w:rFonts w:ascii="宋体" w:hAnsi="宋体" w:cs="宋体"/>
                <w:szCs w:val="21"/>
              </w:rPr>
            </w:pPr>
            <w:r>
              <w:rPr>
                <w:rFonts w:ascii="宋体" w:hAnsi="宋体" w:cs="宋体"/>
                <w:szCs w:val="21"/>
              </w:rPr>
              <w:t>9</w:t>
            </w:r>
            <w:r>
              <w:rPr>
                <w:rFonts w:hint="eastAsia" w:ascii="宋体" w:hAnsi="宋体" w:cs="宋体"/>
                <w:szCs w:val="21"/>
              </w:rPr>
              <w:t>、</w:t>
            </w:r>
            <w:r>
              <w:rPr>
                <w:rFonts w:ascii="宋体" w:hAnsi="宋体" w:cs="宋体"/>
                <w:szCs w:val="21"/>
              </w:rPr>
              <w:t>导流板固定座：采用耐酸碱、耐高温PC模铸成型，其固定座须包含背板固定座、导流板固定旋钮及蒸馏架安装孔座等。设置蒸馏架安装孔座。</w:t>
            </w:r>
          </w:p>
          <w:p>
            <w:pPr>
              <w:rPr>
                <w:rFonts w:ascii="宋体" w:hAnsi="宋体" w:cs="宋体"/>
                <w:szCs w:val="21"/>
              </w:rPr>
            </w:pPr>
            <w:r>
              <w:rPr>
                <w:rFonts w:ascii="宋体" w:hAnsi="宋体" w:cs="宋体"/>
                <w:szCs w:val="21"/>
              </w:rPr>
              <w:t>10</w:t>
            </w:r>
            <w:r>
              <w:rPr>
                <w:rFonts w:hint="eastAsia" w:ascii="宋体" w:hAnsi="宋体" w:cs="宋体"/>
                <w:szCs w:val="21"/>
              </w:rPr>
              <w:t>、</w:t>
            </w:r>
            <w:r>
              <w:rPr>
                <w:rFonts w:ascii="宋体" w:hAnsi="宋体" w:cs="宋体"/>
                <w:szCs w:val="21"/>
              </w:rPr>
              <w:t>导流板：装置于工作空间后方及上方处，由至少化学板组成。导流板安装位置与角度需使排气分布均匀，安装时不得用金属铆钉方式结合。</w:t>
            </w:r>
          </w:p>
          <w:p>
            <w:pPr>
              <w:rPr>
                <w:rFonts w:ascii="宋体" w:hAnsi="宋体" w:cs="宋体"/>
                <w:szCs w:val="21"/>
              </w:rPr>
            </w:pPr>
            <w:r>
              <w:rPr>
                <w:rFonts w:ascii="宋体" w:hAnsi="宋体" w:cs="宋体"/>
                <w:szCs w:val="21"/>
              </w:rPr>
              <w:t>1</w:t>
            </w:r>
            <w:r>
              <w:rPr>
                <w:rFonts w:hint="eastAsia" w:ascii="宋体" w:hAnsi="宋体" w:cs="宋体"/>
                <w:szCs w:val="21"/>
              </w:rPr>
              <w:t>1、</w:t>
            </w:r>
            <w:r>
              <w:rPr>
                <w:rFonts w:ascii="宋体" w:hAnsi="宋体" w:cs="宋体"/>
                <w:szCs w:val="21"/>
              </w:rPr>
              <w:t>集气罩：采用PP耐酸碱材质，通风柜采用顶罩式抽气设计，依现场需求8-12英寸排风口，底部入口为长方形开口，顶部出口为圆形开口，管径配合风量要求，设置汇流槽。</w:t>
            </w:r>
          </w:p>
          <w:p>
            <w:pPr>
              <w:rPr>
                <w:rFonts w:ascii="宋体" w:hAnsi="宋体" w:cs="宋体"/>
                <w:szCs w:val="21"/>
              </w:rPr>
            </w:pPr>
            <w:r>
              <w:rPr>
                <w:rFonts w:ascii="宋体" w:hAnsi="宋体" w:cs="宋体"/>
                <w:szCs w:val="21"/>
              </w:rPr>
              <w:t>12</w:t>
            </w:r>
            <w:r>
              <w:rPr>
                <w:rFonts w:hint="eastAsia" w:ascii="宋体" w:hAnsi="宋体" w:cs="宋体"/>
                <w:szCs w:val="21"/>
              </w:rPr>
              <w:t>、</w:t>
            </w:r>
            <w:r>
              <w:rPr>
                <w:rFonts w:ascii="宋体" w:hAnsi="宋体" w:cs="宋体"/>
                <w:szCs w:val="21"/>
              </w:rPr>
              <w:t>通风柜排风性能须满足以下技术要求:</w:t>
            </w:r>
          </w:p>
          <w:p>
            <w:pPr>
              <w:rPr>
                <w:rFonts w:ascii="宋体" w:hAnsi="宋体" w:cs="宋体"/>
                <w:szCs w:val="21"/>
              </w:rPr>
            </w:pPr>
            <w:r>
              <w:rPr>
                <w:rFonts w:hint="eastAsia" w:ascii="宋体" w:hAnsi="宋体" w:cs="宋体"/>
                <w:szCs w:val="21"/>
              </w:rPr>
              <w:t>12.</w:t>
            </w:r>
            <w:r>
              <w:rPr>
                <w:rFonts w:ascii="宋体" w:hAnsi="宋体" w:cs="宋体"/>
                <w:szCs w:val="21"/>
              </w:rPr>
              <w:t>1</w:t>
            </w:r>
            <w:r>
              <w:rPr>
                <w:rFonts w:hint="eastAsia" w:ascii="宋体" w:hAnsi="宋体" w:cs="宋体"/>
                <w:szCs w:val="21"/>
              </w:rPr>
              <w:t>.</w:t>
            </w:r>
            <w:r>
              <w:rPr>
                <w:rFonts w:ascii="宋体" w:hAnsi="宋体" w:cs="宋体"/>
                <w:szCs w:val="21"/>
              </w:rPr>
              <w:t xml:space="preserve"> 平均面风速：≥0.2m/S;</w:t>
            </w:r>
          </w:p>
          <w:p>
            <w:pPr>
              <w:rPr>
                <w:rFonts w:ascii="宋体" w:hAnsi="宋体" w:cs="宋体"/>
                <w:szCs w:val="21"/>
              </w:rPr>
            </w:pPr>
            <w:r>
              <w:rPr>
                <w:rFonts w:hint="eastAsia" w:ascii="宋体" w:hAnsi="宋体" w:cs="宋体"/>
                <w:szCs w:val="21"/>
              </w:rPr>
              <w:t>12.2.</w:t>
            </w:r>
            <w:r>
              <w:rPr>
                <w:rFonts w:ascii="宋体" w:hAnsi="宋体" w:cs="宋体"/>
                <w:szCs w:val="21"/>
              </w:rPr>
              <w:t>示踪气体浓度测试：≤0.01PPM</w:t>
            </w:r>
          </w:p>
          <w:p>
            <w:pPr>
              <w:rPr>
                <w:rFonts w:ascii="宋体" w:hAnsi="宋体" w:cs="宋体"/>
                <w:szCs w:val="21"/>
              </w:rPr>
            </w:pPr>
            <w:r>
              <w:rPr>
                <w:rFonts w:hint="eastAsia" w:ascii="宋体" w:hAnsi="宋体" w:cs="宋体"/>
                <w:szCs w:val="21"/>
              </w:rPr>
              <w:t>12.3.</w:t>
            </w:r>
            <w:r>
              <w:rPr>
                <w:rFonts w:ascii="宋体" w:hAnsi="宋体" w:cs="宋体"/>
                <w:szCs w:val="21"/>
              </w:rPr>
              <w:t>拉门移动影响测试：0.00PPM;</w:t>
            </w:r>
          </w:p>
          <w:p>
            <w:pPr>
              <w:rPr>
                <w:rFonts w:ascii="宋体" w:hAnsi="宋体" w:cs="宋体"/>
                <w:szCs w:val="21"/>
              </w:rPr>
            </w:pPr>
            <w:r>
              <w:rPr>
                <w:rFonts w:hint="eastAsia" w:ascii="宋体" w:hAnsi="宋体" w:cs="宋体"/>
                <w:szCs w:val="21"/>
              </w:rPr>
              <w:t>12.4.</w:t>
            </w:r>
            <w:r>
              <w:rPr>
                <w:rFonts w:ascii="宋体" w:hAnsi="宋体" w:cs="宋体"/>
                <w:szCs w:val="21"/>
              </w:rPr>
              <w:t>周边扫描测试：0.00PPM</w:t>
            </w:r>
          </w:p>
          <w:p>
            <w:pPr>
              <w:rPr>
                <w:rFonts w:ascii="宋体" w:hAnsi="宋体" w:cs="宋体"/>
                <w:szCs w:val="21"/>
              </w:rPr>
            </w:pPr>
            <w:r>
              <w:rPr>
                <w:rFonts w:hint="eastAsia" w:ascii="宋体" w:hAnsi="宋体" w:cs="宋体"/>
                <w:szCs w:val="21"/>
              </w:rPr>
              <w:t>12.5.</w:t>
            </w:r>
            <w:r>
              <w:rPr>
                <w:rFonts w:ascii="宋体" w:hAnsi="宋体" w:cs="宋体"/>
                <w:szCs w:val="21"/>
              </w:rPr>
              <w:t>可视化测试局部：无逃逸；可视化测试-大烟雾：无逃逸。</w:t>
            </w:r>
          </w:p>
          <w:p>
            <w:pPr>
              <w:rPr>
                <w:rFonts w:ascii="宋体" w:hAnsi="宋体" w:cs="宋体"/>
                <w:szCs w:val="21"/>
              </w:rPr>
            </w:pPr>
            <w:r>
              <w:rPr>
                <w:rFonts w:ascii="宋体" w:hAnsi="宋体" w:cs="宋体"/>
                <w:szCs w:val="21"/>
              </w:rPr>
              <w:t>13</w:t>
            </w:r>
            <w:r>
              <w:rPr>
                <w:rFonts w:hint="eastAsia" w:ascii="宋体" w:hAnsi="宋体" w:cs="宋体"/>
                <w:szCs w:val="21"/>
              </w:rPr>
              <w:t>、</w:t>
            </w:r>
            <w:r>
              <w:rPr>
                <w:rFonts w:ascii="宋体" w:hAnsi="宋体" w:cs="宋体"/>
                <w:szCs w:val="21"/>
              </w:rPr>
              <w:t>把手：采用机械冲床冲压制作，套色组合式设计。</w:t>
            </w:r>
          </w:p>
          <w:p>
            <w:pPr>
              <w:rPr>
                <w:rFonts w:ascii="宋体" w:hAnsi="宋体" w:cs="宋体"/>
                <w:szCs w:val="21"/>
              </w:rPr>
            </w:pPr>
            <w:r>
              <w:rPr>
                <w:rFonts w:ascii="宋体" w:hAnsi="宋体" w:cs="宋体"/>
                <w:szCs w:val="21"/>
              </w:rPr>
              <w:t>14</w:t>
            </w:r>
            <w:r>
              <w:rPr>
                <w:rFonts w:hint="eastAsia" w:ascii="宋体" w:hAnsi="宋体" w:cs="宋体"/>
                <w:szCs w:val="21"/>
              </w:rPr>
              <w:t>、</w:t>
            </w:r>
            <w:r>
              <w:rPr>
                <w:rFonts w:ascii="宋体" w:hAnsi="宋体" w:cs="宋体"/>
                <w:szCs w:val="21"/>
              </w:rPr>
              <w:t>通风柜照明：LED圆板灯*2，照明亮度：800Lux。</w:t>
            </w:r>
          </w:p>
          <w:p>
            <w:pPr>
              <w:rPr>
                <w:rFonts w:ascii="宋体" w:hAnsi="宋体" w:cs="宋体"/>
                <w:szCs w:val="21"/>
              </w:rPr>
            </w:pPr>
            <w:r>
              <w:rPr>
                <w:rFonts w:ascii="宋体" w:hAnsi="宋体" w:cs="宋体"/>
                <w:szCs w:val="21"/>
              </w:rPr>
              <w:t>15</w:t>
            </w:r>
            <w:r>
              <w:rPr>
                <w:rFonts w:hint="eastAsia" w:ascii="宋体" w:hAnsi="宋体" w:cs="宋体"/>
                <w:szCs w:val="21"/>
              </w:rPr>
              <w:t>、</w:t>
            </w:r>
            <w:r>
              <w:rPr>
                <w:rFonts w:ascii="宋体" w:hAnsi="宋体" w:cs="宋体"/>
                <w:szCs w:val="21"/>
              </w:rPr>
              <w:t>插座：采用防尘、防溅带有自动闭合功能防护盖的安全插座,每组不低于4 个。</w:t>
            </w:r>
          </w:p>
          <w:p>
            <w:pPr>
              <w:rPr>
                <w:rFonts w:ascii="宋体" w:hAnsi="宋体" w:cs="宋体"/>
                <w:szCs w:val="21"/>
              </w:rPr>
            </w:pPr>
            <w:r>
              <w:rPr>
                <w:rFonts w:ascii="宋体" w:hAnsi="宋体" w:cs="宋体"/>
                <w:szCs w:val="21"/>
              </w:rPr>
              <w:t>16</w:t>
            </w:r>
            <w:r>
              <w:rPr>
                <w:rFonts w:hint="eastAsia" w:ascii="宋体" w:hAnsi="宋体" w:cs="宋体"/>
                <w:szCs w:val="21"/>
              </w:rPr>
              <w:t>、</w:t>
            </w:r>
            <w:r>
              <w:rPr>
                <w:rFonts w:ascii="宋体" w:hAnsi="宋体" w:cs="宋体"/>
                <w:szCs w:val="21"/>
              </w:rPr>
              <w:t>合页采用316不锈钢材质。</w:t>
            </w:r>
          </w:p>
          <w:p>
            <w:pPr>
              <w:rPr>
                <w:rFonts w:ascii="宋体" w:hAnsi="宋体" w:cs="宋体"/>
                <w:szCs w:val="21"/>
              </w:rPr>
            </w:pPr>
            <w:r>
              <w:rPr>
                <w:rFonts w:ascii="宋体" w:hAnsi="宋体" w:cs="宋体"/>
                <w:szCs w:val="21"/>
              </w:rPr>
              <w:t>1</w:t>
            </w:r>
            <w:r>
              <w:rPr>
                <w:rFonts w:hint="eastAsia" w:ascii="宋体" w:hAnsi="宋体" w:cs="宋体"/>
                <w:szCs w:val="21"/>
              </w:rPr>
              <w:t>7、</w:t>
            </w:r>
            <w:r>
              <w:rPr>
                <w:rFonts w:ascii="宋体" w:hAnsi="宋体" w:cs="宋体"/>
                <w:szCs w:val="21"/>
              </w:rPr>
              <w:t>★</w:t>
            </w:r>
            <w:r>
              <w:rPr>
                <w:rFonts w:hint="eastAsia" w:ascii="宋体" w:hAnsi="宋体" w:cs="宋体"/>
                <w:szCs w:val="21"/>
              </w:rPr>
              <w:t>依据国家标准要求</w:t>
            </w:r>
            <w:r>
              <w:rPr>
                <w:rFonts w:ascii="宋体" w:hAnsi="宋体" w:cs="宋体"/>
                <w:szCs w:val="21"/>
              </w:rPr>
              <w:t>当采用交流电源供电时,电压在220V±22V和50Hz±1Hz条件下变化时,系统应能正常工作。当采用直流电源供电时,电压在额定值的±10%范围内变化时,系统应能正常工作。</w:t>
            </w:r>
          </w:p>
        </w:tc>
        <w:tc>
          <w:tcPr>
            <w:tcW w:w="640" w:type="dxa"/>
            <w:shd w:val="clear" w:color="auto" w:fill="auto"/>
            <w:vAlign w:val="center"/>
          </w:tcPr>
          <w:p>
            <w:pPr>
              <w:rPr>
                <w:szCs w:val="21"/>
              </w:rPr>
            </w:pPr>
            <w:r>
              <w:rPr>
                <w:rFonts w:hint="eastAsia"/>
                <w:szCs w:val="21"/>
              </w:rPr>
              <w:t>台</w:t>
            </w:r>
          </w:p>
        </w:tc>
        <w:tc>
          <w:tcPr>
            <w:tcW w:w="636" w:type="dxa"/>
            <w:shd w:val="clear" w:color="auto" w:fill="auto"/>
            <w:vAlign w:val="center"/>
          </w:tcPr>
          <w:p>
            <w:pPr>
              <w:rPr>
                <w:szCs w:val="21"/>
              </w:rPr>
            </w:pPr>
            <w:r>
              <w:rPr>
                <w:rFonts w:hint="eastAsia"/>
                <w:szCs w:val="21"/>
              </w:rPr>
              <w:t>3</w:t>
            </w:r>
          </w:p>
        </w:tc>
        <w:tc>
          <w:tcPr>
            <w:tcW w:w="793" w:type="dxa"/>
            <w:shd w:val="clear" w:color="auto" w:fill="auto"/>
            <w:vAlign w:val="center"/>
          </w:tcPr>
          <w:p>
            <w:pPr>
              <w:rPr>
                <w:szCs w:val="21"/>
              </w:rPr>
            </w:pPr>
            <w:r>
              <w:rPr>
                <w:rFonts w:hint="eastAsia"/>
                <w:szCs w:val="21"/>
              </w:rPr>
              <w:t>9800</w:t>
            </w:r>
          </w:p>
        </w:tc>
        <w:tc>
          <w:tcPr>
            <w:tcW w:w="851" w:type="dxa"/>
            <w:shd w:val="clear" w:color="auto" w:fill="auto"/>
            <w:vAlign w:val="center"/>
          </w:tcPr>
          <w:p>
            <w:pPr>
              <w:rPr>
                <w:szCs w:val="21"/>
              </w:rPr>
            </w:pPr>
            <w:r>
              <w:rPr>
                <w:rFonts w:hint="eastAsia"/>
                <w:szCs w:val="21"/>
              </w:rPr>
              <w:t>29400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720" w:type="dxa"/>
            <w:shd w:val="clear" w:color="auto" w:fill="auto"/>
            <w:vAlign w:val="center"/>
          </w:tcPr>
          <w:p>
            <w:pPr>
              <w:numPr>
                <w:ilvl w:val="0"/>
                <w:numId w:val="1"/>
              </w:numPr>
              <w:jc w:val="center"/>
              <w:rPr>
                <w:szCs w:val="21"/>
              </w:rPr>
            </w:pPr>
          </w:p>
        </w:tc>
        <w:tc>
          <w:tcPr>
            <w:tcW w:w="1053" w:type="dxa"/>
            <w:shd w:val="clear" w:color="auto" w:fill="auto"/>
            <w:vAlign w:val="center"/>
          </w:tcPr>
          <w:p>
            <w:pPr>
              <w:widowControl/>
              <w:rPr>
                <w:rFonts w:ascii="宋体" w:hAnsi="宋体" w:cs="宋体"/>
                <w:color w:val="000000"/>
                <w:sz w:val="24"/>
              </w:rPr>
            </w:pPr>
            <w:r>
              <w:rPr>
                <w:rFonts w:hint="eastAsia" w:ascii="宋体" w:hAnsi="宋体" w:cs="宋体"/>
                <w:color w:val="000000"/>
                <w:sz w:val="24"/>
              </w:rPr>
              <w:t>气瓶柜</w:t>
            </w:r>
          </w:p>
        </w:tc>
        <w:tc>
          <w:tcPr>
            <w:tcW w:w="3553" w:type="dxa"/>
            <w:shd w:val="clear" w:color="auto" w:fill="auto"/>
            <w:vAlign w:val="center"/>
          </w:tcPr>
          <w:p>
            <w:pPr>
              <w:rPr>
                <w:rFonts w:ascii="宋体" w:hAnsi="宋体" w:cs="宋体"/>
                <w:szCs w:val="21"/>
              </w:rPr>
            </w:pPr>
            <w:r>
              <w:rPr>
                <w:rFonts w:hint="eastAsia" w:ascii="宋体" w:hAnsi="宋体" w:cs="宋体"/>
                <w:szCs w:val="21"/>
              </w:rPr>
              <w:t>1、规格尺寸：900*500*1900</w:t>
            </w:r>
          </w:p>
          <w:p>
            <w:pPr>
              <w:jc w:val="left"/>
              <w:rPr>
                <w:rFonts w:ascii="宋体" w:hAnsi="宋体" w:cs="宋体"/>
                <w:szCs w:val="21"/>
              </w:rPr>
            </w:pPr>
            <w:r>
              <w:rPr>
                <w:rFonts w:hint="eastAsia" w:ascii="宋体" w:hAnsi="宋体" w:cs="宋体"/>
                <w:szCs w:val="21"/>
              </w:rPr>
              <w:t>2、柜体采用1.0mm厚冷轧钢板冲折焊接制作，表面酸洗磷化再经环氧树脂静电粉末喷涂，喷涂厚度≥75μm。</w:t>
            </w:r>
          </w:p>
          <w:p>
            <w:pPr>
              <w:jc w:val="left"/>
              <w:rPr>
                <w:rFonts w:ascii="宋体" w:hAnsi="宋体" w:cs="宋体"/>
                <w:szCs w:val="21"/>
              </w:rPr>
            </w:pPr>
            <w:r>
              <w:rPr>
                <w:rFonts w:hint="eastAsia" w:ascii="宋体" w:hAnsi="宋体" w:cs="宋体"/>
                <w:szCs w:val="21"/>
              </w:rPr>
              <w:t>3、侧板采用1.0mm厚冷轧钢板焊接制作，表面喷涂环氧树脂粉末处理，可固定铰链、滑轨及层板挂钩，前后设有排孔可上下调整层板。</w:t>
            </w:r>
          </w:p>
          <w:p>
            <w:pPr>
              <w:jc w:val="left"/>
              <w:rPr>
                <w:rFonts w:ascii="宋体" w:hAnsi="宋体" w:cs="宋体"/>
                <w:szCs w:val="21"/>
              </w:rPr>
            </w:pPr>
            <w:r>
              <w:rPr>
                <w:rFonts w:hint="eastAsia" w:ascii="宋体" w:hAnsi="宋体" w:cs="宋体"/>
                <w:szCs w:val="21"/>
              </w:rPr>
              <w:t>4、柜门：门板采用1.0mm厚冷轧钢板冲折焊接制作，表面酸洗磷化再经环氧树脂静电粉末喷涂。</w:t>
            </w:r>
          </w:p>
          <w:p>
            <w:pPr>
              <w:jc w:val="left"/>
              <w:rPr>
                <w:rFonts w:ascii="宋体" w:hAnsi="宋体" w:cs="宋体"/>
                <w:szCs w:val="21"/>
              </w:rPr>
            </w:pPr>
            <w:r>
              <w:rPr>
                <w:rFonts w:hint="eastAsia" w:ascii="宋体" w:hAnsi="宋体" w:cs="宋体"/>
                <w:szCs w:val="21"/>
              </w:rPr>
              <w:t>5、合页：2.0mm厚304不锈钢合页，防腐蚀，无噪音，强度好，不折断，柜门开启角度可达180度。</w:t>
            </w:r>
          </w:p>
          <w:p>
            <w:pPr>
              <w:jc w:val="left"/>
              <w:rPr>
                <w:rFonts w:ascii="宋体" w:hAnsi="宋体" w:cs="宋体"/>
                <w:szCs w:val="21"/>
              </w:rPr>
            </w:pPr>
            <w:r>
              <w:rPr>
                <w:rFonts w:hint="eastAsia" w:ascii="宋体" w:hAnsi="宋体" w:cs="宋体"/>
                <w:szCs w:val="21"/>
              </w:rPr>
              <w:t>6、高低调整脚：采用M10螺丝压模成型，底衬防水黑色PVC六角套环，保证可以在柜门打开的情况下，进行钢柜体的水平调节。</w:t>
            </w:r>
          </w:p>
          <w:p>
            <w:pPr>
              <w:rPr>
                <w:rFonts w:ascii="宋体" w:hAnsi="宋体" w:cs="宋体"/>
                <w:szCs w:val="21"/>
              </w:rPr>
            </w:pPr>
            <w:r>
              <w:rPr>
                <w:rFonts w:hint="eastAsia" w:ascii="宋体" w:hAnsi="宋体" w:cs="宋体"/>
                <w:szCs w:val="21"/>
              </w:rPr>
              <w:t>7、带式气瓶固定装置，带通风口，带视窗。</w:t>
            </w:r>
          </w:p>
          <w:p>
            <w:pPr>
              <w:rPr>
                <w:rFonts w:ascii="宋体" w:hAnsi="宋体" w:cs="宋体"/>
                <w:szCs w:val="21"/>
              </w:rPr>
            </w:pPr>
            <w:r>
              <w:rPr>
                <w:rFonts w:hint="eastAsia" w:ascii="宋体" w:hAnsi="宋体" w:cs="宋体"/>
                <w:szCs w:val="21"/>
              </w:rPr>
              <w:t>8、带有智能控制系统，具有温湿度监控，动态显示排风状态等</w:t>
            </w:r>
          </w:p>
        </w:tc>
        <w:tc>
          <w:tcPr>
            <w:tcW w:w="640" w:type="dxa"/>
            <w:shd w:val="clear" w:color="auto" w:fill="auto"/>
            <w:vAlign w:val="center"/>
          </w:tcPr>
          <w:p>
            <w:pPr>
              <w:rPr>
                <w:szCs w:val="21"/>
              </w:rPr>
            </w:pPr>
            <w:r>
              <w:rPr>
                <w:rFonts w:hint="eastAsia"/>
                <w:szCs w:val="21"/>
              </w:rPr>
              <w:t>台</w:t>
            </w:r>
          </w:p>
        </w:tc>
        <w:tc>
          <w:tcPr>
            <w:tcW w:w="636" w:type="dxa"/>
            <w:shd w:val="clear" w:color="auto" w:fill="auto"/>
            <w:vAlign w:val="center"/>
          </w:tcPr>
          <w:p>
            <w:pPr>
              <w:rPr>
                <w:szCs w:val="21"/>
              </w:rPr>
            </w:pPr>
            <w:r>
              <w:rPr>
                <w:rFonts w:hint="eastAsia"/>
                <w:szCs w:val="21"/>
              </w:rPr>
              <w:t>3</w:t>
            </w:r>
          </w:p>
        </w:tc>
        <w:tc>
          <w:tcPr>
            <w:tcW w:w="793" w:type="dxa"/>
            <w:shd w:val="clear" w:color="auto" w:fill="auto"/>
            <w:vAlign w:val="center"/>
          </w:tcPr>
          <w:p>
            <w:pPr>
              <w:rPr>
                <w:szCs w:val="21"/>
              </w:rPr>
            </w:pPr>
            <w:r>
              <w:rPr>
                <w:rFonts w:hint="eastAsia"/>
                <w:szCs w:val="21"/>
              </w:rPr>
              <w:t>2800</w:t>
            </w:r>
          </w:p>
        </w:tc>
        <w:tc>
          <w:tcPr>
            <w:tcW w:w="851" w:type="dxa"/>
            <w:shd w:val="clear" w:color="auto" w:fill="auto"/>
            <w:vAlign w:val="center"/>
          </w:tcPr>
          <w:p>
            <w:pPr>
              <w:rPr>
                <w:szCs w:val="21"/>
              </w:rPr>
            </w:pPr>
            <w:r>
              <w:rPr>
                <w:rFonts w:hint="eastAsia"/>
                <w:szCs w:val="21"/>
              </w:rPr>
              <w:t>8400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720" w:type="dxa"/>
            <w:shd w:val="clear" w:color="auto" w:fill="auto"/>
            <w:vAlign w:val="center"/>
          </w:tcPr>
          <w:p>
            <w:pPr>
              <w:numPr>
                <w:ilvl w:val="0"/>
                <w:numId w:val="1"/>
              </w:numPr>
              <w:jc w:val="center"/>
              <w:rPr>
                <w:szCs w:val="21"/>
              </w:rPr>
            </w:pPr>
          </w:p>
        </w:tc>
        <w:tc>
          <w:tcPr>
            <w:tcW w:w="1053" w:type="dxa"/>
            <w:shd w:val="clear" w:color="auto" w:fill="auto"/>
            <w:vAlign w:val="center"/>
          </w:tcPr>
          <w:p>
            <w:pPr>
              <w:rPr>
                <w:rFonts w:ascii="宋体" w:hAnsi="宋体" w:cs="宋体"/>
                <w:szCs w:val="21"/>
              </w:rPr>
            </w:pPr>
            <w:r>
              <w:rPr>
                <w:rFonts w:hint="eastAsia" w:ascii="宋体" w:hAnsi="宋体" w:cs="宋体"/>
                <w:szCs w:val="21"/>
              </w:rPr>
              <w:t>实验凳</w:t>
            </w:r>
          </w:p>
        </w:tc>
        <w:tc>
          <w:tcPr>
            <w:tcW w:w="3553" w:type="dxa"/>
            <w:shd w:val="clear" w:color="auto" w:fill="auto"/>
            <w:vAlign w:val="center"/>
          </w:tcPr>
          <w:p>
            <w:pPr>
              <w:jc w:val="left"/>
              <w:rPr>
                <w:rFonts w:ascii="宋体" w:hAnsi="宋体" w:cs="宋体"/>
                <w:szCs w:val="21"/>
              </w:rPr>
            </w:pPr>
            <w:r>
              <w:rPr>
                <w:rFonts w:hint="eastAsia" w:ascii="宋体" w:hAnsi="宋体" w:cs="宋体"/>
                <w:szCs w:val="21"/>
              </w:rPr>
              <w:t>1、凳面采用PU制作，包裹一体成型绵，舒适耐用。</w:t>
            </w:r>
          </w:p>
          <w:p>
            <w:pPr>
              <w:jc w:val="left"/>
              <w:rPr>
                <w:rFonts w:ascii="宋体" w:hAnsi="宋体" w:cs="宋体"/>
                <w:szCs w:val="21"/>
              </w:rPr>
            </w:pPr>
            <w:r>
              <w:rPr>
                <w:rFonts w:hint="eastAsia" w:ascii="宋体" w:hAnsi="宋体" w:cs="宋体"/>
                <w:szCs w:val="21"/>
              </w:rPr>
              <w:t>2、五爪落地支撑架，配承重万向活动轮。</w:t>
            </w:r>
          </w:p>
          <w:p>
            <w:pPr>
              <w:rPr>
                <w:rFonts w:ascii="宋体" w:hAnsi="宋体" w:cs="宋体"/>
                <w:szCs w:val="21"/>
              </w:rPr>
            </w:pPr>
            <w:r>
              <w:rPr>
                <w:rFonts w:hint="eastAsia" w:ascii="宋体" w:hAnsi="宋体" w:cs="宋体"/>
                <w:szCs w:val="21"/>
              </w:rPr>
              <w:t>3、优质气动升降装置。</w:t>
            </w:r>
          </w:p>
        </w:tc>
        <w:tc>
          <w:tcPr>
            <w:tcW w:w="640" w:type="dxa"/>
            <w:shd w:val="clear" w:color="auto" w:fill="auto"/>
            <w:vAlign w:val="center"/>
          </w:tcPr>
          <w:p>
            <w:pPr>
              <w:rPr>
                <w:rFonts w:ascii="宋体" w:hAnsi="宋体" w:cs="宋体"/>
                <w:szCs w:val="21"/>
              </w:rPr>
            </w:pPr>
            <w:r>
              <w:rPr>
                <w:rFonts w:hint="eastAsia" w:ascii="宋体" w:hAnsi="宋体" w:cs="宋体"/>
                <w:szCs w:val="21"/>
              </w:rPr>
              <w:t>个</w:t>
            </w:r>
          </w:p>
        </w:tc>
        <w:tc>
          <w:tcPr>
            <w:tcW w:w="636" w:type="dxa"/>
            <w:shd w:val="clear" w:color="auto" w:fill="auto"/>
            <w:vAlign w:val="center"/>
          </w:tcPr>
          <w:p>
            <w:pPr>
              <w:rPr>
                <w:rFonts w:ascii="宋体" w:hAnsi="宋体" w:cs="宋体"/>
                <w:szCs w:val="21"/>
              </w:rPr>
            </w:pPr>
            <w:r>
              <w:rPr>
                <w:rFonts w:hint="eastAsia" w:ascii="宋体" w:hAnsi="宋体" w:cs="宋体"/>
                <w:szCs w:val="21"/>
              </w:rPr>
              <w:t>72</w:t>
            </w:r>
          </w:p>
        </w:tc>
        <w:tc>
          <w:tcPr>
            <w:tcW w:w="793" w:type="dxa"/>
            <w:shd w:val="clear" w:color="auto" w:fill="auto"/>
            <w:vAlign w:val="center"/>
          </w:tcPr>
          <w:p>
            <w:pPr>
              <w:rPr>
                <w:rFonts w:ascii="宋体" w:hAnsi="宋体" w:cs="宋体"/>
                <w:szCs w:val="21"/>
              </w:rPr>
            </w:pPr>
            <w:r>
              <w:rPr>
                <w:rFonts w:hint="eastAsia" w:ascii="宋体" w:hAnsi="宋体" w:cs="宋体"/>
                <w:szCs w:val="21"/>
              </w:rPr>
              <w:t>187</w:t>
            </w:r>
          </w:p>
        </w:tc>
        <w:tc>
          <w:tcPr>
            <w:tcW w:w="851" w:type="dxa"/>
            <w:shd w:val="clear" w:color="auto" w:fill="auto"/>
            <w:vAlign w:val="center"/>
          </w:tcPr>
          <w:p>
            <w:pPr>
              <w:rPr>
                <w:rFonts w:ascii="宋体" w:hAnsi="宋体" w:cs="宋体"/>
                <w:szCs w:val="21"/>
              </w:rPr>
            </w:pPr>
            <w:r>
              <w:rPr>
                <w:rFonts w:hint="eastAsia" w:ascii="宋体" w:hAnsi="宋体" w:cs="宋体"/>
                <w:szCs w:val="21"/>
              </w:rPr>
              <w:t>13464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1" w:hRule="atLeast"/>
          <w:jc w:val="center"/>
        </w:trPr>
        <w:tc>
          <w:tcPr>
            <w:tcW w:w="720" w:type="dxa"/>
            <w:shd w:val="clear" w:color="auto" w:fill="auto"/>
            <w:vAlign w:val="center"/>
          </w:tcPr>
          <w:p>
            <w:pPr>
              <w:numPr>
                <w:ilvl w:val="0"/>
                <w:numId w:val="1"/>
              </w:numPr>
              <w:jc w:val="center"/>
              <w:rPr>
                <w:szCs w:val="21"/>
              </w:rPr>
            </w:pPr>
          </w:p>
        </w:tc>
        <w:tc>
          <w:tcPr>
            <w:tcW w:w="1053" w:type="dxa"/>
            <w:shd w:val="clear" w:color="auto" w:fill="auto"/>
            <w:vAlign w:val="center"/>
          </w:tcPr>
          <w:p>
            <w:pPr>
              <w:rPr>
                <w:rFonts w:ascii="宋体" w:hAnsi="宋体" w:cs="宋体"/>
                <w:szCs w:val="21"/>
              </w:rPr>
            </w:pPr>
            <w:r>
              <w:rPr>
                <w:rFonts w:hint="eastAsia" w:ascii="宋体" w:hAnsi="宋体" w:cs="宋体"/>
                <w:szCs w:val="21"/>
              </w:rPr>
              <w:t>步入式温控柜</w:t>
            </w:r>
          </w:p>
        </w:tc>
        <w:tc>
          <w:tcPr>
            <w:tcW w:w="3553" w:type="dxa"/>
            <w:shd w:val="clear" w:color="auto" w:fill="auto"/>
            <w:vAlign w:val="center"/>
          </w:tcPr>
          <w:p>
            <w:pPr>
              <w:jc w:val="left"/>
              <w:rPr>
                <w:rFonts w:ascii="宋体" w:hAnsi="宋体" w:cs="宋体"/>
                <w:szCs w:val="21"/>
              </w:rPr>
            </w:pPr>
            <w:r>
              <w:rPr>
                <w:rFonts w:hint="eastAsia" w:ascii="宋体" w:hAnsi="宋体" w:cs="宋体"/>
                <w:szCs w:val="21"/>
              </w:rPr>
              <w:t>1.规格尺寸：7200*6000*2600</w:t>
            </w:r>
          </w:p>
          <w:p>
            <w:pPr>
              <w:jc w:val="left"/>
              <w:rPr>
                <w:rFonts w:ascii="宋体" w:hAnsi="宋体" w:cs="宋体"/>
                <w:szCs w:val="21"/>
              </w:rPr>
            </w:pPr>
            <w:r>
              <w:rPr>
                <w:rFonts w:hint="eastAsia" w:ascii="宋体" w:hAnsi="宋体" w:cs="宋体"/>
                <w:szCs w:val="21"/>
              </w:rPr>
              <w:t>2.主体材质：采用双层钢板结构，中间采用机械填充不小于49mm厚岩棉材料，密度紧实，隔音，保温性良好。</w:t>
            </w:r>
          </w:p>
          <w:p>
            <w:pPr>
              <w:jc w:val="left"/>
              <w:rPr>
                <w:rFonts w:ascii="宋体" w:hAnsi="宋体" w:cs="宋体"/>
                <w:szCs w:val="21"/>
              </w:rPr>
            </w:pPr>
            <w:r>
              <w:rPr>
                <w:rFonts w:hint="eastAsia" w:ascii="宋体" w:hAnsi="宋体" w:cs="宋体"/>
                <w:szCs w:val="21"/>
              </w:rPr>
              <w:t>3.内部空间按实际使用需求进行功能性分区。</w:t>
            </w:r>
          </w:p>
          <w:p>
            <w:pPr>
              <w:jc w:val="left"/>
              <w:rPr>
                <w:rFonts w:ascii="宋体" w:hAnsi="宋体" w:cs="宋体"/>
                <w:szCs w:val="21"/>
              </w:rPr>
            </w:pPr>
            <w:r>
              <w:rPr>
                <w:rFonts w:hint="eastAsia" w:ascii="宋体" w:hAnsi="宋体" w:cs="宋体"/>
                <w:szCs w:val="21"/>
              </w:rPr>
              <w:t>4.柜门采用0.8mm镀锌钢板制作，双层结构设计，带有自动关闭功能。</w:t>
            </w:r>
          </w:p>
          <w:p>
            <w:pPr>
              <w:jc w:val="left"/>
              <w:rPr>
                <w:rFonts w:ascii="宋体" w:hAnsi="宋体" w:cs="宋体"/>
                <w:szCs w:val="21"/>
              </w:rPr>
            </w:pPr>
            <w:r>
              <w:rPr>
                <w:rFonts w:hint="eastAsia" w:ascii="宋体" w:hAnsi="宋体" w:cs="宋体"/>
                <w:szCs w:val="21"/>
              </w:rPr>
              <w:t>5.内部空间底部铺设聚氯乙烯材质，耐水、热稳定性良好；。</w:t>
            </w:r>
          </w:p>
          <w:p>
            <w:pPr>
              <w:rPr>
                <w:rFonts w:ascii="宋体" w:hAnsi="宋体" w:cs="宋体"/>
                <w:szCs w:val="21"/>
              </w:rPr>
            </w:pPr>
            <w:r>
              <w:rPr>
                <w:rFonts w:hint="eastAsia" w:ascii="宋体" w:hAnsi="宋体" w:cs="宋体"/>
                <w:szCs w:val="21"/>
              </w:rPr>
              <w:t>6.配有空气调节器，具备冷暖调节功能。</w:t>
            </w:r>
          </w:p>
        </w:tc>
        <w:tc>
          <w:tcPr>
            <w:tcW w:w="640" w:type="dxa"/>
            <w:shd w:val="clear" w:color="auto" w:fill="auto"/>
            <w:vAlign w:val="center"/>
          </w:tcPr>
          <w:p>
            <w:pPr>
              <w:rPr>
                <w:rFonts w:ascii="宋体" w:hAnsi="宋体" w:cs="宋体"/>
                <w:szCs w:val="21"/>
              </w:rPr>
            </w:pPr>
            <w:r>
              <w:rPr>
                <w:rFonts w:hint="eastAsia" w:ascii="宋体" w:hAnsi="宋体" w:cs="宋体"/>
                <w:szCs w:val="21"/>
              </w:rPr>
              <w:t>套</w:t>
            </w:r>
          </w:p>
        </w:tc>
        <w:tc>
          <w:tcPr>
            <w:tcW w:w="636" w:type="dxa"/>
            <w:shd w:val="clear" w:color="auto" w:fill="auto"/>
            <w:vAlign w:val="center"/>
          </w:tcPr>
          <w:p>
            <w:pPr>
              <w:rPr>
                <w:rFonts w:ascii="宋体" w:hAnsi="宋体" w:cs="宋体"/>
                <w:szCs w:val="21"/>
              </w:rPr>
            </w:pPr>
            <w:r>
              <w:rPr>
                <w:rFonts w:hint="eastAsia" w:ascii="宋体" w:hAnsi="宋体" w:cs="宋体"/>
                <w:szCs w:val="21"/>
              </w:rPr>
              <w:t>1</w:t>
            </w:r>
          </w:p>
        </w:tc>
        <w:tc>
          <w:tcPr>
            <w:tcW w:w="793" w:type="dxa"/>
            <w:shd w:val="clear" w:color="auto" w:fill="auto"/>
            <w:vAlign w:val="center"/>
          </w:tcPr>
          <w:p>
            <w:pPr>
              <w:rPr>
                <w:rFonts w:ascii="宋体" w:hAnsi="宋体" w:cs="宋体"/>
                <w:szCs w:val="21"/>
              </w:rPr>
            </w:pPr>
            <w:r>
              <w:rPr>
                <w:rFonts w:ascii="宋体" w:hAnsi="宋体" w:cs="宋体"/>
                <w:szCs w:val="21"/>
              </w:rPr>
              <w:t>855</w:t>
            </w:r>
            <w:r>
              <w:rPr>
                <w:rFonts w:hint="eastAsia" w:ascii="宋体" w:hAnsi="宋体" w:cs="宋体"/>
                <w:szCs w:val="21"/>
              </w:rPr>
              <w:t>0</w:t>
            </w:r>
            <w:r>
              <w:rPr>
                <w:rFonts w:ascii="宋体" w:hAnsi="宋体" w:cs="宋体"/>
                <w:szCs w:val="21"/>
              </w:rPr>
              <w:t>0</w:t>
            </w:r>
          </w:p>
        </w:tc>
        <w:tc>
          <w:tcPr>
            <w:tcW w:w="851" w:type="dxa"/>
            <w:shd w:val="clear" w:color="auto" w:fill="auto"/>
            <w:vAlign w:val="center"/>
          </w:tcPr>
          <w:p>
            <w:pPr>
              <w:rPr>
                <w:rFonts w:ascii="宋体" w:hAnsi="宋体" w:cs="宋体"/>
                <w:szCs w:val="21"/>
              </w:rPr>
            </w:pPr>
            <w:bookmarkStart w:id="13" w:name="OLE_LINK22"/>
            <w:bookmarkStart w:id="14" w:name="OLE_LINK21"/>
            <w:r>
              <w:rPr>
                <w:rFonts w:ascii="宋体" w:hAnsi="宋体" w:cs="宋体"/>
                <w:szCs w:val="21"/>
              </w:rPr>
              <w:t>855</w:t>
            </w:r>
            <w:r>
              <w:rPr>
                <w:rFonts w:hint="eastAsia" w:ascii="宋体" w:hAnsi="宋体" w:cs="宋体"/>
                <w:szCs w:val="21"/>
              </w:rPr>
              <w:t>0</w:t>
            </w:r>
            <w:r>
              <w:rPr>
                <w:rFonts w:ascii="宋体" w:hAnsi="宋体" w:cs="宋体"/>
                <w:szCs w:val="21"/>
              </w:rPr>
              <w:t>0</w:t>
            </w:r>
            <w:bookmarkEnd w:id="13"/>
            <w:bookmarkEnd w:id="14"/>
          </w:p>
        </w:tc>
      </w:tr>
    </w:tbl>
    <w:p>
      <w:pPr>
        <w:spacing w:line="360" w:lineRule="auto"/>
        <w:ind w:firstLine="480" w:firstLineChars="200"/>
        <w:outlineLvl w:val="0"/>
        <w:rPr>
          <w:sz w:val="24"/>
        </w:rPr>
      </w:pPr>
    </w:p>
    <w:p>
      <w:pPr>
        <w:spacing w:line="360" w:lineRule="auto"/>
        <w:ind w:firstLine="480" w:firstLineChars="200"/>
        <w:outlineLvl w:val="0"/>
        <w:rPr>
          <w:sz w:val="24"/>
        </w:rPr>
      </w:pPr>
      <w:r>
        <w:rPr>
          <w:rFonts w:hint="eastAsia"/>
          <w:sz w:val="24"/>
        </w:rPr>
        <w:t>注：</w:t>
      </w:r>
    </w:p>
    <w:p>
      <w:pPr>
        <w:spacing w:line="360" w:lineRule="auto"/>
        <w:ind w:firstLine="480" w:firstLineChars="200"/>
        <w:outlineLvl w:val="0"/>
        <w:rPr>
          <w:sz w:val="24"/>
        </w:rPr>
      </w:pPr>
      <w:r>
        <w:rPr>
          <w:sz w:val="24"/>
        </w:rPr>
        <w:t>加注“</w:t>
      </w:r>
      <w:r>
        <w:rPr>
          <w:rFonts w:hint="eastAsia" w:ascii="宋体" w:hAnsi="宋体" w:cs="宋体"/>
          <w:sz w:val="24"/>
        </w:rPr>
        <w:t>★</w:t>
      </w:r>
      <w:r>
        <w:rPr>
          <w:sz w:val="24"/>
        </w:rPr>
        <w:t>”号条款为实质性条款，不得出现负偏离，发生负偏离即做无效标处理。</w:t>
      </w:r>
    </w:p>
    <w:p>
      <w:pPr>
        <w:spacing w:line="360" w:lineRule="auto"/>
        <w:ind w:firstLine="480" w:firstLineChars="200"/>
        <w:outlineLvl w:val="0"/>
        <w:rPr>
          <w:sz w:val="24"/>
        </w:rPr>
      </w:pPr>
      <w:r>
        <w:rPr>
          <w:rFonts w:hint="eastAsia"/>
          <w:sz w:val="24"/>
        </w:rPr>
        <w:t>加注“▲”号的产品为核心产品（如项目需求书中未明确核心产品，则视为全部产品均为核心产品）。</w:t>
      </w:r>
    </w:p>
    <w:p>
      <w:pPr>
        <w:spacing w:line="360" w:lineRule="auto"/>
        <w:ind w:firstLine="482" w:firstLineChars="200"/>
        <w:rPr>
          <w:rFonts w:ascii="宋体" w:hAnsi="宋体"/>
          <w:b/>
          <w:sz w:val="24"/>
        </w:rPr>
      </w:pPr>
      <w:r>
        <w:rPr>
          <w:rFonts w:hint="eastAsia" w:ascii="宋体" w:hAnsi="宋体"/>
          <w:b/>
          <w:sz w:val="24"/>
        </w:rPr>
        <w:t>五、商务要求</w:t>
      </w:r>
    </w:p>
    <w:p>
      <w:pPr>
        <w:spacing w:line="360" w:lineRule="auto"/>
        <w:ind w:firstLine="480" w:firstLineChars="200"/>
        <w:outlineLvl w:val="0"/>
        <w:rPr>
          <w:sz w:val="24"/>
        </w:rPr>
      </w:pPr>
      <w:r>
        <w:rPr>
          <w:rFonts w:hint="eastAsia"/>
          <w:sz w:val="24"/>
        </w:rPr>
        <w:t>1. 提供所投产品</w:t>
      </w:r>
      <w:r>
        <w:rPr>
          <w:rFonts w:hint="eastAsia"/>
          <w:color w:val="FF0000"/>
          <w:sz w:val="24"/>
        </w:rPr>
        <w:t>3年</w:t>
      </w:r>
      <w:r>
        <w:rPr>
          <w:rFonts w:hint="eastAsia"/>
          <w:sz w:val="24"/>
        </w:rPr>
        <w:t>的免费上门保修。</w:t>
      </w:r>
    </w:p>
    <w:p>
      <w:pPr>
        <w:spacing w:line="360" w:lineRule="auto"/>
        <w:ind w:firstLine="480" w:firstLineChars="200"/>
        <w:outlineLvl w:val="0"/>
        <w:rPr>
          <w:sz w:val="24"/>
        </w:rPr>
      </w:pPr>
      <w:r>
        <w:rPr>
          <w:rFonts w:hint="eastAsia"/>
          <w:sz w:val="24"/>
        </w:rPr>
        <w:t>2. 货到：签订合同之日起</w:t>
      </w:r>
      <w:r>
        <w:rPr>
          <w:rFonts w:hint="eastAsia"/>
          <w:color w:val="FF0000"/>
          <w:sz w:val="24"/>
        </w:rPr>
        <w:t>7日</w:t>
      </w:r>
      <w:r>
        <w:rPr>
          <w:rFonts w:hint="eastAsia"/>
          <w:sz w:val="24"/>
        </w:rPr>
        <w:t>内（特殊情况以合同为准）。</w:t>
      </w:r>
    </w:p>
    <w:p>
      <w:pPr>
        <w:spacing w:line="360" w:lineRule="auto"/>
        <w:ind w:firstLine="480" w:firstLineChars="200"/>
        <w:outlineLvl w:val="0"/>
        <w:rPr>
          <w:sz w:val="24"/>
        </w:rPr>
      </w:pPr>
      <w:r>
        <w:rPr>
          <w:rFonts w:hint="eastAsia"/>
          <w:sz w:val="24"/>
        </w:rPr>
        <w:t>安装（施工）完成：货到之日起</w:t>
      </w:r>
      <w:r>
        <w:rPr>
          <w:rFonts w:hint="eastAsia"/>
          <w:color w:val="FF0000"/>
          <w:sz w:val="24"/>
        </w:rPr>
        <w:t>5日</w:t>
      </w:r>
      <w:r>
        <w:rPr>
          <w:rFonts w:hint="eastAsia"/>
          <w:sz w:val="24"/>
        </w:rPr>
        <w:t>内（特殊情况以合同为准）。</w:t>
      </w:r>
    </w:p>
    <w:p>
      <w:pPr>
        <w:wordWrap w:val="0"/>
        <w:autoSpaceDE w:val="0"/>
        <w:autoSpaceDN w:val="0"/>
        <w:adjustRightInd w:val="0"/>
        <w:snapToGrid w:val="0"/>
        <w:spacing w:line="360" w:lineRule="auto"/>
        <w:ind w:firstLine="480" w:firstLineChars="200"/>
        <w:rPr>
          <w:sz w:val="24"/>
        </w:rPr>
      </w:pPr>
      <w:r>
        <w:rPr>
          <w:rFonts w:hint="eastAsia"/>
          <w:sz w:val="24"/>
        </w:rPr>
        <w:t>3.付款方式：货到安装调试完成验收合格之日起</w:t>
      </w:r>
      <w:r>
        <w:rPr>
          <w:rFonts w:hint="eastAsia"/>
          <w:color w:val="FF0000"/>
          <w:sz w:val="24"/>
        </w:rPr>
        <w:t>7日</w:t>
      </w:r>
      <w:r>
        <w:rPr>
          <w:rFonts w:hint="eastAsia"/>
          <w:sz w:val="24"/>
        </w:rPr>
        <w:t>内支付合同总额的</w:t>
      </w:r>
      <w:r>
        <w:rPr>
          <w:rFonts w:hint="eastAsia"/>
          <w:color w:val="FF0000"/>
          <w:sz w:val="24"/>
        </w:rPr>
        <w:t>100%</w:t>
      </w:r>
      <w:r>
        <w:rPr>
          <w:rFonts w:hint="eastAsia"/>
          <w:sz w:val="24"/>
        </w:rPr>
        <w:t>（特殊情况以合同为准）</w:t>
      </w:r>
    </w:p>
    <w:p>
      <w:pPr>
        <w:autoSpaceDE w:val="0"/>
        <w:autoSpaceDN w:val="0"/>
        <w:spacing w:line="360" w:lineRule="auto"/>
        <w:ind w:firstLine="482" w:firstLineChars="200"/>
        <w:rPr>
          <w:b/>
          <w:sz w:val="24"/>
        </w:rPr>
      </w:pPr>
      <w:r>
        <w:rPr>
          <w:rFonts w:hint="eastAsia"/>
          <w:b/>
          <w:sz w:val="24"/>
        </w:rPr>
        <w:t>六、验收标准</w:t>
      </w:r>
    </w:p>
    <w:p>
      <w:pPr>
        <w:spacing w:line="360" w:lineRule="auto"/>
        <w:ind w:firstLine="480" w:firstLineChars="200"/>
        <w:outlineLvl w:val="0"/>
        <w:rPr>
          <w:sz w:val="24"/>
        </w:rPr>
      </w:pPr>
      <w:r>
        <w:rPr>
          <w:rFonts w:hint="eastAsia"/>
          <w:sz w:val="24"/>
        </w:rPr>
        <w:t>由采购人自行填写。</w:t>
      </w:r>
    </w:p>
    <w:p>
      <w:pPr>
        <w:spacing w:line="360" w:lineRule="auto"/>
        <w:ind w:firstLine="480" w:firstLineChars="200"/>
        <w:outlineLvl w:val="0"/>
        <w:rPr>
          <w:color w:val="FF0000"/>
          <w:sz w:val="24"/>
        </w:rPr>
      </w:pPr>
      <w:r>
        <w:rPr>
          <w:rFonts w:hint="eastAsia"/>
          <w:color w:val="FF0000"/>
          <w:sz w:val="24"/>
        </w:rPr>
        <w:t>符合现行国家及行业标准要求；抽验比例标准；逐条参数验收；有权委托第三方检验机构进行检验；特殊情况以合同为准等等。</w:t>
      </w:r>
    </w:p>
    <w:p>
      <w:pPr>
        <w:spacing w:line="360" w:lineRule="auto"/>
        <w:ind w:firstLine="482" w:firstLineChars="200"/>
        <w:outlineLvl w:val="0"/>
        <w:rPr>
          <w:b/>
          <w:sz w:val="24"/>
        </w:rPr>
      </w:pPr>
      <w:r>
        <w:rPr>
          <w:rFonts w:hint="eastAsia"/>
          <w:b/>
          <w:sz w:val="24"/>
        </w:rPr>
        <w:t>七、其他要求</w:t>
      </w:r>
    </w:p>
    <w:p>
      <w:pPr>
        <w:spacing w:line="360" w:lineRule="auto"/>
        <w:ind w:firstLine="480" w:firstLineChars="200"/>
        <w:rPr>
          <w:rFonts w:ascii="宋体" w:hAnsi="宋体"/>
          <w:sz w:val="24"/>
        </w:rPr>
      </w:pPr>
    </w:p>
    <w:p>
      <w:pPr>
        <w:spacing w:line="360" w:lineRule="auto"/>
        <w:ind w:firstLine="480" w:firstLineChars="200"/>
        <w:rPr>
          <w:rFonts w:ascii="宋体" w:hAnsi="宋体"/>
          <w:sz w:val="24"/>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Verdana">
    <w:panose1 w:val="020B0604030504040204"/>
    <w:charset w:val="00"/>
    <w:family w:val="swiss"/>
    <w:pitch w:val="default"/>
    <w:sig w:usb0="A10006FF" w:usb1="4000205B" w:usb2="00000010" w:usb3="00000000" w:csb0="2000019F" w:csb1="00000000"/>
  </w:font>
  <w:font w:name="Gulim">
    <w:panose1 w:val="020B0600000101010101"/>
    <w:charset w:val="81"/>
    <w:family w:val="auto"/>
    <w:pitch w:val="default"/>
    <w:sig w:usb0="B00002AF" w:usb1="69D77CFB" w:usb2="00000030" w:usb3="00000000" w:csb0="4008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39AEF7E"/>
    <w:multiLevelType w:val="singleLevel"/>
    <w:tmpl w:val="D39AEF7E"/>
    <w:lvl w:ilvl="0" w:tentative="0">
      <w:start w:val="1"/>
      <w:numFmt w:val="decimal"/>
      <w:suff w:val="nothing"/>
      <w:lvlText w:val="%1"/>
      <w:lvlJc w:val="center"/>
      <w:pPr>
        <w:ind w:left="0" w:firstLine="111"/>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7"/>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rsids>
    <w:rsidRoot w:val="00DB3902"/>
    <w:rsid w:val="0000135E"/>
    <w:rsid w:val="000217BB"/>
    <w:rsid w:val="000247DC"/>
    <w:rsid w:val="00045631"/>
    <w:rsid w:val="00071693"/>
    <w:rsid w:val="000A2D6B"/>
    <w:rsid w:val="000A6FE9"/>
    <w:rsid w:val="000A7CD6"/>
    <w:rsid w:val="000C184F"/>
    <w:rsid w:val="000E2EAA"/>
    <w:rsid w:val="00111F73"/>
    <w:rsid w:val="001335EE"/>
    <w:rsid w:val="001400A9"/>
    <w:rsid w:val="00170C09"/>
    <w:rsid w:val="001A4C59"/>
    <w:rsid w:val="001B5F3C"/>
    <w:rsid w:val="001D0C0D"/>
    <w:rsid w:val="001D309E"/>
    <w:rsid w:val="001E7CF5"/>
    <w:rsid w:val="001F60D5"/>
    <w:rsid w:val="00201493"/>
    <w:rsid w:val="002053EF"/>
    <w:rsid w:val="00240264"/>
    <w:rsid w:val="00244BBF"/>
    <w:rsid w:val="002538CF"/>
    <w:rsid w:val="002651A6"/>
    <w:rsid w:val="00270221"/>
    <w:rsid w:val="0028124B"/>
    <w:rsid w:val="002964AE"/>
    <w:rsid w:val="002B4BEF"/>
    <w:rsid w:val="002E519C"/>
    <w:rsid w:val="00305686"/>
    <w:rsid w:val="00306C12"/>
    <w:rsid w:val="003116CB"/>
    <w:rsid w:val="00315235"/>
    <w:rsid w:val="00330E0D"/>
    <w:rsid w:val="0033397A"/>
    <w:rsid w:val="003545AA"/>
    <w:rsid w:val="003A0037"/>
    <w:rsid w:val="003D6EFB"/>
    <w:rsid w:val="003E7311"/>
    <w:rsid w:val="003F429C"/>
    <w:rsid w:val="00410F83"/>
    <w:rsid w:val="00412918"/>
    <w:rsid w:val="004459D2"/>
    <w:rsid w:val="0045575F"/>
    <w:rsid w:val="00483C3E"/>
    <w:rsid w:val="004A1DD6"/>
    <w:rsid w:val="004D4305"/>
    <w:rsid w:val="004E5CED"/>
    <w:rsid w:val="004F0C45"/>
    <w:rsid w:val="00500D27"/>
    <w:rsid w:val="005204C1"/>
    <w:rsid w:val="00524CD6"/>
    <w:rsid w:val="0057138B"/>
    <w:rsid w:val="00574287"/>
    <w:rsid w:val="00584AB5"/>
    <w:rsid w:val="005C0E7E"/>
    <w:rsid w:val="005C780E"/>
    <w:rsid w:val="005D55EA"/>
    <w:rsid w:val="00616E51"/>
    <w:rsid w:val="0062621F"/>
    <w:rsid w:val="006322E8"/>
    <w:rsid w:val="00634D3F"/>
    <w:rsid w:val="00645A07"/>
    <w:rsid w:val="00680419"/>
    <w:rsid w:val="00682E4E"/>
    <w:rsid w:val="006B06EF"/>
    <w:rsid w:val="006B0B20"/>
    <w:rsid w:val="006D17C5"/>
    <w:rsid w:val="006D263F"/>
    <w:rsid w:val="007135F6"/>
    <w:rsid w:val="007433F3"/>
    <w:rsid w:val="00746194"/>
    <w:rsid w:val="007749F5"/>
    <w:rsid w:val="00785041"/>
    <w:rsid w:val="007A45E1"/>
    <w:rsid w:val="007B6678"/>
    <w:rsid w:val="007C515A"/>
    <w:rsid w:val="008237F7"/>
    <w:rsid w:val="00843A83"/>
    <w:rsid w:val="00845E60"/>
    <w:rsid w:val="00861373"/>
    <w:rsid w:val="00861EA9"/>
    <w:rsid w:val="008662DD"/>
    <w:rsid w:val="008A6D81"/>
    <w:rsid w:val="008C68C8"/>
    <w:rsid w:val="00904F8C"/>
    <w:rsid w:val="009161CD"/>
    <w:rsid w:val="0091671E"/>
    <w:rsid w:val="00922E8E"/>
    <w:rsid w:val="00930995"/>
    <w:rsid w:val="009356EC"/>
    <w:rsid w:val="0094125D"/>
    <w:rsid w:val="00944537"/>
    <w:rsid w:val="00945B13"/>
    <w:rsid w:val="0094738D"/>
    <w:rsid w:val="009712E5"/>
    <w:rsid w:val="00973637"/>
    <w:rsid w:val="00990B50"/>
    <w:rsid w:val="009A114C"/>
    <w:rsid w:val="009D6ECB"/>
    <w:rsid w:val="009E14A0"/>
    <w:rsid w:val="00A21C5C"/>
    <w:rsid w:val="00A27F3F"/>
    <w:rsid w:val="00A41912"/>
    <w:rsid w:val="00A71C25"/>
    <w:rsid w:val="00A772E5"/>
    <w:rsid w:val="00AA0AF1"/>
    <w:rsid w:val="00AA137D"/>
    <w:rsid w:val="00AB1AAA"/>
    <w:rsid w:val="00AB683B"/>
    <w:rsid w:val="00AC1733"/>
    <w:rsid w:val="00AE2D62"/>
    <w:rsid w:val="00AE58B7"/>
    <w:rsid w:val="00AF0F74"/>
    <w:rsid w:val="00B1439A"/>
    <w:rsid w:val="00B15766"/>
    <w:rsid w:val="00B15F5E"/>
    <w:rsid w:val="00B169E3"/>
    <w:rsid w:val="00B462D8"/>
    <w:rsid w:val="00B965D1"/>
    <w:rsid w:val="00BA394C"/>
    <w:rsid w:val="00BF4747"/>
    <w:rsid w:val="00C17BFA"/>
    <w:rsid w:val="00C560F1"/>
    <w:rsid w:val="00C60BAE"/>
    <w:rsid w:val="00C75C8E"/>
    <w:rsid w:val="00C82EF1"/>
    <w:rsid w:val="00CB1A31"/>
    <w:rsid w:val="00CC180E"/>
    <w:rsid w:val="00CC29E1"/>
    <w:rsid w:val="00CE1F46"/>
    <w:rsid w:val="00CE576F"/>
    <w:rsid w:val="00D078E9"/>
    <w:rsid w:val="00D17989"/>
    <w:rsid w:val="00D440D3"/>
    <w:rsid w:val="00D5625F"/>
    <w:rsid w:val="00D655A7"/>
    <w:rsid w:val="00D874CD"/>
    <w:rsid w:val="00D96549"/>
    <w:rsid w:val="00DA58DC"/>
    <w:rsid w:val="00DB3902"/>
    <w:rsid w:val="00DD1CE3"/>
    <w:rsid w:val="00DE48FB"/>
    <w:rsid w:val="00DE6C4C"/>
    <w:rsid w:val="00E00018"/>
    <w:rsid w:val="00E0243D"/>
    <w:rsid w:val="00E14454"/>
    <w:rsid w:val="00E268BE"/>
    <w:rsid w:val="00E425EF"/>
    <w:rsid w:val="00E55C1F"/>
    <w:rsid w:val="00E57285"/>
    <w:rsid w:val="00E93497"/>
    <w:rsid w:val="00EA4C82"/>
    <w:rsid w:val="00EC4AE3"/>
    <w:rsid w:val="00ED4738"/>
    <w:rsid w:val="00EF0A57"/>
    <w:rsid w:val="00F11972"/>
    <w:rsid w:val="00F12DFA"/>
    <w:rsid w:val="00F40AFD"/>
    <w:rsid w:val="00F435AC"/>
    <w:rsid w:val="00F50D93"/>
    <w:rsid w:val="00F73D28"/>
    <w:rsid w:val="00F873E2"/>
    <w:rsid w:val="00F87F9F"/>
    <w:rsid w:val="00FB491C"/>
    <w:rsid w:val="00FC126E"/>
    <w:rsid w:val="03FD0E3E"/>
    <w:rsid w:val="042033D6"/>
    <w:rsid w:val="04794225"/>
    <w:rsid w:val="049A7BD3"/>
    <w:rsid w:val="04AF035C"/>
    <w:rsid w:val="054E05C4"/>
    <w:rsid w:val="065B5A88"/>
    <w:rsid w:val="088309E8"/>
    <w:rsid w:val="09A80857"/>
    <w:rsid w:val="0B316DB7"/>
    <w:rsid w:val="0B7A7CC3"/>
    <w:rsid w:val="0E72396F"/>
    <w:rsid w:val="0F5C0B51"/>
    <w:rsid w:val="0FAC7ACD"/>
    <w:rsid w:val="10926DBF"/>
    <w:rsid w:val="11BF4D40"/>
    <w:rsid w:val="122D30E1"/>
    <w:rsid w:val="13550080"/>
    <w:rsid w:val="1D764824"/>
    <w:rsid w:val="1F6A4ADE"/>
    <w:rsid w:val="20954321"/>
    <w:rsid w:val="21401A3F"/>
    <w:rsid w:val="224B732E"/>
    <w:rsid w:val="22EA5AA1"/>
    <w:rsid w:val="235F193C"/>
    <w:rsid w:val="23760F5B"/>
    <w:rsid w:val="24132CA6"/>
    <w:rsid w:val="24AA4DDC"/>
    <w:rsid w:val="2590711C"/>
    <w:rsid w:val="26234D89"/>
    <w:rsid w:val="29010F39"/>
    <w:rsid w:val="2C4133C1"/>
    <w:rsid w:val="31D42049"/>
    <w:rsid w:val="32220E91"/>
    <w:rsid w:val="3314552A"/>
    <w:rsid w:val="34262A8D"/>
    <w:rsid w:val="34920DF0"/>
    <w:rsid w:val="35767811"/>
    <w:rsid w:val="35DA1C76"/>
    <w:rsid w:val="3795172C"/>
    <w:rsid w:val="3B697D24"/>
    <w:rsid w:val="3CF14232"/>
    <w:rsid w:val="3D8175A7"/>
    <w:rsid w:val="41111286"/>
    <w:rsid w:val="412D70FE"/>
    <w:rsid w:val="42767986"/>
    <w:rsid w:val="42BA0E65"/>
    <w:rsid w:val="4B9F6E1F"/>
    <w:rsid w:val="531E2FF2"/>
    <w:rsid w:val="55AE3C0E"/>
    <w:rsid w:val="56B658DB"/>
    <w:rsid w:val="598C7B89"/>
    <w:rsid w:val="59A1148A"/>
    <w:rsid w:val="5DE20E9D"/>
    <w:rsid w:val="60031C46"/>
    <w:rsid w:val="60571C5C"/>
    <w:rsid w:val="61A5698F"/>
    <w:rsid w:val="61B63590"/>
    <w:rsid w:val="6372539B"/>
    <w:rsid w:val="63E80DAE"/>
    <w:rsid w:val="643876B9"/>
    <w:rsid w:val="66EB763C"/>
    <w:rsid w:val="6B2807B2"/>
    <w:rsid w:val="6BC758CE"/>
    <w:rsid w:val="70577F0C"/>
    <w:rsid w:val="72C264DB"/>
    <w:rsid w:val="73A82490"/>
    <w:rsid w:val="74B26A80"/>
    <w:rsid w:val="77C67628"/>
    <w:rsid w:val="786052AF"/>
    <w:rsid w:val="7BD13B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uiPriority w:val="1"/>
  </w:style>
  <w:style w:type="table" w:default="1" w:styleId="10">
    <w:name w:val="Normal Table"/>
    <w:semiHidden/>
    <w:unhideWhenUsed/>
    <w:qFormat/>
    <w:uiPriority w:val="99"/>
    <w:tblPr>
      <w:tblLayout w:type="fixed"/>
      <w:tblCellMar>
        <w:top w:w="0" w:type="dxa"/>
        <w:left w:w="108" w:type="dxa"/>
        <w:bottom w:w="0" w:type="dxa"/>
        <w:right w:w="108" w:type="dxa"/>
      </w:tblCellMar>
    </w:tblPr>
  </w:style>
  <w:style w:type="paragraph" w:styleId="2">
    <w:name w:val="Normal Indent"/>
    <w:basedOn w:val="1"/>
    <w:qFormat/>
    <w:uiPriority w:val="0"/>
    <w:pPr>
      <w:ind w:firstLine="420"/>
    </w:pPr>
    <w:rPr>
      <w:szCs w:val="20"/>
    </w:rPr>
  </w:style>
  <w:style w:type="paragraph" w:styleId="3">
    <w:name w:val="Balloon Text"/>
    <w:basedOn w:val="1"/>
    <w:semiHidden/>
    <w:qFormat/>
    <w:uiPriority w:val="0"/>
    <w:rPr>
      <w:sz w:val="18"/>
      <w:szCs w:val="18"/>
    </w:rPr>
  </w:style>
  <w:style w:type="paragraph" w:styleId="4">
    <w:name w:val="footer"/>
    <w:basedOn w:val="1"/>
    <w:link w:val="12"/>
    <w:qFormat/>
    <w:uiPriority w:val="0"/>
    <w:pPr>
      <w:tabs>
        <w:tab w:val="center" w:pos="4153"/>
        <w:tab w:val="right" w:pos="8306"/>
      </w:tabs>
      <w:snapToGrid w:val="0"/>
      <w:jc w:val="left"/>
    </w:pPr>
    <w:rPr>
      <w:sz w:val="18"/>
      <w:szCs w:val="18"/>
    </w:rPr>
  </w:style>
  <w:style w:type="paragraph" w:styleId="5">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6">
    <w:name w:val="Title"/>
    <w:basedOn w:val="1"/>
    <w:next w:val="1"/>
    <w:link w:val="14"/>
    <w:qFormat/>
    <w:uiPriority w:val="10"/>
    <w:pPr>
      <w:spacing w:before="240" w:after="60"/>
      <w:jc w:val="center"/>
      <w:outlineLvl w:val="0"/>
    </w:pPr>
    <w:rPr>
      <w:rFonts w:ascii="Cambria" w:hAnsi="Cambria"/>
      <w:b/>
      <w:bCs/>
      <w:sz w:val="32"/>
      <w:szCs w:val="32"/>
    </w:rPr>
  </w:style>
  <w:style w:type="character" w:styleId="8">
    <w:name w:val="page number"/>
    <w:basedOn w:val="7"/>
    <w:semiHidden/>
    <w:qFormat/>
    <w:uiPriority w:val="0"/>
  </w:style>
  <w:style w:type="character" w:styleId="9">
    <w:name w:val="Hyperlink"/>
    <w:unhideWhenUsed/>
    <w:qFormat/>
    <w:uiPriority w:val="99"/>
    <w:rPr>
      <w:color w:val="0000FF"/>
      <w:u w:val="single"/>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2">
    <w:name w:val="页脚 Char"/>
    <w:link w:val="4"/>
    <w:qFormat/>
    <w:uiPriority w:val="0"/>
    <w:rPr>
      <w:kern w:val="2"/>
      <w:sz w:val="18"/>
      <w:szCs w:val="18"/>
    </w:rPr>
  </w:style>
  <w:style w:type="character" w:customStyle="1" w:styleId="13">
    <w:name w:val="页眉 Char"/>
    <w:link w:val="5"/>
    <w:qFormat/>
    <w:uiPriority w:val="0"/>
    <w:rPr>
      <w:kern w:val="2"/>
      <w:sz w:val="18"/>
      <w:szCs w:val="18"/>
    </w:rPr>
  </w:style>
  <w:style w:type="character" w:customStyle="1" w:styleId="14">
    <w:name w:val="标题 Char"/>
    <w:link w:val="6"/>
    <w:qFormat/>
    <w:uiPriority w:val="10"/>
    <w:rPr>
      <w:rFonts w:ascii="Cambria" w:hAnsi="Cambria"/>
      <w:b/>
      <w:bCs/>
      <w:kern w:val="2"/>
      <w:sz w:val="32"/>
      <w:szCs w:val="32"/>
    </w:rPr>
  </w:style>
  <w:style w:type="paragraph" w:customStyle="1" w:styleId="15">
    <w:name w:val="Char Char1 Char Char Char Char Char Char Char Char Char Char Char Char Char Char"/>
    <w:basedOn w:val="1"/>
    <w:qFormat/>
    <w:uiPriority w:val="0"/>
    <w:pPr>
      <w:widowControl/>
      <w:spacing w:after="160" w:line="240" w:lineRule="exact"/>
      <w:jc w:val="left"/>
    </w:pPr>
    <w:rPr>
      <w:rFonts w:ascii="Verdana" w:hAnsi="Verdana"/>
      <w:kern w:val="0"/>
      <w:sz w:val="20"/>
      <w:szCs w:val="20"/>
      <w:lang w:eastAsia="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15</Pages>
  <Words>2667</Words>
  <Characters>2994</Characters>
  <Lines>81</Lines>
  <Paragraphs>22</Paragraphs>
  <TotalTime>56</TotalTime>
  <ScaleCrop>false</ScaleCrop>
  <LinksUpToDate>false</LinksUpToDate>
  <CharactersWithSpaces>3029</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2025-03-24T07:14:00Z</dcterms:created>
  <dc:creator>薛昊</dc:creator>
  <cp:lastModifiedBy>Administrator</cp:lastModifiedBy>
  <cp:lastPrinted>2012-08-27T04:05:00Z</cp:lastPrinted>
  <dcterms:modified xsi:type="dcterms:W3CDTF">2025-04-18T02:40:55Z</dcterms:modified>
  <dc:title>项目需求书</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y fmtid="{D5CDD505-2E9C-101B-9397-08002B2CF9AE}" pid="3" name="ICV">
    <vt:lpwstr>69119892E9C24D7699F913BDB258D05C_13</vt:lpwstr>
  </property>
  <property fmtid="{D5CDD505-2E9C-101B-9397-08002B2CF9AE}" pid="4" name="KSOTemplateDocerSaveRecord">
    <vt:lpwstr>eyJoZGlkIjoiNDNiNGI3YzU2OGI1ZGI1ZDNmNTZhNWZmZDIyNTI5MmYiLCJ1c2VySWQiOiIxNjg4MzQ4MTc4In0=</vt:lpwstr>
  </property>
</Properties>
</file>