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3912463">
      <w:pPr>
        <w:pStyle w:val="4"/>
      </w:pPr>
      <w:r>
        <w:t>项目需求书</w:t>
      </w:r>
    </w:p>
    <w:p w14:paraId="7A59F9D8">
      <w:pPr>
        <w:pStyle w:val="10"/>
        <w:numPr>
          <w:ilvl w:val="0"/>
          <w:numId w:val="1"/>
        </w:numPr>
        <w:spacing w:line="360" w:lineRule="auto"/>
        <w:ind w:firstLineChars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项目背景</w:t>
      </w:r>
    </w:p>
    <w:p w14:paraId="550334A1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588" w:lineRule="exact"/>
        <w:ind w:firstLine="560" w:firstLineChars="200"/>
        <w:jc w:val="left"/>
        <w:textAlignment w:val="auto"/>
        <w:rPr>
          <w:rFonts w:hint="eastAsia" w:ascii="Times New Roman" w:hAnsi="Times New Roman" w:eastAsia="仿宋_GB2312" w:cs="Times New Roman"/>
          <w:sz w:val="28"/>
          <w:szCs w:val="28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28"/>
          <w:szCs w:val="28"/>
          <w:lang w:val="en-US" w:eastAsia="zh-CN"/>
        </w:rPr>
        <w:t>交通运输服务中心承担辖区内国省级、区县级公路、区委托公路及设施的日常养护管理和考核工作及新区范围内的货运、水运、客运、公交、驾培、机动车维修等企业的日常事务性工作。</w:t>
      </w:r>
      <w:r>
        <w:rPr>
          <w:rFonts w:hint="eastAsia" w:ascii="仿宋_GB2312" w:hAnsi="仿宋_GB2312" w:eastAsia="仿宋_GB2312" w:cs="仿宋_GB2312"/>
          <w:color w:val="000000"/>
          <w:sz w:val="28"/>
          <w:szCs w:val="28"/>
          <w:lang w:eastAsia="zh-CN"/>
        </w:rPr>
        <w:t>根据工作性质，管辖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kern w:val="0"/>
          <w:sz w:val="28"/>
          <w:szCs w:val="28"/>
          <w:shd w:val="clear" w:color="auto" w:fill="FFFFFF"/>
          <w:lang w:val="en-US" w:eastAsia="zh-CN" w:bidi="ar"/>
        </w:rPr>
        <w:t>道路环境的复杂性以及满足夏季防汛涉水工作需求，车辆要具备离地间隙较高、涉水深度足够且通过性强的SUV，</w:t>
      </w:r>
      <w:r>
        <w:rPr>
          <w:rFonts w:hint="eastAsia" w:ascii="Times New Roman" w:hAnsi="Times New Roman" w:eastAsia="仿宋_GB2312" w:cs="Times New Roman"/>
          <w:sz w:val="28"/>
          <w:szCs w:val="28"/>
          <w:lang w:val="en-US" w:eastAsia="zh-CN"/>
        </w:rPr>
        <w:t>故需购置3辆新能源车，用于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kern w:val="0"/>
          <w:sz w:val="28"/>
          <w:szCs w:val="28"/>
          <w:shd w:val="clear" w:color="auto" w:fill="FFFFFF"/>
          <w:lang w:val="en-US" w:eastAsia="zh-CN" w:bidi="ar"/>
        </w:rPr>
        <w:t>中心公路养护巡查和各类业务</w:t>
      </w:r>
      <w:r>
        <w:rPr>
          <w:rFonts w:hint="eastAsia" w:ascii="Times New Roman" w:hAnsi="Times New Roman" w:eastAsia="仿宋_GB2312" w:cs="Times New Roman"/>
          <w:sz w:val="28"/>
          <w:szCs w:val="28"/>
          <w:lang w:val="en-US" w:eastAsia="zh-CN"/>
        </w:rPr>
        <w:t>的使用。</w:t>
      </w:r>
    </w:p>
    <w:p w14:paraId="413CCA1D">
      <w:pPr>
        <w:spacing w:line="360" w:lineRule="auto"/>
        <w:ind w:firstLine="482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二、项目预算</w:t>
      </w:r>
      <w:r>
        <w:rPr>
          <w:rFonts w:ascii="Times New Roman" w:hAnsi="Times New Roman" w:cs="Times New Roman"/>
          <w:b/>
          <w:sz w:val="24"/>
          <w:szCs w:val="24"/>
          <w:lang w:val="en"/>
        </w:rPr>
        <w:t>：</w:t>
      </w:r>
      <w:r>
        <w:rPr>
          <w:rFonts w:hint="eastAsia" w:ascii="Times New Roman" w:hAnsi="Times New Roman" w:cs="Times New Roman"/>
          <w:sz w:val="24"/>
          <w:szCs w:val="24"/>
          <w:lang w:val="en-US" w:eastAsia="zh-CN"/>
        </w:rPr>
        <w:t>48.39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"/>
        </w:rPr>
        <w:t>万</w:t>
      </w:r>
      <w:r>
        <w:rPr>
          <w:rFonts w:hint="eastAsia" w:ascii="Times New Roman" w:hAnsi="Times New Roman" w:cs="Times New Roman"/>
          <w:sz w:val="24"/>
          <w:szCs w:val="24"/>
        </w:rPr>
        <w:t>元</w:t>
      </w:r>
    </w:p>
    <w:p w14:paraId="157CB6A4">
      <w:pPr>
        <w:spacing w:line="360" w:lineRule="auto"/>
        <w:ind w:firstLine="480" w:firstLineChars="200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hAnsi="Times New Roman" w:cs="Times New Roman"/>
          <w:color w:val="auto"/>
          <w:sz w:val="24"/>
          <w:szCs w:val="24"/>
        </w:rPr>
        <w:t>预算包含车辆及附件货款、运输费、运输保险费、装卸费、安装调试费及其他应有的费用。包含装具费用、机动车保险、车辆购置税、机动车号牌费用。</w:t>
      </w:r>
    </w:p>
    <w:p w14:paraId="4A21ADE9">
      <w:pPr>
        <w:spacing w:line="360" w:lineRule="auto"/>
        <w:ind w:firstLine="482" w:firstLineChars="20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三、</w:t>
      </w:r>
      <w:r>
        <w:rPr>
          <w:rFonts w:hint="eastAsia" w:ascii="Times New Roman" w:hAnsi="Times New Roman" w:cs="Times New Roman"/>
          <w:b/>
          <w:sz w:val="24"/>
          <w:szCs w:val="24"/>
        </w:rPr>
        <w:t>资格要求</w:t>
      </w:r>
    </w:p>
    <w:p w14:paraId="242F4406"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hint="eastAsia" w:ascii="Times New Roman" w:hAnsi="Times New Roman" w:cs="Times New Roman"/>
          <w:sz w:val="24"/>
          <w:szCs w:val="24"/>
        </w:rPr>
        <w:t>（一）投标人须具备《中华人民共和国政府采购法》第二十二条第一款规定的条件。</w:t>
      </w:r>
    </w:p>
    <w:p w14:paraId="507F3D86"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hint="eastAsia" w:ascii="Times New Roman" w:hAnsi="Times New Roman" w:cs="Times New Roman"/>
          <w:sz w:val="24"/>
          <w:szCs w:val="24"/>
        </w:rPr>
        <w:t>（二）本项目</w:t>
      </w:r>
      <w:r>
        <w:rPr>
          <w:rFonts w:hint="eastAsia" w:ascii="Times New Roman" w:hAnsi="Times New Roman" w:cs="Times New Roman"/>
          <w:color w:val="auto"/>
          <w:sz w:val="24"/>
          <w:szCs w:val="24"/>
        </w:rPr>
        <w:t>不接受</w:t>
      </w:r>
      <w:r>
        <w:rPr>
          <w:rFonts w:hint="eastAsia" w:ascii="Times New Roman" w:hAnsi="Times New Roman" w:cs="Times New Roman"/>
          <w:sz w:val="24"/>
          <w:szCs w:val="24"/>
        </w:rPr>
        <w:t>联合体。</w:t>
      </w:r>
    </w:p>
    <w:p w14:paraId="5B339F1C">
      <w:pPr>
        <w:spacing w:line="360" w:lineRule="auto"/>
        <w:ind w:firstLine="482" w:firstLineChars="200"/>
        <w:rPr>
          <w:rFonts w:ascii="Times New Roman" w:hAnsi="Times New Roman" w:cs="Times New Roman"/>
          <w:b/>
          <w:sz w:val="24"/>
          <w:szCs w:val="24"/>
        </w:rPr>
      </w:pPr>
      <w:r>
        <w:rPr>
          <w:rFonts w:hint="eastAsia" w:ascii="Times New Roman" w:hAnsi="Times New Roman" w:cs="Times New Roman"/>
          <w:b/>
          <w:sz w:val="24"/>
          <w:szCs w:val="24"/>
        </w:rPr>
        <w:t>四、</w:t>
      </w:r>
      <w:r>
        <w:rPr>
          <w:rFonts w:ascii="Times New Roman" w:hAnsi="Times New Roman" w:cs="Times New Roman"/>
          <w:b/>
          <w:sz w:val="24"/>
          <w:szCs w:val="24"/>
        </w:rPr>
        <w:t>服务要求</w:t>
      </w:r>
    </w:p>
    <w:p w14:paraId="401C6383"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所投车辆包修期限不低于</w:t>
      </w:r>
      <w:r>
        <w:rPr>
          <w:rFonts w:hint="default" w:ascii="Times New Roman" w:hAnsi="Times New Roman" w:cs="Times New Roman"/>
          <w:color w:val="auto"/>
          <w:sz w:val="24"/>
          <w:szCs w:val="24"/>
          <w:lang w:val="en"/>
        </w:rPr>
        <w:t>6</w:t>
      </w:r>
      <w:r>
        <w:rPr>
          <w:rFonts w:ascii="Times New Roman" w:hAnsi="Times New Roman" w:cs="Times New Roman"/>
          <w:color w:val="auto"/>
          <w:sz w:val="24"/>
          <w:szCs w:val="24"/>
        </w:rPr>
        <w:t>年</w:t>
      </w:r>
      <w:r>
        <w:rPr>
          <w:rFonts w:ascii="Times New Roman" w:hAnsi="Times New Roman" w:cs="Times New Roman"/>
          <w:sz w:val="24"/>
          <w:szCs w:val="24"/>
        </w:rPr>
        <w:t>或者行驶里</w:t>
      </w:r>
      <w:r>
        <w:rPr>
          <w:rFonts w:hint="default" w:ascii="Times New Roman" w:hAnsi="Times New Roman" w:cs="Times New Roman"/>
          <w:color w:val="auto"/>
          <w:sz w:val="24"/>
          <w:szCs w:val="24"/>
          <w:lang w:val="en"/>
        </w:rPr>
        <w:t>150</w:t>
      </w:r>
      <w:r>
        <w:rPr>
          <w:rFonts w:ascii="Times New Roman" w:hAnsi="Times New Roman" w:cs="Times New Roman"/>
          <w:color w:val="auto"/>
          <w:sz w:val="24"/>
          <w:szCs w:val="24"/>
        </w:rPr>
        <w:t>,000公里</w:t>
      </w:r>
      <w:r>
        <w:rPr>
          <w:rFonts w:ascii="Times New Roman" w:hAnsi="Times New Roman" w:cs="Times New Roman"/>
          <w:sz w:val="24"/>
          <w:szCs w:val="24"/>
        </w:rPr>
        <w:t>，以先到者为准；所投车辆三包（修理、更换、退货）有效期限不低于</w:t>
      </w:r>
      <w:r>
        <w:rPr>
          <w:rFonts w:ascii="Times New Roman" w:hAnsi="Times New Roman" w:cs="Times New Roman"/>
          <w:color w:val="auto"/>
          <w:sz w:val="24"/>
          <w:szCs w:val="24"/>
        </w:rPr>
        <w:t>2年</w:t>
      </w:r>
      <w:r>
        <w:rPr>
          <w:rFonts w:ascii="Times New Roman" w:hAnsi="Times New Roman" w:cs="Times New Roman"/>
          <w:sz w:val="24"/>
          <w:szCs w:val="24"/>
        </w:rPr>
        <w:t>或者行驶里程</w:t>
      </w:r>
      <w:r>
        <w:rPr>
          <w:rFonts w:ascii="Times New Roman" w:hAnsi="Times New Roman" w:cs="Times New Roman"/>
          <w:color w:val="auto"/>
          <w:sz w:val="24"/>
          <w:szCs w:val="24"/>
        </w:rPr>
        <w:t>50,000公里</w:t>
      </w:r>
      <w:r>
        <w:rPr>
          <w:rFonts w:ascii="Times New Roman" w:hAnsi="Times New Roman" w:cs="Times New Roman"/>
          <w:sz w:val="24"/>
          <w:szCs w:val="24"/>
        </w:rPr>
        <w:t>，以先到者为准。包修期和三包有效期自供应商开具购车发票之日起计算。</w:t>
      </w:r>
    </w:p>
    <w:p w14:paraId="79C7FB76"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在包修期内，车辆出现产品质量问题，供应商负责免费修理（包括工时费和材料费）。</w:t>
      </w:r>
    </w:p>
    <w:p w14:paraId="3C6870ED"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以上为国家质量监督检验检疫总局《家用汽车产品修理、更换、退货责任规定》（总局令第150号）第17、18条的规定，采购人可参照。</w:t>
      </w:r>
    </w:p>
    <w:p w14:paraId="43D5BD33">
      <w:pPr>
        <w:autoSpaceDE w:val="0"/>
        <w:autoSpaceDN w:val="0"/>
        <w:spacing w:line="360" w:lineRule="auto"/>
        <w:ind w:firstLine="482" w:firstLineChars="200"/>
        <w:rPr>
          <w:rFonts w:ascii="Times New Roman" w:hAnsi="Times New Roman" w:cs="Times New Roman"/>
          <w:b/>
          <w:sz w:val="24"/>
        </w:rPr>
      </w:pPr>
      <w:r>
        <w:rPr>
          <w:rFonts w:hint="eastAsia" w:ascii="Times New Roman" w:hAnsi="Times New Roman" w:cs="Times New Roman"/>
          <w:b/>
          <w:sz w:val="24"/>
        </w:rPr>
        <w:t>五</w:t>
      </w:r>
      <w:r>
        <w:rPr>
          <w:rFonts w:ascii="Times New Roman" w:hAnsi="Times New Roman" w:cs="Times New Roman"/>
          <w:b/>
          <w:sz w:val="24"/>
        </w:rPr>
        <w:t>、交货要求</w:t>
      </w:r>
    </w:p>
    <w:p w14:paraId="584663EC">
      <w:pPr>
        <w:spacing w:line="360" w:lineRule="auto"/>
        <w:ind w:firstLine="480" w:firstLineChars="200"/>
        <w:rPr>
          <w:rFonts w:hint="default" w:ascii="Times New Roman" w:hAnsi="Times New Roman" w:cs="Times New Roman"/>
          <w:sz w:val="24"/>
          <w:szCs w:val="24"/>
          <w:lang w:val="en"/>
        </w:rPr>
      </w:pPr>
      <w:r>
        <w:rPr>
          <w:rFonts w:ascii="Times New Roman" w:hAnsi="Times New Roman" w:cs="Times New Roman"/>
          <w:sz w:val="24"/>
          <w:szCs w:val="24"/>
        </w:rPr>
        <w:t>交货时间：</w:t>
      </w:r>
      <w:r>
        <w:rPr>
          <w:rFonts w:ascii="Times New Roman" w:hAnsi="Times New Roman" w:cs="Times New Roman"/>
          <w:sz w:val="24"/>
          <w:szCs w:val="24"/>
          <w:lang w:val="en"/>
        </w:rPr>
        <w:t>自签订合同之日起</w:t>
      </w:r>
      <w:r>
        <w:rPr>
          <w:rFonts w:hint="default" w:ascii="Times New Roman" w:hAnsi="Times New Roman" w:cs="Times New Roman"/>
          <w:sz w:val="24"/>
          <w:szCs w:val="24"/>
          <w:lang w:val="en"/>
        </w:rPr>
        <w:t>10个工作日送达（特殊情况以合同为准）</w:t>
      </w:r>
    </w:p>
    <w:p w14:paraId="3FD05995"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交货地点：</w:t>
      </w:r>
      <w:r>
        <w:rPr>
          <w:rFonts w:ascii="宋体" w:hAnsi="宋体" w:eastAsia="宋体" w:cs="宋体"/>
          <w:sz w:val="24"/>
          <w:szCs w:val="24"/>
        </w:rPr>
        <w:t>采购人指定地点。（特殊情况以合同为准）</w:t>
      </w:r>
    </w:p>
    <w:p w14:paraId="69736B07">
      <w:pPr>
        <w:autoSpaceDE w:val="0"/>
        <w:autoSpaceDN w:val="0"/>
        <w:spacing w:line="360" w:lineRule="auto"/>
        <w:ind w:firstLine="482" w:firstLineChars="200"/>
        <w:rPr>
          <w:rFonts w:ascii="Times New Roman" w:hAnsi="Times New Roman" w:cs="Times New Roman"/>
          <w:b/>
          <w:sz w:val="24"/>
        </w:rPr>
      </w:pPr>
      <w:r>
        <w:rPr>
          <w:rFonts w:hint="eastAsia" w:ascii="Times New Roman" w:hAnsi="Times New Roman" w:cs="Times New Roman"/>
          <w:b/>
          <w:sz w:val="24"/>
        </w:rPr>
        <w:t>六</w:t>
      </w:r>
      <w:r>
        <w:rPr>
          <w:rFonts w:ascii="Times New Roman" w:hAnsi="Times New Roman" w:cs="Times New Roman"/>
          <w:b/>
          <w:sz w:val="24"/>
        </w:rPr>
        <w:t>、付款方式</w:t>
      </w:r>
    </w:p>
    <w:p w14:paraId="2D664CAB">
      <w:pPr>
        <w:autoSpaceDE w:val="0"/>
        <w:autoSpaceDN w:val="0"/>
        <w:spacing w:line="360" w:lineRule="auto"/>
        <w:ind w:firstLine="480" w:firstLineChars="200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sz w:val="24"/>
        </w:rPr>
        <w:t>货到现场安装、调试完毕，所有设备使用无质量问题，验收合格后</w:t>
      </w:r>
      <w:r>
        <w:rPr>
          <w:rFonts w:hint="default" w:ascii="Times New Roman" w:hAnsi="Times New Roman" w:cs="Times New Roman"/>
          <w:color w:val="auto"/>
          <w:kern w:val="0"/>
          <w:sz w:val="24"/>
          <w:szCs w:val="24"/>
          <w:lang w:val="en"/>
        </w:rPr>
        <w:t>7</w:t>
      </w:r>
      <w:r>
        <w:rPr>
          <w:rFonts w:ascii="Times New Roman" w:hAnsi="Times New Roman" w:cs="Times New Roman"/>
          <w:color w:val="auto"/>
          <w:sz w:val="24"/>
        </w:rPr>
        <w:t>个</w:t>
      </w:r>
      <w:r>
        <w:rPr>
          <w:rFonts w:ascii="Times New Roman" w:hAnsi="Times New Roman" w:cs="Times New Roman"/>
          <w:sz w:val="24"/>
        </w:rPr>
        <w:t>工作日内支付合同总额的</w:t>
      </w:r>
      <w:r>
        <w:rPr>
          <w:rFonts w:hint="default" w:ascii="Times New Roman" w:hAnsi="Times New Roman" w:cs="Times New Roman"/>
          <w:color w:val="auto"/>
          <w:kern w:val="0"/>
          <w:sz w:val="24"/>
          <w:szCs w:val="24"/>
          <w:lang w:val="en"/>
        </w:rPr>
        <w:t>100</w:t>
      </w:r>
      <w:r>
        <w:rPr>
          <w:rFonts w:ascii="Times New Roman" w:hAnsi="Times New Roman" w:cs="Times New Roman"/>
          <w:color w:val="auto"/>
          <w:sz w:val="24"/>
        </w:rPr>
        <w:t>%</w:t>
      </w:r>
      <w:r>
        <w:rPr>
          <w:rFonts w:ascii="Times New Roman" w:hAnsi="Times New Roman" w:cs="Times New Roman"/>
          <w:sz w:val="24"/>
        </w:rPr>
        <w:t>。</w:t>
      </w:r>
    </w:p>
    <w:p w14:paraId="5838F140">
      <w:pPr>
        <w:autoSpaceDE w:val="0"/>
        <w:autoSpaceDN w:val="0"/>
        <w:spacing w:line="360" w:lineRule="auto"/>
        <w:ind w:firstLine="482" w:firstLineChars="200"/>
        <w:rPr>
          <w:rFonts w:ascii="Times New Roman" w:hAnsi="Times New Roman" w:cs="Times New Roman"/>
          <w:b/>
          <w:sz w:val="24"/>
        </w:rPr>
      </w:pPr>
      <w:r>
        <w:rPr>
          <w:rFonts w:hint="eastAsia" w:ascii="Times New Roman" w:hAnsi="Times New Roman" w:cs="Times New Roman"/>
          <w:b/>
          <w:sz w:val="24"/>
        </w:rPr>
        <w:t>七</w:t>
      </w:r>
      <w:r>
        <w:rPr>
          <w:rFonts w:ascii="Times New Roman" w:hAnsi="Times New Roman" w:cs="Times New Roman"/>
          <w:b/>
          <w:sz w:val="24"/>
        </w:rPr>
        <w:t>、技术要求</w:t>
      </w:r>
    </w:p>
    <w:tbl>
      <w:tblPr>
        <w:tblStyle w:val="5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5"/>
        <w:gridCol w:w="1468"/>
        <w:gridCol w:w="880"/>
        <w:gridCol w:w="5439"/>
      </w:tblGrid>
      <w:tr w14:paraId="16406E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264" w:hRule="atLeast"/>
          <w:tblHeader/>
          <w:jc w:val="center"/>
        </w:trPr>
        <w:tc>
          <w:tcPr>
            <w:tcW w:w="431" w:type="pct"/>
            <w:vAlign w:val="center"/>
          </w:tcPr>
          <w:p w14:paraId="12BABBFB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</w:rPr>
              <w:t>序号</w:t>
            </w:r>
          </w:p>
        </w:tc>
        <w:tc>
          <w:tcPr>
            <w:tcW w:w="861" w:type="pct"/>
            <w:vAlign w:val="center"/>
          </w:tcPr>
          <w:p w14:paraId="456A7167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</w:rPr>
              <w:t>采购项名称</w:t>
            </w:r>
          </w:p>
        </w:tc>
        <w:tc>
          <w:tcPr>
            <w:tcW w:w="516" w:type="pct"/>
            <w:vAlign w:val="center"/>
          </w:tcPr>
          <w:p w14:paraId="19A42690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</w:rPr>
              <w:t>数量</w:t>
            </w:r>
          </w:p>
        </w:tc>
        <w:tc>
          <w:tcPr>
            <w:tcW w:w="3189" w:type="pct"/>
            <w:vAlign w:val="center"/>
          </w:tcPr>
          <w:p w14:paraId="0CD66614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</w:rPr>
              <w:t>需求条款</w:t>
            </w:r>
          </w:p>
        </w:tc>
      </w:tr>
      <w:tr w14:paraId="1D1695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6" w:hRule="atLeast"/>
          <w:jc w:val="center"/>
        </w:trPr>
        <w:tc>
          <w:tcPr>
            <w:tcW w:w="431" w:type="pct"/>
            <w:vMerge w:val="restart"/>
            <w:vAlign w:val="center"/>
          </w:tcPr>
          <w:p w14:paraId="780308DA">
            <w:pPr>
              <w:widowControl/>
              <w:snapToGrid w:val="0"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861" w:type="pct"/>
            <w:vMerge w:val="restart"/>
            <w:vAlign w:val="center"/>
          </w:tcPr>
          <w:p w14:paraId="3995B83C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szCs w:val="24"/>
                <w:lang w:eastAsia="zh-CN"/>
              </w:rPr>
              <w:t>天津市滨海新区交通运输服务中心采购小型客车</w:t>
            </w:r>
          </w:p>
        </w:tc>
        <w:tc>
          <w:tcPr>
            <w:tcW w:w="516" w:type="pct"/>
            <w:vMerge w:val="restart"/>
            <w:vAlign w:val="center"/>
          </w:tcPr>
          <w:p w14:paraId="1DEFEC6F">
            <w:pPr>
              <w:widowControl/>
              <w:snapToGrid w:val="0"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3189" w:type="pct"/>
            <w:vAlign w:val="center"/>
          </w:tcPr>
          <w:p w14:paraId="147C176D"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能源类型：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  <w:lang w:val="en-US" w:eastAsia="zh-CN"/>
              </w:rPr>
              <w:t>插电式</w:t>
            </w: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混合动力</w:t>
            </w:r>
          </w:p>
        </w:tc>
      </w:tr>
      <w:tr w14:paraId="7142D8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47E35503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7A470CE8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6003DE5C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89" w:type="pct"/>
            <w:vAlign w:val="center"/>
          </w:tcPr>
          <w:p w14:paraId="5CC16EBA"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排放标准：国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</w:rPr>
              <w:t>六B</w:t>
            </w:r>
          </w:p>
        </w:tc>
      </w:tr>
      <w:tr w14:paraId="19C4E3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7AF33944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7A77BEE5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5D72576D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89" w:type="pct"/>
            <w:vAlign w:val="center"/>
          </w:tcPr>
          <w:p w14:paraId="4A7EEBC7"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车身结构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  <w:lang w:eastAsia="zh-CN"/>
              </w:rPr>
              <w:t>：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  <w:lang w:val="en-US" w:eastAsia="zh-CN"/>
              </w:rPr>
              <w:t>5</w:t>
            </w: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门/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4"/>
                <w:szCs w:val="24"/>
                <w:lang w:val="en-US" w:eastAsia="zh-CN"/>
              </w:rPr>
              <w:t>5</w:t>
            </w: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座</w:t>
            </w:r>
          </w:p>
        </w:tc>
      </w:tr>
      <w:tr w14:paraId="049D49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7F7F0FB7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0722CBC5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725EE735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89" w:type="pct"/>
            <w:vAlign w:val="center"/>
          </w:tcPr>
          <w:p w14:paraId="6E6E4BA7"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车身尺寸（</w:t>
            </w: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mm）：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4"/>
                <w:szCs w:val="24"/>
                <w:lang w:val="en-US" w:eastAsia="zh-CN"/>
              </w:rPr>
              <w:t>长不小于4770mm</w:t>
            </w: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（请写范围值）</w:t>
            </w:r>
          </w:p>
        </w:tc>
      </w:tr>
      <w:tr w14:paraId="0A86FE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3E905BFB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45B3A32F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04B1A436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89" w:type="pct"/>
            <w:vAlign w:val="center"/>
          </w:tcPr>
          <w:p w14:paraId="54AC58A7"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车身尺寸（</w:t>
            </w: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mm）：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4"/>
                <w:szCs w:val="24"/>
                <w:lang w:val="en-US" w:eastAsia="zh-CN"/>
              </w:rPr>
              <w:t>宽不小于1890mm</w:t>
            </w: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（请写范围值）</w:t>
            </w:r>
          </w:p>
        </w:tc>
      </w:tr>
      <w:tr w14:paraId="22D2C0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760E44CA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262DDBE2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16975942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89" w:type="pct"/>
            <w:vAlign w:val="center"/>
          </w:tcPr>
          <w:p w14:paraId="40B37AC8"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车身尺寸（</w:t>
            </w: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mm）：高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4"/>
                <w:szCs w:val="24"/>
                <w:lang w:val="en-US" w:eastAsia="zh-CN"/>
              </w:rPr>
              <w:t>不低于1650mm</w:t>
            </w: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（请写范围值）</w:t>
            </w:r>
          </w:p>
        </w:tc>
      </w:tr>
      <w:tr w14:paraId="16E34D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523FAAA1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22ED9EC3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02ECD8CA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89" w:type="pct"/>
            <w:vAlign w:val="center"/>
          </w:tcPr>
          <w:p w14:paraId="5AE8CA57">
            <w:pPr>
              <w:widowControl/>
              <w:jc w:val="left"/>
              <w:rPr>
                <w:rFonts w:hint="default" w:ascii="宋体" w:hAnsi="宋体" w:eastAsiaTheme="minorEastAsia"/>
                <w:color w:val="000000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★WLTC纯电续航里程（km）：≥</w:t>
            </w:r>
            <w:r>
              <w:rPr>
                <w:rFonts w:hint="eastAsia" w:ascii="宋体" w:hAnsi="宋体"/>
                <w:color w:val="000000"/>
                <w:szCs w:val="21"/>
                <w:lang w:val="en-US" w:eastAsia="zh-CN"/>
              </w:rPr>
              <w:t>1</w:t>
            </w:r>
            <w:r>
              <w:rPr>
                <w:rFonts w:hint="eastAsia" w:ascii="宋体" w:hAnsi="宋体"/>
                <w:color w:val="000000"/>
                <w:szCs w:val="21"/>
              </w:rPr>
              <w:t>00</w:t>
            </w:r>
          </w:p>
        </w:tc>
      </w:tr>
      <w:tr w14:paraId="246D47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48759607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11A40F21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66247FE4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89" w:type="pct"/>
            <w:vAlign w:val="center"/>
          </w:tcPr>
          <w:p w14:paraId="3CB7E107"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轴距（</w:t>
            </w: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mm）：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4"/>
                <w:szCs w:val="24"/>
                <w:lang w:val="en-US" w:eastAsia="zh-CN"/>
              </w:rPr>
              <w:t>不小于2700</w:t>
            </w: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（请写范围值）</w:t>
            </w:r>
          </w:p>
        </w:tc>
      </w:tr>
      <w:tr w14:paraId="52A2CC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27D46AA3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1E4659B6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7E36E7D9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89" w:type="pct"/>
            <w:vAlign w:val="center"/>
          </w:tcPr>
          <w:p w14:paraId="6ABA0C5C"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发动机排量</w:t>
            </w: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：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4"/>
                <w:szCs w:val="24"/>
                <w:lang w:val="en-US" w:eastAsia="zh-CN"/>
              </w:rPr>
              <w:t>1.5L及以上</w:t>
            </w: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（请写范围值）</w:t>
            </w:r>
          </w:p>
        </w:tc>
      </w:tr>
      <w:tr w14:paraId="24BDFD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68203A60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41B50B39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05CD4947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89" w:type="pct"/>
            <w:vAlign w:val="center"/>
          </w:tcPr>
          <w:p w14:paraId="4214A869"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发动机功率（</w:t>
            </w: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kw）：</w:t>
            </w:r>
            <w:r>
              <w:rPr>
                <w:rFonts w:hint="eastAsia" w:ascii="宋体" w:hAnsi="宋体"/>
                <w:color w:val="000000"/>
                <w:szCs w:val="21"/>
              </w:rPr>
              <w:t>≥</w:t>
            </w:r>
            <w:r>
              <w:rPr>
                <w:rFonts w:hint="eastAsia" w:ascii="宋体" w:hAnsi="宋体"/>
                <w:color w:val="000000"/>
                <w:szCs w:val="21"/>
                <w:lang w:val="en-US" w:eastAsia="zh-CN"/>
              </w:rPr>
              <w:t>70KW</w:t>
            </w: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（请写范围值）</w:t>
            </w:r>
          </w:p>
        </w:tc>
      </w:tr>
      <w:tr w14:paraId="2744AA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3A2D1F38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3EE20082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2A1E96DC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89" w:type="pct"/>
            <w:vAlign w:val="center"/>
          </w:tcPr>
          <w:p w14:paraId="69E8EC6E">
            <w:pPr>
              <w:widowControl/>
              <w:jc w:val="left"/>
              <w:rPr>
                <w:rFonts w:hint="eastAsia" w:ascii="Times New Roman" w:hAnsi="Times New Roman" w:cs="Times New Roman" w:eastAsiaTheme="minorEastAsia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进气形式：自然吸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  <w:lang w:val="en-US" w:eastAsia="zh-CN"/>
              </w:rPr>
              <w:t>气</w:t>
            </w:r>
          </w:p>
        </w:tc>
      </w:tr>
      <w:tr w14:paraId="39F962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30F302FF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4AD58D48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17CC6DAC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89" w:type="pct"/>
            <w:vAlign w:val="center"/>
          </w:tcPr>
          <w:p w14:paraId="06D71F7B"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驱动形式：</w:t>
            </w: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hint="eastAsia" w:ascii="宋体" w:hAnsi="宋体"/>
                <w:color w:val="000000"/>
                <w:szCs w:val="21"/>
              </w:rPr>
              <w:t>前置前驱</w:t>
            </w:r>
          </w:p>
        </w:tc>
      </w:tr>
      <w:tr w14:paraId="316604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31395952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6572FF48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48F25AB7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89" w:type="pct"/>
            <w:vAlign w:val="center"/>
          </w:tcPr>
          <w:p w14:paraId="7D2E2E97"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制动形式：</w:t>
            </w:r>
            <w:r>
              <w:rPr>
                <w:rFonts w:hint="eastAsia" w:ascii="宋体" w:hAnsi="宋体"/>
                <w:color w:val="000000"/>
                <w:szCs w:val="21"/>
              </w:rPr>
              <w:t>前后盘式制动</w:t>
            </w:r>
          </w:p>
        </w:tc>
      </w:tr>
      <w:tr w14:paraId="221805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13F2510F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6035DA6D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5077E12D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89" w:type="pct"/>
            <w:vAlign w:val="center"/>
          </w:tcPr>
          <w:p w14:paraId="75C07CE4">
            <w:pPr>
              <w:widowControl/>
              <w:jc w:val="left"/>
              <w:rPr>
                <w:rFonts w:hint="eastAsia" w:ascii="Times New Roman" w:hAnsi="Times New Roman" w:cs="Times New Roman" w:eastAsiaTheme="minorEastAsia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车辆颜色：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  <w:lang w:val="en-US" w:eastAsia="zh-CN"/>
              </w:rPr>
              <w:t>白</w:t>
            </w:r>
          </w:p>
        </w:tc>
      </w:tr>
      <w:tr w14:paraId="42CD75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79B5C338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6E4967CA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6B2066FF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89" w:type="pct"/>
            <w:vAlign w:val="center"/>
          </w:tcPr>
          <w:p w14:paraId="6A482203">
            <w:pPr>
              <w:widowControl/>
              <w:jc w:val="left"/>
              <w:rPr>
                <w:rFonts w:hint="eastAsia"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其他配置：</w:t>
            </w:r>
          </w:p>
          <w:p w14:paraId="790D1BA2">
            <w:pPr>
              <w:widowControl/>
              <w:jc w:val="left"/>
              <w:rPr>
                <w:rFonts w:hint="eastAsia"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</w:rPr>
              <w:t>外后视镜记忆</w:t>
            </w:r>
          </w:p>
          <w:p w14:paraId="7A812FB8">
            <w:pPr>
              <w:widowControl/>
              <w:jc w:val="left"/>
              <w:rPr>
                <w:rFonts w:hint="eastAsia"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</w:rPr>
              <w:t>自动防眩目内后视镜</w:t>
            </w:r>
          </w:p>
          <w:p w14:paraId="0E2B7409">
            <w:pPr>
              <w:widowControl/>
              <w:jc w:val="left"/>
              <w:rPr>
                <w:rFonts w:hint="eastAsia"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</w:rPr>
              <w:t>小憩模式</w:t>
            </w:r>
          </w:p>
          <w:p w14:paraId="1C152B47">
            <w:pPr>
              <w:widowControl/>
              <w:jc w:val="left"/>
              <w:rPr>
                <w:rFonts w:hint="eastAsia"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</w:rPr>
              <w:t>8扬声器</w:t>
            </w:r>
            <w:bookmarkStart w:id="0" w:name="_GoBack"/>
            <w:bookmarkEnd w:id="0"/>
          </w:p>
          <w:p w14:paraId="5D195E72">
            <w:pPr>
              <w:widowControl/>
              <w:jc w:val="left"/>
              <w:rPr>
                <w:rFonts w:hint="eastAsia"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</w:rPr>
              <w:t>7安全气囊</w:t>
            </w:r>
          </w:p>
          <w:p w14:paraId="5F7CBD00">
            <w:pPr>
              <w:widowControl/>
              <w:jc w:val="left"/>
              <w:rPr>
                <w:rFonts w:hint="eastAsia"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</w:rPr>
              <w:t>方向盘加热</w:t>
            </w:r>
          </w:p>
          <w:p w14:paraId="13C8548F">
            <w:pPr>
              <w:widowControl/>
              <w:jc w:val="left"/>
              <w:rPr>
                <w:rFonts w:hint="eastAsia"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</w:rPr>
              <w:t>主驾座椅8向电动调节</w:t>
            </w:r>
          </w:p>
          <w:p w14:paraId="571F8D76">
            <w:pPr>
              <w:widowControl/>
              <w:jc w:val="left"/>
              <w:rPr>
                <w:rFonts w:hint="eastAsia"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</w:rPr>
              <w:t>副驾座椅4向电动调节</w:t>
            </w:r>
          </w:p>
          <w:p w14:paraId="236807BA">
            <w:pPr>
              <w:widowControl/>
              <w:jc w:val="left"/>
              <w:rPr>
                <w:rFonts w:hint="eastAsia"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</w:rPr>
              <w:t>前排座椅通风加热</w:t>
            </w:r>
          </w:p>
          <w:p w14:paraId="7044B0BD">
            <w:pPr>
              <w:widowControl/>
              <w:jc w:val="left"/>
              <w:rPr>
                <w:rFonts w:hint="eastAsia"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</w:rPr>
              <w:t>前排手机无线快充</w:t>
            </w:r>
          </w:p>
          <w:p w14:paraId="283596EA">
            <w:pPr>
              <w:widowControl/>
              <w:jc w:val="left"/>
              <w:rPr>
                <w:rFonts w:hint="eastAsia"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</w:rPr>
              <w:t>智能电动后背门</w:t>
            </w:r>
          </w:p>
          <w:p w14:paraId="06A6A45D"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</w:rPr>
              <w:t>全景天窗(带电动遮阳帘)</w:t>
            </w:r>
          </w:p>
        </w:tc>
      </w:tr>
    </w:tbl>
    <w:p w14:paraId="7F389C56">
      <w:pPr>
        <w:spacing w:line="360" w:lineRule="auto"/>
        <w:ind w:firstLine="480" w:firstLineChars="200"/>
        <w:outlineLvl w:val="0"/>
        <w:rPr>
          <w:sz w:val="24"/>
        </w:rPr>
      </w:pPr>
      <w:r>
        <w:rPr>
          <w:rFonts w:ascii="Times New Roman" w:hAnsi="Times New Roman" w:cs="Times New Roman"/>
          <w:sz w:val="24"/>
        </w:rPr>
        <w:t>加注“</w:t>
      </w:r>
      <w:r>
        <w:rPr>
          <w:rFonts w:hint="eastAsia" w:ascii="宋体" w:hAnsi="宋体" w:eastAsia="宋体" w:cs="宋体"/>
          <w:sz w:val="24"/>
        </w:rPr>
        <w:t>★</w:t>
      </w:r>
      <w:r>
        <w:rPr>
          <w:rFonts w:ascii="Times New Roman" w:hAnsi="Times New Roman" w:cs="Times New Roman"/>
          <w:sz w:val="24"/>
        </w:rPr>
        <w:t>”号条款为实质性条款，不得出现负偏离，发生负偏离即做无效标处理。</w:t>
      </w:r>
    </w:p>
    <w:p w14:paraId="63783138">
      <w:pPr>
        <w:spacing w:line="360" w:lineRule="auto"/>
        <w:ind w:firstLine="480" w:firstLineChars="200"/>
        <w:rPr>
          <w:rFonts w:ascii="Times New Roman" w:hAnsi="Times New Roman" w:cs="Times New Roman"/>
          <w:color w:val="FF0000"/>
          <w:sz w:val="32"/>
          <w:szCs w:val="24"/>
        </w:rPr>
      </w:pPr>
      <w:r>
        <w:rPr>
          <w:rFonts w:ascii="Times New Roman" w:hAnsi="Times New Roman" w:cs="Times New Roman"/>
          <w:sz w:val="24"/>
        </w:rPr>
        <w:t>加注“▲”号的产品为核心产品（如项目需求书中未明确核心产品，则视为全部产品均为核心产品）。</w:t>
      </w:r>
    </w:p>
    <w:p w14:paraId="12539CC0">
      <w:pPr>
        <w:autoSpaceDE w:val="0"/>
        <w:autoSpaceDN w:val="0"/>
        <w:spacing w:line="360" w:lineRule="auto"/>
        <w:ind w:firstLine="482" w:firstLineChars="200"/>
        <w:rPr>
          <w:b/>
          <w:sz w:val="24"/>
        </w:rPr>
      </w:pPr>
      <w:r>
        <w:rPr>
          <w:rFonts w:hint="eastAsia"/>
          <w:b/>
          <w:sz w:val="24"/>
        </w:rPr>
        <w:t>八、验收标准</w:t>
      </w:r>
    </w:p>
    <w:p w14:paraId="075521AC">
      <w:pPr>
        <w:autoSpaceDE w:val="0"/>
        <w:autoSpaceDN w:val="0"/>
        <w:spacing w:line="360" w:lineRule="auto"/>
        <w:ind w:firstLine="480" w:firstLineChars="200"/>
        <w:rPr>
          <w:b/>
          <w:sz w:val="24"/>
        </w:rPr>
      </w:pPr>
      <w:r>
        <w:rPr>
          <w:rFonts w:hint="eastAsia" w:ascii="Times New Roman" w:hAnsi="Times New Roman" w:cs="Times New Roman"/>
          <w:sz w:val="24"/>
        </w:rPr>
        <w:t>车辆符合现行国家标准要求。</w:t>
      </w:r>
    </w:p>
    <w:p w14:paraId="671E591E">
      <w:pPr>
        <w:autoSpaceDE w:val="0"/>
        <w:autoSpaceDN w:val="0"/>
        <w:spacing w:line="360" w:lineRule="auto"/>
        <w:ind w:firstLine="482" w:firstLineChars="200"/>
        <w:rPr>
          <w:b/>
          <w:sz w:val="24"/>
        </w:rPr>
      </w:pPr>
      <w:r>
        <w:rPr>
          <w:rFonts w:hint="eastAsia"/>
          <w:b/>
          <w:sz w:val="24"/>
        </w:rPr>
        <w:t>九、其他要求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.......">
    <w:altName w:val="华文仿宋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5935DBF"/>
    <w:multiLevelType w:val="multilevel"/>
    <w:tmpl w:val="15935DBF"/>
    <w:lvl w:ilvl="0" w:tentative="0">
      <w:start w:val="1"/>
      <w:numFmt w:val="japaneseCounting"/>
      <w:lvlText w:val="%1、"/>
      <w:lvlJc w:val="left"/>
      <w:pPr>
        <w:ind w:left="992" w:hanging="51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322" w:hanging="420"/>
      </w:pPr>
    </w:lvl>
    <w:lvl w:ilvl="2" w:tentative="0">
      <w:start w:val="1"/>
      <w:numFmt w:val="lowerRoman"/>
      <w:lvlText w:val="%3."/>
      <w:lvlJc w:val="right"/>
      <w:pPr>
        <w:ind w:left="1742" w:hanging="420"/>
      </w:pPr>
    </w:lvl>
    <w:lvl w:ilvl="3" w:tentative="0">
      <w:start w:val="1"/>
      <w:numFmt w:val="decimal"/>
      <w:lvlText w:val="%4."/>
      <w:lvlJc w:val="left"/>
      <w:pPr>
        <w:ind w:left="2162" w:hanging="420"/>
      </w:pPr>
    </w:lvl>
    <w:lvl w:ilvl="4" w:tentative="0">
      <w:start w:val="1"/>
      <w:numFmt w:val="lowerLetter"/>
      <w:lvlText w:val="%5)"/>
      <w:lvlJc w:val="left"/>
      <w:pPr>
        <w:ind w:left="2582" w:hanging="420"/>
      </w:pPr>
    </w:lvl>
    <w:lvl w:ilvl="5" w:tentative="0">
      <w:start w:val="1"/>
      <w:numFmt w:val="lowerRoman"/>
      <w:lvlText w:val="%6."/>
      <w:lvlJc w:val="right"/>
      <w:pPr>
        <w:ind w:left="3002" w:hanging="420"/>
      </w:pPr>
    </w:lvl>
    <w:lvl w:ilvl="6" w:tentative="0">
      <w:start w:val="1"/>
      <w:numFmt w:val="decimal"/>
      <w:lvlText w:val="%7."/>
      <w:lvlJc w:val="left"/>
      <w:pPr>
        <w:ind w:left="3422" w:hanging="420"/>
      </w:pPr>
    </w:lvl>
    <w:lvl w:ilvl="7" w:tentative="0">
      <w:start w:val="1"/>
      <w:numFmt w:val="lowerLetter"/>
      <w:lvlText w:val="%8)"/>
      <w:lvlJc w:val="left"/>
      <w:pPr>
        <w:ind w:left="3842" w:hanging="420"/>
      </w:pPr>
    </w:lvl>
    <w:lvl w:ilvl="8" w:tentative="0">
      <w:start w:val="1"/>
      <w:numFmt w:val="lowerRoman"/>
      <w:lvlText w:val="%9."/>
      <w:lvlJc w:val="right"/>
      <w:pPr>
        <w:ind w:left="4262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4190"/>
    <w:rsid w:val="00023882"/>
    <w:rsid w:val="000255F7"/>
    <w:rsid w:val="00055D49"/>
    <w:rsid w:val="00064C61"/>
    <w:rsid w:val="00152FEE"/>
    <w:rsid w:val="001C4E16"/>
    <w:rsid w:val="002247B5"/>
    <w:rsid w:val="002C6CD7"/>
    <w:rsid w:val="003314A0"/>
    <w:rsid w:val="0035432B"/>
    <w:rsid w:val="00416FA1"/>
    <w:rsid w:val="00454190"/>
    <w:rsid w:val="004E1E72"/>
    <w:rsid w:val="005064C0"/>
    <w:rsid w:val="00612EBB"/>
    <w:rsid w:val="006276D9"/>
    <w:rsid w:val="006472E4"/>
    <w:rsid w:val="006A1680"/>
    <w:rsid w:val="006D7E4E"/>
    <w:rsid w:val="0071453E"/>
    <w:rsid w:val="007E6A8F"/>
    <w:rsid w:val="008C4CB6"/>
    <w:rsid w:val="009E4D5D"/>
    <w:rsid w:val="00A128B3"/>
    <w:rsid w:val="00A755A5"/>
    <w:rsid w:val="00A82DFF"/>
    <w:rsid w:val="00AD1BC9"/>
    <w:rsid w:val="00B77D8F"/>
    <w:rsid w:val="00C0258D"/>
    <w:rsid w:val="00D029AF"/>
    <w:rsid w:val="00D04B99"/>
    <w:rsid w:val="00D51DCF"/>
    <w:rsid w:val="00D81F21"/>
    <w:rsid w:val="00DA01D0"/>
    <w:rsid w:val="00DD604E"/>
    <w:rsid w:val="00DE3800"/>
    <w:rsid w:val="00DF73C8"/>
    <w:rsid w:val="00EB4A86"/>
    <w:rsid w:val="00F449C4"/>
    <w:rsid w:val="00F75883"/>
    <w:rsid w:val="00F9274C"/>
    <w:rsid w:val="0FDF8CA4"/>
    <w:rsid w:val="1F113892"/>
    <w:rsid w:val="2617E505"/>
    <w:rsid w:val="30A16485"/>
    <w:rsid w:val="30A844DF"/>
    <w:rsid w:val="37583187"/>
    <w:rsid w:val="3EBFC063"/>
    <w:rsid w:val="3FEF643D"/>
    <w:rsid w:val="3FFFF420"/>
    <w:rsid w:val="4F334479"/>
    <w:rsid w:val="56E93E94"/>
    <w:rsid w:val="591946E0"/>
    <w:rsid w:val="5AF3FB72"/>
    <w:rsid w:val="5B7B8DD8"/>
    <w:rsid w:val="5E7F614E"/>
    <w:rsid w:val="64E83121"/>
    <w:rsid w:val="68DE414D"/>
    <w:rsid w:val="76AE1B46"/>
    <w:rsid w:val="76C46966"/>
    <w:rsid w:val="77E7ED8F"/>
    <w:rsid w:val="7C7EF343"/>
    <w:rsid w:val="7DEFE2B8"/>
    <w:rsid w:val="7FDFFF34"/>
    <w:rsid w:val="94CB20FA"/>
    <w:rsid w:val="953FC40B"/>
    <w:rsid w:val="989F3803"/>
    <w:rsid w:val="9B8E1F04"/>
    <w:rsid w:val="9F3B0F0E"/>
    <w:rsid w:val="AFBF10C2"/>
    <w:rsid w:val="B3EEA98C"/>
    <w:rsid w:val="BF27DB6D"/>
    <w:rsid w:val="D2F303FF"/>
    <w:rsid w:val="D62DD4D4"/>
    <w:rsid w:val="E7FDC972"/>
    <w:rsid w:val="EBEF4D75"/>
    <w:rsid w:val="F94A9300"/>
    <w:rsid w:val="FBBD1EE0"/>
    <w:rsid w:val="FBFF8C5F"/>
    <w:rsid w:val="FDFF64CE"/>
    <w:rsid w:val="FEF70F0B"/>
    <w:rsid w:val="FF0166BA"/>
    <w:rsid w:val="FF562FF1"/>
    <w:rsid w:val="FF7F0F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Title"/>
    <w:basedOn w:val="1"/>
    <w:next w:val="1"/>
    <w:link w:val="7"/>
    <w:qFormat/>
    <w:uiPriority w:val="10"/>
    <w:pPr>
      <w:spacing w:before="240" w:after="60"/>
      <w:jc w:val="center"/>
      <w:outlineLvl w:val="0"/>
    </w:pPr>
    <w:rPr>
      <w:rFonts w:eastAsia="宋体" w:asciiTheme="majorHAnsi" w:hAnsiTheme="majorHAnsi" w:cstheme="majorBidi"/>
      <w:b/>
      <w:bCs/>
      <w:sz w:val="32"/>
      <w:szCs w:val="32"/>
    </w:rPr>
  </w:style>
  <w:style w:type="character" w:customStyle="1" w:styleId="7">
    <w:name w:val="标题 Char"/>
    <w:basedOn w:val="6"/>
    <w:link w:val="4"/>
    <w:qFormat/>
    <w:uiPriority w:val="10"/>
    <w:rPr>
      <w:rFonts w:eastAsia="宋体" w:asciiTheme="majorHAnsi" w:hAnsiTheme="majorHAnsi" w:cstheme="majorBidi"/>
      <w:b/>
      <w:bCs/>
      <w:sz w:val="32"/>
      <w:szCs w:val="32"/>
    </w:rPr>
  </w:style>
  <w:style w:type="character" w:customStyle="1" w:styleId="8">
    <w:name w:val="页眉 Char"/>
    <w:basedOn w:val="6"/>
    <w:link w:val="3"/>
    <w:qFormat/>
    <w:uiPriority w:val="99"/>
    <w:rPr>
      <w:sz w:val="18"/>
      <w:szCs w:val="18"/>
    </w:rPr>
  </w:style>
  <w:style w:type="character" w:customStyle="1" w:styleId="9">
    <w:name w:val="页脚 Char"/>
    <w:basedOn w:val="6"/>
    <w:link w:val="2"/>
    <w:qFormat/>
    <w:uiPriority w:val="99"/>
    <w:rPr>
      <w:sz w:val="18"/>
      <w:szCs w:val="18"/>
    </w:rPr>
  </w:style>
  <w:style w:type="paragraph" w:styleId="10">
    <w:name w:val="List Paragraph"/>
    <w:basedOn w:val="1"/>
    <w:qFormat/>
    <w:uiPriority w:val="34"/>
    <w:pPr>
      <w:ind w:firstLine="420" w:firstLineChars="200"/>
    </w:pPr>
  </w:style>
  <w:style w:type="paragraph" w:customStyle="1" w:styleId="11">
    <w:name w:val="Default"/>
    <w:qFormat/>
    <w:uiPriority w:val="0"/>
    <w:pPr>
      <w:widowControl w:val="0"/>
      <w:autoSpaceDE w:val="0"/>
      <w:autoSpaceDN w:val="0"/>
      <w:adjustRightInd w:val="0"/>
    </w:pPr>
    <w:rPr>
      <w:rFonts w:ascii="......." w:hAnsi="Calibri" w:eastAsia="......." w:cs=".......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676</Words>
  <Characters>701</Characters>
  <Lines>6</Lines>
  <Paragraphs>1</Paragraphs>
  <TotalTime>70</TotalTime>
  <ScaleCrop>false</ScaleCrop>
  <LinksUpToDate>false</LinksUpToDate>
  <CharactersWithSpaces>702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2021-06-12T19:28:00Z</dcterms:created>
  <dc:creator>未定义</dc:creator>
  <cp:lastModifiedBy>徐大富</cp:lastModifiedBy>
  <cp:lastPrinted>2026-05-09T18:34:00Z</cp:lastPrinted>
  <dcterms:modified xsi:type="dcterms:W3CDTF">2026-05-12T03:50:47Z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eyJoZGlkIjoiNmQ2MThlMWFmMWNhZjg1NTU5ZWVkMzYwMTFhYjNlMTkiLCJ1c2VySWQiOiIzODMyOTk3OTYifQ==</vt:lpwstr>
  </property>
  <property fmtid="{D5CDD505-2E9C-101B-9397-08002B2CF9AE}" pid="3" name="KSOProductBuildVer">
    <vt:lpwstr>2052-12.1.0.24034</vt:lpwstr>
  </property>
  <property fmtid="{D5CDD505-2E9C-101B-9397-08002B2CF9AE}" pid="4" name="ICV">
    <vt:lpwstr>C6D7C8E78B1F4E06A229F2D12EEBBDAD_13</vt:lpwstr>
  </property>
</Properties>
</file>