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B19025A">
      <w:pPr>
        <w:rPr>
          <w:rFonts w:eastAsia="仿宋_GB2312"/>
          <w:sz w:val="84"/>
        </w:rPr>
      </w:pPr>
    </w:p>
    <w:p w14:paraId="1EBC3A43">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59264" behindDoc="0" locked="0" layoutInCell="1" allowOverlap="1">
                <wp:simplePos x="0" y="0"/>
                <wp:positionH relativeFrom="column">
                  <wp:posOffset>-123190</wp:posOffset>
                </wp:positionH>
                <wp:positionV relativeFrom="paragraph">
                  <wp:posOffset>269875</wp:posOffset>
                </wp:positionV>
                <wp:extent cx="413385" cy="0"/>
                <wp:effectExtent l="0" t="95250" r="5715"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413468"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7pt;margin-top:21.25pt;height:0pt;width:32.55pt;z-index:251659264;mso-width-relative:page;mso-height-relative:page;" filled="f" stroked="t" coordsize="21600,21600" o:gfxdata="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A6bTKjW&#10;AAAACAEAAA8AAAAAAAAAAQAgAAAAIgAAAGRycy9kb3ducmV2LnhtbFBLAQIUABQAAAAIAIdO4kBf&#10;YVbR6QEAAKsDAAAOAAAAAAAAAAEAIAAAACUBAABkcnMvZTJvRG9jLnhtbFBLBQYAAAAABgAGAFkB&#10;AACABQAAAAA=&#10;">
                <v:fill on="f" focussize="0,0"/>
                <v:stroke weight="15pt" color="#4B69B5" joinstyle="round"/>
                <v:imagedata o:title=""/>
                <o:lock v:ext="edit" aspectratio="f"/>
              </v:line>
            </w:pict>
          </mc:Fallback>
        </mc:AlternateContent>
      </w:r>
      <w:r>
        <w:rPr>
          <w:rFonts w:hint="eastAsia" w:eastAsia="黑体"/>
          <w:b/>
          <w:spacing w:val="40"/>
          <w:w w:val="66"/>
          <w:sz w:val="60"/>
          <w:szCs w:val="60"/>
        </w:rPr>
        <w:t xml:space="preserve"> 天津市卫生健康委员会综合服务中心-天津市县域医共体医疗设备更新监护仪、麻醉机、呼吸机等设备项目</w:t>
      </w:r>
    </w:p>
    <w:p w14:paraId="4E0A5550">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43B162A6">
      <w:pPr>
        <w:ind w:right="1025"/>
        <w:jc w:val="center"/>
        <w:rPr>
          <w:rFonts w:eastAsia="黑体"/>
          <w:b/>
          <w:spacing w:val="40"/>
          <w:w w:val="66"/>
          <w:sz w:val="60"/>
          <w:szCs w:val="60"/>
        </w:rPr>
      </w:pPr>
    </w:p>
    <w:p w14:paraId="1E84F1F5">
      <w:pPr>
        <w:jc w:val="center"/>
        <w:rPr>
          <w:rFonts w:eastAsia="黑体"/>
          <w:b/>
          <w:spacing w:val="40"/>
          <w:w w:val="66"/>
          <w:sz w:val="15"/>
          <w:szCs w:val="15"/>
        </w:rPr>
      </w:pPr>
      <w:r>
        <w:rPr>
          <w:rFonts w:eastAsia="黑体"/>
          <w:b/>
          <w:spacing w:val="40"/>
          <w:w w:val="66"/>
          <w:sz w:val="56"/>
          <w:szCs w:val="56"/>
        </w:rPr>
        <w:t xml:space="preserve">            </w:t>
      </w:r>
    </w:p>
    <w:p w14:paraId="7C6E67E9">
      <w:pPr>
        <w:jc w:val="center"/>
        <w:rPr>
          <w:rFonts w:eastAsia="黑体"/>
          <w:spacing w:val="40"/>
          <w:w w:val="66"/>
          <w:sz w:val="32"/>
          <w:szCs w:val="32"/>
        </w:rPr>
      </w:pPr>
      <w:r>
        <w:rPr>
          <w:rFonts w:eastAsia="黑体"/>
          <w:spacing w:val="40"/>
          <w:w w:val="66"/>
          <w:sz w:val="32"/>
          <w:szCs w:val="32"/>
        </w:rPr>
        <w:t>（项目编号：TGPC-</w:t>
      </w:r>
      <w:r>
        <w:rPr>
          <w:rFonts w:hint="eastAsia" w:eastAsia="黑体"/>
          <w:spacing w:val="40"/>
          <w:w w:val="66"/>
          <w:sz w:val="32"/>
          <w:szCs w:val="32"/>
        </w:rPr>
        <w:t>2025-A-</w:t>
      </w:r>
      <w:r>
        <w:rPr>
          <w:rFonts w:eastAsia="黑体"/>
          <w:spacing w:val="40"/>
          <w:w w:val="66"/>
          <w:sz w:val="32"/>
          <w:szCs w:val="32"/>
        </w:rPr>
        <w:t>0342）</w:t>
      </w:r>
    </w:p>
    <w:p w14:paraId="503D9258">
      <w:pPr>
        <w:rPr>
          <w:sz w:val="40"/>
        </w:rPr>
      </w:pPr>
    </w:p>
    <w:p w14:paraId="1A7DDDF5">
      <w:pPr>
        <w:rPr>
          <w:sz w:val="36"/>
        </w:rPr>
      </w:pPr>
    </w:p>
    <w:p w14:paraId="26342F7E">
      <w:pPr>
        <w:rPr>
          <w:sz w:val="36"/>
        </w:rPr>
      </w:pPr>
    </w:p>
    <w:p w14:paraId="39F267AD">
      <w:pPr>
        <w:rPr>
          <w:sz w:val="36"/>
        </w:rPr>
      </w:pPr>
    </w:p>
    <w:p w14:paraId="534198F4">
      <w:pPr>
        <w:rPr>
          <w:sz w:val="36"/>
        </w:rPr>
      </w:pPr>
    </w:p>
    <w:p w14:paraId="6335BE9F">
      <w:pPr>
        <w:rPr>
          <w:sz w:val="36"/>
        </w:rPr>
      </w:pPr>
    </w:p>
    <w:p w14:paraId="098DFE48">
      <w:pPr>
        <w:rPr>
          <w:sz w:val="36"/>
        </w:rPr>
      </w:pPr>
    </w:p>
    <w:p w14:paraId="22E606B4">
      <w:pPr>
        <w:rPr>
          <w:sz w:val="36"/>
        </w:rPr>
      </w:pPr>
    </w:p>
    <w:p w14:paraId="0014926A">
      <w:pPr>
        <w:rPr>
          <w:sz w:val="36"/>
        </w:rPr>
      </w:pPr>
    </w:p>
    <w:p w14:paraId="77D1EF9D">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0BA40144">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w:t>
      </w:r>
      <w:r>
        <w:rPr>
          <w:rFonts w:hint="eastAsia" w:eastAsia="仿宋_GB2312"/>
          <w:b/>
          <w:bCs/>
          <w:kern w:val="0"/>
          <w:sz w:val="44"/>
          <w:szCs w:val="44"/>
        </w:rPr>
        <w:t>9</w:t>
      </w:r>
    </w:p>
    <w:p w14:paraId="69F67475">
      <w:pPr>
        <w:widowControl/>
        <w:jc w:val="left"/>
        <w:rPr>
          <w:rFonts w:eastAsia="仿宋_GB2312"/>
          <w:b/>
          <w:bCs/>
          <w:color w:val="333399"/>
          <w:kern w:val="0"/>
          <w:sz w:val="44"/>
          <w:szCs w:val="44"/>
        </w:rPr>
      </w:pPr>
    </w:p>
    <w:p w14:paraId="648E8CD5">
      <w:pPr>
        <w:ind w:firstLine="408" w:firstLineChars="100"/>
        <w:jc w:val="center"/>
        <w:rPr>
          <w:b/>
          <w:spacing w:val="20"/>
          <w:w w:val="80"/>
          <w:sz w:val="48"/>
          <w:szCs w:val="48"/>
        </w:rPr>
        <w:sectPr>
          <w:headerReference r:id="rId3" w:type="default"/>
          <w:footerReference r:id="rId4" w:type="default"/>
          <w:pgSz w:w="11906" w:h="16838"/>
          <w:pgMar w:top="1440" w:right="1797" w:bottom="1440" w:left="1797" w:header="851" w:footer="992" w:gutter="0"/>
          <w:pgNumType w:start="1"/>
          <w:cols w:space="425" w:num="1"/>
          <w:docGrid w:type="linesAndChars" w:linePitch="285" w:charSpace="-3449"/>
        </w:sectPr>
      </w:pPr>
    </w:p>
    <w:p w14:paraId="17D1D800">
      <w:pPr>
        <w:ind w:firstLine="408" w:firstLineChars="100"/>
        <w:jc w:val="center"/>
        <w:rPr>
          <w:b/>
          <w:spacing w:val="20"/>
          <w:w w:val="80"/>
          <w:sz w:val="48"/>
          <w:szCs w:val="48"/>
        </w:rPr>
      </w:pPr>
      <w:r>
        <w:rPr>
          <w:b/>
          <w:spacing w:val="20"/>
          <w:w w:val="80"/>
          <w:sz w:val="48"/>
          <w:szCs w:val="48"/>
        </w:rPr>
        <w:t>目  录</w:t>
      </w:r>
    </w:p>
    <w:p w14:paraId="30FD25D9">
      <w:pPr>
        <w:spacing w:line="560" w:lineRule="exact"/>
        <w:ind w:right="-141" w:rightChars="-73"/>
        <w:rPr>
          <w:b/>
          <w:sz w:val="24"/>
        </w:rPr>
      </w:pPr>
      <w:r>
        <w:rPr>
          <w:b/>
          <w:sz w:val="24"/>
        </w:rPr>
        <w:t>第一部分</w:t>
      </w:r>
      <w:r>
        <w:rPr>
          <w:rFonts w:hint="eastAsia"/>
          <w:b/>
          <w:sz w:val="24"/>
        </w:rPr>
        <w:t xml:space="preserve"> </w:t>
      </w:r>
      <w:r>
        <w:rPr>
          <w:b/>
          <w:sz w:val="24"/>
        </w:rPr>
        <w:t xml:space="preserve"> 投标邀请函</w:t>
      </w:r>
    </w:p>
    <w:p w14:paraId="782D06FA">
      <w:pPr>
        <w:spacing w:line="560" w:lineRule="exact"/>
        <w:ind w:right="-141" w:rightChars="-73"/>
        <w:rPr>
          <w:b/>
          <w:sz w:val="24"/>
        </w:rPr>
      </w:pPr>
    </w:p>
    <w:p w14:paraId="72D8006A">
      <w:pPr>
        <w:spacing w:line="560" w:lineRule="exact"/>
        <w:ind w:right="-141" w:rightChars="-73"/>
        <w:rPr>
          <w:b/>
          <w:sz w:val="24"/>
        </w:rPr>
      </w:pPr>
      <w:r>
        <w:rPr>
          <w:b/>
          <w:sz w:val="24"/>
        </w:rPr>
        <w:t xml:space="preserve">第二部分 </w:t>
      </w:r>
      <w:r>
        <w:rPr>
          <w:rFonts w:hint="eastAsia"/>
          <w:b/>
          <w:sz w:val="24"/>
        </w:rPr>
        <w:t xml:space="preserve"> 招标项目要求</w:t>
      </w:r>
    </w:p>
    <w:p w14:paraId="1FE20491">
      <w:pPr>
        <w:spacing w:line="560" w:lineRule="exact"/>
        <w:ind w:right="-141" w:rightChars="-73"/>
        <w:rPr>
          <w:b/>
          <w:sz w:val="24"/>
        </w:rPr>
      </w:pPr>
    </w:p>
    <w:p w14:paraId="650D139D">
      <w:pPr>
        <w:spacing w:line="560" w:lineRule="exact"/>
        <w:ind w:right="-141" w:rightChars="-73"/>
        <w:rPr>
          <w:b/>
          <w:sz w:val="24"/>
        </w:rPr>
      </w:pPr>
      <w:r>
        <w:rPr>
          <w:b/>
          <w:sz w:val="24"/>
        </w:rPr>
        <w:t xml:space="preserve">第三部分 </w:t>
      </w:r>
      <w:r>
        <w:rPr>
          <w:rFonts w:hint="eastAsia"/>
          <w:b/>
          <w:sz w:val="24"/>
        </w:rPr>
        <w:t xml:space="preserve"> 投标须知</w:t>
      </w:r>
    </w:p>
    <w:p w14:paraId="43DD832B">
      <w:pPr>
        <w:spacing w:line="560" w:lineRule="exact"/>
        <w:ind w:right="-141" w:rightChars="-73"/>
        <w:rPr>
          <w:sz w:val="24"/>
        </w:rPr>
      </w:pPr>
    </w:p>
    <w:p w14:paraId="330DCF29">
      <w:pPr>
        <w:spacing w:line="560" w:lineRule="exact"/>
        <w:rPr>
          <w:b/>
          <w:sz w:val="24"/>
        </w:rPr>
      </w:pPr>
      <w:r>
        <w:rPr>
          <w:b/>
          <w:sz w:val="24"/>
        </w:rPr>
        <w:t xml:space="preserve">第四部分 </w:t>
      </w:r>
      <w:r>
        <w:rPr>
          <w:rFonts w:hint="eastAsia"/>
          <w:b/>
          <w:sz w:val="24"/>
        </w:rPr>
        <w:t xml:space="preserve"> </w:t>
      </w:r>
      <w:r>
        <w:rPr>
          <w:b/>
          <w:sz w:val="24"/>
        </w:rPr>
        <w:t>合同条款</w:t>
      </w:r>
    </w:p>
    <w:p w14:paraId="7A1F7124">
      <w:pPr>
        <w:spacing w:line="560" w:lineRule="exact"/>
        <w:rPr>
          <w:sz w:val="24"/>
        </w:rPr>
      </w:pPr>
    </w:p>
    <w:p w14:paraId="1F20B7A8">
      <w:pPr>
        <w:spacing w:line="560" w:lineRule="exact"/>
        <w:rPr>
          <w:sz w:val="24"/>
        </w:rPr>
      </w:pPr>
      <w:r>
        <w:rPr>
          <w:b/>
          <w:sz w:val="24"/>
        </w:rPr>
        <w:t xml:space="preserve">第五部分 </w:t>
      </w:r>
      <w:r>
        <w:rPr>
          <w:rFonts w:hint="eastAsia"/>
          <w:b/>
          <w:sz w:val="24"/>
        </w:rPr>
        <w:t xml:space="preserve"> </w:t>
      </w:r>
      <w:r>
        <w:rPr>
          <w:b/>
          <w:sz w:val="24"/>
        </w:rPr>
        <w:t>投标文件格式</w:t>
      </w:r>
    </w:p>
    <w:p w14:paraId="3661DE8A">
      <w:pPr>
        <w:rPr>
          <w:sz w:val="24"/>
        </w:rPr>
      </w:pPr>
    </w:p>
    <w:p w14:paraId="52B772CA">
      <w:pPr>
        <w:rPr>
          <w:sz w:val="24"/>
        </w:rPr>
      </w:pPr>
    </w:p>
    <w:p w14:paraId="24B6A912">
      <w:pPr>
        <w:rPr>
          <w:sz w:val="24"/>
        </w:rPr>
      </w:pPr>
    </w:p>
    <w:p w14:paraId="03FEA7EC">
      <w:pPr>
        <w:rPr>
          <w:sz w:val="24"/>
        </w:rPr>
      </w:pPr>
    </w:p>
    <w:p w14:paraId="177C9EF4">
      <w:pPr>
        <w:rPr>
          <w:sz w:val="24"/>
        </w:rPr>
      </w:pPr>
    </w:p>
    <w:p w14:paraId="240037BA">
      <w:pPr>
        <w:rPr>
          <w:sz w:val="24"/>
        </w:rPr>
      </w:pPr>
    </w:p>
    <w:p w14:paraId="2DBFDB1D">
      <w:pPr>
        <w:rPr>
          <w:b/>
        </w:rPr>
      </w:pPr>
    </w:p>
    <w:p w14:paraId="4F739B95">
      <w:pPr>
        <w:pStyle w:val="13"/>
        <w:rPr>
          <w:rFonts w:ascii="Times New Roman" w:hAnsi="Times New Roman"/>
        </w:rPr>
        <w:sectPr>
          <w:footerReference r:id="rId5" w:type="default"/>
          <w:pgSz w:w="11906" w:h="16838"/>
          <w:pgMar w:top="1440" w:right="1797" w:bottom="1440" w:left="1797" w:header="851" w:footer="992" w:gutter="0"/>
          <w:pgNumType w:start="1"/>
          <w:cols w:space="425" w:num="1"/>
          <w:docGrid w:type="linesAndChars" w:linePitch="285" w:charSpace="-3449"/>
        </w:sectPr>
      </w:pPr>
      <w:bookmarkStart w:id="0" w:name="_Toc412903614"/>
    </w:p>
    <w:p w14:paraId="07F3A892">
      <w:pPr>
        <w:pStyle w:val="13"/>
        <w:rPr>
          <w:rFonts w:ascii="Times New Roman" w:hAnsi="Times New Roman"/>
        </w:rPr>
      </w:pPr>
      <w:r>
        <w:rPr>
          <w:rFonts w:ascii="Times New Roman" w:hAnsi="Times New Roman"/>
        </w:rPr>
        <w:t>第一部分  投标邀请函</w:t>
      </w:r>
      <w:bookmarkEnd w:id="0"/>
    </w:p>
    <w:p w14:paraId="221E8196">
      <w:pPr>
        <w:pStyle w:val="25"/>
        <w:spacing w:line="360" w:lineRule="auto"/>
        <w:ind w:firstLine="480"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受天津市卫生健康委员会综合服务中心委托</w:t>
      </w:r>
      <w:r>
        <w:rPr>
          <w:rFonts w:ascii="Times New Roman" w:hAnsi="Times New Roman" w:eastAsia="宋体" w:cs="Times New Roman"/>
          <w:color w:val="auto"/>
          <w:szCs w:val="32"/>
        </w:rPr>
        <w:t>，天津市政府采购中心将以公开招标方式</w:t>
      </w:r>
      <w:r>
        <w:rPr>
          <w:rFonts w:hint="eastAsia" w:ascii="Times New Roman" w:hAnsi="Times New Roman" w:eastAsia="宋体" w:cs="Times New Roman"/>
          <w:color w:val="auto"/>
          <w:szCs w:val="32"/>
        </w:rPr>
        <w:t>，对天津市卫生健康委员会综合服务中心-天津市县域医共体医疗设备更新监护仪、麻醉机、呼吸机等设备项目实施政府采购。</w:t>
      </w:r>
      <w:r>
        <w:rPr>
          <w:rFonts w:ascii="Times New Roman" w:hAnsi="Times New Roman" w:eastAsia="宋体" w:cs="Times New Roman"/>
          <w:color w:val="auto"/>
          <w:szCs w:val="32"/>
        </w:rPr>
        <w:t>现欢迎合格的供应商参加投标。</w:t>
      </w:r>
    </w:p>
    <w:p w14:paraId="772F31BB">
      <w:pPr>
        <w:pStyle w:val="25"/>
        <w:spacing w:line="360" w:lineRule="auto"/>
        <w:ind w:firstLine="480"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0A7F09B5">
      <w:pPr>
        <w:pStyle w:val="25"/>
        <w:spacing w:line="360" w:lineRule="auto"/>
        <w:ind w:firstLine="480" w:firstLineChars="200"/>
        <w:jc w:val="both"/>
        <w:rPr>
          <w:rFonts w:ascii="Times New Roman" w:hAnsi="Times New Roman" w:eastAsia="宋体" w:cs="Times New Roman"/>
          <w:color w:val="auto"/>
          <w:szCs w:val="32"/>
        </w:rPr>
      </w:pPr>
      <w:r>
        <w:rPr>
          <w:rFonts w:ascii="Times New Roman" w:hAnsi="Times New Roman" w:eastAsia="宋体" w:cs="Times New Roman"/>
          <w:color w:val="auto"/>
          <w:szCs w:val="32"/>
        </w:rPr>
        <w:t>一、项目名称和编号</w:t>
      </w:r>
    </w:p>
    <w:p w14:paraId="23116A6B">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rPr>
        <w:t>天津市卫生健康委员会综合服务中心-天津市县域医共体医疗设备更新监护仪、麻醉机、呼吸机等设备项目</w:t>
      </w:r>
    </w:p>
    <w:p w14:paraId="666356D4">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（二）项目编号：TGPC-202</w:t>
      </w:r>
      <w:r>
        <w:rPr>
          <w:rFonts w:hint="eastAsia" w:ascii="Times New Roman" w:hAnsi="Times New Roman" w:eastAsia="宋体" w:cs="Times New Roman"/>
          <w:color w:val="auto"/>
        </w:rPr>
        <w:t>5</w:t>
      </w:r>
      <w:r>
        <w:rPr>
          <w:rFonts w:ascii="Times New Roman" w:hAnsi="Times New Roman" w:eastAsia="宋体" w:cs="Times New Roman"/>
          <w:color w:val="auto"/>
        </w:rPr>
        <w:t>-A-0342</w:t>
      </w:r>
    </w:p>
    <w:p w14:paraId="10889274">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p w14:paraId="1E0CA055">
      <w:pPr>
        <w:tabs>
          <w:tab w:val="left" w:pos="210"/>
        </w:tabs>
        <w:autoSpaceDE w:val="0"/>
        <w:autoSpaceDN w:val="0"/>
        <w:adjustRightInd w:val="0"/>
        <w:spacing w:line="360" w:lineRule="auto"/>
        <w:ind w:firstLine="480" w:firstLineChars="200"/>
        <w:outlineLvl w:val="0"/>
        <w:rPr>
          <w:sz w:val="24"/>
          <w:szCs w:val="24"/>
          <w:lang w:val="zh-CN"/>
        </w:rPr>
      </w:pPr>
      <w:r>
        <w:rPr>
          <w:rFonts w:hint="eastAsia"/>
          <w:sz w:val="24"/>
          <w:szCs w:val="24"/>
          <w:lang w:val="zh-CN"/>
        </w:rPr>
        <w:t>第一包：监护仪（1）40台、监护仪（2）10台、监护仪（3）3台、监护仪（4）31台、监护仪（5）9台（采购需求详见采购清单），合同履行期限：签订合同之日起30日内到货并安装调试完毕。</w:t>
      </w:r>
    </w:p>
    <w:p w14:paraId="55E03707">
      <w:pPr>
        <w:tabs>
          <w:tab w:val="left" w:pos="210"/>
        </w:tabs>
        <w:autoSpaceDE w:val="0"/>
        <w:autoSpaceDN w:val="0"/>
        <w:adjustRightInd w:val="0"/>
        <w:spacing w:line="360" w:lineRule="auto"/>
        <w:ind w:firstLine="480" w:firstLineChars="200"/>
        <w:outlineLvl w:val="0"/>
        <w:rPr>
          <w:sz w:val="24"/>
          <w:szCs w:val="24"/>
          <w:lang w:val="zh-CN"/>
        </w:rPr>
      </w:pPr>
      <w:r>
        <w:rPr>
          <w:rFonts w:hint="eastAsia"/>
          <w:sz w:val="24"/>
          <w:szCs w:val="24"/>
          <w:lang w:val="zh-CN"/>
        </w:rPr>
        <w:t>第二包：监护仪（1）6台、监护仪（2）89台、监护仪（3）4台、监护仪（4）35台、监护仪（5）2台（采购需求详见采购清单），合同履行期限：签订合同之日起30日内到货并安装调试完毕。</w:t>
      </w:r>
    </w:p>
    <w:p w14:paraId="5A641D91">
      <w:pPr>
        <w:tabs>
          <w:tab w:val="left" w:pos="210"/>
        </w:tabs>
        <w:autoSpaceDE w:val="0"/>
        <w:autoSpaceDN w:val="0"/>
        <w:adjustRightInd w:val="0"/>
        <w:spacing w:line="360" w:lineRule="auto"/>
        <w:ind w:firstLine="480" w:firstLineChars="200"/>
        <w:outlineLvl w:val="0"/>
        <w:rPr>
          <w:sz w:val="24"/>
          <w:szCs w:val="24"/>
          <w:lang w:val="zh-CN"/>
        </w:rPr>
      </w:pPr>
      <w:r>
        <w:rPr>
          <w:rFonts w:hint="eastAsia"/>
          <w:sz w:val="24"/>
          <w:szCs w:val="24"/>
          <w:lang w:val="zh-CN"/>
        </w:rPr>
        <w:t>第三包：麻醉机1台（采购需求详见采购清单），合同履行期限：签订合同之日起30日内到货并安装调试完毕。</w:t>
      </w:r>
    </w:p>
    <w:p w14:paraId="3A883504">
      <w:pPr>
        <w:tabs>
          <w:tab w:val="left" w:pos="210"/>
        </w:tabs>
        <w:autoSpaceDE w:val="0"/>
        <w:autoSpaceDN w:val="0"/>
        <w:adjustRightInd w:val="0"/>
        <w:spacing w:line="360" w:lineRule="auto"/>
        <w:ind w:firstLine="480" w:firstLineChars="200"/>
        <w:outlineLvl w:val="0"/>
        <w:rPr>
          <w:sz w:val="24"/>
          <w:szCs w:val="24"/>
          <w:lang w:val="zh-CN"/>
        </w:rPr>
      </w:pPr>
      <w:r>
        <w:rPr>
          <w:rFonts w:hint="eastAsia"/>
          <w:sz w:val="24"/>
          <w:szCs w:val="24"/>
          <w:lang w:val="zh-CN"/>
        </w:rPr>
        <w:t>第四包：麻醉机（1）1台、麻醉机（2）1台、麻醉机（3）1台、麻醉机（4）5台、麻醉机（5）1台（采购需求详见采购清单），合同履行期限：签订合同之日起30日内到货并安装调试完毕。</w:t>
      </w:r>
    </w:p>
    <w:p w14:paraId="3785DC38">
      <w:pPr>
        <w:tabs>
          <w:tab w:val="left" w:pos="210"/>
        </w:tabs>
        <w:autoSpaceDE w:val="0"/>
        <w:autoSpaceDN w:val="0"/>
        <w:adjustRightInd w:val="0"/>
        <w:spacing w:line="360" w:lineRule="auto"/>
        <w:ind w:firstLine="480" w:firstLineChars="200"/>
        <w:outlineLvl w:val="0"/>
        <w:rPr>
          <w:sz w:val="24"/>
          <w:szCs w:val="24"/>
          <w:lang w:val="zh-CN"/>
        </w:rPr>
      </w:pPr>
      <w:r>
        <w:rPr>
          <w:rFonts w:hint="eastAsia"/>
          <w:sz w:val="24"/>
          <w:szCs w:val="24"/>
          <w:lang w:val="zh-CN"/>
        </w:rPr>
        <w:t>第五包：麻醉机（1）5台、麻醉机（2）1台、麻醉机（3）2台、麻醉机（4）2台（采购需求详见采购清单），合同履行期限：签订合同之日起30日内到货并安装调试完毕。</w:t>
      </w:r>
    </w:p>
    <w:p w14:paraId="62CF4BC8">
      <w:pPr>
        <w:tabs>
          <w:tab w:val="left" w:pos="210"/>
        </w:tabs>
        <w:autoSpaceDE w:val="0"/>
        <w:autoSpaceDN w:val="0"/>
        <w:adjustRightInd w:val="0"/>
        <w:spacing w:line="360" w:lineRule="auto"/>
        <w:ind w:firstLine="480" w:firstLineChars="200"/>
        <w:outlineLvl w:val="0"/>
        <w:rPr>
          <w:sz w:val="24"/>
          <w:szCs w:val="24"/>
          <w:lang w:val="zh-CN"/>
        </w:rPr>
      </w:pPr>
      <w:r>
        <w:rPr>
          <w:rFonts w:hint="eastAsia"/>
          <w:sz w:val="24"/>
          <w:szCs w:val="24"/>
          <w:lang w:val="zh-CN"/>
        </w:rPr>
        <w:t>第六包：无创呼吸机1台（采购需求详见采购清单），合同履行期限：签订合同之日起30日内到货并安装调试完毕。</w:t>
      </w:r>
    </w:p>
    <w:p w14:paraId="3F636466">
      <w:pPr>
        <w:tabs>
          <w:tab w:val="left" w:pos="210"/>
        </w:tabs>
        <w:autoSpaceDE w:val="0"/>
        <w:autoSpaceDN w:val="0"/>
        <w:adjustRightInd w:val="0"/>
        <w:spacing w:line="360" w:lineRule="auto"/>
        <w:ind w:firstLine="480" w:firstLineChars="200"/>
        <w:outlineLvl w:val="0"/>
        <w:rPr>
          <w:sz w:val="24"/>
          <w:szCs w:val="24"/>
          <w:lang w:val="zh-CN"/>
        </w:rPr>
      </w:pPr>
      <w:r>
        <w:rPr>
          <w:rFonts w:hint="eastAsia"/>
          <w:sz w:val="24"/>
          <w:szCs w:val="24"/>
          <w:lang w:val="zh-CN"/>
        </w:rPr>
        <w:t>第七包：呼吸机（1）5台、呼吸机（2）4台、呼吸机（3）4台、呼吸机（4）4台（采购需求详见采购清单），合同履行期限：签订合同之日起30日内到货并安装调试完毕。</w:t>
      </w:r>
    </w:p>
    <w:p w14:paraId="4DFC3A7F">
      <w:pPr>
        <w:tabs>
          <w:tab w:val="left" w:pos="210"/>
        </w:tabs>
        <w:autoSpaceDE w:val="0"/>
        <w:autoSpaceDN w:val="0"/>
        <w:adjustRightInd w:val="0"/>
        <w:spacing w:line="360" w:lineRule="auto"/>
        <w:ind w:firstLine="480" w:firstLineChars="200"/>
        <w:outlineLvl w:val="0"/>
        <w:rPr>
          <w:strike/>
          <w:sz w:val="24"/>
          <w:szCs w:val="24"/>
        </w:rPr>
      </w:pPr>
      <w:r>
        <w:rPr>
          <w:sz w:val="24"/>
          <w:szCs w:val="24"/>
          <w:lang w:val="zh-CN"/>
        </w:rPr>
        <w:t>本项目</w:t>
      </w:r>
      <w:r>
        <w:rPr>
          <w:rFonts w:hint="eastAsia"/>
          <w:sz w:val="24"/>
          <w:szCs w:val="24"/>
          <w:lang w:val="zh-CN"/>
        </w:rPr>
        <w:t>不接受进口产品投标。</w:t>
      </w:r>
    </w:p>
    <w:p w14:paraId="1AE29995">
      <w:pPr>
        <w:pStyle w:val="25"/>
        <w:spacing w:line="360" w:lineRule="auto"/>
        <w:ind w:firstLine="480" w:firstLineChars="200"/>
        <w:jc w:val="both"/>
        <w:rPr>
          <w:rFonts w:ascii="Times New Roman" w:hAnsi="Times New Roman" w:eastAsia="宋体" w:cs="Times New Roman"/>
        </w:rPr>
      </w:pPr>
      <w:r>
        <w:rPr>
          <w:rFonts w:ascii="Times New Roman" w:hAnsi="Times New Roman" w:eastAsia="宋体" w:cs="Times New Roman"/>
        </w:rPr>
        <w:t>三、项目预算</w:t>
      </w:r>
    </w:p>
    <w:p w14:paraId="68687F35">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第一包：</w:t>
      </w:r>
      <w:r>
        <w:rPr>
          <w:rFonts w:ascii="Times New Roman" w:hAnsi="Times New Roman" w:eastAsia="宋体" w:cs="Times New Roman"/>
          <w:color w:val="auto"/>
        </w:rPr>
        <w:t>1119</w:t>
      </w:r>
      <w:r>
        <w:rPr>
          <w:rFonts w:hint="eastAsia" w:ascii="Times New Roman" w:hAnsi="Times New Roman" w:eastAsia="宋体" w:cs="Times New Roman"/>
          <w:color w:val="auto"/>
        </w:rPr>
        <w:t>000元（最高限价1115000元）。其中，监护仪（1）320000元；监护仪（2）124000元（最高限价120000元）；监护仪（3）30000元；监护仪（4）465000元；监护仪（5）180000元。</w:t>
      </w:r>
    </w:p>
    <w:p w14:paraId="1849E5EF">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第二包：</w:t>
      </w:r>
      <w:r>
        <w:rPr>
          <w:rFonts w:ascii="Times New Roman" w:hAnsi="Times New Roman" w:eastAsia="宋体" w:cs="Times New Roman"/>
          <w:color w:val="auto"/>
        </w:rPr>
        <w:t>8235</w:t>
      </w:r>
      <w:r>
        <w:rPr>
          <w:rFonts w:hint="eastAsia" w:ascii="Times New Roman" w:hAnsi="Times New Roman" w:eastAsia="宋体" w:cs="Times New Roman"/>
          <w:color w:val="auto"/>
        </w:rPr>
        <w:t>000元。其中，监护仪（1）180000元；监护仪（2）3115000元；监护仪（3）140000元；监护仪（4）4200000元；监护仪（5）600000元。</w:t>
      </w:r>
    </w:p>
    <w:p w14:paraId="467EBD84">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第三包：60000元。</w:t>
      </w:r>
    </w:p>
    <w:p w14:paraId="3362E0BA">
      <w:pPr>
        <w:pStyle w:val="25"/>
        <w:spacing w:line="360" w:lineRule="auto"/>
        <w:ind w:firstLine="480" w:firstLineChars="200"/>
        <w:jc w:val="both"/>
        <w:rPr>
          <w:rFonts w:hint="eastAsia" w:ascii="Times New Roman" w:hAnsi="Times New Roman" w:eastAsia="宋体" w:cs="Times New Roman"/>
          <w:color w:val="auto"/>
          <w:highlight w:val="yellow"/>
          <w:lang w:val="en-US" w:eastAsia="zh-CN"/>
        </w:rPr>
      </w:pPr>
      <w:r>
        <w:rPr>
          <w:rFonts w:hint="eastAsia" w:ascii="Times New Roman" w:hAnsi="Times New Roman" w:eastAsia="宋体" w:cs="Times New Roman"/>
          <w:color w:val="auto"/>
        </w:rPr>
        <w:t>第四包：</w:t>
      </w:r>
      <w:r>
        <w:rPr>
          <w:rFonts w:ascii="Times New Roman" w:hAnsi="Times New Roman" w:eastAsia="宋体" w:cs="Times New Roman"/>
          <w:color w:val="auto"/>
        </w:rPr>
        <w:t>255</w:t>
      </w:r>
      <w:r>
        <w:rPr>
          <w:rFonts w:hint="eastAsia" w:ascii="Times New Roman" w:hAnsi="Times New Roman" w:eastAsia="宋体" w:cs="Times New Roman"/>
          <w:color w:val="auto"/>
        </w:rPr>
        <w:t>0000元。其中，麻醉机（1）200000元；麻醉机（2）</w:t>
      </w:r>
      <w:r>
        <w:rPr>
          <w:rFonts w:hint="eastAsia" w:ascii="Times New Roman" w:hAnsi="Times New Roman" w:eastAsia="宋体" w:cs="Times New Roman"/>
          <w:color w:val="auto"/>
          <w:highlight w:val="yellow"/>
          <w:lang w:val="en-US" w:eastAsia="zh-CN"/>
        </w:rPr>
        <w:t>3</w:t>
      </w:r>
      <w:r>
        <w:rPr>
          <w:rFonts w:hint="eastAsia" w:ascii="Times New Roman" w:hAnsi="Times New Roman" w:eastAsia="宋体" w:cs="Times New Roman"/>
          <w:color w:val="auto"/>
          <w:highlight w:val="yellow"/>
        </w:rPr>
        <w:t>00000元</w:t>
      </w:r>
      <w:r>
        <w:rPr>
          <w:rFonts w:hint="eastAsia" w:ascii="Times New Roman" w:hAnsi="Times New Roman" w:eastAsia="宋体" w:cs="Times New Roman"/>
          <w:color w:val="auto"/>
        </w:rPr>
        <w:t>；</w:t>
      </w:r>
      <w:r>
        <w:rPr>
          <w:rFonts w:hint="eastAsia" w:ascii="Times New Roman" w:hAnsi="Times New Roman" w:eastAsia="宋体" w:cs="Times New Roman"/>
          <w:color w:val="auto"/>
          <w:highlight w:val="yellow"/>
        </w:rPr>
        <w:t>麻醉机（3）</w:t>
      </w:r>
      <w:r>
        <w:rPr>
          <w:rFonts w:hint="eastAsia" w:ascii="Times New Roman" w:hAnsi="Times New Roman" w:eastAsia="宋体" w:cs="Times New Roman"/>
          <w:color w:val="auto"/>
          <w:highlight w:val="yellow"/>
          <w:lang w:val="en-US" w:eastAsia="zh-CN"/>
        </w:rPr>
        <w:t>30</w:t>
      </w:r>
      <w:r>
        <w:rPr>
          <w:rFonts w:hint="eastAsia" w:ascii="Times New Roman" w:hAnsi="Times New Roman" w:eastAsia="宋体" w:cs="Times New Roman"/>
          <w:color w:val="auto"/>
          <w:highlight w:val="yellow"/>
        </w:rPr>
        <w:t>0000元；麻醉机（4）</w:t>
      </w:r>
      <w:r>
        <w:rPr>
          <w:rFonts w:hint="eastAsia" w:ascii="Times New Roman" w:hAnsi="Times New Roman" w:eastAsia="宋体" w:cs="Times New Roman"/>
          <w:color w:val="auto"/>
          <w:highlight w:val="yellow"/>
          <w:lang w:val="en-US" w:eastAsia="zh-CN"/>
        </w:rPr>
        <w:t>12</w:t>
      </w:r>
      <w:r>
        <w:rPr>
          <w:rFonts w:hint="eastAsia" w:ascii="Times New Roman" w:hAnsi="Times New Roman" w:eastAsia="宋体" w:cs="Times New Roman"/>
          <w:color w:val="auto"/>
          <w:highlight w:val="yellow"/>
        </w:rPr>
        <w:t>50000元；麻醉机（</w:t>
      </w:r>
      <w:r>
        <w:rPr>
          <w:rFonts w:hint="eastAsia" w:ascii="Times New Roman" w:hAnsi="Times New Roman" w:eastAsia="宋体" w:cs="Times New Roman"/>
          <w:color w:val="auto"/>
          <w:highlight w:val="yellow"/>
          <w:lang w:val="en-US" w:eastAsia="zh-CN"/>
        </w:rPr>
        <w:t>5</w:t>
      </w:r>
      <w:r>
        <w:rPr>
          <w:rFonts w:hint="eastAsia" w:ascii="Times New Roman" w:hAnsi="Times New Roman" w:eastAsia="宋体" w:cs="Times New Roman"/>
          <w:color w:val="auto"/>
          <w:highlight w:val="yellow"/>
        </w:rPr>
        <w:t>）50</w:t>
      </w:r>
      <w:r>
        <w:rPr>
          <w:rFonts w:hint="eastAsia" w:ascii="Times New Roman" w:hAnsi="Times New Roman" w:eastAsia="宋体" w:cs="Times New Roman"/>
          <w:color w:val="auto"/>
          <w:highlight w:val="yellow"/>
          <w:lang w:val="en-US" w:eastAsia="zh-CN"/>
        </w:rPr>
        <w:t>0</w:t>
      </w:r>
      <w:r>
        <w:rPr>
          <w:rFonts w:hint="eastAsia" w:ascii="Times New Roman" w:hAnsi="Times New Roman" w:eastAsia="宋体" w:cs="Times New Roman"/>
          <w:color w:val="auto"/>
          <w:highlight w:val="yellow"/>
        </w:rPr>
        <w:t>000元</w:t>
      </w:r>
      <w:r>
        <w:rPr>
          <w:rFonts w:hint="eastAsia" w:ascii="Times New Roman" w:hAnsi="Times New Roman" w:eastAsia="宋体" w:cs="Times New Roman"/>
          <w:color w:val="auto"/>
          <w:highlight w:val="yellow"/>
          <w:lang w:eastAsia="zh-CN"/>
        </w:rPr>
        <w:t>。</w:t>
      </w:r>
    </w:p>
    <w:p w14:paraId="6EEE1E12">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第五包：9200000元。其中，麻醉机（1）5500000元；麻醉机（2）1000000元；麻醉机（3）1200000元；麻醉机（4）1500000元。</w:t>
      </w:r>
    </w:p>
    <w:p w14:paraId="54D2E11F">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第六包：35000元。</w:t>
      </w:r>
    </w:p>
    <w:p w14:paraId="068517A2">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第七包：5040000元。其中，呼吸机（1）2000000元；呼吸机（2）1000000元；呼吸机（3）640000元；呼吸机（4）1400000元。</w:t>
      </w:r>
    </w:p>
    <w:p w14:paraId="7D957709">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注：每项产品的投标报价不得超出该项产品的预算（或最高限价），否则投标无效。</w:t>
      </w:r>
    </w:p>
    <w:p w14:paraId="448D517E">
      <w:pPr>
        <w:pStyle w:val="25"/>
        <w:spacing w:line="360" w:lineRule="auto"/>
        <w:ind w:firstLine="480" w:firstLineChars="200"/>
        <w:jc w:val="both"/>
        <w:rPr>
          <w:rFonts w:ascii="Times New Roman" w:hAnsi="Times New Roman" w:eastAsia="宋体" w:cs="Times New Roman"/>
        </w:rPr>
      </w:pPr>
      <w:r>
        <w:rPr>
          <w:rFonts w:hint="eastAsia" w:ascii="Times New Roman" w:hAnsi="Times New Roman" w:eastAsia="宋体" w:cs="Times New Roman"/>
          <w:color w:val="auto"/>
        </w:rPr>
        <w:t>四</w:t>
      </w:r>
      <w:r>
        <w:rPr>
          <w:rFonts w:ascii="Times New Roman" w:hAnsi="Times New Roman" w:eastAsia="宋体" w:cs="Times New Roman"/>
          <w:color w:val="auto"/>
        </w:rPr>
        <w:t>、</w:t>
      </w:r>
      <w:r>
        <w:rPr>
          <w:rFonts w:ascii="Times New Roman" w:hAnsi="Times New Roman" w:eastAsia="宋体" w:cs="Times New Roman"/>
        </w:rPr>
        <w:t>供应商资格要求（实质性要求）</w:t>
      </w:r>
    </w:p>
    <w:p w14:paraId="14912EC4">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若投标人是所投产品的制造商，提供其医疗器械生产企业备案证明文件或医疗器械生产企业许可证扫描件；若投标人不是所投产品的制造商（第一类医疗器械除外），提供其医疗器械经营企业备案证明文件或医疗器械经营企业许可证扫描件。</w:t>
      </w:r>
    </w:p>
    <w:p w14:paraId="5B516441">
      <w:pPr>
        <w:pStyle w:val="25"/>
        <w:spacing w:line="360" w:lineRule="auto"/>
        <w:ind w:firstLine="480" w:firstLineChars="200"/>
        <w:rPr>
          <w:rFonts w:ascii="Times New Roman" w:hAnsi="Times New Roman" w:eastAsia="宋体" w:cs="Times New Roman"/>
          <w:color w:val="auto"/>
        </w:rPr>
      </w:pPr>
      <w:bookmarkStart w:id="1" w:name="OLE_LINK1"/>
      <w:bookmarkStart w:id="2" w:name="OLE_LINK2"/>
      <w:bookmarkStart w:id="3" w:name="OLE_LINK3"/>
      <w:bookmarkStart w:id="4" w:name="OLE_LINK4"/>
      <w:bookmarkStart w:id="5" w:name="_Toc412903615"/>
      <w:r>
        <w:rPr>
          <w:rFonts w:hint="eastAsia" w:ascii="Times New Roman" w:hAnsi="Times New Roman" w:eastAsia="宋体" w:cs="Times New Roman"/>
          <w:color w:val="auto"/>
        </w:rPr>
        <w:t>（二）投标人须具备《中华人民共和国政府采购法》第二十二条第一款规定的条件，提供以下材料：</w:t>
      </w:r>
    </w:p>
    <w:p w14:paraId="7828A5B8">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7791C7F4">
      <w:pPr>
        <w:pStyle w:val="25"/>
        <w:spacing w:line="360" w:lineRule="auto"/>
        <w:ind w:firstLine="480" w:firstLineChars="200"/>
        <w:rPr>
          <w:rFonts w:ascii="Times New Roman" w:hAnsi="Times New Roman" w:eastAsia="宋体" w:cs="Times New Roman"/>
          <w:color w:val="auto"/>
        </w:rPr>
      </w:pPr>
      <w:bookmarkStart w:id="6" w:name="OLE_LINK5"/>
      <w:r>
        <w:rPr>
          <w:rFonts w:hint="eastAsia" w:ascii="Times New Roman" w:hAnsi="Times New Roman" w:eastAsia="宋体" w:cs="Times New Roman"/>
          <w:color w:val="auto"/>
        </w:rPr>
        <w:t>2. 财务状况报告等相关材料：</w:t>
      </w:r>
    </w:p>
    <w:p w14:paraId="5C147A86">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A.经第三方会计师事务所审计的2024年度财务报告扫描件。</w:t>
      </w:r>
    </w:p>
    <w:bookmarkEnd w:id="6"/>
    <w:p w14:paraId="54874A9C">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B. 具有良好的商业信誉和健全的财务会计制度的书面声明。</w:t>
      </w:r>
    </w:p>
    <w:p w14:paraId="62E7AF56">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注：A、B两项提供任意一项均可。</w:t>
      </w:r>
    </w:p>
    <w:p w14:paraId="19AEB8D6">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 依法缴纳税收和社会保障资金的书面声明。</w:t>
      </w:r>
    </w:p>
    <w:p w14:paraId="277F100E">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 投标截止日前3年在经营活动中没有重大违法记录的书面声明（截至开标日成立不足3年的供应商可提供自成立以来无重大违法记录的书面声明）。</w:t>
      </w:r>
    </w:p>
    <w:p w14:paraId="56BA8719">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 提交具备履行合同所必需的设备和专业技术能力证明材料。</w:t>
      </w:r>
    </w:p>
    <w:p w14:paraId="2C2349FE">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（三）本项目不接受联合体投标。</w:t>
      </w:r>
    </w:p>
    <w:p w14:paraId="25EFF541">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、项目需要落实的政府采购政策</w:t>
      </w:r>
    </w:p>
    <w:p w14:paraId="23A60A14">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（一）全部货物均由小微企业制造的，对符合规定的小微企业制造的产品报价给予20%的扣除。货物既有小微企业制造的货物，也有大中企业制造的货物，不享受此扶持政策。</w:t>
      </w:r>
    </w:p>
    <w:p w14:paraId="6B7876E6">
      <w:pPr>
        <w:pStyle w:val="2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（二）根据财政部发布的《关于政府采购支持监狱企业发展有关问题的通知》规定，监狱企业视同小微企业。</w:t>
      </w:r>
    </w:p>
    <w:p w14:paraId="1314BF21">
      <w:pPr>
        <w:pStyle w:val="2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（三）根据财政部、民政部、中国残疾人联合会发布的《关于促进残疾人就业政府采购政策的通知》规定，残疾人福利性单位视同小微企业。</w:t>
      </w:r>
    </w:p>
    <w:p w14:paraId="5D8B23C7">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49CA91AD">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1F31E1F9">
      <w:pPr>
        <w:pStyle w:val="2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1"/>
    <w:bookmarkEnd w:id="2"/>
    <w:bookmarkEnd w:id="3"/>
    <w:bookmarkEnd w:id="4"/>
    <w:p w14:paraId="59E7F587">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六、获取招标文件时间、方式</w:t>
      </w:r>
    </w:p>
    <w:p w14:paraId="7A9B57D7">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（一）获取招标文件时间：2025年</w:t>
      </w:r>
      <w:r>
        <w:rPr>
          <w:rFonts w:hint="eastAsia" w:ascii="Times New Roman" w:hAnsi="Times New Roman" w:eastAsia="宋体" w:cs="Times New Roman"/>
          <w:color w:val="auto"/>
        </w:rPr>
        <w:t>9</w:t>
      </w:r>
      <w:r>
        <w:rPr>
          <w:rFonts w:ascii="Times New Roman" w:hAnsi="Times New Roman" w:eastAsia="宋体" w:cs="Times New Roman"/>
          <w:color w:val="auto"/>
        </w:rPr>
        <w:t>月</w:t>
      </w:r>
      <w:r>
        <w:rPr>
          <w:rFonts w:hint="eastAsia" w:ascii="Times New Roman" w:hAnsi="Times New Roman" w:eastAsia="宋体" w:cs="Times New Roman"/>
          <w:color w:val="auto"/>
        </w:rPr>
        <w:t>30</w:t>
      </w:r>
      <w:r>
        <w:rPr>
          <w:rFonts w:ascii="Times New Roman" w:hAnsi="Times New Roman" w:eastAsia="宋体" w:cs="Times New Roman"/>
          <w:color w:val="auto"/>
        </w:rPr>
        <w:t>日至2025年</w:t>
      </w:r>
      <w:r>
        <w:rPr>
          <w:rFonts w:hint="eastAsia" w:ascii="Times New Roman" w:hAnsi="Times New Roman" w:eastAsia="宋体" w:cs="Times New Roman"/>
          <w:color w:val="auto"/>
        </w:rPr>
        <w:t>10</w:t>
      </w:r>
      <w:r>
        <w:rPr>
          <w:rFonts w:ascii="Times New Roman" w:hAnsi="Times New Roman" w:eastAsia="宋体" w:cs="Times New Roman"/>
          <w:color w:val="auto"/>
        </w:rPr>
        <w:t>月</w:t>
      </w:r>
      <w:r>
        <w:rPr>
          <w:rFonts w:hint="eastAsia" w:ascii="Times New Roman" w:hAnsi="Times New Roman" w:eastAsia="宋体" w:cs="Times New Roman"/>
          <w:color w:val="auto"/>
        </w:rPr>
        <w:t>14</w:t>
      </w:r>
      <w:r>
        <w:rPr>
          <w:rFonts w:ascii="Times New Roman" w:hAnsi="Times New Roman" w:eastAsia="宋体" w:cs="Times New Roman"/>
          <w:color w:val="auto"/>
        </w:rPr>
        <w:t>日，每日9:00至17:00（北京时间，法定节假日除外）。</w:t>
      </w:r>
    </w:p>
    <w:p w14:paraId="56239E3E">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0048B62D">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2"/>
          <w:rFonts w:hint="eastAsia" w:ascii="Times New Roman" w:hAnsi="Times New Roman" w:eastAsia="宋体" w:cs="Times New Roman"/>
          <w:color w:val="auto"/>
        </w:rPr>
        <w:t>http://tjgpc.zwfwb.tj.gov.cn</w:t>
      </w:r>
      <w:r>
        <w:rPr>
          <w:rStyle w:val="22"/>
          <w:rFonts w:hint="eastAsia" w:ascii="Times New Roman" w:hAnsi="Times New Roman" w:eastAsia="宋体" w:cs="Times New Roman"/>
          <w:color w:val="auto"/>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42E5B417">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5EDA051D">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24538167</w:t>
      </w:r>
      <w:r>
        <w:rPr>
          <w:rFonts w:hint="eastAsia" w:ascii="Times New Roman" w:hAnsi="Times New Roman" w:eastAsia="宋体"/>
          <w:color w:val="auto"/>
        </w:rPr>
        <w:t>。</w:t>
      </w:r>
    </w:p>
    <w:p w14:paraId="6A9E9D42">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：参见天津市政府采购中心网（http://tjgpc.zwfwb.tj.gov.cn）--服务指南--供应商注册、领取CA数字证书（USBKey）及电子签章制章的流程。</w:t>
      </w:r>
    </w:p>
    <w:p w14:paraId="0ECDAF6D">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18BF02D6">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24E7D2C1">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p>
    <w:p w14:paraId="0DB7F3BA">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r>
        <w:rPr>
          <w:rFonts w:ascii="Times New Roman" w:hAnsi="Times New Roman" w:eastAsia="宋体" w:cs="Times New Roman"/>
          <w:color w:val="auto"/>
        </w:rPr>
        <w:t>。</w:t>
      </w:r>
    </w:p>
    <w:p w14:paraId="01CDF9BA">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七、网上应答时间</w:t>
      </w:r>
    </w:p>
    <w:p w14:paraId="788F0FD7">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rPr>
        <w:t>9</w:t>
      </w:r>
      <w:r>
        <w:rPr>
          <w:rFonts w:ascii="Times New Roman" w:hAnsi="Times New Roman" w:eastAsia="宋体" w:cs="Times New Roman"/>
          <w:color w:val="auto"/>
        </w:rPr>
        <w:t>月</w:t>
      </w:r>
      <w:r>
        <w:rPr>
          <w:rFonts w:hint="eastAsia" w:ascii="Times New Roman" w:hAnsi="Times New Roman" w:eastAsia="宋体" w:cs="Times New Roman"/>
          <w:color w:val="auto"/>
        </w:rPr>
        <w:t>30</w:t>
      </w:r>
      <w:r>
        <w:rPr>
          <w:rFonts w:ascii="Times New Roman" w:hAnsi="Times New Roman" w:eastAsia="宋体" w:cs="Times New Roman"/>
          <w:color w:val="auto"/>
        </w:rPr>
        <w:t>日9:00至2025年</w:t>
      </w:r>
      <w:r>
        <w:rPr>
          <w:rFonts w:hint="eastAsia" w:ascii="Times New Roman" w:hAnsi="Times New Roman" w:eastAsia="宋体" w:cs="Times New Roman"/>
          <w:color w:val="auto"/>
        </w:rPr>
        <w:t>10</w:t>
      </w:r>
      <w:r>
        <w:rPr>
          <w:rFonts w:ascii="Times New Roman" w:hAnsi="Times New Roman" w:eastAsia="宋体" w:cs="Times New Roman"/>
          <w:color w:val="auto"/>
        </w:rPr>
        <w:t>月</w:t>
      </w:r>
      <w:r>
        <w:rPr>
          <w:rFonts w:hint="eastAsia" w:ascii="Times New Roman" w:hAnsi="Times New Roman" w:eastAsia="宋体" w:cs="Times New Roman"/>
          <w:color w:val="auto"/>
        </w:rPr>
        <w:t>21</w:t>
      </w:r>
      <w:r>
        <w:rPr>
          <w:rFonts w:ascii="Times New Roman" w:hAnsi="Times New Roman" w:eastAsia="宋体" w:cs="Times New Roman"/>
          <w:color w:val="auto"/>
        </w:rPr>
        <w:t>日8:30，使用天津数字认证有限公司发出的CA数字证书（原天津市电子认证中心发出尚在有效期内的CA数字证书仍可使用）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6DDBC90F">
      <w:pPr>
        <w:pStyle w:val="2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368B4595">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2AE3C7D5">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时间：2025年</w:t>
      </w:r>
      <w:r>
        <w:rPr>
          <w:rFonts w:hint="eastAsia" w:ascii="Times New Roman" w:hAnsi="Times New Roman" w:eastAsia="宋体" w:cs="Times New Roman"/>
          <w:color w:val="auto"/>
        </w:rPr>
        <w:t>10</w:t>
      </w:r>
      <w:r>
        <w:rPr>
          <w:rFonts w:ascii="Times New Roman" w:hAnsi="Times New Roman" w:eastAsia="宋体" w:cs="Times New Roman"/>
          <w:color w:val="auto"/>
        </w:rPr>
        <w:t>月</w:t>
      </w:r>
      <w:r>
        <w:rPr>
          <w:rFonts w:hint="eastAsia" w:ascii="Times New Roman" w:hAnsi="Times New Roman" w:eastAsia="宋体" w:cs="Times New Roman"/>
          <w:color w:val="auto"/>
        </w:rPr>
        <w:t>21</w:t>
      </w:r>
      <w:r>
        <w:rPr>
          <w:rFonts w:ascii="Times New Roman" w:hAnsi="Times New Roman" w:eastAsia="宋体" w:cs="Times New Roman"/>
          <w:color w:val="auto"/>
        </w:rPr>
        <w:t>日8:30</w:t>
      </w:r>
      <w:r>
        <w:rPr>
          <w:rFonts w:hint="eastAsia" w:ascii="Times New Roman" w:hAnsi="Times New Roman" w:eastAsia="宋体" w:cs="Times New Roman"/>
          <w:color w:val="auto"/>
          <w:szCs w:val="21"/>
        </w:rPr>
        <w:t>。</w:t>
      </w:r>
      <w:r>
        <w:rPr>
          <w:rFonts w:ascii="Times New Roman" w:hAnsi="Times New Roman" w:eastAsia="宋体" w:cs="Times New Roman"/>
          <w:color w:val="auto"/>
        </w:rPr>
        <w:t>投标截止时间前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4301A7A7">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14:paraId="4C292D50">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0B7FDFC6">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（一）开标解密时间：2025年</w:t>
      </w:r>
      <w:r>
        <w:rPr>
          <w:rFonts w:hint="eastAsia" w:ascii="Times New Roman" w:hAnsi="Times New Roman" w:eastAsia="宋体" w:cs="Times New Roman"/>
          <w:color w:val="auto"/>
        </w:rPr>
        <w:t>10</w:t>
      </w:r>
      <w:r>
        <w:rPr>
          <w:rFonts w:ascii="Times New Roman" w:hAnsi="Times New Roman" w:eastAsia="宋体" w:cs="Times New Roman"/>
          <w:color w:val="auto"/>
        </w:rPr>
        <w:t>月</w:t>
      </w:r>
      <w:r>
        <w:rPr>
          <w:rFonts w:hint="eastAsia" w:ascii="Times New Roman" w:hAnsi="Times New Roman" w:eastAsia="宋体" w:cs="Times New Roman"/>
          <w:color w:val="auto"/>
        </w:rPr>
        <w:t>21</w:t>
      </w:r>
      <w:r>
        <w:rPr>
          <w:rFonts w:ascii="Times New Roman" w:hAnsi="Times New Roman" w:eastAsia="宋体" w:cs="Times New Roman"/>
          <w:color w:val="auto"/>
        </w:rPr>
        <w:t>日8:30至9:</w:t>
      </w:r>
      <w:r>
        <w:rPr>
          <w:rFonts w:hint="eastAsia" w:ascii="Times New Roman" w:hAnsi="Times New Roman" w:eastAsia="宋体" w:cs="Times New Roman"/>
          <w:color w:val="auto"/>
        </w:rPr>
        <w:t>30</w:t>
      </w:r>
      <w:r>
        <w:rPr>
          <w:rFonts w:ascii="Times New Roman" w:hAnsi="Times New Roman" w:eastAsia="宋体" w:cs="Times New Roman"/>
          <w:color w:val="auto"/>
        </w:rPr>
        <w:t>完成开标解密的投标为有效投标。</w:t>
      </w:r>
    </w:p>
    <w:p w14:paraId="08462B41">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p>
    <w:p w14:paraId="781CFB62">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（三）网上开标公示时间：2025年</w:t>
      </w:r>
      <w:r>
        <w:rPr>
          <w:rFonts w:hint="eastAsia" w:ascii="Times New Roman" w:hAnsi="Times New Roman" w:eastAsia="宋体" w:cs="Times New Roman"/>
          <w:color w:val="auto"/>
        </w:rPr>
        <w:t>10</w:t>
      </w:r>
      <w:r>
        <w:rPr>
          <w:rFonts w:ascii="Times New Roman" w:hAnsi="Times New Roman" w:eastAsia="宋体" w:cs="Times New Roman"/>
          <w:color w:val="auto"/>
        </w:rPr>
        <w:t>月</w:t>
      </w:r>
      <w:r>
        <w:rPr>
          <w:rFonts w:hint="eastAsia" w:ascii="Times New Roman" w:hAnsi="Times New Roman" w:eastAsia="宋体" w:cs="Times New Roman"/>
          <w:color w:val="auto"/>
        </w:rPr>
        <w:t>21</w:t>
      </w:r>
      <w:r>
        <w:rPr>
          <w:rFonts w:ascii="Times New Roman" w:hAnsi="Times New Roman" w:eastAsia="宋体" w:cs="Times New Roman"/>
          <w:color w:val="auto"/>
        </w:rPr>
        <w:t>日9:</w:t>
      </w:r>
      <w:r>
        <w:rPr>
          <w:rFonts w:hint="eastAsia" w:ascii="Times New Roman" w:hAnsi="Times New Roman" w:eastAsia="宋体" w:cs="Times New Roman"/>
          <w:color w:val="auto"/>
        </w:rPr>
        <w:t>30</w:t>
      </w:r>
      <w:r>
        <w:rPr>
          <w:rFonts w:ascii="Times New Roman" w:hAnsi="Times New Roman" w:eastAsia="宋体" w:cs="Times New Roman"/>
          <w:color w:val="auto"/>
        </w:rPr>
        <w:t>至12:00。</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11CA41CE">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十</w:t>
      </w:r>
      <w:r>
        <w:rPr>
          <w:rFonts w:ascii="Times New Roman" w:hAnsi="Times New Roman" w:eastAsia="宋体" w:cs="Times New Roman"/>
          <w:color w:val="auto"/>
        </w:rPr>
        <w:t>、采购代理机构名称、地址</w:t>
      </w:r>
      <w:r>
        <w:rPr>
          <w:rFonts w:hint="eastAsia" w:ascii="Times New Roman" w:hAnsi="Times New Roman" w:eastAsia="宋体" w:cs="Times New Roman"/>
          <w:color w:val="auto"/>
        </w:rPr>
        <w:t>、</w:t>
      </w:r>
      <w:r>
        <w:rPr>
          <w:rFonts w:ascii="Times New Roman" w:hAnsi="Times New Roman" w:eastAsia="宋体" w:cs="Times New Roman"/>
          <w:color w:val="auto"/>
        </w:rPr>
        <w:t>联系人及联系方式</w:t>
      </w:r>
    </w:p>
    <w:p w14:paraId="17A5D49D">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5F6A16C9">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2866EAED">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rPr>
        <w:t>李楠、</w:t>
      </w:r>
      <w:r>
        <w:rPr>
          <w:rFonts w:ascii="Times New Roman" w:hAnsi="Times New Roman" w:eastAsia="宋体" w:cs="Times New Roman"/>
          <w:color w:val="auto"/>
        </w:rPr>
        <w:t>张东伟</w:t>
      </w:r>
      <w:r>
        <w:rPr>
          <w:rFonts w:hint="eastAsia" w:ascii="Times New Roman" w:hAnsi="Times New Roman" w:eastAsia="宋体" w:cs="Times New Roman"/>
          <w:color w:val="auto"/>
        </w:rPr>
        <w:t>、</w:t>
      </w:r>
      <w:r>
        <w:rPr>
          <w:rFonts w:ascii="Times New Roman" w:hAnsi="Times New Roman" w:eastAsia="宋体" w:cs="Times New Roman"/>
          <w:color w:val="auto"/>
        </w:rPr>
        <w:t>杨光</w:t>
      </w:r>
    </w:p>
    <w:p w14:paraId="4B376DCD">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00573E4A">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225748F7">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34CE8233">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4EA1B15C">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21EBBA2D">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rPr>
        <w:t>8301</w:t>
      </w:r>
    </w:p>
    <w:p w14:paraId="555C52F9">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00CF73EB">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18CD9D06">
      <w:pPr>
        <w:pStyle w:val="2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天津市卫生健康委员会综合服务中心</w:t>
      </w:r>
    </w:p>
    <w:p w14:paraId="384479C8">
      <w:pPr>
        <w:pStyle w:val="2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天津市</w:t>
      </w:r>
      <w:r>
        <w:rPr>
          <w:rFonts w:ascii="Times New Roman" w:hAnsi="Times New Roman" w:eastAsia="宋体" w:cs="Times New Roman"/>
          <w:color w:val="auto"/>
        </w:rPr>
        <w:t>河西区佟楼佟卫里</w:t>
      </w:r>
      <w:r>
        <w:rPr>
          <w:rFonts w:hint="eastAsia" w:ascii="Times New Roman" w:hAnsi="Times New Roman" w:eastAsia="宋体" w:cs="Times New Roman"/>
          <w:color w:val="auto"/>
        </w:rPr>
        <w:t>19号</w:t>
      </w:r>
    </w:p>
    <w:p w14:paraId="10E9514D">
      <w:pPr>
        <w:pStyle w:val="2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马静</w:t>
      </w:r>
    </w:p>
    <w:p w14:paraId="778D8E94">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rPr>
        <w:t>022-23515250</w:t>
      </w:r>
    </w:p>
    <w:p w14:paraId="0EF5C156">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1EA0291F">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6C066FDC">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0D940A0D">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联系部门：天津市卫生健康委员会综合服务中心</w:t>
      </w:r>
    </w:p>
    <w:p w14:paraId="75DF4F2D">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联系地址：天津市</w:t>
      </w:r>
      <w:r>
        <w:rPr>
          <w:rFonts w:ascii="Times New Roman" w:hAnsi="Times New Roman" w:eastAsia="宋体" w:cs="Times New Roman"/>
          <w:color w:val="auto"/>
        </w:rPr>
        <w:t>河西区佟楼佟卫里</w:t>
      </w:r>
      <w:r>
        <w:rPr>
          <w:rFonts w:hint="eastAsia" w:ascii="Times New Roman" w:hAnsi="Times New Roman" w:eastAsia="宋体" w:cs="Times New Roman"/>
          <w:color w:val="auto"/>
        </w:rPr>
        <w:t>19号</w:t>
      </w:r>
    </w:p>
    <w:p w14:paraId="366D88CB">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人：马静</w:t>
      </w:r>
    </w:p>
    <w:p w14:paraId="7CFBE364">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联系方式：022-23515250</w:t>
      </w:r>
    </w:p>
    <w:p w14:paraId="64D06825">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0A29775C">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4192E311">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5D736115">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6F3A2136">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本项目第一和第二包不收取招标代理服务费</w:t>
      </w:r>
      <w:r>
        <w:rPr>
          <w:rFonts w:hint="eastAsia" w:ascii="Times New Roman" w:hAnsi="Times New Roman" w:eastAsia="宋体" w:cs="Times New Roman"/>
          <w:color w:val="auto"/>
        </w:rPr>
        <w:t>。</w:t>
      </w:r>
    </w:p>
    <w:p w14:paraId="32CECDF6">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本项目第三至第七包按以下比例向中标供应商收取招标代理服务费</w:t>
      </w:r>
      <w:r>
        <w:rPr>
          <w:rFonts w:hint="eastAsia" w:ascii="Times New Roman" w:hAnsi="Times New Roman" w:eastAsia="宋体" w:cs="Times New Roman"/>
          <w:color w:val="auto"/>
        </w:rPr>
        <w:t>：</w:t>
      </w:r>
    </w:p>
    <w:tbl>
      <w:tblPr>
        <w:tblStyle w:val="1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56"/>
        <w:gridCol w:w="3657"/>
      </w:tblGrid>
      <w:tr w14:paraId="4CB955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blHeader/>
          <w:jc w:val="center"/>
        </w:trPr>
        <w:tc>
          <w:tcPr>
            <w:tcW w:w="3656" w:type="dxa"/>
            <w:vAlign w:val="center"/>
          </w:tcPr>
          <w:p w14:paraId="681A1773">
            <w:pPr>
              <w:tabs>
                <w:tab w:val="left" w:pos="750"/>
                <w:tab w:val="left" w:pos="840"/>
              </w:tabs>
              <w:adjustRightInd w:val="0"/>
              <w:snapToGrid w:val="0"/>
              <w:jc w:val="center"/>
              <w:rPr>
                <w:sz w:val="24"/>
              </w:rPr>
            </w:pPr>
            <w:r>
              <w:rPr>
                <w:sz w:val="24"/>
              </w:rPr>
              <w:t>中标金额</w:t>
            </w:r>
            <w:r>
              <w:rPr>
                <w:rFonts w:hint="eastAsia"/>
                <w:sz w:val="24"/>
              </w:rPr>
              <w:t>（万元）</w:t>
            </w:r>
          </w:p>
        </w:tc>
        <w:tc>
          <w:tcPr>
            <w:tcW w:w="3657" w:type="dxa"/>
            <w:vAlign w:val="center"/>
          </w:tcPr>
          <w:p w14:paraId="619630A5">
            <w:pPr>
              <w:tabs>
                <w:tab w:val="left" w:pos="750"/>
                <w:tab w:val="left" w:pos="840"/>
              </w:tabs>
              <w:adjustRightInd w:val="0"/>
              <w:snapToGrid w:val="0"/>
              <w:jc w:val="center"/>
              <w:rPr>
                <w:sz w:val="24"/>
              </w:rPr>
            </w:pPr>
            <w:r>
              <w:rPr>
                <w:sz w:val="24"/>
              </w:rPr>
              <w:t>费率</w:t>
            </w:r>
          </w:p>
        </w:tc>
      </w:tr>
      <w:tr w14:paraId="739A55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1A12FC4D">
            <w:pPr>
              <w:tabs>
                <w:tab w:val="left" w:pos="750"/>
                <w:tab w:val="left" w:pos="840"/>
              </w:tabs>
              <w:adjustRightInd w:val="0"/>
              <w:snapToGrid w:val="0"/>
              <w:jc w:val="center"/>
              <w:rPr>
                <w:sz w:val="24"/>
              </w:rPr>
            </w:pPr>
            <w:r>
              <w:rPr>
                <w:sz w:val="24"/>
              </w:rPr>
              <w:t>100以下</w:t>
            </w:r>
          </w:p>
        </w:tc>
        <w:tc>
          <w:tcPr>
            <w:tcW w:w="3657" w:type="dxa"/>
            <w:vAlign w:val="center"/>
          </w:tcPr>
          <w:p w14:paraId="7D823AAB">
            <w:pPr>
              <w:tabs>
                <w:tab w:val="left" w:pos="750"/>
                <w:tab w:val="left" w:pos="840"/>
              </w:tabs>
              <w:adjustRightInd w:val="0"/>
              <w:snapToGrid w:val="0"/>
              <w:jc w:val="center"/>
              <w:rPr>
                <w:sz w:val="24"/>
              </w:rPr>
            </w:pPr>
            <w:r>
              <w:rPr>
                <w:sz w:val="24"/>
              </w:rPr>
              <w:t>1.</w:t>
            </w:r>
            <w:r>
              <w:rPr>
                <w:rFonts w:hint="eastAsia"/>
                <w:sz w:val="24"/>
              </w:rPr>
              <w:t>0</w:t>
            </w:r>
            <w:r>
              <w:rPr>
                <w:sz w:val="24"/>
              </w:rPr>
              <w:t>%</w:t>
            </w:r>
          </w:p>
        </w:tc>
      </w:tr>
      <w:tr w14:paraId="76F666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3C5D7407">
            <w:pPr>
              <w:tabs>
                <w:tab w:val="left" w:pos="750"/>
                <w:tab w:val="left" w:pos="840"/>
              </w:tabs>
              <w:adjustRightInd w:val="0"/>
              <w:snapToGrid w:val="0"/>
              <w:jc w:val="center"/>
              <w:rPr>
                <w:sz w:val="24"/>
              </w:rPr>
            </w:pPr>
            <w:r>
              <w:rPr>
                <w:sz w:val="24"/>
              </w:rPr>
              <w:t>100-500</w:t>
            </w:r>
          </w:p>
        </w:tc>
        <w:tc>
          <w:tcPr>
            <w:tcW w:w="3657" w:type="dxa"/>
            <w:vAlign w:val="center"/>
          </w:tcPr>
          <w:p w14:paraId="16EF90B7">
            <w:pPr>
              <w:tabs>
                <w:tab w:val="left" w:pos="750"/>
                <w:tab w:val="left" w:pos="840"/>
              </w:tabs>
              <w:adjustRightInd w:val="0"/>
              <w:snapToGrid w:val="0"/>
              <w:jc w:val="center"/>
              <w:rPr>
                <w:sz w:val="24"/>
              </w:rPr>
            </w:pPr>
            <w:r>
              <w:rPr>
                <w:rFonts w:hint="eastAsia"/>
                <w:sz w:val="24"/>
              </w:rPr>
              <w:t>0</w:t>
            </w:r>
            <w:r>
              <w:rPr>
                <w:sz w:val="24"/>
              </w:rPr>
              <w:t>.</w:t>
            </w:r>
            <w:r>
              <w:rPr>
                <w:rFonts w:hint="eastAsia"/>
                <w:sz w:val="24"/>
              </w:rPr>
              <w:t>8</w:t>
            </w:r>
            <w:r>
              <w:rPr>
                <w:sz w:val="24"/>
              </w:rPr>
              <w:t>%</w:t>
            </w:r>
          </w:p>
        </w:tc>
      </w:tr>
      <w:tr w14:paraId="00D747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02FF4316">
            <w:pPr>
              <w:tabs>
                <w:tab w:val="left" w:pos="750"/>
                <w:tab w:val="left" w:pos="840"/>
              </w:tabs>
              <w:adjustRightInd w:val="0"/>
              <w:snapToGrid w:val="0"/>
              <w:jc w:val="center"/>
              <w:rPr>
                <w:sz w:val="24"/>
              </w:rPr>
            </w:pPr>
            <w:r>
              <w:rPr>
                <w:sz w:val="24"/>
              </w:rPr>
              <w:t>500-1000</w:t>
            </w:r>
          </w:p>
        </w:tc>
        <w:tc>
          <w:tcPr>
            <w:tcW w:w="3657" w:type="dxa"/>
            <w:vAlign w:val="center"/>
          </w:tcPr>
          <w:p w14:paraId="113E9AB9">
            <w:pPr>
              <w:tabs>
                <w:tab w:val="left" w:pos="750"/>
                <w:tab w:val="left" w:pos="840"/>
              </w:tabs>
              <w:adjustRightInd w:val="0"/>
              <w:snapToGrid w:val="0"/>
              <w:jc w:val="center"/>
              <w:rPr>
                <w:sz w:val="24"/>
              </w:rPr>
            </w:pPr>
            <w:r>
              <w:rPr>
                <w:sz w:val="24"/>
              </w:rPr>
              <w:t>0.</w:t>
            </w:r>
            <w:r>
              <w:rPr>
                <w:rFonts w:hint="eastAsia"/>
                <w:sz w:val="24"/>
              </w:rPr>
              <w:t>65</w:t>
            </w:r>
            <w:r>
              <w:rPr>
                <w:sz w:val="24"/>
              </w:rPr>
              <w:t>%</w:t>
            </w:r>
          </w:p>
        </w:tc>
      </w:tr>
      <w:tr w14:paraId="025AEF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49D97F8D">
            <w:pPr>
              <w:tabs>
                <w:tab w:val="left" w:pos="750"/>
                <w:tab w:val="left" w:pos="840"/>
              </w:tabs>
              <w:adjustRightInd w:val="0"/>
              <w:snapToGrid w:val="0"/>
              <w:jc w:val="center"/>
              <w:rPr>
                <w:sz w:val="24"/>
              </w:rPr>
            </w:pPr>
            <w:r>
              <w:rPr>
                <w:sz w:val="24"/>
              </w:rPr>
              <w:t>1000</w:t>
            </w:r>
            <w:r>
              <w:rPr>
                <w:rFonts w:hint="eastAsia"/>
                <w:sz w:val="24"/>
              </w:rPr>
              <w:t>-5000</w:t>
            </w:r>
          </w:p>
        </w:tc>
        <w:tc>
          <w:tcPr>
            <w:tcW w:w="3657" w:type="dxa"/>
            <w:vAlign w:val="center"/>
          </w:tcPr>
          <w:p w14:paraId="1383578B">
            <w:pPr>
              <w:tabs>
                <w:tab w:val="left" w:pos="750"/>
                <w:tab w:val="left" w:pos="840"/>
              </w:tabs>
              <w:adjustRightInd w:val="0"/>
              <w:snapToGrid w:val="0"/>
              <w:jc w:val="center"/>
              <w:rPr>
                <w:sz w:val="24"/>
              </w:rPr>
            </w:pPr>
            <w:r>
              <w:rPr>
                <w:sz w:val="24"/>
              </w:rPr>
              <w:t>0.5%</w:t>
            </w:r>
          </w:p>
        </w:tc>
      </w:tr>
      <w:tr w14:paraId="3AB96F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2A938FC1">
            <w:pPr>
              <w:tabs>
                <w:tab w:val="left" w:pos="750"/>
                <w:tab w:val="left" w:pos="840"/>
              </w:tabs>
              <w:adjustRightInd w:val="0"/>
              <w:snapToGrid w:val="0"/>
              <w:jc w:val="center"/>
              <w:rPr>
                <w:sz w:val="24"/>
              </w:rPr>
            </w:pPr>
            <w:r>
              <w:rPr>
                <w:rFonts w:hint="eastAsia"/>
                <w:sz w:val="24"/>
              </w:rPr>
              <w:t>5000-10000</w:t>
            </w:r>
          </w:p>
        </w:tc>
        <w:tc>
          <w:tcPr>
            <w:tcW w:w="3657" w:type="dxa"/>
            <w:vAlign w:val="center"/>
          </w:tcPr>
          <w:p w14:paraId="48229EB0">
            <w:pPr>
              <w:tabs>
                <w:tab w:val="left" w:pos="750"/>
                <w:tab w:val="left" w:pos="840"/>
              </w:tabs>
              <w:adjustRightInd w:val="0"/>
              <w:snapToGrid w:val="0"/>
              <w:jc w:val="center"/>
              <w:rPr>
                <w:sz w:val="24"/>
              </w:rPr>
            </w:pPr>
            <w:r>
              <w:rPr>
                <w:sz w:val="24"/>
              </w:rPr>
              <w:t>0.25%</w:t>
            </w:r>
          </w:p>
        </w:tc>
      </w:tr>
      <w:tr w14:paraId="54B994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73548FBA">
            <w:pPr>
              <w:tabs>
                <w:tab w:val="left" w:pos="750"/>
                <w:tab w:val="left" w:pos="840"/>
              </w:tabs>
              <w:adjustRightInd w:val="0"/>
              <w:snapToGrid w:val="0"/>
              <w:jc w:val="center"/>
              <w:rPr>
                <w:sz w:val="24"/>
              </w:rPr>
            </w:pPr>
            <w:r>
              <w:rPr>
                <w:rFonts w:hint="eastAsia"/>
                <w:sz w:val="24"/>
              </w:rPr>
              <w:t>10000-100000</w:t>
            </w:r>
          </w:p>
        </w:tc>
        <w:tc>
          <w:tcPr>
            <w:tcW w:w="3657" w:type="dxa"/>
            <w:vAlign w:val="center"/>
          </w:tcPr>
          <w:p w14:paraId="20B6F5D3">
            <w:pPr>
              <w:tabs>
                <w:tab w:val="left" w:pos="750"/>
                <w:tab w:val="left" w:pos="840"/>
              </w:tabs>
              <w:adjustRightInd w:val="0"/>
              <w:snapToGrid w:val="0"/>
              <w:jc w:val="center"/>
              <w:rPr>
                <w:sz w:val="24"/>
              </w:rPr>
            </w:pPr>
            <w:r>
              <w:rPr>
                <w:sz w:val="24"/>
              </w:rPr>
              <w:t>0.05%</w:t>
            </w:r>
          </w:p>
        </w:tc>
      </w:tr>
    </w:tbl>
    <w:p w14:paraId="0D4DF85B">
      <w:pPr>
        <w:tabs>
          <w:tab w:val="left" w:pos="700"/>
        </w:tabs>
        <w:autoSpaceDE w:val="0"/>
        <w:autoSpaceDN w:val="0"/>
        <w:adjustRightInd w:val="0"/>
        <w:spacing w:line="360" w:lineRule="auto"/>
        <w:ind w:firstLine="480" w:firstLineChars="200"/>
        <w:rPr>
          <w:sz w:val="24"/>
          <w:lang w:val="zh-CN"/>
        </w:rPr>
      </w:pPr>
      <w:r>
        <w:rPr>
          <w:sz w:val="24"/>
          <w:lang w:val="zh-CN"/>
        </w:rPr>
        <w:t>服务费按差额定率累进法计算</w:t>
      </w:r>
      <w:r>
        <w:rPr>
          <w:rFonts w:hint="eastAsia"/>
          <w:sz w:val="24"/>
          <w:lang w:val="zh-CN"/>
        </w:rPr>
        <w:t>，向下取整，精确到元。</w:t>
      </w:r>
      <w:r>
        <w:rPr>
          <w:sz w:val="24"/>
          <w:lang w:val="zh-CN"/>
        </w:rPr>
        <w:t>例如</w:t>
      </w:r>
      <w:r>
        <w:rPr>
          <w:sz w:val="24"/>
        </w:rPr>
        <w:t>中标</w:t>
      </w:r>
      <w:r>
        <w:rPr>
          <w:sz w:val="24"/>
          <w:lang w:val="zh-CN"/>
        </w:rPr>
        <w:t>金额为680</w:t>
      </w:r>
      <w:r>
        <w:rPr>
          <w:rFonts w:hint="eastAsia"/>
          <w:sz w:val="24"/>
          <w:lang w:val="zh-CN"/>
        </w:rPr>
        <w:t>5000</w:t>
      </w:r>
      <w:r>
        <w:rPr>
          <w:sz w:val="24"/>
          <w:lang w:val="zh-CN"/>
        </w:rPr>
        <w:t>元，服务费</w:t>
      </w:r>
      <w:r>
        <w:rPr>
          <w:rFonts w:hint="eastAsia"/>
          <w:sz w:val="24"/>
          <w:lang w:val="zh-CN"/>
        </w:rPr>
        <w:t>=</w:t>
      </w:r>
      <w:r>
        <w:rPr>
          <w:sz w:val="24"/>
          <w:lang w:val="zh-CN"/>
        </w:rPr>
        <w:t>100</w:t>
      </w:r>
      <w:r>
        <w:rPr>
          <w:rFonts w:hint="eastAsia"/>
          <w:sz w:val="24"/>
          <w:lang w:val="zh-CN"/>
        </w:rPr>
        <w:t>0000</w:t>
      </w:r>
      <w:r>
        <w:rPr>
          <w:sz w:val="24"/>
          <w:lang w:val="zh-CN"/>
        </w:rPr>
        <w:t>×1%+</w:t>
      </w:r>
      <w:r>
        <w:rPr>
          <w:rFonts w:hint="eastAsia"/>
          <w:sz w:val="24"/>
          <w:lang w:val="zh-CN"/>
        </w:rPr>
        <w:t>（</w:t>
      </w:r>
      <w:r>
        <w:rPr>
          <w:sz w:val="24"/>
          <w:lang w:val="zh-CN"/>
        </w:rPr>
        <w:t>500</w:t>
      </w:r>
      <w:r>
        <w:rPr>
          <w:rFonts w:hint="eastAsia"/>
          <w:sz w:val="24"/>
          <w:lang w:val="zh-CN"/>
        </w:rPr>
        <w:t>0000</w:t>
      </w:r>
      <w:r>
        <w:rPr>
          <w:sz w:val="24"/>
          <w:lang w:val="zh-CN"/>
        </w:rPr>
        <w:t>-100</w:t>
      </w:r>
      <w:r>
        <w:rPr>
          <w:rFonts w:hint="eastAsia"/>
          <w:sz w:val="24"/>
          <w:lang w:val="zh-CN"/>
        </w:rPr>
        <w:t>0000）</w:t>
      </w:r>
      <w:r>
        <w:rPr>
          <w:sz w:val="24"/>
          <w:lang w:val="zh-CN"/>
        </w:rPr>
        <w:t>×</w:t>
      </w:r>
      <w:r>
        <w:rPr>
          <w:rFonts w:hint="eastAsia"/>
          <w:sz w:val="24"/>
          <w:lang w:val="zh-CN"/>
        </w:rPr>
        <w:t>0.8</w:t>
      </w:r>
      <w:r>
        <w:rPr>
          <w:sz w:val="24"/>
          <w:lang w:val="zh-CN"/>
        </w:rPr>
        <w:t>%+</w:t>
      </w:r>
      <w:r>
        <w:rPr>
          <w:rFonts w:hint="eastAsia"/>
          <w:sz w:val="24"/>
          <w:lang w:val="zh-CN"/>
        </w:rPr>
        <w:t>（</w:t>
      </w:r>
      <w:r>
        <w:rPr>
          <w:sz w:val="24"/>
          <w:lang w:val="zh-CN"/>
        </w:rPr>
        <w:t>680</w:t>
      </w:r>
      <w:r>
        <w:rPr>
          <w:rFonts w:hint="eastAsia"/>
          <w:sz w:val="24"/>
          <w:lang w:val="zh-CN"/>
        </w:rPr>
        <w:t>5000</w:t>
      </w:r>
      <w:r>
        <w:rPr>
          <w:sz w:val="24"/>
          <w:lang w:val="zh-CN"/>
        </w:rPr>
        <w:t>-500</w:t>
      </w:r>
      <w:r>
        <w:rPr>
          <w:rFonts w:hint="eastAsia"/>
          <w:sz w:val="24"/>
          <w:lang w:val="zh-CN"/>
        </w:rPr>
        <w:t>0000）</w:t>
      </w:r>
      <w:r>
        <w:rPr>
          <w:sz w:val="24"/>
          <w:lang w:val="zh-CN"/>
        </w:rPr>
        <w:t>×0.</w:t>
      </w:r>
      <w:r>
        <w:rPr>
          <w:rFonts w:hint="eastAsia"/>
          <w:sz w:val="24"/>
          <w:lang w:val="zh-CN"/>
        </w:rPr>
        <w:t>65</w:t>
      </w:r>
      <w:r>
        <w:rPr>
          <w:sz w:val="24"/>
          <w:lang w:val="zh-CN"/>
        </w:rPr>
        <w:t>%=</w:t>
      </w:r>
      <w:r>
        <w:rPr>
          <w:rFonts w:hint="eastAsia"/>
          <w:sz w:val="24"/>
          <w:lang w:val="zh-CN"/>
        </w:rPr>
        <w:t>53732.5</w:t>
      </w:r>
      <w:r>
        <w:rPr>
          <w:sz w:val="24"/>
          <w:lang w:val="zh-CN"/>
        </w:rPr>
        <w:t>元，服务费</w:t>
      </w:r>
      <w:r>
        <w:rPr>
          <w:rFonts w:hint="eastAsia"/>
          <w:sz w:val="24"/>
          <w:lang w:val="zh-CN"/>
        </w:rPr>
        <w:t>缴纳53732元。</w:t>
      </w:r>
      <w:r>
        <w:rPr>
          <w:sz w:val="24"/>
          <w:lang w:val="zh-CN"/>
        </w:rPr>
        <w:t>其中中标金额以《中标通知书》为准。</w:t>
      </w:r>
    </w:p>
    <w:p w14:paraId="05A8A355">
      <w:pPr>
        <w:tabs>
          <w:tab w:val="left" w:pos="700"/>
        </w:tabs>
        <w:autoSpaceDE w:val="0"/>
        <w:autoSpaceDN w:val="0"/>
        <w:adjustRightInd w:val="0"/>
        <w:spacing w:line="360" w:lineRule="auto"/>
        <w:ind w:firstLine="480" w:firstLineChars="200"/>
        <w:rPr>
          <w:sz w:val="24"/>
          <w:szCs w:val="24"/>
          <w:lang w:val="zh-CN"/>
        </w:rPr>
      </w:pPr>
      <w:r>
        <w:rPr>
          <w:rFonts w:hint="eastAsia"/>
          <w:sz w:val="24"/>
          <w:szCs w:val="24"/>
        </w:rPr>
        <w:t>中标供应商应于中标公告发布之日起5个工作日内缴纳</w:t>
      </w:r>
      <w:r>
        <w:rPr>
          <w:rFonts w:hint="eastAsia"/>
          <w:sz w:val="24"/>
          <w:szCs w:val="24"/>
          <w:lang w:val="zh-CN"/>
        </w:rPr>
        <w:t>招标代理服务费，缴费单位名称须与投标单位名称一致，缴费时请注明项目编号及中标包号。</w:t>
      </w:r>
    </w:p>
    <w:p w14:paraId="6ED73453">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名        称：天津市公共资源交易中心</w:t>
      </w:r>
    </w:p>
    <w:p w14:paraId="6D190A70">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开户行及账号：中国建设银行股份有限公司天津明华支行 </w:t>
      </w:r>
    </w:p>
    <w:p w14:paraId="79EEB67F">
      <w:pPr>
        <w:pStyle w:val="25"/>
        <w:spacing w:line="360" w:lineRule="auto"/>
        <w:ind w:firstLine="2152" w:firstLineChars="897"/>
        <w:rPr>
          <w:rFonts w:ascii="Times New Roman" w:hAnsi="Times New Roman" w:eastAsia="宋体" w:cs="Times New Roman"/>
          <w:color w:val="auto"/>
        </w:rPr>
      </w:pPr>
      <w:r>
        <w:rPr>
          <w:rFonts w:ascii="Times New Roman" w:hAnsi="Times New Roman" w:eastAsia="宋体" w:cs="Times New Roman"/>
          <w:color w:val="auto"/>
        </w:rPr>
        <w:t>1205 0162 4900 0000 0675</w:t>
      </w:r>
    </w:p>
    <w:p w14:paraId="69398659">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银行联行号：105110039436</w:t>
      </w:r>
    </w:p>
    <w:p w14:paraId="107A413C">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纳税人识别号：1212 0000 MB1E 44809C</w:t>
      </w:r>
    </w:p>
    <w:p w14:paraId="30E89EF1">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地址：天津市河东区红星路79号</w:t>
      </w:r>
    </w:p>
    <w:p w14:paraId="29479157">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缴费及申请开票系统：http://pay.tjggzy.cn/</w:t>
      </w:r>
    </w:p>
    <w:p w14:paraId="18510522">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缴费及开票咨询电话：022-24532012</w:t>
      </w:r>
    </w:p>
    <w:p w14:paraId="4D2768C0">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十五、《</w:t>
      </w:r>
      <w:r>
        <w:rPr>
          <w:rFonts w:ascii="Times New Roman" w:hAnsi="Times New Roman" w:eastAsia="宋体" w:cs="Times New Roman"/>
          <w:color w:val="auto"/>
        </w:rPr>
        <w:t>“政采贷”业务提示函</w:t>
      </w:r>
      <w:r>
        <w:rPr>
          <w:rFonts w:hint="eastAsia" w:ascii="Times New Roman" w:hAnsi="Times New Roman" w:eastAsia="宋体" w:cs="Times New Roman"/>
          <w:color w:val="auto"/>
        </w:rPr>
        <w:t>》、《</w:t>
      </w:r>
      <w:r>
        <w:rPr>
          <w:rFonts w:ascii="Times New Roman" w:hAnsi="Times New Roman" w:eastAsia="宋体" w:cs="Times New Roman"/>
          <w:color w:val="auto"/>
        </w:rPr>
        <w:t>政府采购支持中小企业政策提示函</w:t>
      </w:r>
      <w:r>
        <w:rPr>
          <w:rFonts w:hint="eastAsia" w:ascii="Times New Roman" w:hAnsi="Times New Roman" w:eastAsia="宋体" w:cs="Times New Roman"/>
          <w:color w:val="auto"/>
        </w:rPr>
        <w:t>》和《诚信参与政府采购活动提示函》</w:t>
      </w:r>
    </w:p>
    <w:p w14:paraId="26E3AC91">
      <w:pPr>
        <w:pStyle w:val="25"/>
        <w:spacing w:line="360" w:lineRule="auto"/>
        <w:ind w:firstLine="480" w:firstLineChars="200"/>
        <w:jc w:val="both"/>
        <w:rPr>
          <w:rFonts w:ascii="Times New Roman" w:hAnsi="Times New Roman" w:eastAsia="宋体" w:cs="Times New Roman"/>
          <w:color w:val="auto"/>
        </w:rPr>
      </w:pPr>
    </w:p>
    <w:p w14:paraId="5559B6FB">
      <w:pPr>
        <w:pStyle w:val="25"/>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rPr>
        <w:t>9</w:t>
      </w:r>
      <w:r>
        <w:rPr>
          <w:rFonts w:ascii="Times New Roman" w:hAnsi="Times New Roman" w:eastAsia="宋体" w:cs="Times New Roman"/>
          <w:color w:val="auto"/>
        </w:rPr>
        <w:t>月</w:t>
      </w:r>
      <w:r>
        <w:rPr>
          <w:rFonts w:hint="eastAsia" w:ascii="Times New Roman" w:hAnsi="Times New Roman" w:eastAsia="宋体" w:cs="Times New Roman"/>
          <w:color w:val="auto"/>
        </w:rPr>
        <w:t>30</w:t>
      </w:r>
      <w:r>
        <w:rPr>
          <w:rFonts w:ascii="Times New Roman" w:hAnsi="Times New Roman" w:eastAsia="宋体" w:cs="Times New Roman"/>
          <w:color w:val="auto"/>
        </w:rPr>
        <w:t>日</w:t>
      </w:r>
    </w:p>
    <w:p w14:paraId="25946366">
      <w:pPr>
        <w:pStyle w:val="25"/>
        <w:spacing w:line="360" w:lineRule="auto"/>
        <w:ind w:right="892"/>
        <w:rPr>
          <w:rFonts w:ascii="Times New Roman" w:hAnsi="Times New Roman" w:eastAsia="宋体" w:cs="Times New Roman"/>
          <w:color w:val="auto"/>
        </w:rPr>
      </w:pPr>
    </w:p>
    <w:p w14:paraId="5C7A8057">
      <w:pPr>
        <w:widowControl/>
        <w:jc w:val="left"/>
        <w:rPr>
          <w:kern w:val="0"/>
          <w:sz w:val="24"/>
          <w:szCs w:val="24"/>
        </w:rPr>
      </w:pPr>
      <w:r>
        <w:br w:type="page"/>
      </w:r>
    </w:p>
    <w:p w14:paraId="374785C8">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02F0AD1E">
      <w:pPr>
        <w:spacing w:line="360" w:lineRule="auto"/>
        <w:jc w:val="center"/>
        <w:rPr>
          <w:rFonts w:eastAsia="方正小标宋简体"/>
          <w:bCs/>
          <w:kern w:val="0"/>
          <w:sz w:val="24"/>
          <w:szCs w:val="24"/>
        </w:rPr>
      </w:pPr>
    </w:p>
    <w:p w14:paraId="5CEEE62B">
      <w:pPr>
        <w:spacing w:line="360" w:lineRule="auto"/>
        <w:ind w:firstLine="480"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7B66B3C4">
      <w:pPr>
        <w:spacing w:line="360" w:lineRule="auto"/>
        <w:ind w:firstLine="480"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1DDA5E86">
      <w:pPr>
        <w:spacing w:line="360" w:lineRule="auto"/>
        <w:ind w:firstLine="480"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77024CC6">
      <w:pPr>
        <w:spacing w:line="360" w:lineRule="auto"/>
        <w:jc w:val="center"/>
        <w:rPr>
          <w:rFonts w:eastAsia="方正小标宋简体"/>
          <w:spacing w:val="-10"/>
          <w:sz w:val="24"/>
          <w:szCs w:val="24"/>
        </w:rPr>
      </w:pPr>
    </w:p>
    <w:p w14:paraId="4E43489C">
      <w:pPr>
        <w:spacing w:line="360" w:lineRule="auto"/>
        <w:jc w:val="center"/>
        <w:rPr>
          <w:rFonts w:eastAsia="方正小标宋简体"/>
          <w:spacing w:val="-10"/>
          <w:sz w:val="24"/>
          <w:szCs w:val="24"/>
        </w:rPr>
      </w:pPr>
    </w:p>
    <w:p w14:paraId="2610E9AD">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42AEE24A">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4C29648C">
      <w:pPr>
        <w:spacing w:line="320" w:lineRule="exact"/>
        <w:ind w:firstLine="480" w:firstLineChars="200"/>
        <w:rPr>
          <w:rFonts w:eastAsiaTheme="minorEastAsia"/>
          <w:sz w:val="24"/>
          <w:szCs w:val="24"/>
        </w:rPr>
      </w:pPr>
      <w:r>
        <w:rPr>
          <w:rFonts w:eastAsiaTheme="minorEastAsia"/>
          <w:sz w:val="24"/>
          <w:szCs w:val="24"/>
        </w:rPr>
        <w:t>【政策概述】</w:t>
      </w:r>
    </w:p>
    <w:p w14:paraId="2D8E479A">
      <w:pPr>
        <w:spacing w:line="320" w:lineRule="exact"/>
        <w:ind w:firstLine="480" w:firstLineChars="200"/>
        <w:rPr>
          <w:rFonts w:eastAsiaTheme="minorEastAsia"/>
          <w:sz w:val="24"/>
          <w:szCs w:val="24"/>
        </w:rPr>
      </w:pPr>
      <w:r>
        <w:rPr>
          <w:rFonts w:eastAsiaTheme="minorEastAsia"/>
          <w:sz w:val="24"/>
          <w:szCs w:val="24"/>
        </w:rPr>
        <w:t>促进中小企业发展是政府采购法定的政策功能。在政府采购活动中，应当通过</w:t>
      </w:r>
      <w:r>
        <w:rPr>
          <w:rFonts w:eastAsiaTheme="minorEastAsia"/>
          <w:snapToGrid w:val="0"/>
          <w:sz w:val="24"/>
          <w:szCs w:val="24"/>
        </w:rPr>
        <w:t>加强采购需求管理，落实预留采购份额、价格评审优惠、优先采购等措施，提高中小企业在政府采购中的份额，支持中小企业发展。</w:t>
      </w:r>
    </w:p>
    <w:p w14:paraId="013D3002">
      <w:pPr>
        <w:spacing w:line="320" w:lineRule="exact"/>
        <w:ind w:firstLine="480" w:firstLineChars="200"/>
        <w:rPr>
          <w:rFonts w:eastAsiaTheme="minorEastAsia"/>
          <w:sz w:val="24"/>
          <w:szCs w:val="24"/>
        </w:rPr>
      </w:pPr>
      <w:r>
        <w:rPr>
          <w:rFonts w:eastAsiaTheme="minorEastAsia"/>
          <w:sz w:val="24"/>
          <w:szCs w:val="24"/>
        </w:rPr>
        <w:t>【支持对象】</w:t>
      </w:r>
    </w:p>
    <w:p w14:paraId="61A4BE65">
      <w:pPr>
        <w:spacing w:line="320" w:lineRule="exact"/>
        <w:ind w:firstLine="480" w:firstLineChars="200"/>
        <w:rPr>
          <w:rFonts w:eastAsiaTheme="minorEastAsia"/>
          <w:sz w:val="24"/>
          <w:szCs w:val="24"/>
        </w:rPr>
      </w:pPr>
      <w:r>
        <w:rPr>
          <w:rFonts w:eastAsiaTheme="minorEastAsia"/>
          <w:sz w:val="24"/>
          <w:szCs w:val="24"/>
        </w:rPr>
        <w:t>以下对象可享受支持政策：1.在境内依法设立，依据国务院批准的中小企业划分标准确定的</w:t>
      </w:r>
      <w:r>
        <w:rPr>
          <w:rFonts w:eastAsiaTheme="minorEastAsia"/>
          <w:b/>
          <w:sz w:val="24"/>
          <w:szCs w:val="24"/>
        </w:rPr>
        <w:t>中型企业、小型企业和微型企业</w:t>
      </w:r>
      <w:r>
        <w:rPr>
          <w:rFonts w:eastAsiaTheme="minorEastAsia"/>
          <w:sz w:val="24"/>
          <w:szCs w:val="24"/>
        </w:rPr>
        <w:t>，但与大企业的负责人为同一人，或者与大企业存在直接控股、管理关系的除外；2.符合中小企业划分标准的</w:t>
      </w:r>
      <w:r>
        <w:rPr>
          <w:rFonts w:eastAsiaTheme="minorEastAsia"/>
          <w:b/>
          <w:sz w:val="24"/>
          <w:szCs w:val="24"/>
        </w:rPr>
        <w:t>个体工商户</w:t>
      </w:r>
      <w:r>
        <w:rPr>
          <w:rFonts w:eastAsiaTheme="minorEastAsia"/>
          <w:sz w:val="24"/>
          <w:szCs w:val="24"/>
        </w:rPr>
        <w:t>。</w:t>
      </w:r>
    </w:p>
    <w:p w14:paraId="412D2B85">
      <w:pPr>
        <w:pStyle w:val="5"/>
        <w:spacing w:after="0" w:line="320" w:lineRule="exact"/>
        <w:ind w:firstLine="480" w:firstLineChars="200"/>
        <w:rPr>
          <w:rFonts w:eastAsiaTheme="minorEastAsia"/>
          <w:sz w:val="24"/>
          <w:szCs w:val="24"/>
        </w:rPr>
      </w:pPr>
      <w:r>
        <w:rPr>
          <w:rFonts w:eastAsiaTheme="minorEastAsia"/>
          <w:sz w:val="24"/>
          <w:szCs w:val="24"/>
        </w:rPr>
        <w:t>【支持情形】</w:t>
      </w:r>
    </w:p>
    <w:p w14:paraId="013BBF25">
      <w:pPr>
        <w:pStyle w:val="5"/>
        <w:spacing w:after="0" w:line="320" w:lineRule="exact"/>
        <w:ind w:firstLine="480" w:firstLineChars="200"/>
        <w:rPr>
          <w:rFonts w:eastAsiaTheme="minorEastAsia"/>
          <w:snapToGrid w:val="0"/>
          <w:sz w:val="24"/>
          <w:szCs w:val="24"/>
        </w:rPr>
      </w:pPr>
      <w:r>
        <w:rPr>
          <w:rFonts w:eastAsiaTheme="minorEastAsia"/>
          <w:snapToGrid w:val="0"/>
          <w:sz w:val="24"/>
          <w:szCs w:val="24"/>
        </w:rPr>
        <w:t>在政府采购活动中，供应商提供的货物、工程或者服务符合下列情形的，享受支持政策：</w:t>
      </w:r>
    </w:p>
    <w:p w14:paraId="5D4ACF56">
      <w:pPr>
        <w:pStyle w:val="5"/>
        <w:spacing w:after="0" w:line="320" w:lineRule="exact"/>
        <w:ind w:firstLine="480" w:firstLineChars="200"/>
        <w:rPr>
          <w:rFonts w:eastAsiaTheme="minorEastAsia"/>
          <w:snapToGrid w:val="0"/>
          <w:sz w:val="24"/>
          <w:szCs w:val="24"/>
        </w:rPr>
      </w:pPr>
      <w:r>
        <w:rPr>
          <w:rFonts w:eastAsiaTheme="minorEastAsia"/>
          <w:snapToGrid w:val="0"/>
          <w:sz w:val="24"/>
          <w:szCs w:val="24"/>
        </w:rPr>
        <w:t>（一）在货物采购项目中，货物由中小企业制造，即货物由</w:t>
      </w:r>
      <w:r>
        <w:rPr>
          <w:rFonts w:eastAsiaTheme="minorEastAsia"/>
          <w:b/>
          <w:snapToGrid w:val="0"/>
          <w:sz w:val="24"/>
          <w:szCs w:val="24"/>
        </w:rPr>
        <w:t>中小企业生产且使用该中小企业商号或者注册商标</w:t>
      </w:r>
      <w:r>
        <w:rPr>
          <w:rFonts w:eastAsiaTheme="minorEastAsia"/>
          <w:snapToGrid w:val="0"/>
          <w:sz w:val="24"/>
          <w:szCs w:val="24"/>
        </w:rPr>
        <w:t>；</w:t>
      </w:r>
    </w:p>
    <w:p w14:paraId="07DBBC33">
      <w:pPr>
        <w:pStyle w:val="5"/>
        <w:spacing w:after="0" w:line="320" w:lineRule="exact"/>
        <w:ind w:firstLine="480" w:firstLineChars="200"/>
        <w:rPr>
          <w:rFonts w:eastAsiaTheme="minorEastAsia"/>
          <w:snapToGrid w:val="0"/>
          <w:sz w:val="24"/>
          <w:szCs w:val="24"/>
        </w:rPr>
      </w:pPr>
      <w:r>
        <w:rPr>
          <w:rFonts w:eastAsiaTheme="minorEastAsia"/>
          <w:snapToGrid w:val="0"/>
          <w:sz w:val="24"/>
          <w:szCs w:val="24"/>
        </w:rPr>
        <w:t>（二）在工程采购项目中，工程由中小企业承建，即工程施工单位为中小企业；</w:t>
      </w:r>
    </w:p>
    <w:p w14:paraId="6A81E051">
      <w:pPr>
        <w:pStyle w:val="5"/>
        <w:spacing w:after="0" w:line="320" w:lineRule="exact"/>
        <w:ind w:firstLine="480" w:firstLineChars="200"/>
        <w:rPr>
          <w:rFonts w:eastAsiaTheme="minorEastAsia"/>
          <w:snapToGrid w:val="0"/>
          <w:sz w:val="24"/>
          <w:szCs w:val="24"/>
        </w:rPr>
      </w:pPr>
      <w:r>
        <w:rPr>
          <w:rFonts w:eastAsiaTheme="minorEastAsia"/>
          <w:snapToGrid w:val="0"/>
          <w:sz w:val="24"/>
          <w:szCs w:val="24"/>
        </w:rPr>
        <w:t>（三）在服务采购项目中，服务由中小企业承接，即提供服务的人员为中小企业依照《中华人民共和国劳动合同法》</w:t>
      </w:r>
      <w:r>
        <w:rPr>
          <w:rFonts w:eastAsiaTheme="minorEastAsia"/>
          <w:b/>
          <w:snapToGrid w:val="0"/>
          <w:sz w:val="24"/>
          <w:szCs w:val="24"/>
        </w:rPr>
        <w:t>订立劳动合同</w:t>
      </w:r>
      <w:r>
        <w:rPr>
          <w:rFonts w:eastAsiaTheme="minorEastAsia"/>
          <w:snapToGrid w:val="0"/>
          <w:sz w:val="24"/>
          <w:szCs w:val="24"/>
        </w:rPr>
        <w:t>的从业人员。</w:t>
      </w:r>
    </w:p>
    <w:p w14:paraId="122CD0D6">
      <w:pPr>
        <w:spacing w:line="320" w:lineRule="exact"/>
        <w:ind w:firstLine="480" w:firstLineChars="200"/>
        <w:rPr>
          <w:rFonts w:eastAsiaTheme="minorEastAsia"/>
          <w:sz w:val="24"/>
          <w:szCs w:val="24"/>
        </w:rPr>
      </w:pPr>
      <w:r>
        <w:rPr>
          <w:rFonts w:eastAsiaTheme="minorEastAsia"/>
          <w:snapToGrid w:val="0"/>
          <w:sz w:val="24"/>
          <w:szCs w:val="24"/>
        </w:rPr>
        <w:t>以联合体形式参加政府采购活动，联合体各方</w:t>
      </w:r>
      <w:r>
        <w:rPr>
          <w:rFonts w:eastAsiaTheme="minorEastAsia"/>
          <w:b/>
          <w:snapToGrid w:val="0"/>
          <w:sz w:val="24"/>
          <w:szCs w:val="24"/>
        </w:rPr>
        <w:t>均为</w:t>
      </w:r>
      <w:r>
        <w:rPr>
          <w:rFonts w:eastAsiaTheme="minorEastAsia"/>
          <w:snapToGrid w:val="0"/>
          <w:sz w:val="24"/>
          <w:szCs w:val="24"/>
        </w:rPr>
        <w:t>中小企业的，联合体视同中小企业。其中，联合体各方</w:t>
      </w:r>
      <w:r>
        <w:rPr>
          <w:rFonts w:eastAsiaTheme="minorEastAsia"/>
          <w:b/>
          <w:snapToGrid w:val="0"/>
          <w:sz w:val="24"/>
          <w:szCs w:val="24"/>
        </w:rPr>
        <w:t>均为</w:t>
      </w:r>
      <w:r>
        <w:rPr>
          <w:rFonts w:eastAsiaTheme="minorEastAsia"/>
          <w:snapToGrid w:val="0"/>
          <w:sz w:val="24"/>
          <w:szCs w:val="24"/>
        </w:rPr>
        <w:t>小微企业的，联合体视同小微企业。</w:t>
      </w:r>
    </w:p>
    <w:p w14:paraId="44EA2F43">
      <w:pPr>
        <w:pStyle w:val="5"/>
        <w:spacing w:after="0" w:line="320" w:lineRule="exact"/>
        <w:ind w:firstLine="480" w:firstLineChars="200"/>
        <w:rPr>
          <w:rFonts w:eastAsiaTheme="minorEastAsia"/>
          <w:sz w:val="24"/>
          <w:szCs w:val="24"/>
        </w:rPr>
      </w:pPr>
      <w:r>
        <w:rPr>
          <w:rFonts w:eastAsiaTheme="minorEastAsia"/>
          <w:sz w:val="24"/>
          <w:szCs w:val="24"/>
        </w:rPr>
        <w:t>【注意事项】</w:t>
      </w:r>
    </w:p>
    <w:p w14:paraId="78A7AA13">
      <w:pPr>
        <w:spacing w:line="320" w:lineRule="exact"/>
        <w:ind w:firstLine="480" w:firstLineChars="200"/>
        <w:rPr>
          <w:rFonts w:eastAsiaTheme="minorEastAsia"/>
          <w:sz w:val="24"/>
          <w:szCs w:val="24"/>
        </w:rPr>
      </w:pPr>
      <w:r>
        <w:rPr>
          <w:rFonts w:eastAsiaTheme="minorEastAsia"/>
          <w:sz w:val="24"/>
          <w:szCs w:val="24"/>
        </w:rPr>
        <w:t>1.</w:t>
      </w:r>
      <w:r>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14:paraId="2429A75B">
      <w:pPr>
        <w:spacing w:line="320" w:lineRule="exact"/>
        <w:ind w:firstLine="480" w:firstLineChars="200"/>
        <w:rPr>
          <w:rFonts w:eastAsiaTheme="minorEastAsia"/>
          <w:sz w:val="24"/>
          <w:szCs w:val="24"/>
        </w:rPr>
      </w:pPr>
      <w:r>
        <w:rPr>
          <w:rFonts w:eastAsiaTheme="minorEastAsia"/>
          <w:sz w:val="24"/>
          <w:szCs w:val="24"/>
        </w:rPr>
        <w:t>2.</w:t>
      </w:r>
      <w:r>
        <w:rPr>
          <w:rFonts w:eastAsiaTheme="minorEastAsia"/>
          <w:snapToGrid w:val="0"/>
          <w:sz w:val="24"/>
          <w:szCs w:val="24"/>
        </w:rPr>
        <w:t>中小企业应当对声明函的内容的真实性负责。声明内容如有不实，则构成提供虚假材料谋取中标、成交的情形，需承担相应的法律责任。</w:t>
      </w:r>
    </w:p>
    <w:p w14:paraId="09374105">
      <w:pPr>
        <w:spacing w:line="320" w:lineRule="exact"/>
        <w:ind w:firstLine="480" w:firstLineChars="200"/>
        <w:rPr>
          <w:rFonts w:eastAsiaTheme="minorEastAsia"/>
          <w:color w:val="000000"/>
          <w:sz w:val="24"/>
          <w:szCs w:val="24"/>
        </w:rPr>
      </w:pPr>
      <w:r>
        <w:rPr>
          <w:rFonts w:eastAsiaTheme="minorEastAsia"/>
          <w:sz w:val="24"/>
          <w:szCs w:val="24"/>
        </w:rPr>
        <w:t>3.</w:t>
      </w:r>
      <w:r>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14:paraId="01985B20">
      <w:pPr>
        <w:pStyle w:val="5"/>
        <w:spacing w:after="0" w:line="320" w:lineRule="exact"/>
        <w:ind w:firstLine="480" w:firstLineChars="200"/>
        <w:rPr>
          <w:rFonts w:eastAsiaTheme="minorEastAsia"/>
          <w:sz w:val="24"/>
          <w:szCs w:val="24"/>
        </w:rPr>
      </w:pPr>
      <w:r>
        <w:rPr>
          <w:rFonts w:eastAsiaTheme="minorEastAsia"/>
          <w:sz w:val="24"/>
          <w:szCs w:val="24"/>
        </w:rPr>
        <w:t>【政策目录】</w:t>
      </w:r>
    </w:p>
    <w:p w14:paraId="00CDC55C">
      <w:pPr>
        <w:spacing w:line="320" w:lineRule="exact"/>
        <w:ind w:firstLine="480" w:firstLineChars="200"/>
        <w:rPr>
          <w:rFonts w:eastAsiaTheme="minorEastAsia"/>
          <w:color w:val="000000"/>
          <w:sz w:val="24"/>
          <w:szCs w:val="24"/>
        </w:rPr>
      </w:pPr>
      <w:r>
        <w:rPr>
          <w:rFonts w:eastAsiaTheme="minorEastAsia"/>
          <w:color w:val="000000"/>
          <w:sz w:val="24"/>
          <w:szCs w:val="24"/>
        </w:rPr>
        <w:t>1.《中华人民共和国政府采购法》第九条</w:t>
      </w:r>
    </w:p>
    <w:p w14:paraId="424F9ECD">
      <w:pPr>
        <w:spacing w:line="320" w:lineRule="exact"/>
        <w:ind w:firstLine="480" w:firstLineChars="200"/>
        <w:rPr>
          <w:rFonts w:eastAsiaTheme="minorEastAsia"/>
          <w:color w:val="000000"/>
          <w:sz w:val="24"/>
          <w:szCs w:val="24"/>
        </w:rPr>
      </w:pPr>
      <w:r>
        <w:rPr>
          <w:rFonts w:eastAsiaTheme="minorEastAsia"/>
          <w:color w:val="000000"/>
          <w:sz w:val="24"/>
          <w:szCs w:val="24"/>
        </w:rPr>
        <w:t>2.《中华人民共和国政府采购法实施条例》第六条</w:t>
      </w:r>
    </w:p>
    <w:p w14:paraId="2F725FCB">
      <w:pPr>
        <w:spacing w:line="320" w:lineRule="exact"/>
        <w:ind w:firstLine="480"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color w:val="000000"/>
          <w:sz w:val="24"/>
          <w:szCs w:val="24"/>
        </w:rPr>
        <w:t>财政部 工业和信息化部关于印发《政府采购促进中小企业发展管理办法》的通知（财库〔2020〕46号）</w:t>
      </w:r>
    </w:p>
    <w:p w14:paraId="559C2434">
      <w:pPr>
        <w:spacing w:line="320" w:lineRule="exact"/>
        <w:ind w:firstLine="480"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color w:val="000000"/>
          <w:sz w:val="24"/>
          <w:szCs w:val="24"/>
        </w:rPr>
        <w:t>财政部关于进一步加大政府采购支持中小企业力度的通知（财库〔2022〕19号）</w:t>
      </w:r>
    </w:p>
    <w:p w14:paraId="3676A66D">
      <w:pPr>
        <w:spacing w:line="320" w:lineRule="exact"/>
        <w:ind w:firstLine="480" w:firstLineChars="200"/>
        <w:rPr>
          <w:rFonts w:eastAsiaTheme="minorEastAsia"/>
          <w:color w:val="000000"/>
          <w:sz w:val="24"/>
          <w:szCs w:val="24"/>
        </w:rPr>
      </w:pPr>
      <w:r>
        <w:rPr>
          <w:rFonts w:eastAsiaTheme="minorEastAsia"/>
          <w:color w:val="000000"/>
          <w:sz w:val="24"/>
          <w:szCs w:val="24"/>
        </w:rPr>
        <w:t>5.天津市财政局 天津市工业和信息化局关于贯彻落实《政府采购促进中小企业发展管理办法》的通知（津财采〔2021〕12号）</w:t>
      </w:r>
    </w:p>
    <w:p w14:paraId="2AC72CC8">
      <w:pPr>
        <w:spacing w:line="320" w:lineRule="exact"/>
        <w:ind w:firstLine="480" w:firstLineChars="200"/>
        <w:rPr>
          <w:rFonts w:eastAsiaTheme="minorEastAsia"/>
          <w:sz w:val="24"/>
        </w:rPr>
      </w:pPr>
      <w:r>
        <w:rPr>
          <w:rFonts w:eastAsiaTheme="minorEastAsia"/>
          <w:sz w:val="24"/>
        </w:rPr>
        <w:t>6.市财政局 市发展改革委 市住房城乡建设委 市交通运输委 市水务局 市政务服务办关于进一步贯彻落实政府采购支持中小企业政策的通知（津财采〔2022〕11号）</w:t>
      </w:r>
    </w:p>
    <w:p w14:paraId="35933AC4">
      <w:pPr>
        <w:spacing w:line="340" w:lineRule="exact"/>
        <w:ind w:firstLine="480" w:firstLineChars="200"/>
        <w:rPr>
          <w:rFonts w:eastAsiaTheme="minorEastAsia"/>
          <w:sz w:val="24"/>
        </w:rPr>
      </w:pPr>
    </w:p>
    <w:p w14:paraId="48F47052">
      <w:pPr>
        <w:adjustRightInd w:val="0"/>
        <w:snapToGrid w:val="0"/>
        <w:spacing w:line="400" w:lineRule="exact"/>
        <w:jc w:val="center"/>
        <w:rPr>
          <w:b/>
          <w:sz w:val="24"/>
          <w:szCs w:val="24"/>
        </w:rPr>
      </w:pPr>
      <w:r>
        <w:rPr>
          <w:b/>
          <w:sz w:val="24"/>
          <w:szCs w:val="24"/>
        </w:rPr>
        <w:t>诚信参与政府采购活动提示函</w:t>
      </w:r>
    </w:p>
    <w:p w14:paraId="4B0A556F">
      <w:pPr>
        <w:pStyle w:val="16"/>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79CCDB8F">
      <w:pPr>
        <w:pStyle w:val="16"/>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3028A390">
      <w:pPr>
        <w:pStyle w:val="16"/>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5EF08A90">
      <w:pPr>
        <w:pStyle w:val="16"/>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1"/>
          <w:rFonts w:ascii="Times New Roman" w:hAnsi="Times New Roman" w:cs="Times New Roman" w:eastAsiaTheme="minorEastAsia"/>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004E67A1">
      <w:pPr>
        <w:pStyle w:val="16"/>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5B768BD4">
      <w:pPr>
        <w:pStyle w:val="16"/>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6E7514E2">
      <w:pPr>
        <w:pStyle w:val="16"/>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5DAF99B3">
      <w:pPr>
        <w:pStyle w:val="16"/>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55379317">
      <w:pPr>
        <w:pStyle w:val="16"/>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498740B2">
      <w:pPr>
        <w:pStyle w:val="16"/>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49E2EACE">
      <w:pPr>
        <w:pStyle w:val="16"/>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21"/>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70DE9953">
      <w:pPr>
        <w:pStyle w:val="16"/>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7D05CCE9">
      <w:pPr>
        <w:spacing w:line="340" w:lineRule="exact"/>
        <w:ind w:firstLine="480" w:firstLineChars="200"/>
        <w:rPr>
          <w:rFonts w:eastAsiaTheme="minorEastAsia"/>
          <w:sz w:val="24"/>
        </w:rPr>
      </w:pPr>
    </w:p>
    <w:p w14:paraId="5B1DF936">
      <w:pPr>
        <w:widowControl/>
        <w:jc w:val="left"/>
        <w:rPr>
          <w:b/>
          <w:bCs/>
          <w:kern w:val="28"/>
          <w:sz w:val="32"/>
          <w:szCs w:val="32"/>
          <w:lang w:val="zh-CN" w:eastAsia="zh-CN"/>
        </w:rPr>
      </w:pPr>
      <w:r>
        <w:br w:type="page"/>
      </w:r>
    </w:p>
    <w:p w14:paraId="5249FE97">
      <w:pPr>
        <w:pStyle w:val="13"/>
        <w:rPr>
          <w:rFonts w:ascii="Times New Roman" w:hAnsi="Times New Roman"/>
        </w:rPr>
      </w:pPr>
      <w:r>
        <w:rPr>
          <w:rFonts w:ascii="Times New Roman" w:hAnsi="Times New Roman"/>
        </w:rPr>
        <w:t>第</w:t>
      </w:r>
      <w:r>
        <w:rPr>
          <w:rFonts w:hint="eastAsia" w:ascii="Times New Roman" w:hAnsi="Times New Roman"/>
        </w:rPr>
        <w:t>二</w:t>
      </w:r>
      <w:r>
        <w:rPr>
          <w:rFonts w:ascii="Times New Roman" w:hAnsi="Times New Roman"/>
        </w:rPr>
        <w:t>部分  招标项目要求</w:t>
      </w:r>
      <w:bookmarkEnd w:id="5"/>
    </w:p>
    <w:p w14:paraId="78E39B42">
      <w:pPr>
        <w:tabs>
          <w:tab w:val="left" w:pos="210"/>
        </w:tabs>
        <w:autoSpaceDE w:val="0"/>
        <w:autoSpaceDN w:val="0"/>
        <w:adjustRightInd w:val="0"/>
        <w:spacing w:line="360" w:lineRule="auto"/>
        <w:ind w:firstLine="480" w:firstLineChars="200"/>
        <w:outlineLvl w:val="0"/>
        <w:rPr>
          <w:rFonts w:cs="宋体"/>
          <w:kern w:val="0"/>
          <w:sz w:val="24"/>
          <w:szCs w:val="24"/>
        </w:rPr>
      </w:pPr>
      <w:r>
        <w:rPr>
          <w:rFonts w:hint="eastAsia"/>
          <w:sz w:val="24"/>
        </w:rPr>
        <w:t>加注“★”号条款为实质性条款，不得出现负偏离，发生负偏离即做无效标处理。</w:t>
      </w:r>
    </w:p>
    <w:p w14:paraId="5983599B">
      <w:pPr>
        <w:spacing w:line="360" w:lineRule="auto"/>
        <w:ind w:firstLine="480" w:firstLineChars="200"/>
        <w:outlineLvl w:val="0"/>
        <w:rPr>
          <w:sz w:val="24"/>
        </w:rPr>
      </w:pPr>
      <w:r>
        <w:rPr>
          <w:rFonts w:hint="eastAsia"/>
          <w:sz w:val="24"/>
        </w:rPr>
        <w:t>一、项目背景</w:t>
      </w:r>
    </w:p>
    <w:p w14:paraId="5478DAE8">
      <w:pPr>
        <w:spacing w:line="360" w:lineRule="auto"/>
        <w:ind w:firstLine="480" w:firstLineChars="200"/>
        <w:outlineLvl w:val="0"/>
        <w:rPr>
          <w:sz w:val="24"/>
        </w:rPr>
      </w:pPr>
      <w:r>
        <w:rPr>
          <w:rFonts w:hint="eastAsia"/>
          <w:sz w:val="24"/>
        </w:rPr>
        <w:t>本项目为天津市县域医共体医疗设备更新项目监护仪类设备及麻醉机及呼吸机类设备采购项目，共分为7包。</w:t>
      </w:r>
    </w:p>
    <w:p w14:paraId="1EC94D33">
      <w:pPr>
        <w:spacing w:line="360" w:lineRule="auto"/>
        <w:ind w:firstLine="480" w:firstLineChars="200"/>
        <w:outlineLvl w:val="0"/>
        <w:rPr>
          <w:sz w:val="24"/>
        </w:rPr>
      </w:pPr>
      <w:r>
        <w:rPr>
          <w:rFonts w:hint="eastAsia"/>
          <w:sz w:val="24"/>
        </w:rPr>
        <w:t>本项目属于工业</w:t>
      </w:r>
    </w:p>
    <w:p w14:paraId="2FD0DC45">
      <w:pPr>
        <w:spacing w:line="360" w:lineRule="auto"/>
        <w:ind w:firstLine="480" w:firstLineChars="200"/>
        <w:outlineLvl w:val="0"/>
        <w:rPr>
          <w:sz w:val="24"/>
        </w:rPr>
      </w:pPr>
      <w:r>
        <w:rPr>
          <w:rFonts w:hint="eastAsia"/>
          <w:sz w:val="24"/>
        </w:rPr>
        <w:t>二、技术要求</w:t>
      </w:r>
    </w:p>
    <w:p w14:paraId="25284AB7">
      <w:pPr>
        <w:spacing w:line="360" w:lineRule="auto"/>
        <w:ind w:firstLine="480" w:firstLineChars="200"/>
        <w:outlineLvl w:val="0"/>
        <w:rPr>
          <w:sz w:val="24"/>
        </w:rPr>
      </w:pPr>
      <w:r>
        <w:rPr>
          <w:rFonts w:hint="eastAsia" w:cs="宋体"/>
          <w:kern w:val="0"/>
          <w:sz w:val="24"/>
          <w:szCs w:val="24"/>
        </w:rPr>
        <w:t>★</w:t>
      </w:r>
      <w:r>
        <w:rPr>
          <w:rFonts w:hint="eastAsia"/>
          <w:sz w:val="24"/>
        </w:rPr>
        <w:t>（一）投标人须承诺所投产品和服务符合相关强制性规定。交货时采购人有权要求投标人出具所投产品、服务符合上述规定的证明文件。</w:t>
      </w:r>
    </w:p>
    <w:p w14:paraId="1521546A">
      <w:pPr>
        <w:spacing w:line="360" w:lineRule="auto"/>
        <w:ind w:firstLine="480" w:firstLineChars="200"/>
        <w:outlineLvl w:val="0"/>
        <w:rPr>
          <w:sz w:val="24"/>
        </w:rPr>
      </w:pPr>
      <w:r>
        <w:rPr>
          <w:rFonts w:hint="eastAsia"/>
          <w:sz w:val="24"/>
        </w:rPr>
        <w:t>（二）</w:t>
      </w:r>
      <w:r>
        <w:rPr>
          <w:sz w:val="24"/>
        </w:rPr>
        <w:t>采购清单</w:t>
      </w:r>
    </w:p>
    <w:p w14:paraId="37872CB0">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第一包：</w:t>
      </w:r>
    </w:p>
    <w:p w14:paraId="203DC997">
      <w:pPr>
        <w:pStyle w:val="25"/>
        <w:spacing w:line="360" w:lineRule="auto"/>
        <w:ind w:firstLine="480" w:firstLineChars="200"/>
        <w:jc w:val="both"/>
        <w:rPr>
          <w:rFonts w:ascii="Times New Roman" w:hAnsi="Times New Roman" w:eastAsia="宋体" w:cs="Times New Roman"/>
          <w:color w:val="auto"/>
        </w:rPr>
      </w:pPr>
      <w:r>
        <w:rPr>
          <w:rFonts w:hint="eastAsia"/>
          <w:color w:val="auto"/>
        </w:rPr>
        <w:t>★</w:t>
      </w:r>
      <w:r>
        <w:rPr>
          <w:rFonts w:hint="eastAsia" w:ascii="Times New Roman" w:hAnsi="Times New Roman" w:eastAsia="宋体" w:cs="Times New Roman"/>
          <w:color w:val="auto"/>
        </w:rPr>
        <w:t>1. 投标产品实质性要求</w:t>
      </w:r>
    </w:p>
    <w:p w14:paraId="6BE0C181">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所投全部产品须按照《医疗器械注册与备案管理办法》（国家市场监督管理总局令第47号）的规定，提供医疗器械备案证明材料或医疗器械注册证扫描件。</w:t>
      </w:r>
    </w:p>
    <w:p w14:paraId="644CD284">
      <w:pPr>
        <w:spacing w:line="360" w:lineRule="auto"/>
        <w:ind w:firstLine="480" w:firstLineChars="200"/>
        <w:outlineLvl w:val="0"/>
        <w:rPr>
          <w:sz w:val="24"/>
        </w:rPr>
      </w:pPr>
      <w:r>
        <w:rPr>
          <w:rFonts w:hint="eastAsia"/>
          <w:sz w:val="24"/>
        </w:rPr>
        <w:t>2. 技术参数</w:t>
      </w:r>
    </w:p>
    <w:tbl>
      <w:tblPr>
        <w:tblStyle w:val="18"/>
        <w:tblW w:w="568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2"/>
        <w:gridCol w:w="1365"/>
        <w:gridCol w:w="756"/>
        <w:gridCol w:w="851"/>
        <w:gridCol w:w="5882"/>
      </w:tblGrid>
      <w:tr w14:paraId="19DCD9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434" w:type="pct"/>
            <w:tcBorders>
              <w:top w:val="single" w:color="auto" w:sz="4" w:space="0"/>
              <w:left w:val="single" w:color="auto" w:sz="4" w:space="0"/>
              <w:bottom w:val="single" w:color="auto" w:sz="4" w:space="0"/>
              <w:right w:val="single" w:color="auto" w:sz="4" w:space="0"/>
            </w:tcBorders>
            <w:vAlign w:val="center"/>
          </w:tcPr>
          <w:p w14:paraId="4EB15DA2">
            <w:pPr>
              <w:widowControl/>
              <w:jc w:val="center"/>
              <w:rPr>
                <w:rFonts w:cs="宋体"/>
                <w:kern w:val="0"/>
                <w:sz w:val="24"/>
                <w:szCs w:val="24"/>
                <w:highlight w:val="none"/>
              </w:rPr>
            </w:pPr>
            <w:r>
              <w:rPr>
                <w:rFonts w:hint="eastAsia" w:cs="宋体"/>
                <w:kern w:val="0"/>
                <w:sz w:val="24"/>
                <w:highlight w:val="none"/>
              </w:rPr>
              <w:t>序号</w:t>
            </w:r>
          </w:p>
        </w:tc>
        <w:tc>
          <w:tcPr>
            <w:tcW w:w="704" w:type="pct"/>
            <w:tcBorders>
              <w:top w:val="single" w:color="auto" w:sz="4" w:space="0"/>
              <w:left w:val="single" w:color="auto" w:sz="4" w:space="0"/>
              <w:bottom w:val="single" w:color="auto" w:sz="4" w:space="0"/>
              <w:right w:val="single" w:color="auto" w:sz="4" w:space="0"/>
            </w:tcBorders>
            <w:vAlign w:val="center"/>
          </w:tcPr>
          <w:p w14:paraId="3EB9BC2C">
            <w:pPr>
              <w:widowControl/>
              <w:jc w:val="center"/>
              <w:rPr>
                <w:rFonts w:cs="宋体"/>
                <w:kern w:val="0"/>
                <w:sz w:val="24"/>
                <w:szCs w:val="24"/>
                <w:highlight w:val="none"/>
              </w:rPr>
            </w:pPr>
            <w:r>
              <w:rPr>
                <w:rFonts w:hint="eastAsia" w:cs="宋体"/>
                <w:kern w:val="0"/>
                <w:sz w:val="24"/>
                <w:highlight w:val="none"/>
              </w:rPr>
              <w:t>标的名称</w:t>
            </w:r>
          </w:p>
        </w:tc>
        <w:tc>
          <w:tcPr>
            <w:tcW w:w="390" w:type="pct"/>
            <w:tcBorders>
              <w:top w:val="single" w:color="auto" w:sz="4" w:space="0"/>
              <w:left w:val="single" w:color="auto" w:sz="4" w:space="0"/>
              <w:bottom w:val="single" w:color="auto" w:sz="4" w:space="0"/>
              <w:right w:val="single" w:color="auto" w:sz="4" w:space="0"/>
            </w:tcBorders>
            <w:vAlign w:val="center"/>
          </w:tcPr>
          <w:p w14:paraId="7960FA35">
            <w:pPr>
              <w:widowControl/>
              <w:jc w:val="center"/>
              <w:rPr>
                <w:rFonts w:cs="宋体"/>
                <w:kern w:val="0"/>
                <w:sz w:val="24"/>
                <w:szCs w:val="24"/>
                <w:highlight w:val="none"/>
              </w:rPr>
            </w:pPr>
            <w:r>
              <w:rPr>
                <w:rFonts w:cs="宋体"/>
                <w:kern w:val="0"/>
                <w:sz w:val="24"/>
                <w:szCs w:val="24"/>
                <w:highlight w:val="none"/>
              </w:rPr>
              <w:t>单位</w:t>
            </w:r>
            <w:r>
              <w:rPr>
                <w:rFonts w:hint="eastAsia" w:cs="宋体"/>
                <w:kern w:val="0"/>
                <w:sz w:val="24"/>
                <w:szCs w:val="24"/>
                <w:highlight w:val="none"/>
              </w:rPr>
              <w:t xml:space="preserve"> </w:t>
            </w:r>
          </w:p>
        </w:tc>
        <w:tc>
          <w:tcPr>
            <w:tcW w:w="439" w:type="pct"/>
            <w:tcBorders>
              <w:top w:val="single" w:color="auto" w:sz="4" w:space="0"/>
              <w:left w:val="single" w:color="auto" w:sz="4" w:space="0"/>
              <w:bottom w:val="single" w:color="auto" w:sz="4" w:space="0"/>
              <w:right w:val="single" w:color="auto" w:sz="4" w:space="0"/>
            </w:tcBorders>
            <w:vAlign w:val="center"/>
          </w:tcPr>
          <w:p w14:paraId="186B8839">
            <w:pPr>
              <w:widowControl/>
              <w:jc w:val="center"/>
              <w:rPr>
                <w:rFonts w:cs="宋体"/>
                <w:kern w:val="0"/>
                <w:sz w:val="24"/>
                <w:highlight w:val="none"/>
              </w:rPr>
            </w:pPr>
            <w:r>
              <w:rPr>
                <w:rFonts w:hint="eastAsia" w:cs="宋体"/>
                <w:kern w:val="0"/>
                <w:sz w:val="24"/>
                <w:highlight w:val="none"/>
              </w:rPr>
              <w:t>数量</w:t>
            </w:r>
          </w:p>
        </w:tc>
        <w:tc>
          <w:tcPr>
            <w:tcW w:w="3033" w:type="pct"/>
            <w:tcBorders>
              <w:top w:val="single" w:color="auto" w:sz="4" w:space="0"/>
              <w:left w:val="single" w:color="auto" w:sz="4" w:space="0"/>
              <w:bottom w:val="single" w:color="auto" w:sz="4" w:space="0"/>
              <w:right w:val="single" w:color="auto" w:sz="4" w:space="0"/>
            </w:tcBorders>
            <w:vAlign w:val="center"/>
          </w:tcPr>
          <w:p w14:paraId="4CD772D4">
            <w:pPr>
              <w:widowControl/>
              <w:spacing w:line="300" w:lineRule="exact"/>
              <w:jc w:val="center"/>
              <w:rPr>
                <w:rFonts w:cs="宋体"/>
                <w:kern w:val="0"/>
                <w:sz w:val="24"/>
                <w:szCs w:val="24"/>
                <w:highlight w:val="none"/>
              </w:rPr>
            </w:pPr>
            <w:r>
              <w:rPr>
                <w:rFonts w:hint="eastAsia" w:cs="宋体"/>
                <w:kern w:val="0"/>
                <w:sz w:val="24"/>
                <w:highlight w:val="none"/>
              </w:rPr>
              <w:t>需求条款</w:t>
            </w:r>
          </w:p>
        </w:tc>
      </w:tr>
      <w:tr w14:paraId="6CDFAA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tcBorders>
              <w:top w:val="single" w:color="auto" w:sz="4" w:space="0"/>
              <w:left w:val="single" w:color="auto" w:sz="4" w:space="0"/>
              <w:bottom w:val="single" w:color="auto" w:sz="4" w:space="0"/>
              <w:right w:val="single" w:color="auto" w:sz="4" w:space="0"/>
            </w:tcBorders>
            <w:vAlign w:val="center"/>
          </w:tcPr>
          <w:p w14:paraId="3174CF75">
            <w:pPr>
              <w:snapToGrid w:val="0"/>
              <w:spacing w:line="360" w:lineRule="auto"/>
              <w:jc w:val="center"/>
              <w:rPr>
                <w:rFonts w:ascii="宋体" w:hAnsi="宋体" w:cs="宋体"/>
                <w:sz w:val="24"/>
                <w:szCs w:val="24"/>
                <w:highlight w:val="none"/>
              </w:rPr>
            </w:pPr>
            <w:r>
              <w:rPr>
                <w:rFonts w:hint="eastAsia" w:ascii="宋体" w:hAnsi="宋体" w:cs="宋体"/>
                <w:sz w:val="24"/>
                <w:szCs w:val="24"/>
                <w:highlight w:val="none"/>
              </w:rPr>
              <w:t>1</w:t>
            </w:r>
          </w:p>
        </w:tc>
        <w:tc>
          <w:tcPr>
            <w:tcW w:w="704" w:type="pct"/>
            <w:tcBorders>
              <w:top w:val="single" w:color="auto" w:sz="4" w:space="0"/>
              <w:left w:val="single" w:color="auto" w:sz="4" w:space="0"/>
              <w:bottom w:val="single" w:color="auto" w:sz="4" w:space="0"/>
              <w:right w:val="single" w:color="auto" w:sz="4" w:space="0"/>
            </w:tcBorders>
            <w:vAlign w:val="center"/>
          </w:tcPr>
          <w:p w14:paraId="722FEE96">
            <w:pPr>
              <w:snapToGrid w:val="0"/>
              <w:spacing w:line="360" w:lineRule="auto"/>
              <w:jc w:val="center"/>
              <w:rPr>
                <w:rFonts w:ascii="宋体" w:hAnsi="宋体" w:cs="宋体"/>
                <w:sz w:val="24"/>
                <w:szCs w:val="24"/>
                <w:highlight w:val="none"/>
              </w:rPr>
            </w:pPr>
            <w:r>
              <w:rPr>
                <w:rFonts w:hint="eastAsia" w:ascii="宋体" w:hAnsi="宋体" w:cs="宋体"/>
                <w:sz w:val="24"/>
                <w:szCs w:val="24"/>
                <w:highlight w:val="none"/>
              </w:rPr>
              <w:t>监护仪（1）</w:t>
            </w:r>
          </w:p>
        </w:tc>
        <w:tc>
          <w:tcPr>
            <w:tcW w:w="390" w:type="pct"/>
            <w:tcBorders>
              <w:top w:val="single" w:color="auto" w:sz="4" w:space="0"/>
              <w:left w:val="single" w:color="auto" w:sz="4" w:space="0"/>
              <w:bottom w:val="single" w:color="auto" w:sz="4" w:space="0"/>
              <w:right w:val="single" w:color="auto" w:sz="4" w:space="0"/>
            </w:tcBorders>
            <w:vAlign w:val="center"/>
          </w:tcPr>
          <w:p w14:paraId="2C44126B">
            <w:pPr>
              <w:snapToGrid w:val="0"/>
              <w:spacing w:line="360" w:lineRule="auto"/>
              <w:jc w:val="center"/>
              <w:rPr>
                <w:rFonts w:ascii="宋体" w:hAnsi="宋体" w:cs="宋体"/>
                <w:sz w:val="24"/>
                <w:szCs w:val="24"/>
                <w:highlight w:val="none"/>
              </w:rPr>
            </w:pPr>
            <w:r>
              <w:rPr>
                <w:rFonts w:hint="eastAsia" w:ascii="宋体" w:hAnsi="宋体" w:cs="宋体"/>
                <w:sz w:val="24"/>
                <w:szCs w:val="24"/>
                <w:highlight w:val="none"/>
              </w:rPr>
              <w:t>台</w:t>
            </w:r>
          </w:p>
        </w:tc>
        <w:tc>
          <w:tcPr>
            <w:tcW w:w="439" w:type="pct"/>
            <w:tcBorders>
              <w:top w:val="single" w:color="auto" w:sz="4" w:space="0"/>
              <w:left w:val="single" w:color="auto" w:sz="4" w:space="0"/>
              <w:bottom w:val="single" w:color="auto" w:sz="4" w:space="0"/>
              <w:right w:val="single" w:color="auto" w:sz="4" w:space="0"/>
            </w:tcBorders>
            <w:vAlign w:val="center"/>
          </w:tcPr>
          <w:p w14:paraId="6B7CF04E">
            <w:pPr>
              <w:jc w:val="center"/>
              <w:rPr>
                <w:sz w:val="24"/>
                <w:szCs w:val="21"/>
                <w:highlight w:val="none"/>
              </w:rPr>
            </w:pPr>
            <w:r>
              <w:rPr>
                <w:rFonts w:hint="eastAsia"/>
                <w:sz w:val="24"/>
                <w:szCs w:val="21"/>
                <w:highlight w:val="none"/>
              </w:rPr>
              <w:t>40</w:t>
            </w:r>
          </w:p>
        </w:tc>
        <w:tc>
          <w:tcPr>
            <w:tcW w:w="3033" w:type="pct"/>
            <w:tcBorders>
              <w:top w:val="single" w:color="auto" w:sz="4" w:space="0"/>
              <w:left w:val="single" w:color="auto" w:sz="4" w:space="0"/>
              <w:bottom w:val="single" w:color="auto" w:sz="4" w:space="0"/>
              <w:right w:val="single" w:color="auto" w:sz="4" w:space="0"/>
            </w:tcBorders>
          </w:tcPr>
          <w:p w14:paraId="70904507">
            <w:pPr>
              <w:snapToGrid w:val="0"/>
              <w:spacing w:line="300" w:lineRule="exact"/>
              <w:jc w:val="left"/>
              <w:rPr>
                <w:rFonts w:ascii="宋体" w:hAnsi="宋体" w:cs="宋体"/>
                <w:sz w:val="24"/>
                <w:szCs w:val="24"/>
                <w:highlight w:val="none"/>
              </w:rPr>
            </w:pPr>
            <w:r>
              <w:rPr>
                <w:rFonts w:hint="eastAsia" w:ascii="宋体" w:hAnsi="宋体" w:cs="宋体"/>
                <w:sz w:val="24"/>
                <w:szCs w:val="24"/>
                <w:highlight w:val="none"/>
              </w:rPr>
              <w:t>一、产品用途：用于床旁患者的生命体征参数监测，对异常参数进行实时报警，辅助临床决策。</w:t>
            </w:r>
          </w:p>
          <w:p w14:paraId="7DEAFD33">
            <w:pPr>
              <w:snapToGrid w:val="0"/>
              <w:spacing w:line="300" w:lineRule="exact"/>
              <w:jc w:val="left"/>
              <w:rPr>
                <w:rFonts w:ascii="宋体" w:hAnsi="宋体" w:cs="宋体"/>
                <w:sz w:val="24"/>
                <w:szCs w:val="24"/>
                <w:highlight w:val="none"/>
              </w:rPr>
            </w:pPr>
            <w:r>
              <w:rPr>
                <w:rFonts w:hint="eastAsia" w:ascii="宋体" w:hAnsi="宋体" w:cs="宋体"/>
                <w:sz w:val="24"/>
                <w:szCs w:val="24"/>
                <w:highlight w:val="none"/>
              </w:rPr>
              <w:t>二、技术参数</w:t>
            </w:r>
          </w:p>
          <w:p w14:paraId="2B0FD328">
            <w:pPr>
              <w:snapToGrid w:val="0"/>
              <w:spacing w:line="300" w:lineRule="exact"/>
              <w:jc w:val="left"/>
              <w:rPr>
                <w:rFonts w:ascii="宋体" w:hAnsi="宋体" w:cs="宋体"/>
                <w:sz w:val="24"/>
                <w:szCs w:val="24"/>
                <w:highlight w:val="none"/>
              </w:rPr>
            </w:pPr>
            <w:r>
              <w:rPr>
                <w:rFonts w:hint="eastAsia" w:ascii="宋体" w:hAnsi="宋体" w:cs="宋体"/>
                <w:sz w:val="24"/>
                <w:szCs w:val="24"/>
                <w:highlight w:val="none"/>
              </w:rPr>
              <w:t>1、便携一体式监护仪,整机无风扇设计，降低环境噪音干扰；</w:t>
            </w:r>
          </w:p>
          <w:p w14:paraId="515660AD">
            <w:pPr>
              <w:snapToGrid w:val="0"/>
              <w:spacing w:line="300" w:lineRule="exact"/>
              <w:jc w:val="left"/>
              <w:rPr>
                <w:rFonts w:ascii="宋体" w:hAnsi="宋体" w:cs="宋体"/>
                <w:sz w:val="24"/>
                <w:szCs w:val="24"/>
                <w:highlight w:val="none"/>
              </w:rPr>
            </w:pPr>
            <w:r>
              <w:rPr>
                <w:rFonts w:hint="eastAsia" w:ascii="宋体" w:hAnsi="宋体" w:cs="宋体"/>
                <w:sz w:val="24"/>
                <w:szCs w:val="24"/>
                <w:highlight w:val="none"/>
              </w:rPr>
              <w:t>★2、≥10寸彩色液晶电容触摸屏，分辨率≥1024*600，≥8通道波形显示，标配锂电池，工作时间≥4.5小时；</w:t>
            </w:r>
          </w:p>
          <w:p w14:paraId="48F68EDB">
            <w:pPr>
              <w:snapToGrid w:val="0"/>
              <w:spacing w:line="300" w:lineRule="exact"/>
              <w:jc w:val="left"/>
              <w:rPr>
                <w:rFonts w:ascii="宋体" w:hAnsi="宋体" w:cs="宋体"/>
                <w:sz w:val="24"/>
                <w:szCs w:val="24"/>
                <w:highlight w:val="none"/>
              </w:rPr>
            </w:pPr>
            <w:r>
              <w:rPr>
                <w:rFonts w:hint="eastAsia" w:ascii="宋体" w:hAnsi="宋体" w:cs="宋体"/>
                <w:sz w:val="24"/>
                <w:szCs w:val="24"/>
                <w:highlight w:val="none"/>
              </w:rPr>
              <w:t>3、标准配置可监测心电，呼吸，无创血压，血氧饱和度，脉搏和体温，适用于成人、小儿和新生儿；</w:t>
            </w:r>
          </w:p>
          <w:p w14:paraId="59F692C8">
            <w:pPr>
              <w:snapToGrid w:val="0"/>
              <w:spacing w:line="300" w:lineRule="exact"/>
              <w:jc w:val="left"/>
              <w:rPr>
                <w:rFonts w:ascii="宋体" w:hAnsi="宋体" w:cs="宋体"/>
                <w:sz w:val="24"/>
                <w:szCs w:val="24"/>
                <w:highlight w:val="none"/>
              </w:rPr>
            </w:pPr>
            <w:r>
              <w:rPr>
                <w:rFonts w:hint="eastAsia" w:ascii="宋体" w:hAnsi="宋体" w:cs="宋体"/>
                <w:sz w:val="24"/>
                <w:szCs w:val="24"/>
                <w:highlight w:val="none"/>
              </w:rPr>
              <w:t>★4、采用ECG多导同步分析；</w:t>
            </w:r>
          </w:p>
          <w:p w14:paraId="5BEDDA10">
            <w:pPr>
              <w:snapToGrid w:val="0"/>
              <w:spacing w:line="300" w:lineRule="exact"/>
              <w:jc w:val="left"/>
              <w:rPr>
                <w:rFonts w:ascii="宋体" w:hAnsi="宋体" w:cs="宋体"/>
                <w:sz w:val="24"/>
                <w:szCs w:val="24"/>
                <w:highlight w:val="none"/>
              </w:rPr>
            </w:pPr>
            <w:r>
              <w:rPr>
                <w:rFonts w:hint="eastAsia" w:ascii="宋体" w:hAnsi="宋体" w:cs="宋体"/>
                <w:sz w:val="24"/>
                <w:szCs w:val="24"/>
                <w:highlight w:val="none"/>
              </w:rPr>
              <w:t>5、提供手动，自动，连续、序列和整点5种测量模式；</w:t>
            </w:r>
          </w:p>
          <w:p w14:paraId="0A5F6004">
            <w:pPr>
              <w:snapToGrid w:val="0"/>
              <w:spacing w:line="300" w:lineRule="exact"/>
              <w:jc w:val="left"/>
              <w:rPr>
                <w:rFonts w:ascii="宋体" w:hAnsi="宋体" w:cs="宋体"/>
                <w:sz w:val="24"/>
                <w:szCs w:val="24"/>
                <w:highlight w:val="none"/>
              </w:rPr>
            </w:pPr>
            <w:r>
              <w:rPr>
                <w:rFonts w:hint="eastAsia" w:ascii="宋体" w:hAnsi="宋体" w:cs="宋体"/>
                <w:sz w:val="24"/>
                <w:szCs w:val="24"/>
                <w:highlight w:val="none"/>
              </w:rPr>
              <w:t>6、配置无创血压测量，适用于成人，小儿和新生儿。无创血压成人测量范围：收缩压25-290mmH；</w:t>
            </w:r>
          </w:p>
          <w:p w14:paraId="7D3915F8">
            <w:pPr>
              <w:snapToGrid w:val="0"/>
              <w:spacing w:line="300" w:lineRule="exact"/>
              <w:jc w:val="left"/>
              <w:rPr>
                <w:rFonts w:ascii="宋体" w:hAnsi="宋体" w:cs="宋体"/>
                <w:sz w:val="24"/>
                <w:szCs w:val="24"/>
                <w:highlight w:val="none"/>
              </w:rPr>
            </w:pPr>
            <w:r>
              <w:rPr>
                <w:rFonts w:hint="eastAsia" w:ascii="宋体" w:hAnsi="宋体" w:cs="宋体"/>
                <w:sz w:val="24"/>
                <w:szCs w:val="24"/>
                <w:highlight w:val="none"/>
              </w:rPr>
              <w:t>7、支持USB外部存储，支持≥2400小时趋势数据的存储与回顾功能，支持≥5000组无创血压测量记录，≥120小时全息波形的存储与回顾功能；</w:t>
            </w:r>
          </w:p>
          <w:p w14:paraId="43A6202C">
            <w:pPr>
              <w:snapToGrid w:val="0"/>
              <w:spacing w:line="300" w:lineRule="exact"/>
              <w:jc w:val="left"/>
              <w:rPr>
                <w:rFonts w:ascii="宋体" w:hAnsi="宋体" w:cs="宋体"/>
                <w:sz w:val="24"/>
                <w:szCs w:val="24"/>
                <w:highlight w:val="none"/>
              </w:rPr>
            </w:pPr>
            <w:r>
              <w:rPr>
                <w:rFonts w:hint="eastAsia" w:ascii="宋体" w:hAnsi="宋体" w:cs="宋体"/>
                <w:sz w:val="24"/>
                <w:szCs w:val="24"/>
                <w:highlight w:val="none"/>
              </w:rPr>
              <w:t>★8.提供SPO</w:t>
            </w:r>
            <w:r>
              <w:rPr>
                <w:rFonts w:hint="eastAsia" w:ascii="宋体" w:hAnsi="宋体" w:cs="宋体"/>
                <w:sz w:val="24"/>
                <w:szCs w:val="24"/>
                <w:highlight w:val="none"/>
                <w:vertAlign w:val="subscript"/>
              </w:rPr>
              <w:t>2</w:t>
            </w:r>
            <w:r>
              <w:rPr>
                <w:rFonts w:hint="eastAsia" w:ascii="宋体" w:hAnsi="宋体" w:cs="宋体"/>
                <w:sz w:val="24"/>
                <w:szCs w:val="24"/>
                <w:highlight w:val="none"/>
              </w:rPr>
              <w:t>和PR的实时监测，来自SPO</w:t>
            </w:r>
            <w:r>
              <w:rPr>
                <w:rFonts w:hint="eastAsia" w:ascii="宋体" w:hAnsi="宋体" w:cs="宋体"/>
                <w:sz w:val="24"/>
                <w:szCs w:val="24"/>
                <w:highlight w:val="none"/>
                <w:vertAlign w:val="subscript"/>
              </w:rPr>
              <w:t>2</w:t>
            </w:r>
            <w:r>
              <w:rPr>
                <w:rFonts w:hint="eastAsia" w:ascii="宋体" w:hAnsi="宋体" w:cs="宋体"/>
                <w:sz w:val="24"/>
                <w:szCs w:val="24"/>
                <w:highlight w:val="none"/>
              </w:rPr>
              <w:t>的PR测量范围：20-300；</w:t>
            </w:r>
          </w:p>
          <w:p w14:paraId="6443D23D">
            <w:pPr>
              <w:snapToGrid w:val="0"/>
              <w:spacing w:line="300" w:lineRule="exact"/>
              <w:jc w:val="left"/>
              <w:rPr>
                <w:rFonts w:ascii="宋体" w:hAnsi="宋体" w:cs="宋体"/>
                <w:sz w:val="24"/>
                <w:szCs w:val="24"/>
                <w:highlight w:val="none"/>
              </w:rPr>
            </w:pPr>
            <w:r>
              <w:rPr>
                <w:rFonts w:hint="eastAsia" w:ascii="宋体" w:hAnsi="宋体" w:cs="宋体"/>
                <w:sz w:val="24"/>
                <w:szCs w:val="24"/>
                <w:highlight w:val="none"/>
                <w:lang w:eastAsia="zh-CN"/>
              </w:rPr>
              <w:t>★支持所有监测参数报警限一键自动设置功能</w:t>
            </w:r>
            <w:r>
              <w:rPr>
                <w:rFonts w:hint="eastAsia" w:ascii="宋体" w:hAnsi="宋体" w:cs="宋体"/>
                <w:sz w:val="24"/>
                <w:szCs w:val="24"/>
                <w:highlight w:val="none"/>
              </w:rPr>
              <w:t>；</w:t>
            </w:r>
          </w:p>
          <w:p w14:paraId="6491C719">
            <w:pPr>
              <w:snapToGrid w:val="0"/>
              <w:spacing w:line="300" w:lineRule="exact"/>
              <w:jc w:val="left"/>
              <w:rPr>
                <w:rFonts w:ascii="宋体" w:hAnsi="宋体" w:cs="宋体"/>
                <w:sz w:val="24"/>
                <w:szCs w:val="24"/>
                <w:highlight w:val="none"/>
              </w:rPr>
            </w:pPr>
            <w:r>
              <w:rPr>
                <w:rFonts w:hint="eastAsia" w:ascii="宋体" w:hAnsi="宋体" w:cs="宋体"/>
                <w:sz w:val="24"/>
                <w:szCs w:val="24"/>
                <w:highlight w:val="none"/>
              </w:rPr>
              <w:t>10.具有图形化技术报警指示功能，快速识别报警来源。</w:t>
            </w:r>
          </w:p>
          <w:p w14:paraId="7C2FF5CE">
            <w:pPr>
              <w:snapToGrid w:val="0"/>
              <w:spacing w:line="300" w:lineRule="exact"/>
              <w:jc w:val="left"/>
              <w:rPr>
                <w:rFonts w:ascii="宋体" w:hAnsi="宋体" w:cs="宋体"/>
                <w:sz w:val="24"/>
                <w:szCs w:val="24"/>
                <w:highlight w:val="none"/>
              </w:rPr>
            </w:pPr>
            <w:r>
              <w:rPr>
                <w:rFonts w:hint="eastAsia" w:ascii="宋体" w:hAnsi="宋体" w:cs="宋体"/>
                <w:sz w:val="24"/>
                <w:szCs w:val="24"/>
                <w:highlight w:val="none"/>
              </w:rPr>
              <w:t>★11.具备但不限于监护模式、待机模式、演示模式、夜间模式、隐私模式；</w:t>
            </w:r>
          </w:p>
          <w:p w14:paraId="33BE6A1B">
            <w:pPr>
              <w:snapToGrid w:val="0"/>
              <w:spacing w:line="300" w:lineRule="exact"/>
              <w:jc w:val="left"/>
              <w:rPr>
                <w:rFonts w:ascii="宋体" w:hAnsi="宋体" w:cs="宋体"/>
                <w:sz w:val="24"/>
                <w:szCs w:val="24"/>
                <w:highlight w:val="none"/>
              </w:rPr>
            </w:pPr>
            <w:r>
              <w:rPr>
                <w:rFonts w:hint="eastAsia" w:ascii="宋体" w:hAnsi="宋体" w:cs="宋体"/>
                <w:sz w:val="24"/>
                <w:szCs w:val="24"/>
                <w:highlight w:val="none"/>
              </w:rPr>
              <w:t>12.支持格拉斯哥昏迷评分（GCS）功能；</w:t>
            </w:r>
          </w:p>
          <w:p w14:paraId="48EEAFBD">
            <w:pPr>
              <w:snapToGrid w:val="0"/>
              <w:spacing w:line="300" w:lineRule="exact"/>
              <w:jc w:val="left"/>
              <w:rPr>
                <w:rFonts w:ascii="宋体" w:hAnsi="宋体" w:cs="宋体"/>
                <w:sz w:val="24"/>
                <w:szCs w:val="24"/>
                <w:highlight w:val="none"/>
              </w:rPr>
            </w:pPr>
            <w:r>
              <w:rPr>
                <w:rFonts w:hint="eastAsia" w:ascii="宋体" w:hAnsi="宋体" w:cs="宋体"/>
                <w:sz w:val="24"/>
                <w:szCs w:val="24"/>
                <w:highlight w:val="none"/>
              </w:rPr>
              <w:t>13.动态趋势界面可支持统计1-24小时心律失常报警、参数超限报警信息，并对超限报警区间的波形进行高亮显示，快速识别异常趋势信息；</w:t>
            </w:r>
          </w:p>
          <w:p w14:paraId="623C46AA">
            <w:pPr>
              <w:snapToGrid w:val="0"/>
              <w:spacing w:line="300" w:lineRule="exact"/>
              <w:jc w:val="left"/>
              <w:rPr>
                <w:rFonts w:ascii="宋体" w:hAnsi="宋体" w:cs="宋体"/>
                <w:sz w:val="24"/>
                <w:szCs w:val="24"/>
                <w:highlight w:val="none"/>
              </w:rPr>
            </w:pPr>
            <w:r>
              <w:rPr>
                <w:rFonts w:hint="eastAsia" w:ascii="宋体" w:hAnsi="宋体" w:cs="宋体"/>
                <w:sz w:val="24"/>
                <w:szCs w:val="24"/>
                <w:highlight w:val="none"/>
              </w:rPr>
              <w:t>14.；</w:t>
            </w:r>
          </w:p>
          <w:p w14:paraId="30DE327A">
            <w:pPr>
              <w:snapToGrid w:val="0"/>
              <w:spacing w:line="300" w:lineRule="exact"/>
              <w:jc w:val="left"/>
              <w:rPr>
                <w:rFonts w:ascii="宋体" w:hAnsi="宋体" w:cs="宋体"/>
                <w:sz w:val="24"/>
                <w:szCs w:val="24"/>
                <w:highlight w:val="none"/>
              </w:rPr>
            </w:pPr>
            <w:r>
              <w:rPr>
                <w:rFonts w:hint="eastAsia" w:ascii="宋体" w:hAnsi="宋体" w:cs="宋体"/>
                <w:sz w:val="24"/>
                <w:szCs w:val="24"/>
                <w:highlight w:val="none"/>
              </w:rPr>
              <w:t>15.支持监护仪的系统日志向U盘设备的导出功能；</w:t>
            </w:r>
          </w:p>
          <w:p w14:paraId="1DA90F92">
            <w:pPr>
              <w:snapToGrid w:val="0"/>
              <w:spacing w:line="300" w:lineRule="exact"/>
              <w:jc w:val="left"/>
              <w:rPr>
                <w:rFonts w:ascii="宋体" w:hAnsi="宋体" w:cs="宋体"/>
                <w:sz w:val="24"/>
                <w:szCs w:val="24"/>
                <w:highlight w:val="none"/>
              </w:rPr>
            </w:pPr>
            <w:r>
              <w:rPr>
                <w:rFonts w:hint="eastAsia" w:ascii="宋体" w:hAnsi="宋体" w:cs="宋体"/>
                <w:sz w:val="24"/>
                <w:szCs w:val="24"/>
                <w:highlight w:val="none"/>
              </w:rPr>
              <w:t>16.主机集成附件收纳箱，支持将心电、血氧和无创血压等导联线附件进行收纳放置；</w:t>
            </w:r>
          </w:p>
          <w:p w14:paraId="4A2BDB4E">
            <w:pPr>
              <w:snapToGrid w:val="0"/>
              <w:spacing w:line="300" w:lineRule="exact"/>
              <w:jc w:val="left"/>
              <w:rPr>
                <w:rFonts w:ascii="宋体" w:hAnsi="宋体" w:cs="宋体"/>
                <w:sz w:val="24"/>
                <w:szCs w:val="24"/>
                <w:highlight w:val="none"/>
              </w:rPr>
            </w:pPr>
            <w:r>
              <w:rPr>
                <w:rFonts w:hint="eastAsia" w:ascii="宋体" w:hAnsi="宋体" w:cs="宋体"/>
                <w:sz w:val="24"/>
                <w:szCs w:val="24"/>
                <w:highlight w:val="none"/>
              </w:rPr>
              <w:t>17.单台配置要求：</w:t>
            </w:r>
          </w:p>
          <w:p w14:paraId="58E4B676">
            <w:pPr>
              <w:snapToGrid w:val="0"/>
              <w:spacing w:line="300" w:lineRule="exact"/>
              <w:jc w:val="left"/>
              <w:rPr>
                <w:rFonts w:ascii="宋体" w:hAnsi="宋体" w:cs="宋体"/>
                <w:sz w:val="24"/>
                <w:szCs w:val="24"/>
                <w:highlight w:val="none"/>
              </w:rPr>
            </w:pPr>
            <w:r>
              <w:rPr>
                <w:rFonts w:hint="eastAsia" w:ascii="宋体" w:hAnsi="宋体" w:cs="宋体"/>
                <w:sz w:val="24"/>
                <w:szCs w:val="24"/>
                <w:highlight w:val="none"/>
              </w:rPr>
              <w:t>监护仪主机*1台</w:t>
            </w:r>
          </w:p>
          <w:p w14:paraId="7A9E8350">
            <w:pPr>
              <w:snapToGrid w:val="0"/>
              <w:spacing w:line="300" w:lineRule="exact"/>
              <w:jc w:val="left"/>
              <w:rPr>
                <w:rFonts w:ascii="宋体" w:hAnsi="宋体" w:cs="宋体"/>
                <w:color w:val="000000"/>
                <w:sz w:val="24"/>
                <w:szCs w:val="24"/>
                <w:highlight w:val="none"/>
              </w:rPr>
            </w:pPr>
            <w:r>
              <w:rPr>
                <w:rFonts w:hint="eastAsia" w:ascii="宋体" w:hAnsi="宋体" w:cs="宋体"/>
                <w:sz w:val="24"/>
                <w:szCs w:val="24"/>
                <w:highlight w:val="none"/>
              </w:rPr>
              <w:t>配套附件*1套</w:t>
            </w:r>
          </w:p>
        </w:tc>
      </w:tr>
      <w:tr w14:paraId="258389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tcBorders>
              <w:top w:val="single" w:color="auto" w:sz="4" w:space="0"/>
              <w:left w:val="single" w:color="auto" w:sz="4" w:space="0"/>
              <w:bottom w:val="single" w:color="auto" w:sz="4" w:space="0"/>
              <w:right w:val="single" w:color="auto" w:sz="4" w:space="0"/>
            </w:tcBorders>
            <w:vAlign w:val="center"/>
          </w:tcPr>
          <w:p w14:paraId="1190B2DE">
            <w:pPr>
              <w:snapToGrid w:val="0"/>
              <w:spacing w:line="360" w:lineRule="auto"/>
              <w:jc w:val="center"/>
              <w:rPr>
                <w:rFonts w:ascii="宋体" w:hAnsi="宋体" w:cs="宋体"/>
                <w:sz w:val="24"/>
                <w:szCs w:val="24"/>
                <w:highlight w:val="none"/>
              </w:rPr>
            </w:pPr>
            <w:r>
              <w:rPr>
                <w:rFonts w:hint="eastAsia" w:ascii="宋体" w:hAnsi="宋体" w:cs="宋体"/>
                <w:sz w:val="24"/>
                <w:szCs w:val="24"/>
                <w:highlight w:val="none"/>
              </w:rPr>
              <w:t>2</w:t>
            </w:r>
          </w:p>
        </w:tc>
        <w:tc>
          <w:tcPr>
            <w:tcW w:w="704" w:type="pct"/>
            <w:tcBorders>
              <w:top w:val="single" w:color="auto" w:sz="4" w:space="0"/>
              <w:left w:val="single" w:color="auto" w:sz="4" w:space="0"/>
              <w:bottom w:val="single" w:color="auto" w:sz="4" w:space="0"/>
              <w:right w:val="single" w:color="auto" w:sz="4" w:space="0"/>
            </w:tcBorders>
            <w:vAlign w:val="center"/>
          </w:tcPr>
          <w:p w14:paraId="003CBC0D">
            <w:pPr>
              <w:snapToGrid w:val="0"/>
              <w:spacing w:line="360" w:lineRule="auto"/>
              <w:jc w:val="center"/>
              <w:rPr>
                <w:rFonts w:ascii="宋体" w:hAnsi="宋体" w:cs="宋体"/>
                <w:sz w:val="24"/>
                <w:szCs w:val="24"/>
                <w:highlight w:val="none"/>
              </w:rPr>
            </w:pPr>
            <w:r>
              <w:rPr>
                <w:rFonts w:hint="eastAsia" w:ascii="宋体" w:hAnsi="宋体" w:cs="宋体"/>
                <w:sz w:val="24"/>
                <w:szCs w:val="24"/>
                <w:highlight w:val="none"/>
              </w:rPr>
              <w:t>监护仪（2）</w:t>
            </w:r>
          </w:p>
        </w:tc>
        <w:tc>
          <w:tcPr>
            <w:tcW w:w="390" w:type="pct"/>
            <w:tcBorders>
              <w:top w:val="single" w:color="auto" w:sz="4" w:space="0"/>
              <w:left w:val="single" w:color="auto" w:sz="4" w:space="0"/>
              <w:bottom w:val="single" w:color="auto" w:sz="4" w:space="0"/>
              <w:right w:val="single" w:color="auto" w:sz="4" w:space="0"/>
            </w:tcBorders>
            <w:vAlign w:val="center"/>
          </w:tcPr>
          <w:p w14:paraId="46356A10">
            <w:pPr>
              <w:snapToGrid w:val="0"/>
              <w:spacing w:line="360" w:lineRule="auto"/>
              <w:jc w:val="center"/>
              <w:rPr>
                <w:rFonts w:ascii="宋体" w:hAnsi="宋体" w:cs="宋体"/>
                <w:sz w:val="24"/>
                <w:szCs w:val="24"/>
                <w:highlight w:val="none"/>
              </w:rPr>
            </w:pPr>
            <w:r>
              <w:rPr>
                <w:rFonts w:hint="eastAsia" w:ascii="宋体" w:hAnsi="宋体" w:cs="宋体"/>
                <w:sz w:val="24"/>
                <w:szCs w:val="24"/>
                <w:highlight w:val="none"/>
              </w:rPr>
              <w:t>台</w:t>
            </w:r>
          </w:p>
        </w:tc>
        <w:tc>
          <w:tcPr>
            <w:tcW w:w="439" w:type="pct"/>
            <w:tcBorders>
              <w:top w:val="single" w:color="auto" w:sz="4" w:space="0"/>
              <w:left w:val="single" w:color="auto" w:sz="4" w:space="0"/>
              <w:bottom w:val="single" w:color="auto" w:sz="4" w:space="0"/>
              <w:right w:val="single" w:color="auto" w:sz="4" w:space="0"/>
            </w:tcBorders>
            <w:vAlign w:val="center"/>
          </w:tcPr>
          <w:p w14:paraId="49E10F12">
            <w:pPr>
              <w:jc w:val="center"/>
              <w:rPr>
                <w:sz w:val="24"/>
                <w:szCs w:val="21"/>
                <w:highlight w:val="none"/>
              </w:rPr>
            </w:pPr>
            <w:r>
              <w:rPr>
                <w:rFonts w:hint="eastAsia"/>
                <w:sz w:val="24"/>
                <w:szCs w:val="21"/>
                <w:highlight w:val="none"/>
              </w:rPr>
              <w:t>10</w:t>
            </w:r>
          </w:p>
        </w:tc>
        <w:tc>
          <w:tcPr>
            <w:tcW w:w="3033" w:type="pct"/>
            <w:tcBorders>
              <w:top w:val="single" w:color="auto" w:sz="4" w:space="0"/>
              <w:left w:val="single" w:color="auto" w:sz="4" w:space="0"/>
              <w:bottom w:val="single" w:color="auto" w:sz="4" w:space="0"/>
              <w:right w:val="single" w:color="auto" w:sz="4" w:space="0"/>
            </w:tcBorders>
          </w:tcPr>
          <w:p w14:paraId="565BB270">
            <w:pPr>
              <w:snapToGrid w:val="0"/>
              <w:spacing w:line="300" w:lineRule="exact"/>
              <w:jc w:val="left"/>
              <w:rPr>
                <w:rFonts w:ascii="宋体" w:hAnsi="宋体" w:cs="宋体"/>
                <w:sz w:val="24"/>
                <w:szCs w:val="24"/>
                <w:highlight w:val="none"/>
              </w:rPr>
            </w:pPr>
            <w:r>
              <w:rPr>
                <w:rFonts w:hint="eastAsia" w:ascii="宋体" w:hAnsi="宋体" w:cs="宋体"/>
                <w:sz w:val="24"/>
                <w:szCs w:val="24"/>
                <w:highlight w:val="none"/>
              </w:rPr>
              <w:t>一、产品用途：用于床旁患者的生命体征参数监测，对异常参数进行实时报警，辅助临床决策。</w:t>
            </w:r>
          </w:p>
          <w:p w14:paraId="2A684E21">
            <w:pPr>
              <w:snapToGrid w:val="0"/>
              <w:spacing w:line="300" w:lineRule="exact"/>
              <w:jc w:val="left"/>
              <w:rPr>
                <w:rFonts w:ascii="宋体" w:hAnsi="宋体" w:cs="宋体"/>
                <w:sz w:val="24"/>
                <w:szCs w:val="24"/>
                <w:highlight w:val="none"/>
              </w:rPr>
            </w:pPr>
            <w:r>
              <w:rPr>
                <w:rFonts w:hint="eastAsia" w:ascii="宋体" w:hAnsi="宋体" w:cs="宋体"/>
                <w:sz w:val="24"/>
                <w:szCs w:val="24"/>
                <w:highlight w:val="none"/>
              </w:rPr>
              <w:t>二、技术参数</w:t>
            </w:r>
          </w:p>
          <w:p w14:paraId="14C56E87">
            <w:pPr>
              <w:snapToGrid w:val="0"/>
              <w:spacing w:line="300" w:lineRule="exact"/>
              <w:jc w:val="left"/>
              <w:rPr>
                <w:rFonts w:ascii="宋体" w:hAnsi="宋体" w:cs="宋体"/>
                <w:sz w:val="24"/>
                <w:szCs w:val="24"/>
                <w:highlight w:val="none"/>
              </w:rPr>
            </w:pPr>
            <w:r>
              <w:rPr>
                <w:rFonts w:hint="eastAsia" w:ascii="宋体" w:hAnsi="宋体" w:cs="宋体"/>
                <w:sz w:val="24"/>
                <w:szCs w:val="24"/>
                <w:highlight w:val="none"/>
              </w:rPr>
              <w:t>1、便携一体式监护仪,整机无风扇设计，降低环境噪音干扰；</w:t>
            </w:r>
          </w:p>
          <w:p w14:paraId="60CDDEEB">
            <w:pPr>
              <w:snapToGrid w:val="0"/>
              <w:spacing w:line="300" w:lineRule="exact"/>
              <w:jc w:val="left"/>
              <w:rPr>
                <w:rFonts w:ascii="宋体" w:hAnsi="宋体" w:cs="宋体"/>
                <w:sz w:val="24"/>
                <w:szCs w:val="24"/>
                <w:highlight w:val="none"/>
              </w:rPr>
            </w:pPr>
            <w:r>
              <w:rPr>
                <w:rFonts w:hint="eastAsia" w:ascii="宋体" w:hAnsi="宋体" w:cs="宋体"/>
                <w:sz w:val="24"/>
                <w:szCs w:val="24"/>
                <w:highlight w:val="none"/>
              </w:rPr>
              <w:t>★2、≥10寸彩色液晶电容触摸屏，分辨率≥1024*600，≥8通道波形显示，标配锂电池，工作时间≥4.5小时；</w:t>
            </w:r>
          </w:p>
          <w:p w14:paraId="78FDDEB5">
            <w:pPr>
              <w:snapToGrid w:val="0"/>
              <w:spacing w:line="300" w:lineRule="exact"/>
              <w:jc w:val="left"/>
              <w:rPr>
                <w:rFonts w:ascii="宋体" w:hAnsi="宋体" w:cs="宋体"/>
                <w:sz w:val="24"/>
                <w:szCs w:val="24"/>
                <w:highlight w:val="none"/>
              </w:rPr>
            </w:pPr>
            <w:r>
              <w:rPr>
                <w:rFonts w:hint="eastAsia" w:ascii="宋体" w:hAnsi="宋体" w:cs="宋体"/>
                <w:sz w:val="24"/>
                <w:szCs w:val="24"/>
                <w:highlight w:val="none"/>
              </w:rPr>
              <w:t>3、标准配置可监测心电，呼吸，无创血压，血氧饱和度，脉搏和体温，适用于成人、小儿和新生儿；</w:t>
            </w:r>
          </w:p>
          <w:p w14:paraId="372E1093">
            <w:pPr>
              <w:snapToGrid w:val="0"/>
              <w:spacing w:line="300" w:lineRule="exact"/>
              <w:jc w:val="left"/>
              <w:rPr>
                <w:rFonts w:ascii="宋体" w:hAnsi="宋体" w:cs="宋体"/>
                <w:sz w:val="24"/>
                <w:szCs w:val="24"/>
                <w:highlight w:val="none"/>
              </w:rPr>
            </w:pPr>
            <w:r>
              <w:rPr>
                <w:rFonts w:hint="eastAsia" w:ascii="宋体" w:hAnsi="宋体" w:cs="宋体"/>
                <w:sz w:val="24"/>
                <w:szCs w:val="24"/>
                <w:highlight w:val="none"/>
              </w:rPr>
              <w:t>★4、采用ECG多导同步分析；</w:t>
            </w:r>
          </w:p>
          <w:p w14:paraId="3C546A0C">
            <w:pPr>
              <w:snapToGrid w:val="0"/>
              <w:spacing w:line="300" w:lineRule="exact"/>
              <w:jc w:val="left"/>
              <w:rPr>
                <w:rFonts w:ascii="宋体" w:hAnsi="宋体" w:cs="宋体"/>
                <w:sz w:val="24"/>
                <w:szCs w:val="24"/>
                <w:highlight w:val="none"/>
              </w:rPr>
            </w:pPr>
            <w:r>
              <w:rPr>
                <w:rFonts w:hint="eastAsia" w:ascii="宋体" w:hAnsi="宋体" w:cs="宋体"/>
                <w:sz w:val="24"/>
                <w:szCs w:val="24"/>
                <w:highlight w:val="none"/>
              </w:rPr>
              <w:t>5.安全规格：ECG, TEMP, SPO</w:t>
            </w:r>
            <w:r>
              <w:rPr>
                <w:rFonts w:hint="eastAsia" w:ascii="宋体" w:hAnsi="宋体" w:cs="宋体"/>
                <w:sz w:val="24"/>
                <w:szCs w:val="24"/>
                <w:highlight w:val="none"/>
                <w:vertAlign w:val="subscript"/>
              </w:rPr>
              <w:t>2</w:t>
            </w:r>
            <w:r>
              <w:rPr>
                <w:rFonts w:hint="eastAsia" w:ascii="宋体" w:hAnsi="宋体" w:cs="宋体"/>
                <w:sz w:val="24"/>
                <w:szCs w:val="24"/>
                <w:highlight w:val="none"/>
              </w:rPr>
              <w:t xml:space="preserve"> ,NIBP监测参数抗电击程度为防除颤CF型；</w:t>
            </w:r>
          </w:p>
          <w:p w14:paraId="6F212F78">
            <w:pPr>
              <w:snapToGrid w:val="0"/>
              <w:spacing w:line="300" w:lineRule="exact"/>
              <w:jc w:val="left"/>
              <w:rPr>
                <w:rFonts w:ascii="宋体" w:hAnsi="宋体" w:cs="宋体"/>
                <w:sz w:val="24"/>
                <w:szCs w:val="24"/>
                <w:highlight w:val="none"/>
              </w:rPr>
            </w:pPr>
            <w:r>
              <w:rPr>
                <w:rFonts w:hint="eastAsia" w:ascii="宋体" w:hAnsi="宋体" w:cs="宋体"/>
                <w:sz w:val="24"/>
                <w:szCs w:val="24"/>
                <w:highlight w:val="none"/>
              </w:rPr>
              <w:t>6、提供手动，自动，连续、序列和整点5种测量模式；</w:t>
            </w:r>
          </w:p>
          <w:p w14:paraId="7807C206">
            <w:pPr>
              <w:snapToGrid w:val="0"/>
              <w:spacing w:line="300" w:lineRule="exact"/>
              <w:jc w:val="left"/>
              <w:rPr>
                <w:rFonts w:ascii="宋体" w:hAnsi="宋体" w:cs="宋体"/>
                <w:sz w:val="24"/>
                <w:szCs w:val="24"/>
                <w:highlight w:val="none"/>
              </w:rPr>
            </w:pPr>
            <w:r>
              <w:rPr>
                <w:rFonts w:hint="eastAsia" w:ascii="宋体" w:hAnsi="宋体" w:cs="宋体"/>
                <w:sz w:val="24"/>
                <w:szCs w:val="24"/>
                <w:highlight w:val="none"/>
              </w:rPr>
              <w:t>7、配置无创血压测量，适用于成人，小儿和新生儿。无创血压成人测量范围：收缩压25-290mmH；</w:t>
            </w:r>
          </w:p>
          <w:p w14:paraId="301A5B8D">
            <w:pPr>
              <w:snapToGrid w:val="0"/>
              <w:spacing w:line="300" w:lineRule="exact"/>
              <w:jc w:val="left"/>
              <w:rPr>
                <w:rFonts w:ascii="宋体" w:hAnsi="宋体" w:cs="宋体"/>
                <w:sz w:val="24"/>
                <w:szCs w:val="24"/>
                <w:highlight w:val="none"/>
              </w:rPr>
            </w:pPr>
            <w:r>
              <w:rPr>
                <w:rFonts w:hint="eastAsia" w:ascii="宋体" w:hAnsi="宋体" w:cs="宋体"/>
                <w:sz w:val="24"/>
                <w:szCs w:val="24"/>
                <w:highlight w:val="none"/>
              </w:rPr>
              <w:t>8、支持USB外部存储，支持≥2400小时趋势数据的存储与回顾功能，支持≥5000组无创血压测量记录，≥120小时全息波形的存储与回顾功能；</w:t>
            </w:r>
          </w:p>
          <w:p w14:paraId="57DAB9A6">
            <w:pPr>
              <w:snapToGrid w:val="0"/>
              <w:spacing w:line="300" w:lineRule="exact"/>
              <w:jc w:val="left"/>
              <w:rPr>
                <w:rFonts w:ascii="宋体" w:hAnsi="宋体" w:cs="宋体"/>
                <w:sz w:val="24"/>
                <w:szCs w:val="24"/>
                <w:highlight w:val="none"/>
              </w:rPr>
            </w:pPr>
            <w:r>
              <w:rPr>
                <w:rFonts w:hint="eastAsia" w:ascii="宋体" w:hAnsi="宋体" w:cs="宋体"/>
                <w:sz w:val="24"/>
                <w:szCs w:val="24"/>
                <w:highlight w:val="none"/>
              </w:rPr>
              <w:t>★9.提供SPO</w:t>
            </w:r>
            <w:r>
              <w:rPr>
                <w:rFonts w:hint="eastAsia" w:ascii="宋体" w:hAnsi="宋体" w:cs="宋体"/>
                <w:sz w:val="24"/>
                <w:szCs w:val="24"/>
                <w:highlight w:val="none"/>
                <w:vertAlign w:val="subscript"/>
              </w:rPr>
              <w:t>2</w:t>
            </w:r>
            <w:r>
              <w:rPr>
                <w:rFonts w:hint="eastAsia" w:ascii="宋体" w:hAnsi="宋体" w:cs="宋体"/>
                <w:sz w:val="24"/>
                <w:szCs w:val="24"/>
                <w:highlight w:val="none"/>
              </w:rPr>
              <w:t>和PR的实时监测，来自SPO</w:t>
            </w:r>
            <w:r>
              <w:rPr>
                <w:rFonts w:hint="eastAsia" w:ascii="宋体" w:hAnsi="宋体" w:cs="宋体"/>
                <w:sz w:val="24"/>
                <w:szCs w:val="24"/>
                <w:highlight w:val="none"/>
                <w:vertAlign w:val="subscript"/>
              </w:rPr>
              <w:t>2</w:t>
            </w:r>
            <w:r>
              <w:rPr>
                <w:rFonts w:hint="eastAsia" w:ascii="宋体" w:hAnsi="宋体" w:cs="宋体"/>
                <w:sz w:val="24"/>
                <w:szCs w:val="24"/>
                <w:highlight w:val="none"/>
              </w:rPr>
              <w:t>的PR测量范围：20-300；</w:t>
            </w:r>
          </w:p>
          <w:p w14:paraId="622628AF">
            <w:pPr>
              <w:snapToGrid w:val="0"/>
              <w:spacing w:line="300" w:lineRule="exact"/>
              <w:jc w:val="left"/>
              <w:rPr>
                <w:rFonts w:ascii="宋体" w:hAnsi="宋体" w:cs="宋体"/>
                <w:sz w:val="24"/>
                <w:szCs w:val="24"/>
                <w:highlight w:val="none"/>
              </w:rPr>
            </w:pPr>
            <w:r>
              <w:rPr>
                <w:rFonts w:hint="eastAsia" w:ascii="宋体" w:hAnsi="宋体" w:cs="宋体"/>
                <w:sz w:val="24"/>
                <w:szCs w:val="24"/>
                <w:highlight w:val="none"/>
              </w:rPr>
              <w:t>★10.</w:t>
            </w:r>
            <w:r>
              <w:rPr>
                <w:rFonts w:hint="eastAsia" w:ascii="宋体" w:hAnsi="宋体" w:cs="宋体"/>
                <w:sz w:val="24"/>
                <w:szCs w:val="24"/>
                <w:highlight w:val="none"/>
                <w:lang w:eastAsia="zh-CN"/>
              </w:rPr>
              <w:t>支持所有监测参数报警限一键自动设置功能</w:t>
            </w:r>
            <w:r>
              <w:rPr>
                <w:rFonts w:hint="eastAsia" w:ascii="宋体" w:hAnsi="宋体" w:cs="宋体"/>
                <w:sz w:val="24"/>
                <w:szCs w:val="24"/>
                <w:highlight w:val="none"/>
              </w:rPr>
              <w:t>；</w:t>
            </w:r>
          </w:p>
          <w:p w14:paraId="66E6CB3F">
            <w:pPr>
              <w:snapToGrid w:val="0"/>
              <w:spacing w:line="300" w:lineRule="exact"/>
              <w:jc w:val="left"/>
              <w:rPr>
                <w:rFonts w:ascii="宋体" w:hAnsi="宋体" w:cs="宋体"/>
                <w:sz w:val="24"/>
                <w:szCs w:val="24"/>
                <w:highlight w:val="none"/>
              </w:rPr>
            </w:pPr>
            <w:r>
              <w:rPr>
                <w:rFonts w:hint="eastAsia" w:ascii="宋体" w:hAnsi="宋体" w:cs="宋体"/>
                <w:sz w:val="24"/>
                <w:szCs w:val="24"/>
                <w:highlight w:val="none"/>
              </w:rPr>
              <w:t>11.具有图形化技术报警指示功能，快速识别报警来源。</w:t>
            </w:r>
          </w:p>
          <w:p w14:paraId="5D8F8C3F">
            <w:pPr>
              <w:snapToGrid w:val="0"/>
              <w:spacing w:line="300" w:lineRule="exact"/>
              <w:jc w:val="left"/>
              <w:rPr>
                <w:rFonts w:ascii="宋体" w:hAnsi="宋体" w:cs="宋体"/>
                <w:sz w:val="24"/>
                <w:szCs w:val="24"/>
                <w:highlight w:val="none"/>
              </w:rPr>
            </w:pPr>
            <w:r>
              <w:rPr>
                <w:rFonts w:hint="eastAsia" w:ascii="宋体" w:hAnsi="宋体" w:cs="宋体"/>
                <w:sz w:val="24"/>
                <w:szCs w:val="24"/>
                <w:highlight w:val="none"/>
              </w:rPr>
              <w:t>★12.具备但不限于监护模式、待机模式、演示模式、夜间模式、隐私模式；</w:t>
            </w:r>
          </w:p>
          <w:p w14:paraId="6435864A">
            <w:pPr>
              <w:snapToGrid w:val="0"/>
              <w:spacing w:line="300" w:lineRule="exact"/>
              <w:jc w:val="left"/>
              <w:rPr>
                <w:rFonts w:ascii="宋体" w:hAnsi="宋体" w:cs="宋体"/>
                <w:sz w:val="24"/>
                <w:szCs w:val="24"/>
                <w:highlight w:val="none"/>
              </w:rPr>
            </w:pPr>
            <w:r>
              <w:rPr>
                <w:rFonts w:hint="eastAsia" w:ascii="宋体" w:hAnsi="宋体" w:cs="宋体"/>
                <w:sz w:val="24"/>
                <w:szCs w:val="24"/>
                <w:highlight w:val="none"/>
              </w:rPr>
              <w:t>13.支持格拉斯哥昏迷评分（GCS）功能；</w:t>
            </w:r>
          </w:p>
          <w:p w14:paraId="32E01BD8">
            <w:pPr>
              <w:snapToGrid w:val="0"/>
              <w:spacing w:line="300" w:lineRule="exact"/>
              <w:jc w:val="left"/>
              <w:rPr>
                <w:rFonts w:ascii="宋体" w:hAnsi="宋体" w:cs="宋体"/>
                <w:sz w:val="24"/>
                <w:szCs w:val="24"/>
                <w:highlight w:val="none"/>
              </w:rPr>
            </w:pPr>
            <w:r>
              <w:rPr>
                <w:rFonts w:hint="eastAsia" w:ascii="宋体" w:hAnsi="宋体" w:cs="宋体"/>
                <w:sz w:val="24"/>
                <w:szCs w:val="24"/>
                <w:highlight w:val="none"/>
              </w:rPr>
              <w:t>14.动态趋势界面可支持统计1-24小时心律失常报警、参数超限报警信息，并对超限报警区间的波形进行高亮显示，快速识别异常趋势信息；</w:t>
            </w:r>
          </w:p>
          <w:p w14:paraId="46706EFB">
            <w:pPr>
              <w:snapToGrid w:val="0"/>
              <w:spacing w:line="300" w:lineRule="exact"/>
              <w:jc w:val="left"/>
              <w:rPr>
                <w:rFonts w:ascii="宋体" w:hAnsi="宋体" w:cs="宋体"/>
                <w:sz w:val="24"/>
                <w:szCs w:val="24"/>
                <w:highlight w:val="none"/>
              </w:rPr>
            </w:pPr>
            <w:r>
              <w:rPr>
                <w:rFonts w:hint="eastAsia" w:ascii="宋体" w:hAnsi="宋体" w:cs="宋体"/>
                <w:sz w:val="24"/>
                <w:szCs w:val="24"/>
                <w:highlight w:val="none"/>
              </w:rPr>
              <w:t>15.；</w:t>
            </w:r>
          </w:p>
          <w:p w14:paraId="2809A860">
            <w:pPr>
              <w:snapToGrid w:val="0"/>
              <w:spacing w:line="300" w:lineRule="exact"/>
              <w:jc w:val="left"/>
              <w:rPr>
                <w:rFonts w:ascii="宋体" w:hAnsi="宋体" w:cs="宋体"/>
                <w:sz w:val="24"/>
                <w:szCs w:val="24"/>
                <w:highlight w:val="none"/>
              </w:rPr>
            </w:pPr>
            <w:r>
              <w:rPr>
                <w:rFonts w:hint="eastAsia" w:ascii="宋体" w:hAnsi="宋体" w:cs="宋体"/>
                <w:sz w:val="24"/>
                <w:szCs w:val="24"/>
                <w:highlight w:val="none"/>
              </w:rPr>
              <w:t>16.支持监护仪的系统日志向U盘设备的导出功能；</w:t>
            </w:r>
          </w:p>
          <w:p w14:paraId="37120B1A">
            <w:pPr>
              <w:snapToGrid w:val="0"/>
              <w:spacing w:line="300" w:lineRule="exact"/>
              <w:jc w:val="left"/>
              <w:rPr>
                <w:rFonts w:ascii="宋体" w:hAnsi="宋体" w:cs="宋体"/>
                <w:sz w:val="24"/>
                <w:szCs w:val="24"/>
                <w:highlight w:val="none"/>
              </w:rPr>
            </w:pPr>
            <w:r>
              <w:rPr>
                <w:rFonts w:hint="eastAsia" w:ascii="宋体" w:hAnsi="宋体" w:cs="宋体"/>
                <w:sz w:val="24"/>
                <w:szCs w:val="24"/>
                <w:highlight w:val="none"/>
              </w:rPr>
              <w:t>17.主机集成附件收纳箱，支持将心电、血氧和无创血压等导联线附件进行收纳放置；</w:t>
            </w:r>
          </w:p>
          <w:p w14:paraId="2D135FC1">
            <w:pPr>
              <w:snapToGrid w:val="0"/>
              <w:spacing w:line="300" w:lineRule="exact"/>
              <w:jc w:val="left"/>
              <w:rPr>
                <w:rFonts w:ascii="宋体" w:hAnsi="宋体" w:cs="宋体"/>
                <w:sz w:val="24"/>
                <w:szCs w:val="24"/>
                <w:highlight w:val="none"/>
              </w:rPr>
            </w:pPr>
            <w:r>
              <w:rPr>
                <w:rFonts w:hint="eastAsia" w:ascii="宋体" w:hAnsi="宋体" w:cs="宋体"/>
                <w:sz w:val="24"/>
                <w:szCs w:val="24"/>
                <w:highlight w:val="none"/>
              </w:rPr>
              <w:t>18.单台配置要求</w:t>
            </w:r>
          </w:p>
          <w:p w14:paraId="783115D3">
            <w:pPr>
              <w:snapToGrid w:val="0"/>
              <w:spacing w:line="300" w:lineRule="exact"/>
              <w:jc w:val="left"/>
              <w:rPr>
                <w:rFonts w:ascii="宋体" w:hAnsi="宋体" w:cs="宋体"/>
                <w:sz w:val="24"/>
                <w:szCs w:val="24"/>
                <w:highlight w:val="none"/>
              </w:rPr>
            </w:pPr>
            <w:r>
              <w:rPr>
                <w:rFonts w:hint="eastAsia" w:ascii="宋体" w:hAnsi="宋体" w:cs="宋体"/>
                <w:sz w:val="24"/>
                <w:szCs w:val="24"/>
                <w:highlight w:val="none"/>
              </w:rPr>
              <w:t>监护仪主机*1台</w:t>
            </w:r>
          </w:p>
          <w:p w14:paraId="31C2C531">
            <w:pPr>
              <w:snapToGrid w:val="0"/>
              <w:spacing w:line="300" w:lineRule="exact"/>
              <w:jc w:val="left"/>
              <w:rPr>
                <w:rFonts w:ascii="宋体" w:hAnsi="宋体" w:cs="宋体"/>
                <w:sz w:val="24"/>
                <w:szCs w:val="24"/>
                <w:highlight w:val="none"/>
              </w:rPr>
            </w:pPr>
            <w:r>
              <w:rPr>
                <w:rFonts w:hint="eastAsia" w:ascii="宋体" w:hAnsi="宋体" w:cs="宋体"/>
                <w:sz w:val="24"/>
                <w:szCs w:val="24"/>
                <w:highlight w:val="none"/>
              </w:rPr>
              <w:t>记录仪*1台</w:t>
            </w:r>
          </w:p>
          <w:p w14:paraId="4444CD7C">
            <w:pPr>
              <w:snapToGrid w:val="0"/>
              <w:spacing w:line="300" w:lineRule="exact"/>
              <w:jc w:val="left"/>
              <w:rPr>
                <w:rFonts w:ascii="宋体" w:hAnsi="宋体" w:cs="宋体"/>
                <w:color w:val="000000"/>
                <w:sz w:val="24"/>
                <w:szCs w:val="24"/>
                <w:highlight w:val="none"/>
              </w:rPr>
            </w:pPr>
            <w:r>
              <w:rPr>
                <w:rFonts w:hint="eastAsia" w:ascii="宋体" w:hAnsi="宋体" w:cs="宋体"/>
                <w:sz w:val="24"/>
                <w:szCs w:val="24"/>
                <w:highlight w:val="none"/>
              </w:rPr>
              <w:t>配套附件*1套</w:t>
            </w:r>
          </w:p>
        </w:tc>
      </w:tr>
      <w:tr w14:paraId="411378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tcBorders>
              <w:top w:val="single" w:color="auto" w:sz="4" w:space="0"/>
              <w:left w:val="single" w:color="auto" w:sz="4" w:space="0"/>
              <w:bottom w:val="single" w:color="auto" w:sz="4" w:space="0"/>
              <w:right w:val="single" w:color="auto" w:sz="4" w:space="0"/>
            </w:tcBorders>
            <w:vAlign w:val="center"/>
          </w:tcPr>
          <w:p w14:paraId="37456038">
            <w:pPr>
              <w:snapToGrid w:val="0"/>
              <w:spacing w:line="360" w:lineRule="auto"/>
              <w:jc w:val="center"/>
              <w:rPr>
                <w:rFonts w:ascii="宋体" w:hAnsi="宋体" w:cs="宋体"/>
                <w:sz w:val="24"/>
                <w:szCs w:val="24"/>
                <w:highlight w:val="none"/>
              </w:rPr>
            </w:pPr>
            <w:r>
              <w:rPr>
                <w:rFonts w:hint="eastAsia" w:ascii="宋体" w:hAnsi="宋体" w:cs="宋体"/>
                <w:sz w:val="24"/>
                <w:szCs w:val="24"/>
                <w:highlight w:val="none"/>
              </w:rPr>
              <w:t>3</w:t>
            </w:r>
          </w:p>
        </w:tc>
        <w:tc>
          <w:tcPr>
            <w:tcW w:w="704" w:type="pct"/>
            <w:tcBorders>
              <w:top w:val="single" w:color="auto" w:sz="4" w:space="0"/>
              <w:left w:val="single" w:color="auto" w:sz="4" w:space="0"/>
              <w:bottom w:val="single" w:color="auto" w:sz="4" w:space="0"/>
              <w:right w:val="single" w:color="auto" w:sz="4" w:space="0"/>
            </w:tcBorders>
            <w:vAlign w:val="center"/>
          </w:tcPr>
          <w:p w14:paraId="6918951D">
            <w:pPr>
              <w:snapToGrid w:val="0"/>
              <w:spacing w:line="360" w:lineRule="auto"/>
              <w:jc w:val="center"/>
              <w:rPr>
                <w:rFonts w:ascii="宋体" w:hAnsi="宋体" w:cs="宋体"/>
                <w:sz w:val="24"/>
                <w:szCs w:val="24"/>
                <w:highlight w:val="none"/>
              </w:rPr>
            </w:pPr>
            <w:r>
              <w:rPr>
                <w:rFonts w:hint="eastAsia" w:ascii="宋体" w:hAnsi="宋体" w:cs="宋体"/>
                <w:sz w:val="24"/>
                <w:szCs w:val="24"/>
                <w:highlight w:val="none"/>
              </w:rPr>
              <w:t>监护仪（3）</w:t>
            </w:r>
          </w:p>
        </w:tc>
        <w:tc>
          <w:tcPr>
            <w:tcW w:w="390" w:type="pct"/>
            <w:tcBorders>
              <w:top w:val="single" w:color="auto" w:sz="4" w:space="0"/>
              <w:left w:val="single" w:color="auto" w:sz="4" w:space="0"/>
              <w:bottom w:val="single" w:color="auto" w:sz="4" w:space="0"/>
              <w:right w:val="single" w:color="auto" w:sz="4" w:space="0"/>
            </w:tcBorders>
            <w:vAlign w:val="center"/>
          </w:tcPr>
          <w:p w14:paraId="6956246F">
            <w:pPr>
              <w:snapToGrid w:val="0"/>
              <w:spacing w:line="360" w:lineRule="auto"/>
              <w:jc w:val="center"/>
              <w:rPr>
                <w:rFonts w:ascii="宋体" w:hAnsi="宋体" w:cs="宋体"/>
                <w:sz w:val="24"/>
                <w:szCs w:val="24"/>
                <w:highlight w:val="none"/>
              </w:rPr>
            </w:pPr>
            <w:r>
              <w:rPr>
                <w:rFonts w:hint="eastAsia" w:ascii="宋体" w:hAnsi="宋体" w:cs="宋体"/>
                <w:sz w:val="24"/>
                <w:szCs w:val="24"/>
                <w:highlight w:val="none"/>
              </w:rPr>
              <w:t>台</w:t>
            </w:r>
          </w:p>
        </w:tc>
        <w:tc>
          <w:tcPr>
            <w:tcW w:w="439" w:type="pct"/>
            <w:tcBorders>
              <w:top w:val="single" w:color="auto" w:sz="4" w:space="0"/>
              <w:left w:val="single" w:color="auto" w:sz="4" w:space="0"/>
              <w:bottom w:val="single" w:color="auto" w:sz="4" w:space="0"/>
              <w:right w:val="single" w:color="auto" w:sz="4" w:space="0"/>
            </w:tcBorders>
            <w:vAlign w:val="center"/>
          </w:tcPr>
          <w:p w14:paraId="7C0792F0">
            <w:pPr>
              <w:jc w:val="center"/>
              <w:rPr>
                <w:sz w:val="24"/>
                <w:szCs w:val="21"/>
                <w:highlight w:val="none"/>
              </w:rPr>
            </w:pPr>
            <w:r>
              <w:rPr>
                <w:rFonts w:hint="eastAsia"/>
                <w:sz w:val="24"/>
                <w:szCs w:val="21"/>
                <w:highlight w:val="none"/>
              </w:rPr>
              <w:t>3</w:t>
            </w:r>
          </w:p>
        </w:tc>
        <w:tc>
          <w:tcPr>
            <w:tcW w:w="3033" w:type="pct"/>
            <w:tcBorders>
              <w:top w:val="single" w:color="auto" w:sz="4" w:space="0"/>
              <w:left w:val="single" w:color="auto" w:sz="4" w:space="0"/>
              <w:bottom w:val="single" w:color="auto" w:sz="4" w:space="0"/>
              <w:right w:val="single" w:color="auto" w:sz="4" w:space="0"/>
            </w:tcBorders>
          </w:tcPr>
          <w:p w14:paraId="28B6962A">
            <w:pPr>
              <w:snapToGrid w:val="0"/>
              <w:spacing w:line="300" w:lineRule="exact"/>
              <w:jc w:val="left"/>
              <w:rPr>
                <w:rFonts w:ascii="宋体" w:hAnsi="宋体" w:cs="宋体"/>
                <w:sz w:val="24"/>
                <w:szCs w:val="24"/>
                <w:highlight w:val="none"/>
              </w:rPr>
            </w:pPr>
            <w:r>
              <w:rPr>
                <w:rFonts w:hint="eastAsia" w:ascii="宋体" w:hAnsi="宋体" w:cs="宋体"/>
                <w:sz w:val="24"/>
                <w:szCs w:val="24"/>
                <w:highlight w:val="none"/>
              </w:rPr>
              <w:t>一、产品用途：用于床旁患者的生命体征参数监测，对异常参数进行实时报警，辅助临床决策。</w:t>
            </w:r>
          </w:p>
          <w:p w14:paraId="05227B82">
            <w:pPr>
              <w:snapToGrid w:val="0"/>
              <w:spacing w:line="300" w:lineRule="exact"/>
              <w:jc w:val="left"/>
              <w:rPr>
                <w:rFonts w:ascii="宋体" w:hAnsi="宋体" w:cs="宋体"/>
                <w:sz w:val="24"/>
                <w:szCs w:val="24"/>
                <w:highlight w:val="none"/>
              </w:rPr>
            </w:pPr>
            <w:r>
              <w:rPr>
                <w:rFonts w:hint="eastAsia" w:ascii="宋体" w:hAnsi="宋体" w:cs="宋体"/>
                <w:sz w:val="24"/>
                <w:szCs w:val="24"/>
                <w:highlight w:val="none"/>
              </w:rPr>
              <w:t>二、技术参数</w:t>
            </w:r>
          </w:p>
          <w:p w14:paraId="4C937BAC">
            <w:pPr>
              <w:snapToGrid w:val="0"/>
              <w:spacing w:line="300" w:lineRule="exact"/>
              <w:jc w:val="left"/>
              <w:rPr>
                <w:rFonts w:ascii="宋体" w:hAnsi="宋体" w:cs="宋体"/>
                <w:sz w:val="24"/>
                <w:szCs w:val="24"/>
                <w:highlight w:val="none"/>
              </w:rPr>
            </w:pPr>
            <w:r>
              <w:rPr>
                <w:rFonts w:hint="eastAsia" w:ascii="宋体" w:hAnsi="宋体" w:cs="宋体"/>
                <w:sz w:val="24"/>
                <w:szCs w:val="24"/>
                <w:highlight w:val="none"/>
              </w:rPr>
              <w:t>1、便携一体式监护仪,整机无风扇设计，降低环境噪音干扰；</w:t>
            </w:r>
          </w:p>
          <w:p w14:paraId="1E4C53D4">
            <w:pPr>
              <w:snapToGrid w:val="0"/>
              <w:spacing w:line="300" w:lineRule="exact"/>
              <w:jc w:val="left"/>
              <w:rPr>
                <w:rFonts w:ascii="宋体" w:hAnsi="宋体" w:cs="宋体"/>
                <w:sz w:val="24"/>
                <w:szCs w:val="24"/>
                <w:highlight w:val="none"/>
              </w:rPr>
            </w:pPr>
            <w:r>
              <w:rPr>
                <w:rFonts w:hint="eastAsia" w:ascii="宋体" w:hAnsi="宋体" w:cs="宋体"/>
                <w:sz w:val="24"/>
                <w:szCs w:val="24"/>
                <w:highlight w:val="none"/>
              </w:rPr>
              <w:t>★2、≥10寸彩色液晶电容触摸屏，分辨率≥1024*600，≥8通道波形显示，标配锂电池，工作时间≥4.5小时；</w:t>
            </w:r>
          </w:p>
          <w:p w14:paraId="6181F56F">
            <w:pPr>
              <w:snapToGrid w:val="0"/>
              <w:spacing w:line="300" w:lineRule="exact"/>
              <w:jc w:val="left"/>
              <w:rPr>
                <w:rFonts w:ascii="宋体" w:hAnsi="宋体" w:cs="宋体"/>
                <w:sz w:val="24"/>
                <w:szCs w:val="24"/>
                <w:highlight w:val="none"/>
              </w:rPr>
            </w:pPr>
            <w:r>
              <w:rPr>
                <w:rFonts w:hint="eastAsia" w:ascii="宋体" w:hAnsi="宋体" w:cs="宋体"/>
                <w:sz w:val="24"/>
                <w:szCs w:val="24"/>
                <w:highlight w:val="none"/>
              </w:rPr>
              <w:t>3、标准配置可监测心电，呼吸，无创血压，血氧饱和度，脉搏和体温，适用于成人、小儿和新生儿；</w:t>
            </w:r>
          </w:p>
          <w:p w14:paraId="4EF163D8">
            <w:pPr>
              <w:snapToGrid w:val="0"/>
              <w:spacing w:line="300" w:lineRule="exact"/>
              <w:jc w:val="left"/>
              <w:rPr>
                <w:rFonts w:ascii="宋体" w:hAnsi="宋体" w:cs="宋体"/>
                <w:sz w:val="24"/>
                <w:szCs w:val="24"/>
                <w:highlight w:val="none"/>
              </w:rPr>
            </w:pPr>
            <w:r>
              <w:rPr>
                <w:rFonts w:hint="eastAsia" w:ascii="宋体" w:hAnsi="宋体" w:cs="宋体"/>
                <w:sz w:val="24"/>
                <w:szCs w:val="24"/>
                <w:highlight w:val="none"/>
              </w:rPr>
              <w:t>★4、采用ECG多导同步分析；</w:t>
            </w:r>
          </w:p>
          <w:p w14:paraId="5CB19CBD">
            <w:pPr>
              <w:snapToGrid w:val="0"/>
              <w:spacing w:line="300" w:lineRule="exact"/>
              <w:jc w:val="left"/>
              <w:rPr>
                <w:rFonts w:ascii="宋体" w:hAnsi="宋体" w:cs="宋体"/>
                <w:sz w:val="24"/>
                <w:szCs w:val="24"/>
                <w:highlight w:val="none"/>
              </w:rPr>
            </w:pPr>
            <w:r>
              <w:rPr>
                <w:rFonts w:hint="eastAsia" w:ascii="宋体" w:hAnsi="宋体" w:cs="宋体"/>
                <w:sz w:val="24"/>
                <w:szCs w:val="24"/>
                <w:highlight w:val="none"/>
              </w:rPr>
              <w:t>5.安全规格：ECG, TEMP, SPO</w:t>
            </w:r>
            <w:r>
              <w:rPr>
                <w:rFonts w:hint="eastAsia" w:ascii="宋体" w:hAnsi="宋体" w:cs="宋体"/>
                <w:sz w:val="24"/>
                <w:szCs w:val="24"/>
                <w:highlight w:val="none"/>
                <w:vertAlign w:val="subscript"/>
              </w:rPr>
              <w:t>2</w:t>
            </w:r>
            <w:r>
              <w:rPr>
                <w:rFonts w:hint="eastAsia" w:ascii="宋体" w:hAnsi="宋体" w:cs="宋体"/>
                <w:sz w:val="24"/>
                <w:szCs w:val="24"/>
                <w:highlight w:val="none"/>
              </w:rPr>
              <w:t xml:space="preserve"> ,NIBP监测参数抗电击程度为防除颤CF型；</w:t>
            </w:r>
          </w:p>
          <w:p w14:paraId="2EB1FF8A">
            <w:pPr>
              <w:snapToGrid w:val="0"/>
              <w:spacing w:line="300" w:lineRule="exact"/>
              <w:jc w:val="left"/>
              <w:rPr>
                <w:rFonts w:ascii="宋体" w:hAnsi="宋体" w:cs="宋体"/>
                <w:sz w:val="24"/>
                <w:szCs w:val="24"/>
                <w:highlight w:val="none"/>
              </w:rPr>
            </w:pPr>
            <w:r>
              <w:rPr>
                <w:rFonts w:hint="eastAsia" w:ascii="宋体" w:hAnsi="宋体" w:cs="宋体"/>
                <w:sz w:val="24"/>
                <w:szCs w:val="24"/>
                <w:highlight w:val="none"/>
              </w:rPr>
              <w:t>6、提供手动，自动，连续、序列和整点5种测量模式；</w:t>
            </w:r>
          </w:p>
          <w:p w14:paraId="2302DBC4">
            <w:pPr>
              <w:snapToGrid w:val="0"/>
              <w:spacing w:line="300" w:lineRule="exact"/>
              <w:jc w:val="left"/>
              <w:rPr>
                <w:rFonts w:ascii="宋体" w:hAnsi="宋体" w:cs="宋体"/>
                <w:sz w:val="24"/>
                <w:szCs w:val="24"/>
                <w:highlight w:val="none"/>
              </w:rPr>
            </w:pPr>
            <w:r>
              <w:rPr>
                <w:rFonts w:hint="eastAsia" w:ascii="宋体" w:hAnsi="宋体" w:cs="宋体"/>
                <w:sz w:val="24"/>
                <w:szCs w:val="24"/>
                <w:highlight w:val="none"/>
              </w:rPr>
              <w:t>7、配置无创血压测量，适用于成人，小儿和新生儿。无创血压成人测量范围：收缩压25-290mmH；</w:t>
            </w:r>
          </w:p>
          <w:p w14:paraId="1379721D">
            <w:pPr>
              <w:snapToGrid w:val="0"/>
              <w:spacing w:line="300" w:lineRule="exact"/>
              <w:jc w:val="left"/>
              <w:rPr>
                <w:rFonts w:ascii="宋体" w:hAnsi="宋体" w:cs="宋体"/>
                <w:sz w:val="24"/>
                <w:szCs w:val="24"/>
                <w:highlight w:val="none"/>
              </w:rPr>
            </w:pPr>
            <w:r>
              <w:rPr>
                <w:rFonts w:hint="eastAsia" w:ascii="宋体" w:hAnsi="宋体" w:cs="宋体"/>
                <w:sz w:val="24"/>
                <w:szCs w:val="24"/>
                <w:highlight w:val="none"/>
              </w:rPr>
              <w:t>8、支持USB外部存储，支持≥2400小时趋势数据的存储与回顾功能，支持≥5000组无创血压测量记录，≥120小时全息波形的存储与回顾功能；</w:t>
            </w:r>
          </w:p>
          <w:p w14:paraId="021765F9">
            <w:pPr>
              <w:snapToGrid w:val="0"/>
              <w:spacing w:line="300" w:lineRule="exact"/>
              <w:jc w:val="left"/>
              <w:rPr>
                <w:rFonts w:ascii="宋体" w:hAnsi="宋体" w:cs="宋体"/>
                <w:sz w:val="24"/>
                <w:szCs w:val="24"/>
                <w:highlight w:val="none"/>
              </w:rPr>
            </w:pPr>
            <w:r>
              <w:rPr>
                <w:rFonts w:hint="eastAsia" w:ascii="宋体" w:hAnsi="宋体" w:cs="宋体"/>
                <w:sz w:val="24"/>
                <w:szCs w:val="24"/>
                <w:highlight w:val="none"/>
              </w:rPr>
              <w:t>★9.提供SPO</w:t>
            </w:r>
            <w:r>
              <w:rPr>
                <w:rFonts w:hint="eastAsia" w:ascii="宋体" w:hAnsi="宋体" w:cs="宋体"/>
                <w:sz w:val="24"/>
                <w:szCs w:val="24"/>
                <w:highlight w:val="none"/>
                <w:vertAlign w:val="subscript"/>
              </w:rPr>
              <w:t>2</w:t>
            </w:r>
            <w:r>
              <w:rPr>
                <w:rFonts w:hint="eastAsia" w:ascii="宋体" w:hAnsi="宋体" w:cs="宋体"/>
                <w:sz w:val="24"/>
                <w:szCs w:val="24"/>
                <w:highlight w:val="none"/>
              </w:rPr>
              <w:t>和PR的实时监测，来自SPO</w:t>
            </w:r>
            <w:r>
              <w:rPr>
                <w:rFonts w:hint="eastAsia" w:ascii="宋体" w:hAnsi="宋体" w:cs="宋体"/>
                <w:sz w:val="24"/>
                <w:szCs w:val="24"/>
                <w:highlight w:val="none"/>
                <w:vertAlign w:val="subscript"/>
              </w:rPr>
              <w:t>2</w:t>
            </w:r>
            <w:r>
              <w:rPr>
                <w:rFonts w:hint="eastAsia" w:ascii="宋体" w:hAnsi="宋体" w:cs="宋体"/>
                <w:sz w:val="24"/>
                <w:szCs w:val="24"/>
                <w:highlight w:val="none"/>
              </w:rPr>
              <w:t>的PR测量范围：20-300；</w:t>
            </w:r>
          </w:p>
          <w:p w14:paraId="0D88394C">
            <w:pPr>
              <w:snapToGrid w:val="0"/>
              <w:spacing w:line="300" w:lineRule="exact"/>
              <w:jc w:val="left"/>
              <w:rPr>
                <w:rFonts w:ascii="宋体" w:hAnsi="宋体" w:cs="宋体"/>
                <w:sz w:val="24"/>
                <w:szCs w:val="24"/>
                <w:highlight w:val="none"/>
              </w:rPr>
            </w:pPr>
            <w:r>
              <w:rPr>
                <w:rFonts w:hint="eastAsia" w:ascii="宋体" w:hAnsi="宋体" w:cs="宋体"/>
                <w:sz w:val="24"/>
                <w:szCs w:val="24"/>
                <w:highlight w:val="none"/>
              </w:rPr>
              <w:t>★10.</w:t>
            </w:r>
            <w:r>
              <w:rPr>
                <w:rFonts w:hint="eastAsia" w:ascii="宋体" w:hAnsi="宋体" w:cs="宋体"/>
                <w:sz w:val="24"/>
                <w:szCs w:val="24"/>
                <w:highlight w:val="none"/>
                <w:lang w:eastAsia="zh-CN"/>
              </w:rPr>
              <w:t>支持所有监</w:t>
            </w:r>
            <w:bookmarkStart w:id="11" w:name="_GoBack"/>
            <w:bookmarkEnd w:id="11"/>
            <w:r>
              <w:rPr>
                <w:rFonts w:hint="eastAsia" w:ascii="宋体" w:hAnsi="宋体" w:cs="宋体"/>
                <w:sz w:val="24"/>
                <w:szCs w:val="24"/>
                <w:highlight w:val="none"/>
                <w:lang w:eastAsia="zh-CN"/>
              </w:rPr>
              <w:t>测参数报警限一键自动设置功能</w:t>
            </w:r>
            <w:r>
              <w:rPr>
                <w:rFonts w:hint="eastAsia" w:ascii="宋体" w:hAnsi="宋体" w:cs="宋体"/>
                <w:sz w:val="24"/>
                <w:szCs w:val="24"/>
                <w:highlight w:val="none"/>
              </w:rPr>
              <w:t>；</w:t>
            </w:r>
          </w:p>
          <w:p w14:paraId="1377421E">
            <w:pPr>
              <w:snapToGrid w:val="0"/>
              <w:spacing w:line="300" w:lineRule="exact"/>
              <w:jc w:val="left"/>
              <w:rPr>
                <w:rFonts w:ascii="宋体" w:hAnsi="宋体" w:cs="宋体"/>
                <w:sz w:val="24"/>
                <w:szCs w:val="24"/>
                <w:highlight w:val="none"/>
              </w:rPr>
            </w:pPr>
            <w:r>
              <w:rPr>
                <w:rFonts w:hint="eastAsia" w:ascii="宋体" w:hAnsi="宋体" w:cs="宋体"/>
                <w:sz w:val="24"/>
                <w:szCs w:val="24"/>
                <w:highlight w:val="none"/>
              </w:rPr>
              <w:t>11.具有图形化技术报警指示功能，快速识别报警来源。</w:t>
            </w:r>
          </w:p>
          <w:p w14:paraId="23E22CE2">
            <w:pPr>
              <w:snapToGrid w:val="0"/>
              <w:spacing w:line="300" w:lineRule="exact"/>
              <w:jc w:val="left"/>
              <w:rPr>
                <w:rFonts w:ascii="宋体" w:hAnsi="宋体" w:cs="宋体"/>
                <w:sz w:val="24"/>
                <w:szCs w:val="24"/>
                <w:highlight w:val="none"/>
              </w:rPr>
            </w:pPr>
            <w:r>
              <w:rPr>
                <w:rFonts w:hint="eastAsia" w:ascii="宋体" w:hAnsi="宋体" w:cs="宋体"/>
                <w:sz w:val="24"/>
                <w:szCs w:val="24"/>
                <w:highlight w:val="none"/>
              </w:rPr>
              <w:t>★11.具备但不限于监护模式、待机模式、演示模式、夜间模式、隐私模式；</w:t>
            </w:r>
          </w:p>
          <w:p w14:paraId="553F0AEA">
            <w:pPr>
              <w:snapToGrid w:val="0"/>
              <w:spacing w:line="300" w:lineRule="exact"/>
              <w:jc w:val="left"/>
              <w:rPr>
                <w:rFonts w:ascii="宋体" w:hAnsi="宋体" w:cs="宋体"/>
                <w:sz w:val="24"/>
                <w:szCs w:val="24"/>
                <w:highlight w:val="none"/>
              </w:rPr>
            </w:pPr>
            <w:r>
              <w:rPr>
                <w:rFonts w:hint="eastAsia" w:ascii="宋体" w:hAnsi="宋体" w:cs="宋体"/>
                <w:sz w:val="24"/>
                <w:szCs w:val="24"/>
                <w:highlight w:val="none"/>
              </w:rPr>
              <w:t>12.支持格拉斯哥昏迷评分（GCS）功能；</w:t>
            </w:r>
          </w:p>
          <w:p w14:paraId="0497E58D">
            <w:pPr>
              <w:snapToGrid w:val="0"/>
              <w:spacing w:line="300" w:lineRule="exact"/>
              <w:jc w:val="left"/>
              <w:rPr>
                <w:rFonts w:ascii="宋体" w:hAnsi="宋体" w:cs="宋体"/>
                <w:sz w:val="24"/>
                <w:szCs w:val="24"/>
                <w:highlight w:val="none"/>
              </w:rPr>
            </w:pPr>
            <w:r>
              <w:rPr>
                <w:rFonts w:hint="eastAsia" w:ascii="宋体" w:hAnsi="宋体" w:cs="宋体"/>
                <w:sz w:val="24"/>
                <w:szCs w:val="24"/>
                <w:highlight w:val="none"/>
              </w:rPr>
              <w:t>13.动态趋势界面可支持统计1-24小时心律失常报警、参数超限报警信息，并对超限报警区间的波形进行高亮显示，快速识别异常趋势信息；</w:t>
            </w:r>
          </w:p>
          <w:p w14:paraId="4DB7E02B">
            <w:pPr>
              <w:snapToGrid w:val="0"/>
              <w:spacing w:line="300" w:lineRule="exact"/>
              <w:jc w:val="left"/>
              <w:rPr>
                <w:rFonts w:ascii="宋体" w:hAnsi="宋体" w:cs="宋体"/>
                <w:sz w:val="24"/>
                <w:szCs w:val="24"/>
                <w:highlight w:val="none"/>
              </w:rPr>
            </w:pPr>
            <w:r>
              <w:rPr>
                <w:rFonts w:hint="eastAsia" w:ascii="宋体" w:hAnsi="宋体" w:cs="宋体"/>
                <w:sz w:val="24"/>
                <w:szCs w:val="24"/>
                <w:highlight w:val="none"/>
              </w:rPr>
              <w:t>14.；</w:t>
            </w:r>
          </w:p>
          <w:p w14:paraId="2630F8DB">
            <w:pPr>
              <w:snapToGrid w:val="0"/>
              <w:spacing w:line="300" w:lineRule="exact"/>
              <w:jc w:val="left"/>
              <w:rPr>
                <w:rFonts w:ascii="宋体" w:hAnsi="宋体" w:cs="宋体"/>
                <w:sz w:val="24"/>
                <w:szCs w:val="24"/>
                <w:highlight w:val="none"/>
              </w:rPr>
            </w:pPr>
            <w:r>
              <w:rPr>
                <w:rFonts w:hint="eastAsia" w:ascii="宋体" w:hAnsi="宋体" w:cs="宋体"/>
                <w:sz w:val="24"/>
                <w:szCs w:val="24"/>
                <w:highlight w:val="none"/>
              </w:rPr>
              <w:t>15.支持监护仪的系统日志向U盘设备的导出功能；</w:t>
            </w:r>
          </w:p>
          <w:p w14:paraId="5BE073F0">
            <w:pPr>
              <w:snapToGrid w:val="0"/>
              <w:spacing w:line="300" w:lineRule="exact"/>
              <w:jc w:val="left"/>
              <w:rPr>
                <w:rFonts w:ascii="宋体" w:hAnsi="宋体" w:cs="宋体"/>
                <w:sz w:val="24"/>
                <w:szCs w:val="24"/>
                <w:highlight w:val="none"/>
              </w:rPr>
            </w:pPr>
            <w:r>
              <w:rPr>
                <w:rFonts w:hint="eastAsia" w:ascii="宋体" w:hAnsi="宋体" w:cs="宋体"/>
                <w:sz w:val="24"/>
                <w:szCs w:val="24"/>
                <w:highlight w:val="none"/>
              </w:rPr>
              <w:t>16.主机集成附件收纳箱，支持将心电、血氧和无创血压等导联线附件进行收纳放置；</w:t>
            </w:r>
          </w:p>
          <w:p w14:paraId="5BA9BEFB">
            <w:pPr>
              <w:snapToGrid w:val="0"/>
              <w:spacing w:line="300" w:lineRule="exact"/>
              <w:jc w:val="left"/>
              <w:rPr>
                <w:rFonts w:ascii="宋体" w:hAnsi="宋体" w:cs="宋体"/>
                <w:sz w:val="24"/>
                <w:szCs w:val="24"/>
                <w:highlight w:val="none"/>
              </w:rPr>
            </w:pPr>
            <w:r>
              <w:rPr>
                <w:rFonts w:hint="eastAsia" w:ascii="宋体" w:hAnsi="宋体" w:cs="宋体"/>
                <w:sz w:val="24"/>
                <w:szCs w:val="24"/>
                <w:highlight w:val="none"/>
              </w:rPr>
              <w:t>17.单台配置要求</w:t>
            </w:r>
          </w:p>
          <w:p w14:paraId="0A37CA5B">
            <w:pPr>
              <w:snapToGrid w:val="0"/>
              <w:spacing w:line="300" w:lineRule="exact"/>
              <w:jc w:val="left"/>
              <w:rPr>
                <w:rFonts w:ascii="宋体" w:hAnsi="宋体" w:cs="宋体"/>
                <w:sz w:val="24"/>
                <w:szCs w:val="24"/>
                <w:highlight w:val="none"/>
              </w:rPr>
            </w:pPr>
            <w:r>
              <w:rPr>
                <w:rFonts w:hint="eastAsia" w:ascii="宋体" w:hAnsi="宋体" w:cs="宋体"/>
                <w:sz w:val="24"/>
                <w:szCs w:val="24"/>
                <w:highlight w:val="none"/>
              </w:rPr>
              <w:t>监护仪主机*1台</w:t>
            </w:r>
          </w:p>
          <w:p w14:paraId="24D6C4EA">
            <w:pPr>
              <w:snapToGrid w:val="0"/>
              <w:spacing w:line="300" w:lineRule="exact"/>
              <w:jc w:val="left"/>
              <w:rPr>
                <w:rFonts w:ascii="宋体" w:hAnsi="宋体" w:cs="宋体"/>
                <w:color w:val="000000"/>
                <w:sz w:val="24"/>
                <w:szCs w:val="24"/>
                <w:highlight w:val="none"/>
              </w:rPr>
            </w:pPr>
            <w:r>
              <w:rPr>
                <w:rFonts w:hint="eastAsia" w:ascii="宋体" w:hAnsi="宋体" w:cs="宋体"/>
                <w:sz w:val="24"/>
                <w:szCs w:val="24"/>
                <w:highlight w:val="none"/>
              </w:rPr>
              <w:t>配套附件*1套</w:t>
            </w:r>
          </w:p>
        </w:tc>
      </w:tr>
      <w:tr w14:paraId="17A2C4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tcBorders>
              <w:top w:val="single" w:color="auto" w:sz="4" w:space="0"/>
              <w:left w:val="single" w:color="auto" w:sz="4" w:space="0"/>
              <w:bottom w:val="single" w:color="auto" w:sz="4" w:space="0"/>
              <w:right w:val="single" w:color="auto" w:sz="4" w:space="0"/>
            </w:tcBorders>
            <w:vAlign w:val="center"/>
          </w:tcPr>
          <w:p w14:paraId="2AA242B1">
            <w:pPr>
              <w:snapToGrid w:val="0"/>
              <w:spacing w:line="360" w:lineRule="auto"/>
              <w:jc w:val="center"/>
              <w:rPr>
                <w:rFonts w:ascii="宋体" w:hAnsi="宋体" w:cs="宋体"/>
                <w:sz w:val="24"/>
                <w:szCs w:val="24"/>
                <w:highlight w:val="none"/>
              </w:rPr>
            </w:pPr>
            <w:r>
              <w:rPr>
                <w:rFonts w:hint="eastAsia" w:ascii="宋体" w:hAnsi="宋体" w:cs="宋体"/>
                <w:sz w:val="24"/>
                <w:szCs w:val="24"/>
                <w:highlight w:val="none"/>
              </w:rPr>
              <w:t>4</w:t>
            </w:r>
          </w:p>
        </w:tc>
        <w:tc>
          <w:tcPr>
            <w:tcW w:w="704" w:type="pct"/>
            <w:tcBorders>
              <w:top w:val="single" w:color="auto" w:sz="4" w:space="0"/>
              <w:left w:val="single" w:color="auto" w:sz="4" w:space="0"/>
              <w:bottom w:val="single" w:color="auto" w:sz="4" w:space="0"/>
              <w:right w:val="single" w:color="auto" w:sz="4" w:space="0"/>
            </w:tcBorders>
            <w:vAlign w:val="center"/>
          </w:tcPr>
          <w:p w14:paraId="740FCCFB">
            <w:pPr>
              <w:snapToGrid w:val="0"/>
              <w:spacing w:line="360" w:lineRule="auto"/>
              <w:jc w:val="center"/>
              <w:rPr>
                <w:rFonts w:ascii="宋体" w:hAnsi="宋体" w:cs="宋体"/>
                <w:sz w:val="24"/>
                <w:szCs w:val="24"/>
                <w:highlight w:val="none"/>
              </w:rPr>
            </w:pPr>
            <w:r>
              <w:rPr>
                <w:rFonts w:hint="eastAsia" w:ascii="宋体" w:hAnsi="宋体" w:cs="宋体"/>
                <w:sz w:val="24"/>
                <w:szCs w:val="24"/>
                <w:highlight w:val="none"/>
              </w:rPr>
              <w:t>监护仪（4）</w:t>
            </w:r>
          </w:p>
        </w:tc>
        <w:tc>
          <w:tcPr>
            <w:tcW w:w="390" w:type="pct"/>
            <w:tcBorders>
              <w:top w:val="single" w:color="auto" w:sz="4" w:space="0"/>
              <w:left w:val="single" w:color="auto" w:sz="4" w:space="0"/>
              <w:bottom w:val="single" w:color="auto" w:sz="4" w:space="0"/>
              <w:right w:val="single" w:color="auto" w:sz="4" w:space="0"/>
            </w:tcBorders>
            <w:vAlign w:val="center"/>
          </w:tcPr>
          <w:p w14:paraId="672BB82E">
            <w:pPr>
              <w:snapToGrid w:val="0"/>
              <w:spacing w:line="360" w:lineRule="auto"/>
              <w:jc w:val="center"/>
              <w:rPr>
                <w:rFonts w:ascii="宋体" w:hAnsi="宋体" w:cs="宋体"/>
                <w:sz w:val="24"/>
                <w:szCs w:val="24"/>
                <w:highlight w:val="none"/>
              </w:rPr>
            </w:pPr>
            <w:r>
              <w:rPr>
                <w:rFonts w:hint="eastAsia" w:ascii="宋体" w:hAnsi="宋体" w:cs="宋体"/>
                <w:sz w:val="24"/>
                <w:szCs w:val="24"/>
                <w:highlight w:val="none"/>
              </w:rPr>
              <w:t>台</w:t>
            </w:r>
          </w:p>
        </w:tc>
        <w:tc>
          <w:tcPr>
            <w:tcW w:w="439" w:type="pct"/>
            <w:tcBorders>
              <w:top w:val="single" w:color="auto" w:sz="4" w:space="0"/>
              <w:left w:val="single" w:color="auto" w:sz="4" w:space="0"/>
              <w:bottom w:val="single" w:color="auto" w:sz="4" w:space="0"/>
              <w:right w:val="single" w:color="auto" w:sz="4" w:space="0"/>
            </w:tcBorders>
            <w:vAlign w:val="center"/>
          </w:tcPr>
          <w:p w14:paraId="64BD430A">
            <w:pPr>
              <w:jc w:val="center"/>
              <w:rPr>
                <w:sz w:val="24"/>
                <w:szCs w:val="21"/>
                <w:highlight w:val="none"/>
              </w:rPr>
            </w:pPr>
            <w:r>
              <w:rPr>
                <w:rFonts w:hint="eastAsia"/>
                <w:sz w:val="24"/>
                <w:szCs w:val="21"/>
                <w:highlight w:val="none"/>
              </w:rPr>
              <w:t>31</w:t>
            </w:r>
          </w:p>
        </w:tc>
        <w:tc>
          <w:tcPr>
            <w:tcW w:w="3033" w:type="pct"/>
            <w:tcBorders>
              <w:top w:val="single" w:color="auto" w:sz="4" w:space="0"/>
              <w:left w:val="single" w:color="auto" w:sz="4" w:space="0"/>
              <w:bottom w:val="single" w:color="auto" w:sz="4" w:space="0"/>
              <w:right w:val="single" w:color="auto" w:sz="4" w:space="0"/>
            </w:tcBorders>
          </w:tcPr>
          <w:p w14:paraId="6BA553DD">
            <w:pPr>
              <w:snapToGrid w:val="0"/>
              <w:spacing w:line="300" w:lineRule="exact"/>
              <w:jc w:val="left"/>
              <w:rPr>
                <w:rFonts w:ascii="宋体" w:hAnsi="宋体" w:cs="宋体"/>
                <w:sz w:val="24"/>
                <w:szCs w:val="24"/>
                <w:highlight w:val="none"/>
              </w:rPr>
            </w:pPr>
            <w:r>
              <w:rPr>
                <w:rFonts w:hint="eastAsia" w:ascii="宋体" w:hAnsi="宋体" w:cs="宋体"/>
                <w:sz w:val="24"/>
                <w:szCs w:val="24"/>
                <w:highlight w:val="none"/>
              </w:rPr>
              <w:t>一、产品用途：适用于成人、小儿和新生儿,可监测心电，呼吸，心率，无创血压，血氧饱和度，脉搏，体温。</w:t>
            </w:r>
          </w:p>
          <w:p w14:paraId="5E668B80">
            <w:pPr>
              <w:snapToGrid w:val="0"/>
              <w:spacing w:line="300" w:lineRule="exact"/>
              <w:jc w:val="left"/>
              <w:rPr>
                <w:rFonts w:ascii="宋体" w:hAnsi="宋体" w:cs="宋体"/>
                <w:sz w:val="24"/>
                <w:szCs w:val="24"/>
                <w:highlight w:val="none"/>
              </w:rPr>
            </w:pPr>
            <w:r>
              <w:rPr>
                <w:rFonts w:hint="eastAsia" w:ascii="宋体" w:hAnsi="宋体" w:cs="宋体"/>
                <w:sz w:val="24"/>
                <w:szCs w:val="24"/>
                <w:highlight w:val="none"/>
              </w:rPr>
              <w:t>二、技术参数</w:t>
            </w:r>
          </w:p>
          <w:p w14:paraId="538656BC">
            <w:pPr>
              <w:snapToGrid w:val="0"/>
              <w:spacing w:line="300" w:lineRule="exact"/>
              <w:jc w:val="left"/>
              <w:rPr>
                <w:rFonts w:ascii="宋体" w:hAnsi="宋体" w:cs="宋体"/>
                <w:sz w:val="24"/>
                <w:szCs w:val="24"/>
                <w:highlight w:val="none"/>
              </w:rPr>
            </w:pPr>
            <w:r>
              <w:rPr>
                <w:rFonts w:hint="eastAsia" w:ascii="宋体" w:hAnsi="宋体" w:cs="宋体"/>
                <w:sz w:val="24"/>
                <w:szCs w:val="24"/>
                <w:highlight w:val="none"/>
              </w:rPr>
              <w:t>1.适用于成人、小儿和新生儿；</w:t>
            </w:r>
          </w:p>
          <w:p w14:paraId="2499B9F1">
            <w:pPr>
              <w:snapToGrid w:val="0"/>
              <w:spacing w:line="300" w:lineRule="exact"/>
              <w:jc w:val="left"/>
              <w:rPr>
                <w:rFonts w:ascii="宋体" w:hAnsi="宋体" w:cs="宋体"/>
                <w:sz w:val="24"/>
                <w:szCs w:val="24"/>
                <w:highlight w:val="none"/>
              </w:rPr>
            </w:pPr>
            <w:r>
              <w:rPr>
                <w:rFonts w:hint="eastAsia" w:ascii="宋体" w:hAnsi="宋体" w:cs="宋体"/>
                <w:sz w:val="24"/>
                <w:szCs w:val="24"/>
                <w:highlight w:val="none"/>
              </w:rPr>
              <w:t>★2.心电监护仪：≥12寸彩色触摸显示屏，彩色高分辨率≥1280*800，≥10通道显示；</w:t>
            </w:r>
          </w:p>
          <w:p w14:paraId="23DBFEC5">
            <w:pPr>
              <w:snapToGrid w:val="0"/>
              <w:spacing w:line="300" w:lineRule="exact"/>
              <w:jc w:val="left"/>
              <w:rPr>
                <w:rFonts w:ascii="宋体" w:hAnsi="宋体" w:cs="宋体"/>
                <w:sz w:val="24"/>
                <w:szCs w:val="24"/>
                <w:highlight w:val="none"/>
              </w:rPr>
            </w:pPr>
            <w:r>
              <w:rPr>
                <w:rFonts w:hint="eastAsia" w:ascii="宋体" w:hAnsi="宋体" w:cs="宋体"/>
                <w:sz w:val="24"/>
                <w:szCs w:val="24"/>
                <w:highlight w:val="none"/>
              </w:rPr>
              <w:t>3.标准配置：5导心电(ECG)、呼吸(RESP)、无创血压(NIBP)、血氧饱和度(SPO</w:t>
            </w:r>
            <w:r>
              <w:rPr>
                <w:rFonts w:hint="eastAsia" w:ascii="宋体" w:hAnsi="宋体" w:cs="宋体"/>
                <w:sz w:val="24"/>
                <w:szCs w:val="24"/>
                <w:highlight w:val="none"/>
                <w:vertAlign w:val="subscript"/>
              </w:rPr>
              <w:t>2</w:t>
            </w:r>
            <w:r>
              <w:rPr>
                <w:rFonts w:hint="eastAsia" w:ascii="宋体" w:hAnsi="宋体" w:cs="宋体"/>
                <w:sz w:val="24"/>
                <w:szCs w:val="24"/>
                <w:highlight w:val="none"/>
              </w:rPr>
              <w:t>)、脉率(PR)、体温(TEMP)、锂电池及所有相关附件；</w:t>
            </w:r>
          </w:p>
          <w:p w14:paraId="6FFA297F">
            <w:pPr>
              <w:snapToGrid w:val="0"/>
              <w:spacing w:line="300" w:lineRule="exact"/>
              <w:jc w:val="left"/>
              <w:rPr>
                <w:rFonts w:ascii="宋体" w:hAnsi="宋体" w:cs="宋体"/>
                <w:sz w:val="24"/>
                <w:szCs w:val="24"/>
                <w:highlight w:val="none"/>
              </w:rPr>
            </w:pPr>
            <w:r>
              <w:rPr>
                <w:rFonts w:hint="eastAsia" w:ascii="宋体" w:hAnsi="宋体" w:cs="宋体"/>
                <w:sz w:val="24"/>
                <w:szCs w:val="24"/>
                <w:highlight w:val="none"/>
              </w:rPr>
              <w:t>4.可监测心电，呼吸，心率，无创血压，血氧饱和度，脉搏，体温；</w:t>
            </w:r>
          </w:p>
          <w:p w14:paraId="0165946A">
            <w:pPr>
              <w:snapToGrid w:val="0"/>
              <w:spacing w:line="300" w:lineRule="exact"/>
              <w:jc w:val="left"/>
              <w:rPr>
                <w:rFonts w:ascii="宋体" w:hAnsi="宋体" w:cs="宋体"/>
                <w:sz w:val="24"/>
                <w:szCs w:val="24"/>
                <w:highlight w:val="none"/>
              </w:rPr>
            </w:pPr>
            <w:r>
              <w:rPr>
                <w:rFonts w:hint="eastAsia" w:ascii="宋体" w:hAnsi="宋体" w:cs="宋体"/>
                <w:sz w:val="24"/>
                <w:szCs w:val="24"/>
                <w:highlight w:val="none"/>
              </w:rPr>
              <w:t>5.具备≥23种心律失常算法，包括“房颤”等高级分析功能；</w:t>
            </w:r>
          </w:p>
          <w:p w14:paraId="45FA1F49">
            <w:pPr>
              <w:snapToGrid w:val="0"/>
              <w:spacing w:line="300" w:lineRule="exact"/>
              <w:jc w:val="left"/>
              <w:rPr>
                <w:rFonts w:ascii="宋体" w:hAnsi="宋体" w:cs="宋体"/>
                <w:sz w:val="24"/>
                <w:szCs w:val="24"/>
                <w:highlight w:val="none"/>
              </w:rPr>
            </w:pPr>
            <w:r>
              <w:rPr>
                <w:rFonts w:hint="eastAsia" w:ascii="宋体" w:hAnsi="宋体" w:cs="宋体"/>
                <w:sz w:val="24"/>
                <w:szCs w:val="24"/>
                <w:highlight w:val="none"/>
              </w:rPr>
              <w:t>6.具备ST段分析功能；</w:t>
            </w:r>
          </w:p>
          <w:p w14:paraId="0D5B545A">
            <w:pPr>
              <w:snapToGrid w:val="0"/>
              <w:spacing w:line="300" w:lineRule="exact"/>
              <w:jc w:val="left"/>
              <w:rPr>
                <w:rFonts w:ascii="宋体" w:hAnsi="宋体" w:cs="宋体"/>
                <w:sz w:val="24"/>
                <w:szCs w:val="24"/>
                <w:highlight w:val="none"/>
              </w:rPr>
            </w:pPr>
            <w:r>
              <w:rPr>
                <w:rFonts w:hint="eastAsia" w:ascii="宋体" w:hAnsi="宋体" w:cs="宋体"/>
                <w:sz w:val="24"/>
                <w:szCs w:val="24"/>
                <w:highlight w:val="none"/>
              </w:rPr>
              <w:t>7.具备心率变异分析功能，可对病人心率在一定时间内周期性改变情况进行分析；</w:t>
            </w:r>
          </w:p>
          <w:p w14:paraId="4592FEF0">
            <w:pPr>
              <w:snapToGrid w:val="0"/>
              <w:spacing w:line="300" w:lineRule="exact"/>
              <w:jc w:val="left"/>
              <w:rPr>
                <w:rFonts w:ascii="宋体" w:hAnsi="宋体" w:cs="宋体"/>
                <w:sz w:val="24"/>
                <w:szCs w:val="24"/>
                <w:highlight w:val="none"/>
              </w:rPr>
            </w:pPr>
            <w:r>
              <w:rPr>
                <w:rFonts w:hint="eastAsia" w:ascii="宋体" w:hAnsi="宋体" w:cs="宋体"/>
                <w:sz w:val="24"/>
                <w:szCs w:val="24"/>
                <w:highlight w:val="none"/>
              </w:rPr>
              <w:t>8.具备智能导联脱落监测功能，个别导联脱落的情况下仍能保持监护；</w:t>
            </w:r>
          </w:p>
          <w:p w14:paraId="72A2B96D">
            <w:pPr>
              <w:snapToGrid w:val="0"/>
              <w:spacing w:line="300" w:lineRule="exact"/>
              <w:jc w:val="left"/>
              <w:rPr>
                <w:rFonts w:ascii="宋体" w:hAnsi="宋体" w:cs="宋体"/>
                <w:sz w:val="24"/>
                <w:szCs w:val="24"/>
                <w:highlight w:val="none"/>
              </w:rPr>
            </w:pPr>
            <w:r>
              <w:rPr>
                <w:rFonts w:hint="eastAsia" w:ascii="宋体" w:hAnsi="宋体" w:cs="宋体"/>
                <w:sz w:val="24"/>
                <w:szCs w:val="24"/>
                <w:highlight w:val="none"/>
              </w:rPr>
              <w:t>9.提供QRS阈值调节功能；</w:t>
            </w:r>
          </w:p>
          <w:p w14:paraId="7F55182E">
            <w:pPr>
              <w:snapToGrid w:val="0"/>
              <w:spacing w:line="300" w:lineRule="exact"/>
              <w:jc w:val="left"/>
              <w:rPr>
                <w:rFonts w:ascii="宋体" w:hAnsi="宋体" w:cs="宋体"/>
                <w:sz w:val="24"/>
                <w:szCs w:val="24"/>
                <w:highlight w:val="none"/>
              </w:rPr>
            </w:pPr>
            <w:r>
              <w:rPr>
                <w:rFonts w:hint="eastAsia" w:ascii="宋体" w:hAnsi="宋体" w:cs="宋体"/>
                <w:sz w:val="24"/>
                <w:szCs w:val="24"/>
                <w:highlight w:val="none"/>
              </w:rPr>
              <w:t>10.心率监测范围：成人10～300bpm，小儿/新生儿：10～350bpm；</w:t>
            </w:r>
          </w:p>
          <w:p w14:paraId="0835A0CD">
            <w:pPr>
              <w:snapToGrid w:val="0"/>
              <w:spacing w:line="300" w:lineRule="exact"/>
              <w:jc w:val="left"/>
              <w:rPr>
                <w:rFonts w:ascii="宋体" w:hAnsi="宋体" w:cs="宋体"/>
                <w:sz w:val="24"/>
                <w:szCs w:val="24"/>
                <w:highlight w:val="none"/>
              </w:rPr>
            </w:pPr>
            <w:r>
              <w:rPr>
                <w:rFonts w:hint="eastAsia" w:ascii="宋体" w:hAnsi="宋体" w:cs="宋体"/>
                <w:sz w:val="24"/>
                <w:szCs w:val="24"/>
                <w:highlight w:val="none"/>
              </w:rPr>
              <w:t>★11.提供SPO</w:t>
            </w:r>
            <w:r>
              <w:rPr>
                <w:rFonts w:hint="eastAsia" w:ascii="宋体" w:hAnsi="宋体" w:cs="宋体"/>
                <w:sz w:val="24"/>
                <w:szCs w:val="24"/>
                <w:highlight w:val="none"/>
                <w:vertAlign w:val="subscript"/>
              </w:rPr>
              <w:t>2</w:t>
            </w:r>
            <w:r>
              <w:rPr>
                <w:rFonts w:hint="eastAsia" w:ascii="宋体" w:hAnsi="宋体" w:cs="宋体"/>
                <w:sz w:val="24"/>
                <w:szCs w:val="24"/>
                <w:highlight w:val="none"/>
              </w:rPr>
              <w:t>和PR的实时监测，来自SPO</w:t>
            </w:r>
            <w:r>
              <w:rPr>
                <w:rFonts w:hint="eastAsia" w:ascii="宋体" w:hAnsi="宋体" w:cs="宋体"/>
                <w:sz w:val="24"/>
                <w:szCs w:val="24"/>
                <w:highlight w:val="none"/>
                <w:vertAlign w:val="subscript"/>
              </w:rPr>
              <w:t>2</w:t>
            </w:r>
            <w:r>
              <w:rPr>
                <w:rFonts w:hint="eastAsia" w:ascii="宋体" w:hAnsi="宋体" w:cs="宋体"/>
                <w:sz w:val="24"/>
                <w:szCs w:val="24"/>
                <w:highlight w:val="none"/>
              </w:rPr>
              <w:t>的PR测量范围：20-300；</w:t>
            </w:r>
          </w:p>
          <w:p w14:paraId="63768A19">
            <w:pPr>
              <w:snapToGrid w:val="0"/>
              <w:spacing w:line="300" w:lineRule="exact"/>
              <w:jc w:val="left"/>
              <w:rPr>
                <w:rFonts w:ascii="宋体" w:hAnsi="宋体" w:cs="宋体"/>
                <w:sz w:val="24"/>
                <w:szCs w:val="24"/>
                <w:highlight w:val="none"/>
              </w:rPr>
            </w:pPr>
            <w:r>
              <w:rPr>
                <w:rFonts w:hint="eastAsia" w:ascii="宋体" w:hAnsi="宋体" w:cs="宋体"/>
                <w:sz w:val="24"/>
                <w:szCs w:val="24"/>
                <w:highlight w:val="none"/>
              </w:rPr>
              <w:t>12.支持室上性心动过速和SVCs/min等室上性心律失常分析</w:t>
            </w:r>
          </w:p>
          <w:p w14:paraId="5D53BE1B">
            <w:pPr>
              <w:snapToGrid w:val="0"/>
              <w:spacing w:line="300" w:lineRule="exact"/>
              <w:jc w:val="left"/>
              <w:rPr>
                <w:rFonts w:ascii="宋体" w:hAnsi="宋体" w:cs="宋体"/>
                <w:sz w:val="24"/>
                <w:szCs w:val="24"/>
                <w:highlight w:val="none"/>
              </w:rPr>
            </w:pPr>
            <w:r>
              <w:rPr>
                <w:rFonts w:hint="eastAsia" w:ascii="宋体" w:hAnsi="宋体" w:cs="宋体"/>
                <w:sz w:val="24"/>
                <w:szCs w:val="24"/>
                <w:highlight w:val="none"/>
              </w:rPr>
              <w:t>13.具有灌注度指数(PI)的血氧技术，具有良好的抗运动和弱灌注能力，并客观反馈监测部位灌注状态；</w:t>
            </w:r>
          </w:p>
          <w:p w14:paraId="0C290C71">
            <w:pPr>
              <w:snapToGrid w:val="0"/>
              <w:spacing w:line="300" w:lineRule="exact"/>
              <w:jc w:val="left"/>
              <w:rPr>
                <w:rFonts w:ascii="宋体" w:hAnsi="宋体" w:cs="宋体"/>
                <w:sz w:val="24"/>
                <w:szCs w:val="24"/>
                <w:highlight w:val="none"/>
              </w:rPr>
            </w:pPr>
            <w:r>
              <w:rPr>
                <w:rFonts w:hint="eastAsia" w:ascii="宋体" w:hAnsi="宋体" w:cs="宋体"/>
                <w:sz w:val="24"/>
                <w:szCs w:val="24"/>
                <w:highlight w:val="none"/>
              </w:rPr>
              <w:t>14.具备动态血压分析功能，可自动统计分析24小时内血压变化，自动显示平均血压、白天和夜间平均血压、血压高于正常百分比等参数，为降压药的用量起指示作用；</w:t>
            </w:r>
          </w:p>
          <w:p w14:paraId="5B8844D5">
            <w:pPr>
              <w:snapToGrid w:val="0"/>
              <w:spacing w:line="300" w:lineRule="exact"/>
              <w:jc w:val="left"/>
              <w:rPr>
                <w:rFonts w:hint="eastAsia" w:ascii="宋体" w:hAnsi="宋体" w:cs="宋体"/>
                <w:sz w:val="24"/>
                <w:szCs w:val="24"/>
                <w:highlight w:val="none"/>
              </w:rPr>
            </w:pPr>
            <w:r>
              <w:rPr>
                <w:rFonts w:hint="eastAsia" w:ascii="宋体" w:hAnsi="宋体" w:cs="宋体"/>
                <w:sz w:val="24"/>
                <w:szCs w:val="24"/>
                <w:highlight w:val="none"/>
              </w:rPr>
              <w:t>15.具有收缩压和舒张压的高低限报警功能；</w:t>
            </w:r>
          </w:p>
          <w:p w14:paraId="03A0B9F5">
            <w:pPr>
              <w:snapToGrid w:val="0"/>
              <w:spacing w:line="300" w:lineRule="exact"/>
              <w:jc w:val="left"/>
              <w:rPr>
                <w:rFonts w:ascii="宋体" w:hAnsi="宋体" w:cs="宋体"/>
                <w:sz w:val="24"/>
                <w:szCs w:val="24"/>
                <w:highlight w:val="none"/>
              </w:rPr>
            </w:pPr>
            <w:r>
              <w:rPr>
                <w:rFonts w:hint="eastAsia" w:ascii="宋体" w:hAnsi="宋体" w:cs="宋体"/>
                <w:sz w:val="24"/>
                <w:szCs w:val="24"/>
                <w:highlight w:val="none"/>
              </w:rPr>
              <w:t>16.安全规格：ECG, TEMP, SPO</w:t>
            </w:r>
            <w:r>
              <w:rPr>
                <w:rFonts w:hint="eastAsia" w:ascii="宋体" w:hAnsi="宋体" w:cs="宋体"/>
                <w:sz w:val="24"/>
                <w:szCs w:val="24"/>
                <w:highlight w:val="none"/>
                <w:vertAlign w:val="subscript"/>
              </w:rPr>
              <w:t>2</w:t>
            </w:r>
            <w:r>
              <w:rPr>
                <w:rFonts w:hint="eastAsia" w:ascii="宋体" w:hAnsi="宋体" w:cs="宋体"/>
                <w:sz w:val="24"/>
                <w:szCs w:val="24"/>
                <w:highlight w:val="none"/>
              </w:rPr>
              <w:t xml:space="preserve"> , NIBP监测参数抗电击程度为防除颤CF型；</w:t>
            </w:r>
          </w:p>
          <w:p w14:paraId="71205EF2">
            <w:pPr>
              <w:snapToGrid w:val="0"/>
              <w:spacing w:line="300" w:lineRule="exact"/>
              <w:jc w:val="left"/>
              <w:rPr>
                <w:rFonts w:ascii="宋体" w:hAnsi="宋体" w:cs="宋体"/>
                <w:sz w:val="24"/>
                <w:szCs w:val="24"/>
                <w:highlight w:val="none"/>
              </w:rPr>
            </w:pPr>
            <w:r>
              <w:rPr>
                <w:rFonts w:hint="eastAsia" w:ascii="宋体" w:hAnsi="宋体" w:cs="宋体"/>
                <w:sz w:val="24"/>
                <w:szCs w:val="24"/>
                <w:highlight w:val="none"/>
              </w:rPr>
              <w:t>17.具有三级声光报警，参数报警级别可调；</w:t>
            </w:r>
          </w:p>
          <w:p w14:paraId="43953792">
            <w:pPr>
              <w:snapToGrid w:val="0"/>
              <w:spacing w:line="300" w:lineRule="exact"/>
              <w:jc w:val="left"/>
              <w:rPr>
                <w:rFonts w:ascii="宋体" w:hAnsi="宋体" w:cs="宋体"/>
                <w:sz w:val="24"/>
                <w:szCs w:val="24"/>
                <w:highlight w:val="none"/>
              </w:rPr>
            </w:pPr>
            <w:r>
              <w:rPr>
                <w:rFonts w:hint="eastAsia" w:ascii="宋体" w:hAnsi="宋体" w:cs="宋体"/>
                <w:sz w:val="24"/>
                <w:szCs w:val="24"/>
                <w:highlight w:val="none"/>
              </w:rPr>
              <w:t>★18.</w:t>
            </w:r>
            <w:r>
              <w:rPr>
                <w:rFonts w:hint="eastAsia" w:ascii="宋体" w:hAnsi="宋体" w:cs="宋体"/>
                <w:sz w:val="24"/>
                <w:szCs w:val="24"/>
                <w:highlight w:val="none"/>
                <w:lang w:eastAsia="zh-CN"/>
              </w:rPr>
              <w:t>支持所有监测参数报警限一键自动设置功能</w:t>
            </w:r>
            <w:r>
              <w:rPr>
                <w:rFonts w:hint="eastAsia" w:ascii="宋体" w:hAnsi="宋体" w:cs="宋体"/>
                <w:sz w:val="24"/>
                <w:szCs w:val="24"/>
                <w:highlight w:val="none"/>
              </w:rPr>
              <w:t>；</w:t>
            </w:r>
          </w:p>
          <w:p w14:paraId="5638FBC8">
            <w:pPr>
              <w:snapToGrid w:val="0"/>
              <w:spacing w:line="300" w:lineRule="exact"/>
              <w:jc w:val="left"/>
              <w:rPr>
                <w:rFonts w:ascii="宋体" w:hAnsi="宋体" w:cs="宋体"/>
                <w:sz w:val="24"/>
                <w:szCs w:val="24"/>
                <w:highlight w:val="none"/>
              </w:rPr>
            </w:pPr>
            <w:r>
              <w:rPr>
                <w:rFonts w:hint="eastAsia" w:ascii="宋体" w:hAnsi="宋体" w:cs="宋体"/>
                <w:sz w:val="24"/>
                <w:szCs w:val="24"/>
                <w:highlight w:val="none"/>
              </w:rPr>
              <w:t>19.具有图形化技术报警指示功能，快速识别报警来源；</w:t>
            </w:r>
          </w:p>
          <w:p w14:paraId="231CB491">
            <w:pPr>
              <w:snapToGrid w:val="0"/>
              <w:spacing w:line="300" w:lineRule="exact"/>
              <w:jc w:val="left"/>
              <w:rPr>
                <w:rFonts w:ascii="宋体" w:hAnsi="宋体" w:cs="宋体"/>
                <w:sz w:val="24"/>
                <w:szCs w:val="24"/>
                <w:highlight w:val="none"/>
              </w:rPr>
            </w:pPr>
            <w:r>
              <w:rPr>
                <w:rFonts w:hint="eastAsia" w:ascii="宋体" w:hAnsi="宋体" w:cs="宋体"/>
                <w:sz w:val="24"/>
                <w:szCs w:val="24"/>
                <w:highlight w:val="none"/>
              </w:rPr>
              <w:t>20.支持≥168小时趋势数据的存储与回顾功能，支持≥72小时全息波形的存储与回顾功能；</w:t>
            </w:r>
          </w:p>
          <w:p w14:paraId="12C22214">
            <w:pPr>
              <w:snapToGrid w:val="0"/>
              <w:spacing w:line="300" w:lineRule="exact"/>
              <w:jc w:val="left"/>
              <w:rPr>
                <w:rFonts w:ascii="宋体" w:hAnsi="宋体" w:cs="宋体"/>
                <w:sz w:val="24"/>
                <w:szCs w:val="24"/>
                <w:highlight w:val="none"/>
              </w:rPr>
            </w:pPr>
            <w:r>
              <w:rPr>
                <w:rFonts w:hint="eastAsia" w:ascii="宋体" w:hAnsi="宋体" w:cs="宋体"/>
                <w:sz w:val="24"/>
                <w:szCs w:val="24"/>
                <w:highlight w:val="none"/>
              </w:rPr>
              <w:t>21.具备监护模式、待机模式，演示模式和夜间模式；</w:t>
            </w:r>
          </w:p>
          <w:p w14:paraId="0E5EF3D6">
            <w:pPr>
              <w:snapToGrid w:val="0"/>
              <w:spacing w:line="300" w:lineRule="exact"/>
              <w:jc w:val="left"/>
              <w:rPr>
                <w:rFonts w:ascii="宋体" w:hAnsi="宋体" w:cs="宋体"/>
                <w:sz w:val="24"/>
                <w:szCs w:val="24"/>
                <w:highlight w:val="none"/>
              </w:rPr>
            </w:pPr>
            <w:r>
              <w:rPr>
                <w:rFonts w:hint="eastAsia" w:ascii="宋体" w:hAnsi="宋体" w:cs="宋体"/>
                <w:sz w:val="24"/>
                <w:szCs w:val="24"/>
                <w:highlight w:val="none"/>
              </w:rPr>
              <w:t>22.支持格拉斯哥昏迷评分（GCS）功能；</w:t>
            </w:r>
          </w:p>
          <w:p w14:paraId="064C7AB8">
            <w:pPr>
              <w:snapToGrid w:val="0"/>
              <w:spacing w:line="300" w:lineRule="exact"/>
              <w:jc w:val="left"/>
              <w:rPr>
                <w:rFonts w:ascii="宋体" w:hAnsi="宋体" w:cs="宋体"/>
                <w:sz w:val="24"/>
                <w:szCs w:val="24"/>
                <w:highlight w:val="none"/>
              </w:rPr>
            </w:pPr>
            <w:r>
              <w:rPr>
                <w:rFonts w:hint="eastAsia" w:ascii="宋体" w:hAnsi="宋体" w:cs="宋体"/>
                <w:sz w:val="24"/>
                <w:szCs w:val="24"/>
                <w:highlight w:val="none"/>
              </w:rPr>
              <w:t>23.动态趋势界面可支持统计1-24小时心律失常报警、参数超限报警信息，并对超限报警区间的波形进行高亮显示，快速识别异常趋势信息；</w:t>
            </w:r>
          </w:p>
          <w:p w14:paraId="39929638">
            <w:pPr>
              <w:snapToGrid w:val="0"/>
              <w:spacing w:line="300" w:lineRule="exact"/>
              <w:jc w:val="left"/>
              <w:rPr>
                <w:rFonts w:ascii="宋体" w:hAnsi="宋体" w:cs="宋体"/>
                <w:sz w:val="24"/>
                <w:szCs w:val="24"/>
                <w:highlight w:val="none"/>
              </w:rPr>
            </w:pPr>
            <w:r>
              <w:rPr>
                <w:rFonts w:hint="eastAsia" w:ascii="宋体" w:hAnsi="宋体" w:cs="宋体"/>
                <w:sz w:val="24"/>
                <w:szCs w:val="24"/>
                <w:highlight w:val="none"/>
              </w:rPr>
              <w:t>24.；</w:t>
            </w:r>
          </w:p>
          <w:p w14:paraId="72DB9596">
            <w:pPr>
              <w:snapToGrid w:val="0"/>
              <w:spacing w:line="300" w:lineRule="exact"/>
              <w:jc w:val="left"/>
              <w:rPr>
                <w:rFonts w:ascii="宋体" w:hAnsi="宋体" w:cs="宋体"/>
                <w:sz w:val="24"/>
                <w:szCs w:val="24"/>
                <w:highlight w:val="none"/>
              </w:rPr>
            </w:pPr>
            <w:r>
              <w:rPr>
                <w:rFonts w:hint="eastAsia" w:ascii="宋体" w:hAnsi="宋体" w:cs="宋体"/>
                <w:sz w:val="24"/>
                <w:szCs w:val="24"/>
                <w:highlight w:val="none"/>
              </w:rPr>
              <w:t>25.支持监护仪的系统日志向U盘设备的导出功能；</w:t>
            </w:r>
          </w:p>
          <w:p w14:paraId="0A15982A">
            <w:pPr>
              <w:snapToGrid w:val="0"/>
              <w:spacing w:line="300" w:lineRule="exact"/>
              <w:jc w:val="left"/>
              <w:rPr>
                <w:rFonts w:ascii="宋体" w:hAnsi="宋体" w:cs="宋体"/>
                <w:sz w:val="24"/>
                <w:szCs w:val="24"/>
                <w:highlight w:val="none"/>
              </w:rPr>
            </w:pPr>
            <w:r>
              <w:rPr>
                <w:rFonts w:hint="eastAsia" w:ascii="宋体" w:hAnsi="宋体" w:cs="宋体"/>
                <w:sz w:val="24"/>
                <w:szCs w:val="24"/>
                <w:highlight w:val="none"/>
              </w:rPr>
              <w:t>26.主机集成附件收纳箱，支持将心电、血氧和无创血压等导联线附件进行收纳放置；</w:t>
            </w:r>
          </w:p>
          <w:p w14:paraId="26F91EB7">
            <w:pPr>
              <w:snapToGrid w:val="0"/>
              <w:spacing w:line="300" w:lineRule="exact"/>
              <w:jc w:val="left"/>
              <w:rPr>
                <w:rFonts w:ascii="宋体" w:hAnsi="宋体" w:cs="宋体"/>
                <w:sz w:val="24"/>
                <w:szCs w:val="24"/>
                <w:highlight w:val="none"/>
              </w:rPr>
            </w:pPr>
            <w:r>
              <w:rPr>
                <w:rFonts w:hint="eastAsia" w:ascii="宋体" w:hAnsi="宋体" w:cs="宋体"/>
                <w:sz w:val="24"/>
                <w:szCs w:val="24"/>
                <w:highlight w:val="none"/>
              </w:rPr>
              <w:t>27.设备使用年限≥10年；</w:t>
            </w:r>
          </w:p>
          <w:p w14:paraId="6B051FB3">
            <w:pPr>
              <w:snapToGrid w:val="0"/>
              <w:spacing w:line="300" w:lineRule="exact"/>
              <w:jc w:val="left"/>
              <w:rPr>
                <w:rFonts w:ascii="宋体" w:hAnsi="宋体" w:cs="宋体"/>
                <w:sz w:val="24"/>
                <w:szCs w:val="24"/>
                <w:highlight w:val="none"/>
              </w:rPr>
            </w:pPr>
            <w:r>
              <w:rPr>
                <w:rFonts w:hint="eastAsia" w:ascii="宋体" w:hAnsi="宋体" w:cs="宋体"/>
                <w:sz w:val="24"/>
                <w:szCs w:val="24"/>
                <w:highlight w:val="none"/>
              </w:rPr>
              <w:t>28.设备出厂铭牌标注的生产日期不得早于供货日期90日；</w:t>
            </w:r>
          </w:p>
          <w:p w14:paraId="40657DDE">
            <w:pPr>
              <w:snapToGrid w:val="0"/>
              <w:spacing w:line="300" w:lineRule="exact"/>
              <w:jc w:val="left"/>
              <w:rPr>
                <w:rFonts w:ascii="宋体" w:hAnsi="宋体" w:cs="宋体"/>
                <w:color w:val="000000"/>
                <w:sz w:val="24"/>
                <w:szCs w:val="24"/>
                <w:highlight w:val="none"/>
              </w:rPr>
            </w:pPr>
            <w:r>
              <w:rPr>
                <w:rFonts w:hint="eastAsia" w:ascii="宋体" w:hAnsi="宋体" w:cs="宋体"/>
                <w:sz w:val="24"/>
                <w:szCs w:val="24"/>
                <w:highlight w:val="none"/>
              </w:rPr>
              <w:t>29.每台配置要求：不锈钢仪器治疗车1辆；</w:t>
            </w:r>
          </w:p>
        </w:tc>
      </w:tr>
      <w:tr w14:paraId="7D42CF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tcBorders>
              <w:top w:val="single" w:color="auto" w:sz="4" w:space="0"/>
              <w:left w:val="single" w:color="auto" w:sz="4" w:space="0"/>
              <w:bottom w:val="single" w:color="auto" w:sz="4" w:space="0"/>
              <w:right w:val="single" w:color="auto" w:sz="4" w:space="0"/>
            </w:tcBorders>
            <w:vAlign w:val="center"/>
          </w:tcPr>
          <w:p w14:paraId="60B1BF10">
            <w:pPr>
              <w:snapToGrid w:val="0"/>
              <w:spacing w:line="360" w:lineRule="auto"/>
              <w:jc w:val="center"/>
              <w:rPr>
                <w:rFonts w:ascii="宋体" w:hAnsi="宋体" w:cs="宋体"/>
                <w:sz w:val="24"/>
                <w:szCs w:val="24"/>
                <w:highlight w:val="none"/>
              </w:rPr>
            </w:pPr>
            <w:r>
              <w:rPr>
                <w:rFonts w:hint="eastAsia" w:ascii="宋体" w:hAnsi="宋体" w:cs="宋体"/>
                <w:sz w:val="24"/>
                <w:szCs w:val="24"/>
                <w:highlight w:val="none"/>
              </w:rPr>
              <w:t>5</w:t>
            </w:r>
          </w:p>
        </w:tc>
        <w:tc>
          <w:tcPr>
            <w:tcW w:w="704" w:type="pct"/>
            <w:tcBorders>
              <w:top w:val="single" w:color="auto" w:sz="4" w:space="0"/>
              <w:left w:val="single" w:color="auto" w:sz="4" w:space="0"/>
              <w:bottom w:val="single" w:color="auto" w:sz="4" w:space="0"/>
              <w:right w:val="single" w:color="auto" w:sz="4" w:space="0"/>
            </w:tcBorders>
            <w:vAlign w:val="center"/>
          </w:tcPr>
          <w:p w14:paraId="0BFDA741">
            <w:pPr>
              <w:snapToGrid w:val="0"/>
              <w:spacing w:line="360" w:lineRule="auto"/>
              <w:jc w:val="center"/>
              <w:rPr>
                <w:rFonts w:ascii="宋体" w:hAnsi="宋体" w:cs="宋体"/>
                <w:sz w:val="24"/>
                <w:szCs w:val="24"/>
                <w:highlight w:val="none"/>
              </w:rPr>
            </w:pPr>
            <w:r>
              <w:rPr>
                <w:rFonts w:hint="eastAsia"/>
                <w:sz w:val="24"/>
                <w:highlight w:val="none"/>
              </w:rPr>
              <w:t>▲</w:t>
            </w:r>
            <w:r>
              <w:rPr>
                <w:rFonts w:hint="eastAsia" w:ascii="宋体" w:hAnsi="宋体" w:cs="宋体"/>
                <w:sz w:val="24"/>
                <w:szCs w:val="24"/>
                <w:highlight w:val="none"/>
              </w:rPr>
              <w:t>监护仪（5）</w:t>
            </w:r>
          </w:p>
        </w:tc>
        <w:tc>
          <w:tcPr>
            <w:tcW w:w="390" w:type="pct"/>
            <w:tcBorders>
              <w:top w:val="single" w:color="auto" w:sz="4" w:space="0"/>
              <w:left w:val="single" w:color="auto" w:sz="4" w:space="0"/>
              <w:bottom w:val="single" w:color="auto" w:sz="4" w:space="0"/>
              <w:right w:val="single" w:color="auto" w:sz="4" w:space="0"/>
            </w:tcBorders>
            <w:vAlign w:val="center"/>
          </w:tcPr>
          <w:p w14:paraId="786F6DA2">
            <w:pPr>
              <w:snapToGrid w:val="0"/>
              <w:spacing w:line="360" w:lineRule="auto"/>
              <w:jc w:val="center"/>
              <w:rPr>
                <w:rFonts w:ascii="宋体" w:hAnsi="宋体" w:cs="宋体"/>
                <w:sz w:val="24"/>
                <w:szCs w:val="24"/>
                <w:highlight w:val="none"/>
              </w:rPr>
            </w:pPr>
            <w:r>
              <w:rPr>
                <w:rFonts w:hint="eastAsia" w:ascii="宋体" w:hAnsi="宋体" w:cs="宋体"/>
                <w:sz w:val="24"/>
                <w:szCs w:val="24"/>
                <w:highlight w:val="none"/>
              </w:rPr>
              <w:t>台</w:t>
            </w:r>
          </w:p>
        </w:tc>
        <w:tc>
          <w:tcPr>
            <w:tcW w:w="439" w:type="pct"/>
            <w:tcBorders>
              <w:top w:val="single" w:color="auto" w:sz="4" w:space="0"/>
              <w:left w:val="single" w:color="auto" w:sz="4" w:space="0"/>
              <w:bottom w:val="single" w:color="auto" w:sz="4" w:space="0"/>
              <w:right w:val="single" w:color="auto" w:sz="4" w:space="0"/>
            </w:tcBorders>
            <w:vAlign w:val="center"/>
          </w:tcPr>
          <w:p w14:paraId="78B37549">
            <w:pPr>
              <w:jc w:val="center"/>
              <w:rPr>
                <w:sz w:val="24"/>
                <w:szCs w:val="21"/>
                <w:highlight w:val="none"/>
              </w:rPr>
            </w:pPr>
            <w:r>
              <w:rPr>
                <w:rFonts w:hint="eastAsia"/>
                <w:sz w:val="24"/>
                <w:szCs w:val="21"/>
                <w:highlight w:val="none"/>
              </w:rPr>
              <w:t>9</w:t>
            </w:r>
          </w:p>
        </w:tc>
        <w:tc>
          <w:tcPr>
            <w:tcW w:w="3033" w:type="pct"/>
            <w:tcBorders>
              <w:top w:val="single" w:color="auto" w:sz="4" w:space="0"/>
              <w:left w:val="single" w:color="auto" w:sz="4" w:space="0"/>
              <w:bottom w:val="single" w:color="auto" w:sz="4" w:space="0"/>
              <w:right w:val="single" w:color="auto" w:sz="4" w:space="0"/>
            </w:tcBorders>
          </w:tcPr>
          <w:p w14:paraId="70F59EB1">
            <w:pPr>
              <w:snapToGrid w:val="0"/>
              <w:spacing w:line="300" w:lineRule="exact"/>
              <w:jc w:val="left"/>
              <w:rPr>
                <w:rFonts w:ascii="宋体" w:hAnsi="宋体" w:cs="宋体"/>
                <w:sz w:val="24"/>
                <w:szCs w:val="24"/>
                <w:highlight w:val="none"/>
              </w:rPr>
            </w:pPr>
            <w:r>
              <w:rPr>
                <w:rFonts w:hint="eastAsia" w:ascii="宋体" w:hAnsi="宋体" w:cs="宋体"/>
                <w:sz w:val="24"/>
                <w:szCs w:val="24"/>
                <w:highlight w:val="none"/>
              </w:rPr>
              <w:t>一、产品用途:用于对患者血氧、血压等生命体征监测</w:t>
            </w:r>
          </w:p>
          <w:p w14:paraId="7BC8E0D4">
            <w:pPr>
              <w:snapToGrid w:val="0"/>
              <w:spacing w:line="300" w:lineRule="exact"/>
              <w:jc w:val="left"/>
              <w:rPr>
                <w:rFonts w:ascii="宋体" w:hAnsi="宋体" w:cs="宋体"/>
                <w:sz w:val="24"/>
                <w:szCs w:val="24"/>
                <w:highlight w:val="none"/>
              </w:rPr>
            </w:pPr>
            <w:r>
              <w:rPr>
                <w:rFonts w:hint="eastAsia" w:ascii="宋体" w:hAnsi="宋体" w:cs="宋体"/>
                <w:sz w:val="24"/>
                <w:szCs w:val="24"/>
                <w:highlight w:val="none"/>
              </w:rPr>
              <w:t>二、技术参数</w:t>
            </w:r>
          </w:p>
          <w:p w14:paraId="5090152F">
            <w:pPr>
              <w:snapToGrid w:val="0"/>
              <w:spacing w:line="300" w:lineRule="exact"/>
              <w:jc w:val="left"/>
              <w:rPr>
                <w:rFonts w:ascii="宋体" w:hAnsi="宋体" w:cs="宋体"/>
                <w:sz w:val="24"/>
                <w:szCs w:val="24"/>
                <w:highlight w:val="none"/>
              </w:rPr>
            </w:pPr>
            <w:r>
              <w:rPr>
                <w:rFonts w:hint="eastAsia" w:ascii="宋体" w:hAnsi="宋体" w:cs="宋体"/>
                <w:sz w:val="24"/>
                <w:szCs w:val="24"/>
                <w:highlight w:val="none"/>
              </w:rPr>
              <w:t>★1、主机采用一体化设计，采用≥10英寸彩色液晶屏及电容触摸屏，分辨率≥1280*800像素，≥8通道波形显示；</w:t>
            </w:r>
          </w:p>
          <w:p w14:paraId="2ED8A150">
            <w:pPr>
              <w:snapToGrid w:val="0"/>
              <w:spacing w:line="300" w:lineRule="exact"/>
              <w:jc w:val="left"/>
              <w:rPr>
                <w:rFonts w:ascii="宋体" w:hAnsi="宋体" w:cs="宋体"/>
                <w:sz w:val="24"/>
                <w:szCs w:val="24"/>
                <w:highlight w:val="none"/>
              </w:rPr>
            </w:pPr>
            <w:r>
              <w:rPr>
                <w:rFonts w:hint="eastAsia" w:ascii="宋体" w:hAnsi="宋体" w:cs="宋体"/>
                <w:sz w:val="24"/>
                <w:szCs w:val="24"/>
                <w:highlight w:val="none"/>
              </w:rPr>
              <w:t xml:space="preserve">2、USB接口支持连接鼠标、键盘、条码扫描枪和遥控器等设备； </w:t>
            </w:r>
          </w:p>
          <w:p w14:paraId="66E6A1BE">
            <w:pPr>
              <w:snapToGrid w:val="0"/>
              <w:spacing w:line="300" w:lineRule="exact"/>
              <w:jc w:val="left"/>
              <w:rPr>
                <w:rFonts w:ascii="宋体" w:hAnsi="宋体" w:cs="宋体"/>
                <w:sz w:val="24"/>
                <w:szCs w:val="24"/>
                <w:highlight w:val="none"/>
              </w:rPr>
            </w:pPr>
            <w:r>
              <w:rPr>
                <w:rFonts w:hint="eastAsia" w:ascii="宋体" w:hAnsi="宋体" w:cs="宋体"/>
                <w:sz w:val="24"/>
                <w:szCs w:val="24"/>
                <w:highlight w:val="none"/>
              </w:rPr>
              <w:t>3、支持室上性心动过速和SVCs/min等室上性心律失常分析；</w:t>
            </w:r>
          </w:p>
          <w:p w14:paraId="6D29F985">
            <w:pPr>
              <w:snapToGrid w:val="0"/>
              <w:spacing w:line="300" w:lineRule="exact"/>
              <w:jc w:val="left"/>
              <w:rPr>
                <w:rFonts w:ascii="宋体" w:hAnsi="宋体" w:cs="宋体"/>
                <w:sz w:val="24"/>
                <w:szCs w:val="24"/>
                <w:highlight w:val="none"/>
              </w:rPr>
            </w:pPr>
            <w:r>
              <w:rPr>
                <w:rFonts w:hint="eastAsia" w:ascii="宋体" w:hAnsi="宋体" w:cs="宋体"/>
                <w:sz w:val="24"/>
                <w:szCs w:val="24"/>
                <w:highlight w:val="none"/>
              </w:rPr>
              <w:t>4、配置3/5导心电，呼吸，无创血压，血氧饱和度，脉搏和双通道体温参数监测，以上参数适用于成人、小儿、新生儿患者；</w:t>
            </w:r>
          </w:p>
          <w:p w14:paraId="73794120">
            <w:pPr>
              <w:snapToGrid w:val="0"/>
              <w:spacing w:line="300" w:lineRule="exact"/>
              <w:jc w:val="left"/>
              <w:rPr>
                <w:rFonts w:ascii="宋体" w:hAnsi="宋体" w:cs="宋体"/>
                <w:sz w:val="24"/>
                <w:szCs w:val="24"/>
                <w:highlight w:val="none"/>
              </w:rPr>
            </w:pPr>
            <w:r>
              <w:rPr>
                <w:rFonts w:hint="eastAsia" w:ascii="宋体" w:hAnsi="宋体" w:cs="宋体"/>
                <w:sz w:val="24"/>
                <w:szCs w:val="24"/>
                <w:highlight w:val="none"/>
              </w:rPr>
              <w:t>5、心电监护支持心率，ST段测量，心律失常分析，QT/QTc连续实时测量和对应报警功能；</w:t>
            </w:r>
          </w:p>
          <w:p w14:paraId="2CC03009">
            <w:pPr>
              <w:snapToGrid w:val="0"/>
              <w:spacing w:line="300" w:lineRule="exact"/>
              <w:jc w:val="left"/>
              <w:rPr>
                <w:rFonts w:ascii="宋体" w:hAnsi="宋体" w:cs="宋体"/>
                <w:sz w:val="24"/>
                <w:szCs w:val="24"/>
                <w:highlight w:val="none"/>
              </w:rPr>
            </w:pPr>
            <w:r>
              <w:rPr>
                <w:rFonts w:hint="eastAsia" w:ascii="宋体" w:hAnsi="宋体" w:cs="宋体"/>
                <w:sz w:val="24"/>
                <w:szCs w:val="24"/>
                <w:highlight w:val="none"/>
              </w:rPr>
              <w:t>6、QT和QTc实时监测参数测量范围：200～800 ms；</w:t>
            </w:r>
          </w:p>
          <w:p w14:paraId="7579795E">
            <w:pPr>
              <w:snapToGrid w:val="0"/>
              <w:spacing w:line="300" w:lineRule="exact"/>
              <w:jc w:val="left"/>
              <w:rPr>
                <w:rFonts w:ascii="宋体" w:hAnsi="宋体" w:cs="宋体"/>
                <w:sz w:val="24"/>
                <w:szCs w:val="24"/>
                <w:highlight w:val="none"/>
              </w:rPr>
            </w:pPr>
            <w:r>
              <w:rPr>
                <w:rFonts w:hint="eastAsia" w:ascii="宋体" w:hAnsi="宋体" w:cs="宋体"/>
                <w:sz w:val="24"/>
                <w:szCs w:val="24"/>
                <w:highlight w:val="none"/>
              </w:rPr>
              <w:t>7、配置无创血压测量，适用于成人，小儿和新生儿。无创血压成人测量范围：收缩压25-290mmH；</w:t>
            </w:r>
          </w:p>
          <w:p w14:paraId="71079FD6">
            <w:pPr>
              <w:snapToGrid w:val="0"/>
              <w:spacing w:line="300" w:lineRule="exact"/>
              <w:jc w:val="left"/>
              <w:rPr>
                <w:rFonts w:ascii="宋体" w:hAnsi="宋体" w:cs="宋体"/>
                <w:sz w:val="24"/>
                <w:szCs w:val="24"/>
                <w:highlight w:val="none"/>
              </w:rPr>
            </w:pPr>
            <w:r>
              <w:rPr>
                <w:rFonts w:hint="eastAsia" w:ascii="宋体" w:hAnsi="宋体" w:cs="宋体"/>
                <w:sz w:val="24"/>
                <w:szCs w:val="24"/>
                <w:highlight w:val="none"/>
              </w:rPr>
              <w:t>8.心电支持≥3个分析导联实时动态同步分析，并非多个导联波形同屏显示及12导联静息分析；</w:t>
            </w:r>
          </w:p>
          <w:p w14:paraId="57455225">
            <w:pPr>
              <w:snapToGrid w:val="0"/>
              <w:spacing w:line="300" w:lineRule="exact"/>
              <w:jc w:val="left"/>
              <w:rPr>
                <w:rFonts w:ascii="宋体" w:hAnsi="宋体" w:cs="宋体"/>
                <w:sz w:val="24"/>
                <w:szCs w:val="24"/>
                <w:highlight w:val="none"/>
              </w:rPr>
            </w:pPr>
            <w:r>
              <w:rPr>
                <w:rFonts w:hint="eastAsia" w:ascii="宋体" w:hAnsi="宋体" w:cs="宋体"/>
                <w:sz w:val="24"/>
                <w:szCs w:val="24"/>
                <w:highlight w:val="none"/>
              </w:rPr>
              <w:t>★9.提供SPO</w:t>
            </w:r>
            <w:r>
              <w:rPr>
                <w:rFonts w:hint="eastAsia" w:ascii="宋体" w:hAnsi="宋体" w:cs="宋体"/>
                <w:sz w:val="24"/>
                <w:szCs w:val="24"/>
                <w:highlight w:val="none"/>
                <w:vertAlign w:val="subscript"/>
              </w:rPr>
              <w:t>2</w:t>
            </w:r>
            <w:r>
              <w:rPr>
                <w:rFonts w:hint="eastAsia" w:ascii="宋体" w:hAnsi="宋体" w:cs="宋体"/>
                <w:sz w:val="24"/>
                <w:szCs w:val="24"/>
                <w:highlight w:val="none"/>
              </w:rPr>
              <w:t>和PR的实时监测，来自SPO</w:t>
            </w:r>
            <w:r>
              <w:rPr>
                <w:rFonts w:hint="eastAsia" w:ascii="宋体" w:hAnsi="宋体" w:cs="宋体"/>
                <w:sz w:val="24"/>
                <w:szCs w:val="24"/>
                <w:highlight w:val="none"/>
                <w:vertAlign w:val="subscript"/>
              </w:rPr>
              <w:t>2</w:t>
            </w:r>
            <w:r>
              <w:rPr>
                <w:rFonts w:hint="eastAsia" w:ascii="宋体" w:hAnsi="宋体" w:cs="宋体"/>
                <w:sz w:val="24"/>
                <w:szCs w:val="24"/>
                <w:highlight w:val="none"/>
              </w:rPr>
              <w:t>的PR测量范围：20-300；</w:t>
            </w:r>
          </w:p>
          <w:p w14:paraId="36152B07">
            <w:pPr>
              <w:snapToGrid w:val="0"/>
              <w:spacing w:line="300" w:lineRule="exact"/>
              <w:jc w:val="left"/>
              <w:rPr>
                <w:rFonts w:ascii="宋体" w:hAnsi="宋体" w:cs="宋体"/>
                <w:sz w:val="24"/>
                <w:szCs w:val="24"/>
                <w:highlight w:val="none"/>
              </w:rPr>
            </w:pPr>
            <w:r>
              <w:rPr>
                <w:rFonts w:hint="eastAsia" w:ascii="宋体" w:hAnsi="宋体" w:cs="宋体"/>
                <w:sz w:val="24"/>
                <w:szCs w:val="24"/>
                <w:highlight w:val="none"/>
              </w:rPr>
              <w:t>★10.</w:t>
            </w:r>
            <w:r>
              <w:rPr>
                <w:rFonts w:hint="eastAsia" w:ascii="宋体" w:hAnsi="宋体" w:cs="宋体"/>
                <w:sz w:val="24"/>
                <w:szCs w:val="24"/>
                <w:highlight w:val="none"/>
                <w:lang w:eastAsia="zh-CN"/>
              </w:rPr>
              <w:t>支持所有监测参数报警限一键自动设置功能</w:t>
            </w:r>
            <w:r>
              <w:rPr>
                <w:rFonts w:hint="eastAsia" w:ascii="宋体" w:hAnsi="宋体" w:cs="宋体"/>
                <w:sz w:val="24"/>
                <w:szCs w:val="24"/>
                <w:highlight w:val="none"/>
              </w:rPr>
              <w:t>；</w:t>
            </w:r>
          </w:p>
          <w:p w14:paraId="7488E204">
            <w:pPr>
              <w:snapToGrid w:val="0"/>
              <w:spacing w:line="300" w:lineRule="exact"/>
              <w:jc w:val="left"/>
              <w:rPr>
                <w:rFonts w:ascii="宋体" w:hAnsi="宋体" w:cs="宋体"/>
                <w:sz w:val="24"/>
                <w:szCs w:val="24"/>
                <w:highlight w:val="none"/>
              </w:rPr>
            </w:pPr>
            <w:r>
              <w:rPr>
                <w:rFonts w:hint="eastAsia" w:ascii="宋体" w:hAnsi="宋体" w:cs="宋体"/>
                <w:sz w:val="24"/>
                <w:szCs w:val="24"/>
                <w:highlight w:val="none"/>
              </w:rPr>
              <w:t>11.具有图形化技术报警指示功能，快速识别报警来源；</w:t>
            </w:r>
          </w:p>
          <w:p w14:paraId="7A27180C">
            <w:pPr>
              <w:snapToGrid w:val="0"/>
              <w:spacing w:line="300" w:lineRule="exact"/>
              <w:jc w:val="left"/>
              <w:rPr>
                <w:rFonts w:ascii="宋体" w:hAnsi="宋体" w:cs="宋体"/>
                <w:sz w:val="24"/>
                <w:szCs w:val="24"/>
                <w:highlight w:val="none"/>
              </w:rPr>
            </w:pPr>
            <w:r>
              <w:rPr>
                <w:rFonts w:hint="eastAsia" w:ascii="宋体" w:hAnsi="宋体" w:cs="宋体"/>
                <w:sz w:val="24"/>
                <w:szCs w:val="24"/>
                <w:highlight w:val="none"/>
              </w:rPr>
              <w:t>12.支持≥168小时趋势数据的存储与回顾功能，支持≥72小时全息波形的存储与回顾功能；</w:t>
            </w:r>
          </w:p>
          <w:p w14:paraId="729AA351">
            <w:pPr>
              <w:snapToGrid w:val="0"/>
              <w:spacing w:line="300" w:lineRule="exact"/>
              <w:jc w:val="left"/>
              <w:rPr>
                <w:rFonts w:ascii="宋体" w:hAnsi="宋体" w:cs="宋体"/>
                <w:sz w:val="24"/>
                <w:szCs w:val="24"/>
                <w:highlight w:val="none"/>
              </w:rPr>
            </w:pPr>
            <w:r>
              <w:rPr>
                <w:rFonts w:hint="eastAsia" w:ascii="宋体" w:hAnsi="宋体" w:cs="宋体"/>
                <w:sz w:val="24"/>
                <w:szCs w:val="24"/>
                <w:highlight w:val="none"/>
              </w:rPr>
              <w:t>13.具备监护模式、待机模式，演示模式和夜间模式；</w:t>
            </w:r>
          </w:p>
          <w:p w14:paraId="7643C522">
            <w:pPr>
              <w:snapToGrid w:val="0"/>
              <w:spacing w:line="300" w:lineRule="exact"/>
              <w:jc w:val="left"/>
              <w:rPr>
                <w:rFonts w:ascii="宋体" w:hAnsi="宋体" w:cs="宋体"/>
                <w:sz w:val="24"/>
                <w:szCs w:val="24"/>
                <w:highlight w:val="none"/>
              </w:rPr>
            </w:pPr>
            <w:r>
              <w:rPr>
                <w:rFonts w:hint="eastAsia" w:ascii="宋体" w:hAnsi="宋体" w:cs="宋体"/>
                <w:sz w:val="24"/>
                <w:szCs w:val="24"/>
                <w:highlight w:val="none"/>
              </w:rPr>
              <w:t>14.支持格拉斯哥昏迷评分（GCS）功能；</w:t>
            </w:r>
          </w:p>
          <w:p w14:paraId="15C7466E">
            <w:pPr>
              <w:snapToGrid w:val="0"/>
              <w:spacing w:line="300" w:lineRule="exact"/>
              <w:jc w:val="left"/>
              <w:rPr>
                <w:rFonts w:ascii="宋体" w:hAnsi="宋体" w:cs="宋体"/>
                <w:sz w:val="24"/>
                <w:szCs w:val="24"/>
                <w:highlight w:val="none"/>
              </w:rPr>
            </w:pPr>
            <w:r>
              <w:rPr>
                <w:rFonts w:hint="eastAsia" w:ascii="宋体" w:hAnsi="宋体" w:cs="宋体"/>
                <w:sz w:val="24"/>
                <w:szCs w:val="24"/>
                <w:highlight w:val="none"/>
              </w:rPr>
              <w:t>15.动态趋势界面可支持统计1-24小时心律失常报警、参数超限报警信息，并对超限报警区间的波形进行高亮显示，快速识别异常趋势信息；</w:t>
            </w:r>
          </w:p>
          <w:p w14:paraId="0395AD7F">
            <w:pPr>
              <w:snapToGrid w:val="0"/>
              <w:spacing w:line="300" w:lineRule="exact"/>
              <w:jc w:val="left"/>
              <w:rPr>
                <w:rFonts w:ascii="宋体" w:hAnsi="宋体" w:cs="宋体"/>
                <w:sz w:val="24"/>
                <w:szCs w:val="24"/>
                <w:highlight w:val="none"/>
              </w:rPr>
            </w:pPr>
            <w:r>
              <w:rPr>
                <w:rFonts w:hint="eastAsia" w:ascii="宋体" w:hAnsi="宋体" w:cs="宋体"/>
                <w:sz w:val="24"/>
                <w:szCs w:val="24"/>
                <w:highlight w:val="none"/>
              </w:rPr>
              <w:t>16.；</w:t>
            </w:r>
          </w:p>
          <w:p w14:paraId="7958C023">
            <w:pPr>
              <w:snapToGrid w:val="0"/>
              <w:spacing w:line="300" w:lineRule="exact"/>
              <w:jc w:val="left"/>
              <w:rPr>
                <w:rFonts w:ascii="宋体" w:hAnsi="宋体" w:cs="宋体"/>
                <w:sz w:val="24"/>
                <w:szCs w:val="24"/>
                <w:highlight w:val="none"/>
              </w:rPr>
            </w:pPr>
            <w:r>
              <w:rPr>
                <w:rFonts w:hint="eastAsia" w:ascii="宋体" w:hAnsi="宋体" w:cs="宋体"/>
                <w:sz w:val="24"/>
                <w:szCs w:val="24"/>
                <w:highlight w:val="none"/>
              </w:rPr>
              <w:t>17.支持监护仪的系统日志向U盘设备的导出功能；</w:t>
            </w:r>
          </w:p>
          <w:p w14:paraId="23D8D2D1">
            <w:pPr>
              <w:snapToGrid w:val="0"/>
              <w:spacing w:line="300" w:lineRule="exact"/>
              <w:jc w:val="left"/>
              <w:rPr>
                <w:rFonts w:ascii="宋体" w:hAnsi="宋体" w:cs="宋体"/>
                <w:sz w:val="24"/>
                <w:szCs w:val="24"/>
                <w:highlight w:val="none"/>
              </w:rPr>
            </w:pPr>
            <w:r>
              <w:rPr>
                <w:rFonts w:hint="eastAsia" w:ascii="宋体" w:hAnsi="宋体" w:cs="宋体"/>
                <w:sz w:val="24"/>
                <w:szCs w:val="24"/>
                <w:highlight w:val="none"/>
              </w:rPr>
              <w:t>18.内置锂电池支持监护仪工作时间≥4小时，支持升级大容量锂电池，续航时间≥6小时；</w:t>
            </w:r>
          </w:p>
          <w:p w14:paraId="55B578A2">
            <w:pPr>
              <w:snapToGrid w:val="0"/>
              <w:spacing w:line="300" w:lineRule="exact"/>
              <w:jc w:val="left"/>
              <w:rPr>
                <w:rFonts w:ascii="宋体" w:hAnsi="宋体" w:cs="宋体"/>
                <w:sz w:val="24"/>
                <w:szCs w:val="24"/>
                <w:highlight w:val="none"/>
              </w:rPr>
            </w:pPr>
            <w:r>
              <w:rPr>
                <w:rFonts w:hint="eastAsia" w:ascii="宋体" w:hAnsi="宋体" w:cs="宋体"/>
                <w:sz w:val="24"/>
                <w:szCs w:val="24"/>
                <w:highlight w:val="none"/>
              </w:rPr>
              <w:t>19.可支持拓展IBP、CO</w:t>
            </w:r>
            <w:r>
              <w:rPr>
                <w:rFonts w:hint="eastAsia" w:ascii="宋体" w:hAnsi="宋体" w:cs="宋体"/>
                <w:sz w:val="24"/>
                <w:szCs w:val="24"/>
                <w:highlight w:val="none"/>
                <w:vertAlign w:val="subscript"/>
              </w:rPr>
              <w:t>2</w:t>
            </w:r>
            <w:r>
              <w:rPr>
                <w:rFonts w:hint="eastAsia" w:ascii="宋体" w:hAnsi="宋体" w:cs="宋体"/>
                <w:sz w:val="24"/>
                <w:szCs w:val="24"/>
                <w:highlight w:val="none"/>
              </w:rPr>
              <w:t>、C.O.模块</w:t>
            </w:r>
          </w:p>
          <w:p w14:paraId="5F4ECB52">
            <w:pPr>
              <w:snapToGrid w:val="0"/>
              <w:spacing w:line="300" w:lineRule="exact"/>
              <w:rPr>
                <w:rFonts w:ascii="宋体" w:hAnsi="宋体" w:cs="宋体"/>
                <w:sz w:val="24"/>
                <w:szCs w:val="24"/>
                <w:highlight w:val="none"/>
              </w:rPr>
            </w:pPr>
            <w:r>
              <w:rPr>
                <w:rFonts w:hint="eastAsia" w:ascii="宋体" w:hAnsi="宋体" w:cs="宋体"/>
                <w:sz w:val="24"/>
                <w:szCs w:val="24"/>
                <w:highlight w:val="none"/>
              </w:rPr>
              <w:t>20.每台配置要求</w:t>
            </w:r>
          </w:p>
          <w:p w14:paraId="72AE52FF">
            <w:pPr>
              <w:snapToGrid w:val="0"/>
              <w:spacing w:line="300" w:lineRule="exact"/>
              <w:jc w:val="left"/>
              <w:rPr>
                <w:rFonts w:ascii="宋体" w:hAnsi="宋体" w:cs="宋体"/>
                <w:sz w:val="24"/>
                <w:szCs w:val="24"/>
                <w:highlight w:val="none"/>
              </w:rPr>
            </w:pPr>
            <w:r>
              <w:rPr>
                <w:rFonts w:hint="eastAsia" w:ascii="宋体" w:hAnsi="宋体" w:cs="宋体"/>
                <w:sz w:val="24"/>
                <w:szCs w:val="24"/>
                <w:highlight w:val="none"/>
              </w:rPr>
              <w:t>监护仪主机*1台</w:t>
            </w:r>
          </w:p>
          <w:p w14:paraId="0AACBC43">
            <w:pPr>
              <w:snapToGrid w:val="0"/>
              <w:spacing w:line="300" w:lineRule="exact"/>
              <w:rPr>
                <w:rFonts w:ascii="宋体" w:hAnsi="宋体" w:cs="宋体"/>
                <w:color w:val="000000"/>
                <w:sz w:val="24"/>
                <w:szCs w:val="24"/>
                <w:highlight w:val="none"/>
              </w:rPr>
            </w:pPr>
            <w:r>
              <w:rPr>
                <w:rFonts w:hint="eastAsia" w:ascii="宋体" w:hAnsi="宋体" w:cs="宋体"/>
                <w:sz w:val="24"/>
                <w:szCs w:val="24"/>
                <w:highlight w:val="none"/>
              </w:rPr>
              <w:t>配套附件*1套</w:t>
            </w:r>
          </w:p>
        </w:tc>
      </w:tr>
    </w:tbl>
    <w:p w14:paraId="4B0CF6B4">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第二包：</w:t>
      </w:r>
    </w:p>
    <w:p w14:paraId="3002F642">
      <w:pPr>
        <w:pStyle w:val="25"/>
        <w:spacing w:line="360" w:lineRule="auto"/>
        <w:ind w:firstLine="480" w:firstLineChars="200"/>
        <w:jc w:val="both"/>
        <w:rPr>
          <w:rFonts w:ascii="Times New Roman" w:hAnsi="Times New Roman" w:eastAsia="宋体" w:cs="Times New Roman"/>
          <w:color w:val="auto"/>
        </w:rPr>
      </w:pPr>
      <w:r>
        <w:rPr>
          <w:rFonts w:hint="eastAsia"/>
          <w:color w:val="auto"/>
        </w:rPr>
        <w:t>★</w:t>
      </w:r>
      <w:r>
        <w:rPr>
          <w:rFonts w:hint="eastAsia" w:ascii="Times New Roman" w:hAnsi="Times New Roman" w:eastAsia="宋体" w:cs="Times New Roman"/>
          <w:color w:val="auto"/>
        </w:rPr>
        <w:t>1. 投标产品实质性要求</w:t>
      </w:r>
    </w:p>
    <w:p w14:paraId="4A37FA74">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所投全部产品须按照《医疗器械注册与备案管理办法》（国家市场监督管理总局令第47号）的规定，提供医疗器械备案证明材料或医疗器械注册证扫描件。</w:t>
      </w:r>
    </w:p>
    <w:p w14:paraId="28FB4DE6">
      <w:pPr>
        <w:spacing w:line="360" w:lineRule="auto"/>
        <w:ind w:firstLine="480" w:firstLineChars="200"/>
        <w:outlineLvl w:val="0"/>
        <w:rPr>
          <w:sz w:val="24"/>
        </w:rPr>
      </w:pPr>
      <w:r>
        <w:rPr>
          <w:rFonts w:hint="eastAsia"/>
          <w:sz w:val="24"/>
        </w:rPr>
        <w:t>2. 技术参数</w:t>
      </w:r>
    </w:p>
    <w:tbl>
      <w:tblPr>
        <w:tblStyle w:val="18"/>
        <w:tblW w:w="568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2"/>
        <w:gridCol w:w="1365"/>
        <w:gridCol w:w="756"/>
        <w:gridCol w:w="851"/>
        <w:gridCol w:w="5882"/>
      </w:tblGrid>
      <w:tr w14:paraId="142CB7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434" w:type="pct"/>
            <w:tcBorders>
              <w:top w:val="single" w:color="auto" w:sz="4" w:space="0"/>
              <w:left w:val="single" w:color="auto" w:sz="4" w:space="0"/>
              <w:bottom w:val="single" w:color="auto" w:sz="4" w:space="0"/>
              <w:right w:val="single" w:color="auto" w:sz="4" w:space="0"/>
            </w:tcBorders>
            <w:vAlign w:val="center"/>
          </w:tcPr>
          <w:p w14:paraId="5689E148">
            <w:pPr>
              <w:widowControl/>
              <w:jc w:val="center"/>
              <w:rPr>
                <w:rFonts w:cs="宋体"/>
                <w:kern w:val="0"/>
                <w:sz w:val="24"/>
                <w:szCs w:val="24"/>
              </w:rPr>
            </w:pPr>
            <w:r>
              <w:rPr>
                <w:rFonts w:hint="eastAsia" w:cs="宋体"/>
                <w:kern w:val="0"/>
                <w:sz w:val="24"/>
              </w:rPr>
              <w:t>序号</w:t>
            </w:r>
          </w:p>
        </w:tc>
        <w:tc>
          <w:tcPr>
            <w:tcW w:w="704" w:type="pct"/>
            <w:tcBorders>
              <w:top w:val="single" w:color="auto" w:sz="4" w:space="0"/>
              <w:left w:val="single" w:color="auto" w:sz="4" w:space="0"/>
              <w:bottom w:val="single" w:color="auto" w:sz="4" w:space="0"/>
              <w:right w:val="single" w:color="auto" w:sz="4" w:space="0"/>
            </w:tcBorders>
            <w:vAlign w:val="center"/>
          </w:tcPr>
          <w:p w14:paraId="13F1579C">
            <w:pPr>
              <w:widowControl/>
              <w:jc w:val="center"/>
              <w:rPr>
                <w:rFonts w:cs="宋体"/>
                <w:kern w:val="0"/>
                <w:sz w:val="24"/>
                <w:szCs w:val="24"/>
              </w:rPr>
            </w:pPr>
            <w:r>
              <w:rPr>
                <w:rFonts w:hint="eastAsia" w:cs="宋体"/>
                <w:kern w:val="0"/>
                <w:sz w:val="24"/>
              </w:rPr>
              <w:t>标的名称</w:t>
            </w:r>
          </w:p>
        </w:tc>
        <w:tc>
          <w:tcPr>
            <w:tcW w:w="390" w:type="pct"/>
            <w:tcBorders>
              <w:top w:val="single" w:color="auto" w:sz="4" w:space="0"/>
              <w:left w:val="single" w:color="auto" w:sz="4" w:space="0"/>
              <w:bottom w:val="single" w:color="auto" w:sz="4" w:space="0"/>
              <w:right w:val="single" w:color="auto" w:sz="4" w:space="0"/>
            </w:tcBorders>
            <w:vAlign w:val="center"/>
          </w:tcPr>
          <w:p w14:paraId="61F676C4">
            <w:pPr>
              <w:widowControl/>
              <w:jc w:val="center"/>
              <w:rPr>
                <w:rFonts w:cs="宋体"/>
                <w:kern w:val="0"/>
                <w:sz w:val="24"/>
                <w:szCs w:val="24"/>
              </w:rPr>
            </w:pPr>
            <w:r>
              <w:rPr>
                <w:rFonts w:cs="宋体"/>
                <w:kern w:val="0"/>
                <w:sz w:val="24"/>
                <w:szCs w:val="24"/>
              </w:rPr>
              <w:t>单位</w:t>
            </w:r>
            <w:r>
              <w:rPr>
                <w:rFonts w:hint="eastAsia" w:cs="宋体"/>
                <w:kern w:val="0"/>
                <w:sz w:val="24"/>
                <w:szCs w:val="24"/>
              </w:rPr>
              <w:t xml:space="preserve"> </w:t>
            </w:r>
          </w:p>
        </w:tc>
        <w:tc>
          <w:tcPr>
            <w:tcW w:w="439" w:type="pct"/>
            <w:tcBorders>
              <w:top w:val="single" w:color="auto" w:sz="4" w:space="0"/>
              <w:left w:val="single" w:color="auto" w:sz="4" w:space="0"/>
              <w:bottom w:val="single" w:color="auto" w:sz="4" w:space="0"/>
              <w:right w:val="single" w:color="auto" w:sz="4" w:space="0"/>
            </w:tcBorders>
            <w:vAlign w:val="center"/>
          </w:tcPr>
          <w:p w14:paraId="432C99CB">
            <w:pPr>
              <w:widowControl/>
              <w:jc w:val="center"/>
              <w:rPr>
                <w:rFonts w:cs="宋体"/>
                <w:kern w:val="0"/>
                <w:sz w:val="24"/>
              </w:rPr>
            </w:pPr>
            <w:r>
              <w:rPr>
                <w:rFonts w:hint="eastAsia" w:cs="宋体"/>
                <w:kern w:val="0"/>
                <w:sz w:val="24"/>
              </w:rPr>
              <w:t>数量</w:t>
            </w:r>
          </w:p>
        </w:tc>
        <w:tc>
          <w:tcPr>
            <w:tcW w:w="3033" w:type="pct"/>
            <w:tcBorders>
              <w:top w:val="single" w:color="auto" w:sz="4" w:space="0"/>
              <w:left w:val="single" w:color="auto" w:sz="4" w:space="0"/>
              <w:bottom w:val="single" w:color="auto" w:sz="4" w:space="0"/>
              <w:right w:val="single" w:color="auto" w:sz="4" w:space="0"/>
            </w:tcBorders>
            <w:vAlign w:val="center"/>
          </w:tcPr>
          <w:p w14:paraId="7EF2361F">
            <w:pPr>
              <w:widowControl/>
              <w:spacing w:line="300" w:lineRule="exact"/>
              <w:jc w:val="center"/>
              <w:rPr>
                <w:rFonts w:cs="宋体"/>
                <w:kern w:val="0"/>
                <w:sz w:val="24"/>
                <w:szCs w:val="24"/>
              </w:rPr>
            </w:pPr>
            <w:r>
              <w:rPr>
                <w:rFonts w:hint="eastAsia" w:cs="宋体"/>
                <w:kern w:val="0"/>
                <w:sz w:val="24"/>
              </w:rPr>
              <w:t>需求条款</w:t>
            </w:r>
          </w:p>
        </w:tc>
      </w:tr>
      <w:tr w14:paraId="569E8C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tcBorders>
              <w:top w:val="single" w:color="auto" w:sz="4" w:space="0"/>
              <w:left w:val="single" w:color="auto" w:sz="4" w:space="0"/>
              <w:bottom w:val="single" w:color="auto" w:sz="4" w:space="0"/>
              <w:right w:val="single" w:color="auto" w:sz="4" w:space="0"/>
            </w:tcBorders>
            <w:vAlign w:val="center"/>
          </w:tcPr>
          <w:p w14:paraId="07B3CBBE">
            <w:pPr>
              <w:snapToGrid w:val="0"/>
              <w:spacing w:line="360" w:lineRule="auto"/>
              <w:jc w:val="center"/>
              <w:rPr>
                <w:rFonts w:ascii="宋体" w:hAnsi="宋体" w:cs="宋体"/>
                <w:sz w:val="24"/>
                <w:szCs w:val="24"/>
              </w:rPr>
            </w:pPr>
            <w:r>
              <w:rPr>
                <w:rFonts w:hint="eastAsia" w:ascii="宋体" w:hAnsi="宋体" w:cs="宋体"/>
                <w:sz w:val="24"/>
                <w:szCs w:val="24"/>
              </w:rPr>
              <w:t>1</w:t>
            </w:r>
          </w:p>
        </w:tc>
        <w:tc>
          <w:tcPr>
            <w:tcW w:w="704" w:type="pct"/>
            <w:tcBorders>
              <w:top w:val="single" w:color="auto" w:sz="4" w:space="0"/>
              <w:left w:val="single" w:color="auto" w:sz="4" w:space="0"/>
              <w:bottom w:val="single" w:color="auto" w:sz="4" w:space="0"/>
              <w:right w:val="single" w:color="auto" w:sz="4" w:space="0"/>
            </w:tcBorders>
            <w:vAlign w:val="center"/>
          </w:tcPr>
          <w:p w14:paraId="2972BFA1">
            <w:pPr>
              <w:snapToGrid w:val="0"/>
              <w:spacing w:line="360" w:lineRule="auto"/>
              <w:jc w:val="center"/>
              <w:rPr>
                <w:rFonts w:ascii="宋体" w:hAnsi="宋体" w:cs="宋体"/>
                <w:sz w:val="24"/>
                <w:szCs w:val="24"/>
              </w:rPr>
            </w:pPr>
            <w:r>
              <w:rPr>
                <w:rFonts w:hint="eastAsia" w:ascii="宋体" w:hAnsi="宋体" w:cs="宋体"/>
                <w:sz w:val="24"/>
                <w:szCs w:val="24"/>
              </w:rPr>
              <w:t>监护仪（1）</w:t>
            </w:r>
          </w:p>
        </w:tc>
        <w:tc>
          <w:tcPr>
            <w:tcW w:w="390" w:type="pct"/>
            <w:tcBorders>
              <w:top w:val="single" w:color="auto" w:sz="4" w:space="0"/>
              <w:left w:val="single" w:color="auto" w:sz="4" w:space="0"/>
              <w:bottom w:val="single" w:color="auto" w:sz="4" w:space="0"/>
              <w:right w:val="single" w:color="auto" w:sz="4" w:space="0"/>
            </w:tcBorders>
            <w:vAlign w:val="center"/>
          </w:tcPr>
          <w:p w14:paraId="32A9C95C">
            <w:pPr>
              <w:snapToGrid w:val="0"/>
              <w:spacing w:line="360" w:lineRule="auto"/>
              <w:jc w:val="center"/>
              <w:rPr>
                <w:rFonts w:ascii="宋体" w:hAnsi="宋体" w:cs="宋体"/>
                <w:sz w:val="24"/>
                <w:szCs w:val="24"/>
              </w:rPr>
            </w:pPr>
            <w:r>
              <w:rPr>
                <w:rFonts w:hint="eastAsia" w:ascii="宋体" w:hAnsi="宋体" w:cs="宋体"/>
                <w:sz w:val="24"/>
                <w:szCs w:val="24"/>
              </w:rPr>
              <w:t>台</w:t>
            </w:r>
          </w:p>
        </w:tc>
        <w:tc>
          <w:tcPr>
            <w:tcW w:w="439" w:type="pct"/>
            <w:tcBorders>
              <w:top w:val="single" w:color="auto" w:sz="4" w:space="0"/>
              <w:left w:val="single" w:color="auto" w:sz="4" w:space="0"/>
              <w:bottom w:val="single" w:color="auto" w:sz="4" w:space="0"/>
              <w:right w:val="single" w:color="auto" w:sz="4" w:space="0"/>
            </w:tcBorders>
            <w:vAlign w:val="center"/>
          </w:tcPr>
          <w:p w14:paraId="2C8EC4C7">
            <w:pPr>
              <w:snapToGrid w:val="0"/>
              <w:spacing w:line="360" w:lineRule="auto"/>
              <w:jc w:val="center"/>
              <w:rPr>
                <w:rFonts w:ascii="宋体" w:hAnsi="宋体" w:cs="宋体"/>
                <w:sz w:val="24"/>
                <w:szCs w:val="24"/>
              </w:rPr>
            </w:pPr>
            <w:r>
              <w:rPr>
                <w:rFonts w:hint="eastAsia" w:ascii="宋体" w:hAnsi="宋体" w:cs="宋体"/>
                <w:sz w:val="24"/>
                <w:szCs w:val="24"/>
              </w:rPr>
              <w:t xml:space="preserve">6 </w:t>
            </w:r>
          </w:p>
        </w:tc>
        <w:tc>
          <w:tcPr>
            <w:tcW w:w="3033" w:type="pct"/>
            <w:tcBorders>
              <w:top w:val="single" w:color="auto" w:sz="4" w:space="0"/>
              <w:left w:val="single" w:color="auto" w:sz="4" w:space="0"/>
              <w:bottom w:val="single" w:color="auto" w:sz="4" w:space="0"/>
              <w:right w:val="single" w:color="auto" w:sz="4" w:space="0"/>
            </w:tcBorders>
            <w:vAlign w:val="center"/>
          </w:tcPr>
          <w:p w14:paraId="052FF687">
            <w:pPr>
              <w:snapToGrid w:val="0"/>
              <w:spacing w:line="300" w:lineRule="exact"/>
              <w:rPr>
                <w:rFonts w:ascii="宋体" w:hAnsi="宋体" w:cs="宋体"/>
                <w:sz w:val="24"/>
                <w:szCs w:val="24"/>
              </w:rPr>
            </w:pPr>
            <w:r>
              <w:rPr>
                <w:rFonts w:hint="eastAsia" w:ascii="宋体" w:hAnsi="宋体" w:cs="宋体"/>
                <w:sz w:val="24"/>
                <w:szCs w:val="24"/>
              </w:rPr>
              <w:t>一、产品用途 用于对患者血氧、血压等生命体征监测</w:t>
            </w:r>
          </w:p>
          <w:p w14:paraId="4700DEEF">
            <w:pPr>
              <w:snapToGrid w:val="0"/>
              <w:spacing w:line="300" w:lineRule="exact"/>
              <w:rPr>
                <w:rFonts w:ascii="宋体" w:hAnsi="宋体" w:cs="宋体"/>
                <w:sz w:val="24"/>
                <w:szCs w:val="24"/>
              </w:rPr>
            </w:pPr>
            <w:r>
              <w:rPr>
                <w:rFonts w:hint="eastAsia" w:ascii="宋体" w:hAnsi="宋体" w:cs="宋体"/>
                <w:sz w:val="24"/>
                <w:szCs w:val="24"/>
              </w:rPr>
              <w:t>二、技术参数</w:t>
            </w:r>
          </w:p>
          <w:p w14:paraId="11F4B36F">
            <w:pPr>
              <w:snapToGrid w:val="0"/>
              <w:spacing w:line="300" w:lineRule="exact"/>
              <w:jc w:val="left"/>
              <w:rPr>
                <w:rFonts w:ascii="宋体" w:hAnsi="宋体" w:cs="宋体"/>
                <w:sz w:val="24"/>
                <w:szCs w:val="24"/>
              </w:rPr>
            </w:pPr>
            <w:r>
              <w:rPr>
                <w:rFonts w:hint="eastAsia" w:ascii="宋体" w:hAnsi="宋体" w:cs="宋体"/>
                <w:sz w:val="24"/>
                <w:szCs w:val="24"/>
                <w:highlight w:val="yellow"/>
                <w:lang w:val="en-US" w:eastAsia="zh-CN"/>
              </w:rPr>
              <w:t>1、</w:t>
            </w:r>
            <w:r>
              <w:rPr>
                <w:rFonts w:hint="eastAsia" w:ascii="宋体" w:hAnsi="宋体" w:cs="宋体"/>
                <w:sz w:val="24"/>
                <w:szCs w:val="24"/>
                <w:highlight w:val="yellow"/>
              </w:rPr>
              <w:t>★≥12英寸彩色液晶触摸屏，分辨率≥1280*800，≥10通道波形显示，显示屏采用宽视角技术，支持≥170度可视范围；</w:t>
            </w:r>
          </w:p>
          <w:p w14:paraId="1EEC29A5">
            <w:pPr>
              <w:snapToGrid w:val="0"/>
              <w:spacing w:line="300" w:lineRule="exact"/>
              <w:jc w:val="left"/>
              <w:rPr>
                <w:rFonts w:ascii="宋体" w:hAnsi="宋体" w:cs="宋体"/>
                <w:sz w:val="24"/>
                <w:szCs w:val="24"/>
              </w:rPr>
            </w:pPr>
            <w:r>
              <w:rPr>
                <w:rFonts w:hint="eastAsia" w:ascii="宋体" w:hAnsi="宋体" w:cs="宋体"/>
                <w:sz w:val="24"/>
                <w:szCs w:val="24"/>
              </w:rPr>
              <w:t>2、USB接口支持连接鼠标、键盘、条码扫描枪和遥控器等设备；</w:t>
            </w:r>
          </w:p>
          <w:p w14:paraId="4A328B00">
            <w:pPr>
              <w:snapToGrid w:val="0"/>
              <w:spacing w:line="300" w:lineRule="exact"/>
              <w:jc w:val="left"/>
              <w:rPr>
                <w:rFonts w:ascii="宋体" w:hAnsi="宋体" w:cs="宋体"/>
                <w:sz w:val="24"/>
                <w:szCs w:val="24"/>
              </w:rPr>
            </w:pPr>
            <w:r>
              <w:rPr>
                <w:rFonts w:hint="eastAsia" w:ascii="宋体" w:hAnsi="宋体" w:cs="宋体"/>
                <w:sz w:val="24"/>
                <w:szCs w:val="24"/>
              </w:rPr>
              <w:t>3、支持室上性心动过速和SVCs/min等室上性心律失常分析；</w:t>
            </w:r>
          </w:p>
          <w:p w14:paraId="772634EE">
            <w:pPr>
              <w:snapToGrid w:val="0"/>
              <w:spacing w:line="300" w:lineRule="exact"/>
              <w:jc w:val="left"/>
              <w:rPr>
                <w:rFonts w:ascii="宋体" w:hAnsi="宋体" w:cs="宋体"/>
                <w:sz w:val="24"/>
                <w:szCs w:val="24"/>
              </w:rPr>
            </w:pPr>
            <w:r>
              <w:rPr>
                <w:rFonts w:hint="eastAsia" w:ascii="宋体" w:hAnsi="宋体" w:cs="宋体"/>
                <w:sz w:val="24"/>
                <w:szCs w:val="24"/>
              </w:rPr>
              <w:t>4、配置3/5导心电，呼吸，无创血压，血氧饱和度，脉搏和双通道体温参数监测，以上参数适用于成人、小儿、新生儿患者；</w:t>
            </w:r>
          </w:p>
          <w:p w14:paraId="0F3EDC03">
            <w:pPr>
              <w:snapToGrid w:val="0"/>
              <w:spacing w:line="300" w:lineRule="exact"/>
              <w:jc w:val="left"/>
              <w:rPr>
                <w:rFonts w:ascii="宋体" w:hAnsi="宋体" w:cs="宋体"/>
                <w:sz w:val="24"/>
                <w:szCs w:val="24"/>
              </w:rPr>
            </w:pPr>
            <w:r>
              <w:rPr>
                <w:rFonts w:hint="eastAsia" w:ascii="宋体" w:hAnsi="宋体" w:cs="宋体"/>
                <w:sz w:val="24"/>
                <w:szCs w:val="24"/>
              </w:rPr>
              <w:t>5、心电监护支持心率，ST段测量，心律失常分析，QT/QTc连续实时测量和对应报警功能；</w:t>
            </w:r>
          </w:p>
          <w:p w14:paraId="70E7EB66">
            <w:pPr>
              <w:snapToGrid w:val="0"/>
              <w:spacing w:line="300" w:lineRule="exact"/>
              <w:jc w:val="left"/>
              <w:rPr>
                <w:rFonts w:ascii="宋体" w:hAnsi="宋体" w:cs="宋体"/>
                <w:sz w:val="24"/>
                <w:szCs w:val="24"/>
              </w:rPr>
            </w:pPr>
            <w:r>
              <w:rPr>
                <w:rFonts w:hint="eastAsia" w:ascii="宋体" w:hAnsi="宋体" w:cs="宋体"/>
                <w:sz w:val="24"/>
                <w:szCs w:val="24"/>
              </w:rPr>
              <w:t>6、QT和QTc实时监测参数测量范围：200～800 ms；</w:t>
            </w:r>
          </w:p>
          <w:p w14:paraId="25F43482">
            <w:pPr>
              <w:snapToGrid w:val="0"/>
              <w:spacing w:line="300" w:lineRule="exact"/>
              <w:jc w:val="left"/>
              <w:rPr>
                <w:rFonts w:ascii="宋体" w:hAnsi="宋体" w:cs="宋体"/>
                <w:sz w:val="24"/>
                <w:szCs w:val="24"/>
              </w:rPr>
            </w:pPr>
            <w:r>
              <w:rPr>
                <w:rFonts w:hint="eastAsia" w:ascii="宋体" w:hAnsi="宋体" w:cs="宋体"/>
                <w:sz w:val="24"/>
                <w:szCs w:val="24"/>
              </w:rPr>
              <w:t>7、配置无创血压测量，适用于成人，小儿和新生儿。无创血压成人测量范围：收缩压25-290mmH；</w:t>
            </w:r>
          </w:p>
          <w:p w14:paraId="7A08DB78">
            <w:pPr>
              <w:snapToGrid w:val="0"/>
              <w:spacing w:line="300" w:lineRule="exact"/>
              <w:jc w:val="left"/>
              <w:rPr>
                <w:rFonts w:ascii="宋体" w:hAnsi="宋体" w:cs="宋体"/>
                <w:sz w:val="24"/>
                <w:szCs w:val="24"/>
              </w:rPr>
            </w:pPr>
            <w:r>
              <w:rPr>
                <w:rFonts w:hint="eastAsia" w:ascii="宋体" w:hAnsi="宋体" w:cs="宋体"/>
                <w:sz w:val="24"/>
                <w:szCs w:val="24"/>
              </w:rPr>
              <w:t>8.心电支持≥3个分析导联实时动态同步分析，并非多个导联波形同屏显示及12导联静息分析；</w:t>
            </w:r>
          </w:p>
          <w:p w14:paraId="6667682F">
            <w:pPr>
              <w:snapToGrid w:val="0"/>
              <w:spacing w:line="300" w:lineRule="exact"/>
              <w:jc w:val="left"/>
              <w:rPr>
                <w:rFonts w:ascii="宋体" w:hAnsi="宋体" w:cs="宋体"/>
                <w:sz w:val="24"/>
                <w:szCs w:val="24"/>
              </w:rPr>
            </w:pPr>
            <w:r>
              <w:rPr>
                <w:rFonts w:hint="eastAsia" w:ascii="宋体" w:hAnsi="宋体" w:cs="宋体"/>
                <w:sz w:val="24"/>
                <w:szCs w:val="24"/>
              </w:rPr>
              <w:t>★9.提供SPO</w:t>
            </w:r>
            <w:r>
              <w:rPr>
                <w:rFonts w:hint="eastAsia" w:ascii="宋体" w:hAnsi="宋体" w:cs="宋体"/>
                <w:sz w:val="24"/>
                <w:szCs w:val="24"/>
                <w:vertAlign w:val="subscript"/>
              </w:rPr>
              <w:t>2</w:t>
            </w:r>
            <w:r>
              <w:rPr>
                <w:rFonts w:hint="eastAsia" w:ascii="宋体" w:hAnsi="宋体" w:cs="宋体"/>
                <w:sz w:val="24"/>
                <w:szCs w:val="24"/>
              </w:rPr>
              <w:t>和PR的实时监测，来自SPO</w:t>
            </w:r>
            <w:r>
              <w:rPr>
                <w:rFonts w:hint="eastAsia" w:ascii="宋体" w:hAnsi="宋体" w:cs="宋体"/>
                <w:sz w:val="24"/>
                <w:szCs w:val="24"/>
                <w:vertAlign w:val="subscript"/>
              </w:rPr>
              <w:t>2</w:t>
            </w:r>
            <w:r>
              <w:rPr>
                <w:rFonts w:hint="eastAsia" w:ascii="宋体" w:hAnsi="宋体" w:cs="宋体"/>
                <w:sz w:val="24"/>
                <w:szCs w:val="24"/>
              </w:rPr>
              <w:t>的PR测量范围：20-300；</w:t>
            </w:r>
          </w:p>
          <w:p w14:paraId="25E6F1D5">
            <w:pPr>
              <w:snapToGrid w:val="0"/>
              <w:spacing w:line="300" w:lineRule="exact"/>
              <w:jc w:val="left"/>
              <w:rPr>
                <w:rFonts w:ascii="宋体" w:hAnsi="宋体" w:cs="宋体"/>
                <w:sz w:val="24"/>
                <w:szCs w:val="24"/>
              </w:rPr>
            </w:pPr>
            <w:r>
              <w:rPr>
                <w:rFonts w:hint="eastAsia" w:ascii="宋体" w:hAnsi="宋体" w:cs="宋体"/>
                <w:sz w:val="24"/>
                <w:szCs w:val="24"/>
              </w:rPr>
              <w:t>★10.支持所有监测参数报警一键自动设置功能；</w:t>
            </w:r>
          </w:p>
          <w:p w14:paraId="07BD60F5">
            <w:pPr>
              <w:snapToGrid w:val="0"/>
              <w:spacing w:line="300" w:lineRule="exact"/>
              <w:jc w:val="left"/>
              <w:rPr>
                <w:rFonts w:ascii="宋体" w:hAnsi="宋体" w:cs="宋体"/>
                <w:sz w:val="24"/>
                <w:szCs w:val="24"/>
                <w:highlight w:val="yellow"/>
              </w:rPr>
            </w:pPr>
            <w:r>
              <w:rPr>
                <w:rFonts w:hint="eastAsia" w:ascii="宋体" w:hAnsi="宋体" w:cs="宋体"/>
                <w:sz w:val="24"/>
                <w:szCs w:val="24"/>
                <w:highlight w:val="yellow"/>
              </w:rPr>
              <w:t>11.；</w:t>
            </w:r>
          </w:p>
          <w:p w14:paraId="7DAD6013">
            <w:pPr>
              <w:snapToGrid w:val="0"/>
              <w:spacing w:line="300" w:lineRule="exact"/>
              <w:jc w:val="left"/>
              <w:rPr>
                <w:rFonts w:ascii="宋体" w:hAnsi="宋体" w:cs="宋体"/>
                <w:sz w:val="24"/>
                <w:szCs w:val="24"/>
              </w:rPr>
            </w:pPr>
            <w:r>
              <w:rPr>
                <w:rFonts w:hint="eastAsia" w:ascii="宋体" w:hAnsi="宋体" w:cs="宋体"/>
                <w:sz w:val="24"/>
                <w:szCs w:val="24"/>
              </w:rPr>
              <w:t>12.具有图形化技术报警指示功能，快速识别报警来源；</w:t>
            </w:r>
          </w:p>
          <w:p w14:paraId="7FCA5988">
            <w:pPr>
              <w:snapToGrid w:val="0"/>
              <w:spacing w:line="300" w:lineRule="exact"/>
              <w:jc w:val="left"/>
              <w:rPr>
                <w:rFonts w:ascii="宋体" w:hAnsi="宋体" w:cs="宋体"/>
                <w:sz w:val="24"/>
                <w:szCs w:val="24"/>
              </w:rPr>
            </w:pPr>
            <w:r>
              <w:rPr>
                <w:rFonts w:hint="eastAsia" w:ascii="宋体" w:hAnsi="宋体" w:cs="宋体"/>
                <w:sz w:val="24"/>
                <w:szCs w:val="24"/>
              </w:rPr>
              <w:t>13.支持≥168小时趋势数据的存储与回顾功能，支持≥72小时全息波形的存储与回顾功能；</w:t>
            </w:r>
          </w:p>
          <w:p w14:paraId="6C883123">
            <w:pPr>
              <w:snapToGrid w:val="0"/>
              <w:spacing w:line="300" w:lineRule="exact"/>
              <w:jc w:val="left"/>
              <w:rPr>
                <w:rFonts w:ascii="宋体" w:hAnsi="宋体" w:cs="宋体"/>
                <w:sz w:val="24"/>
                <w:szCs w:val="24"/>
              </w:rPr>
            </w:pPr>
            <w:r>
              <w:rPr>
                <w:rFonts w:hint="eastAsia" w:ascii="宋体" w:hAnsi="宋体" w:cs="宋体"/>
                <w:sz w:val="24"/>
                <w:szCs w:val="24"/>
              </w:rPr>
              <w:t>14.具备监护模式、待机模式，演示模式和夜间模式；</w:t>
            </w:r>
          </w:p>
          <w:p w14:paraId="2024540E">
            <w:pPr>
              <w:snapToGrid w:val="0"/>
              <w:spacing w:line="300" w:lineRule="exact"/>
              <w:jc w:val="left"/>
              <w:rPr>
                <w:rFonts w:ascii="宋体" w:hAnsi="宋体" w:cs="宋体"/>
                <w:sz w:val="24"/>
                <w:szCs w:val="24"/>
              </w:rPr>
            </w:pPr>
            <w:r>
              <w:rPr>
                <w:rFonts w:hint="eastAsia" w:ascii="宋体" w:hAnsi="宋体" w:cs="宋体"/>
                <w:sz w:val="24"/>
                <w:szCs w:val="24"/>
              </w:rPr>
              <w:t>15.支持格拉斯哥昏迷评分（GCS）功能；</w:t>
            </w:r>
          </w:p>
          <w:p w14:paraId="43EA2850">
            <w:pPr>
              <w:snapToGrid w:val="0"/>
              <w:spacing w:line="300" w:lineRule="exact"/>
              <w:jc w:val="left"/>
              <w:rPr>
                <w:rFonts w:ascii="宋体" w:hAnsi="宋体" w:cs="宋体"/>
                <w:sz w:val="24"/>
                <w:szCs w:val="24"/>
              </w:rPr>
            </w:pPr>
            <w:r>
              <w:rPr>
                <w:rFonts w:hint="eastAsia" w:ascii="宋体" w:hAnsi="宋体" w:cs="宋体"/>
                <w:sz w:val="24"/>
                <w:szCs w:val="24"/>
              </w:rPr>
              <w:t>16.动态趋势界面可支持统计1-24小时心律失常报警、参数超限报警信息，并对超限报警区间的波形进行高亮显示，快速识别异常趋势信息；</w:t>
            </w:r>
          </w:p>
          <w:p w14:paraId="09D77E97">
            <w:pPr>
              <w:snapToGrid w:val="0"/>
              <w:spacing w:line="300" w:lineRule="exact"/>
              <w:jc w:val="left"/>
              <w:rPr>
                <w:rFonts w:ascii="宋体" w:hAnsi="宋体" w:cs="宋体"/>
                <w:sz w:val="24"/>
                <w:szCs w:val="24"/>
                <w:highlight w:val="yellow"/>
              </w:rPr>
            </w:pPr>
            <w:r>
              <w:rPr>
                <w:rFonts w:hint="eastAsia" w:ascii="宋体" w:hAnsi="宋体" w:cs="宋体"/>
                <w:sz w:val="24"/>
                <w:szCs w:val="24"/>
                <w:highlight w:val="yellow"/>
              </w:rPr>
              <w:t>17.；</w:t>
            </w:r>
          </w:p>
          <w:p w14:paraId="50D52EF2">
            <w:pPr>
              <w:snapToGrid w:val="0"/>
              <w:spacing w:line="300" w:lineRule="exact"/>
              <w:jc w:val="left"/>
              <w:rPr>
                <w:rFonts w:ascii="宋体" w:hAnsi="宋体" w:cs="宋体"/>
                <w:sz w:val="24"/>
                <w:szCs w:val="24"/>
              </w:rPr>
            </w:pPr>
            <w:r>
              <w:rPr>
                <w:rFonts w:hint="eastAsia" w:ascii="宋体" w:hAnsi="宋体" w:cs="宋体"/>
                <w:sz w:val="24"/>
                <w:szCs w:val="24"/>
              </w:rPr>
              <w:t>18.支持监护仪的系统日志向U盘设备的导出功能；</w:t>
            </w:r>
          </w:p>
          <w:p w14:paraId="1B6ECEA3">
            <w:pPr>
              <w:snapToGrid w:val="0"/>
              <w:spacing w:line="300" w:lineRule="exact"/>
              <w:jc w:val="left"/>
              <w:rPr>
                <w:rFonts w:ascii="宋体" w:hAnsi="宋体" w:cs="宋体"/>
                <w:b/>
                <w:bCs/>
                <w:sz w:val="24"/>
                <w:szCs w:val="24"/>
              </w:rPr>
            </w:pPr>
            <w:r>
              <w:rPr>
                <w:rFonts w:hint="eastAsia" w:ascii="宋体" w:hAnsi="宋体" w:cs="宋体"/>
                <w:sz w:val="24"/>
                <w:szCs w:val="24"/>
              </w:rPr>
              <w:t>19.支持升级有创压、热敏打印等；</w:t>
            </w:r>
          </w:p>
        </w:tc>
      </w:tr>
      <w:tr w14:paraId="3A0D15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tcBorders>
              <w:top w:val="single" w:color="auto" w:sz="4" w:space="0"/>
              <w:left w:val="single" w:color="auto" w:sz="4" w:space="0"/>
              <w:bottom w:val="single" w:color="auto" w:sz="4" w:space="0"/>
              <w:right w:val="single" w:color="auto" w:sz="4" w:space="0"/>
            </w:tcBorders>
            <w:vAlign w:val="center"/>
          </w:tcPr>
          <w:p w14:paraId="77E62F48">
            <w:pPr>
              <w:snapToGrid w:val="0"/>
              <w:spacing w:line="360" w:lineRule="auto"/>
              <w:jc w:val="center"/>
              <w:rPr>
                <w:rFonts w:ascii="宋体" w:hAnsi="宋体" w:cs="宋体"/>
                <w:sz w:val="24"/>
                <w:szCs w:val="24"/>
              </w:rPr>
            </w:pPr>
            <w:r>
              <w:rPr>
                <w:rFonts w:hint="eastAsia" w:ascii="宋体" w:hAnsi="宋体" w:cs="宋体"/>
                <w:sz w:val="24"/>
                <w:szCs w:val="24"/>
              </w:rPr>
              <w:t>2</w:t>
            </w:r>
          </w:p>
        </w:tc>
        <w:tc>
          <w:tcPr>
            <w:tcW w:w="704" w:type="pct"/>
            <w:tcBorders>
              <w:top w:val="single" w:color="auto" w:sz="4" w:space="0"/>
              <w:left w:val="single" w:color="auto" w:sz="4" w:space="0"/>
              <w:bottom w:val="single" w:color="auto" w:sz="4" w:space="0"/>
              <w:right w:val="single" w:color="auto" w:sz="4" w:space="0"/>
            </w:tcBorders>
            <w:vAlign w:val="center"/>
          </w:tcPr>
          <w:p w14:paraId="15B03DBD">
            <w:pPr>
              <w:snapToGrid w:val="0"/>
              <w:spacing w:line="360" w:lineRule="auto"/>
              <w:jc w:val="center"/>
              <w:rPr>
                <w:rFonts w:ascii="宋体" w:hAnsi="宋体" w:cs="宋体"/>
                <w:sz w:val="24"/>
                <w:szCs w:val="24"/>
              </w:rPr>
            </w:pPr>
            <w:r>
              <w:rPr>
                <w:rFonts w:hint="eastAsia" w:ascii="宋体" w:hAnsi="宋体" w:cs="宋体"/>
                <w:sz w:val="24"/>
                <w:szCs w:val="24"/>
              </w:rPr>
              <w:t>监护仪（2）</w:t>
            </w:r>
          </w:p>
        </w:tc>
        <w:tc>
          <w:tcPr>
            <w:tcW w:w="390" w:type="pct"/>
            <w:tcBorders>
              <w:top w:val="single" w:color="auto" w:sz="4" w:space="0"/>
              <w:left w:val="single" w:color="auto" w:sz="4" w:space="0"/>
              <w:bottom w:val="single" w:color="auto" w:sz="4" w:space="0"/>
              <w:right w:val="single" w:color="auto" w:sz="4" w:space="0"/>
            </w:tcBorders>
            <w:vAlign w:val="center"/>
          </w:tcPr>
          <w:p w14:paraId="1EA16599">
            <w:pPr>
              <w:snapToGrid w:val="0"/>
              <w:spacing w:line="360" w:lineRule="auto"/>
              <w:jc w:val="center"/>
              <w:rPr>
                <w:rFonts w:ascii="宋体" w:hAnsi="宋体" w:cs="宋体"/>
                <w:sz w:val="24"/>
                <w:szCs w:val="24"/>
              </w:rPr>
            </w:pPr>
            <w:r>
              <w:rPr>
                <w:rFonts w:hint="eastAsia" w:ascii="宋体" w:hAnsi="宋体" w:cs="宋体"/>
                <w:sz w:val="24"/>
                <w:szCs w:val="24"/>
              </w:rPr>
              <w:t>台</w:t>
            </w:r>
          </w:p>
        </w:tc>
        <w:tc>
          <w:tcPr>
            <w:tcW w:w="439" w:type="pct"/>
            <w:tcBorders>
              <w:top w:val="single" w:color="auto" w:sz="4" w:space="0"/>
              <w:left w:val="single" w:color="auto" w:sz="4" w:space="0"/>
              <w:bottom w:val="single" w:color="auto" w:sz="4" w:space="0"/>
              <w:right w:val="single" w:color="auto" w:sz="4" w:space="0"/>
            </w:tcBorders>
            <w:vAlign w:val="center"/>
          </w:tcPr>
          <w:p w14:paraId="36FA040A">
            <w:pPr>
              <w:snapToGrid w:val="0"/>
              <w:spacing w:line="360" w:lineRule="auto"/>
              <w:jc w:val="center"/>
              <w:rPr>
                <w:rFonts w:ascii="宋体" w:hAnsi="宋体" w:cs="宋体"/>
                <w:sz w:val="24"/>
                <w:szCs w:val="24"/>
              </w:rPr>
            </w:pPr>
            <w:r>
              <w:rPr>
                <w:rFonts w:hint="eastAsia" w:ascii="宋体" w:hAnsi="宋体" w:cs="宋体"/>
                <w:sz w:val="24"/>
                <w:szCs w:val="24"/>
              </w:rPr>
              <w:t>89</w:t>
            </w:r>
          </w:p>
        </w:tc>
        <w:tc>
          <w:tcPr>
            <w:tcW w:w="3033" w:type="pct"/>
            <w:tcBorders>
              <w:top w:val="single" w:color="auto" w:sz="4" w:space="0"/>
              <w:left w:val="single" w:color="auto" w:sz="4" w:space="0"/>
              <w:bottom w:val="single" w:color="auto" w:sz="4" w:space="0"/>
              <w:right w:val="single" w:color="auto" w:sz="4" w:space="0"/>
            </w:tcBorders>
            <w:vAlign w:val="center"/>
          </w:tcPr>
          <w:p w14:paraId="46EDDB54">
            <w:pPr>
              <w:snapToGrid w:val="0"/>
              <w:spacing w:line="300" w:lineRule="exact"/>
              <w:jc w:val="left"/>
              <w:rPr>
                <w:rFonts w:ascii="宋体" w:hAnsi="宋体" w:cs="宋体"/>
                <w:sz w:val="24"/>
                <w:szCs w:val="24"/>
              </w:rPr>
            </w:pPr>
            <w:r>
              <w:rPr>
                <w:rFonts w:hint="eastAsia" w:ascii="宋体" w:hAnsi="宋体" w:cs="宋体"/>
                <w:sz w:val="24"/>
                <w:szCs w:val="24"/>
              </w:rPr>
              <w:t>（一）监护仪</w:t>
            </w:r>
          </w:p>
          <w:p w14:paraId="3FE915E4">
            <w:pPr>
              <w:snapToGrid w:val="0"/>
              <w:spacing w:line="300" w:lineRule="exact"/>
              <w:jc w:val="left"/>
              <w:rPr>
                <w:rFonts w:ascii="宋体" w:hAnsi="宋体" w:cs="宋体"/>
                <w:sz w:val="24"/>
                <w:szCs w:val="24"/>
              </w:rPr>
            </w:pPr>
            <w:r>
              <w:rPr>
                <w:rFonts w:hint="eastAsia" w:ascii="宋体" w:hAnsi="宋体" w:cs="宋体"/>
                <w:sz w:val="24"/>
                <w:szCs w:val="24"/>
                <w:highlight w:val="yellow"/>
                <w:lang w:val="en-US" w:eastAsia="zh-CN"/>
              </w:rPr>
              <w:t>1、</w:t>
            </w:r>
            <w:r>
              <w:rPr>
                <w:rFonts w:hint="eastAsia" w:ascii="宋体" w:hAnsi="宋体" w:cs="宋体"/>
                <w:sz w:val="24"/>
                <w:szCs w:val="24"/>
                <w:highlight w:val="yellow"/>
              </w:rPr>
              <w:t>★≥12英寸彩色液晶触摸屏，分辨率≥1280*800，≥10通道波形显示，显示屏采用宽视角技术，支持≥170度可视范围；</w:t>
            </w:r>
          </w:p>
          <w:p w14:paraId="381A1197">
            <w:pPr>
              <w:snapToGrid w:val="0"/>
              <w:spacing w:line="300" w:lineRule="exact"/>
              <w:jc w:val="left"/>
              <w:rPr>
                <w:rFonts w:ascii="宋体" w:hAnsi="宋体" w:cs="宋体"/>
                <w:sz w:val="24"/>
                <w:szCs w:val="24"/>
              </w:rPr>
            </w:pPr>
            <w:r>
              <w:rPr>
                <w:rFonts w:hint="eastAsia" w:ascii="宋体" w:hAnsi="宋体" w:cs="宋体"/>
                <w:sz w:val="24"/>
                <w:szCs w:val="24"/>
              </w:rPr>
              <w:t>2. 内置锂电池，无需螺丝刀工具支持快速拆卸和安装，锂电池支持监护仪工作时间≥4小时，支持升级大能量锂电池，续航时间≥8小时；</w:t>
            </w:r>
          </w:p>
          <w:p w14:paraId="1508E6CC">
            <w:pPr>
              <w:snapToGrid w:val="0"/>
              <w:spacing w:line="300" w:lineRule="exact"/>
              <w:jc w:val="left"/>
              <w:rPr>
                <w:rFonts w:ascii="宋体" w:hAnsi="宋体" w:cs="宋体"/>
                <w:sz w:val="24"/>
                <w:szCs w:val="24"/>
              </w:rPr>
            </w:pPr>
            <w:r>
              <w:rPr>
                <w:rFonts w:hint="eastAsia" w:ascii="宋体" w:hAnsi="宋体" w:cs="宋体"/>
                <w:sz w:val="24"/>
                <w:szCs w:val="24"/>
              </w:rPr>
              <w:t>3. 安全规格：ECG, TEMP, SPO</w:t>
            </w:r>
            <w:r>
              <w:rPr>
                <w:rFonts w:hint="eastAsia" w:ascii="宋体" w:hAnsi="宋体" w:cs="宋体"/>
                <w:sz w:val="24"/>
                <w:szCs w:val="24"/>
                <w:vertAlign w:val="subscript"/>
              </w:rPr>
              <w:t>2</w:t>
            </w:r>
            <w:r>
              <w:rPr>
                <w:rFonts w:hint="eastAsia" w:ascii="宋体" w:hAnsi="宋体" w:cs="宋体"/>
                <w:sz w:val="24"/>
                <w:szCs w:val="24"/>
              </w:rPr>
              <w:t xml:space="preserve"> , NIBP监测参数抗电击程度为防除颤CF型；</w:t>
            </w:r>
          </w:p>
          <w:p w14:paraId="5BF0C8FC">
            <w:pPr>
              <w:snapToGrid w:val="0"/>
              <w:spacing w:line="300" w:lineRule="exact"/>
              <w:jc w:val="left"/>
              <w:rPr>
                <w:rFonts w:ascii="宋体" w:hAnsi="宋体" w:cs="宋体"/>
                <w:sz w:val="24"/>
                <w:szCs w:val="24"/>
              </w:rPr>
            </w:pPr>
            <w:r>
              <w:rPr>
                <w:rFonts w:hint="eastAsia" w:ascii="宋体" w:hAnsi="宋体" w:cs="宋体"/>
                <w:sz w:val="24"/>
                <w:szCs w:val="24"/>
              </w:rPr>
              <w:t>4. 监护仪设计使用年限≥10年；</w:t>
            </w:r>
          </w:p>
          <w:p w14:paraId="09F232A8">
            <w:pPr>
              <w:snapToGrid w:val="0"/>
              <w:spacing w:line="300" w:lineRule="exact"/>
              <w:jc w:val="left"/>
              <w:rPr>
                <w:rFonts w:ascii="宋体" w:hAnsi="宋体" w:cs="宋体"/>
                <w:sz w:val="24"/>
                <w:szCs w:val="24"/>
              </w:rPr>
            </w:pPr>
            <w:r>
              <w:rPr>
                <w:rFonts w:hint="eastAsia" w:ascii="宋体" w:hAnsi="宋体" w:cs="宋体"/>
                <w:sz w:val="24"/>
                <w:szCs w:val="24"/>
              </w:rPr>
              <w:t>5. USB接口支持包括但不限于连接鼠标、键盘、条码扫描枪和遥控器设备。</w:t>
            </w:r>
          </w:p>
          <w:p w14:paraId="7A926814">
            <w:pPr>
              <w:snapToGrid w:val="0"/>
              <w:spacing w:line="300" w:lineRule="exact"/>
              <w:jc w:val="left"/>
              <w:rPr>
                <w:rFonts w:ascii="宋体" w:hAnsi="宋体" w:cs="宋体"/>
                <w:sz w:val="24"/>
                <w:szCs w:val="24"/>
                <w:highlight w:val="yellow"/>
              </w:rPr>
            </w:pPr>
            <w:r>
              <w:rPr>
                <w:rFonts w:hint="eastAsia" w:ascii="宋体" w:hAnsi="宋体" w:cs="宋体"/>
                <w:sz w:val="24"/>
                <w:szCs w:val="24"/>
                <w:highlight w:val="yellow"/>
              </w:rPr>
              <w:t>6. ；</w:t>
            </w:r>
          </w:p>
          <w:p w14:paraId="4B24545A">
            <w:pPr>
              <w:snapToGrid w:val="0"/>
              <w:spacing w:line="300" w:lineRule="exact"/>
              <w:jc w:val="left"/>
              <w:rPr>
                <w:rFonts w:ascii="宋体" w:hAnsi="宋体" w:cs="宋体"/>
                <w:sz w:val="24"/>
                <w:szCs w:val="24"/>
              </w:rPr>
            </w:pPr>
            <w:r>
              <w:rPr>
                <w:rFonts w:hint="eastAsia" w:ascii="宋体" w:hAnsi="宋体" w:cs="宋体"/>
                <w:sz w:val="24"/>
                <w:szCs w:val="24"/>
              </w:rPr>
              <w:t>7. 配置3/5导心电，呼吸，无创血压，血氧饱和度，脉搏和双通道体温参数监测，以上参数适用于成人、小儿、新生儿患者；</w:t>
            </w:r>
          </w:p>
          <w:p w14:paraId="3867B5AE">
            <w:pPr>
              <w:snapToGrid w:val="0"/>
              <w:spacing w:line="300" w:lineRule="exact"/>
              <w:jc w:val="left"/>
              <w:rPr>
                <w:rFonts w:ascii="宋体" w:hAnsi="宋体" w:cs="宋体"/>
                <w:sz w:val="24"/>
                <w:szCs w:val="24"/>
              </w:rPr>
            </w:pPr>
            <w:r>
              <w:rPr>
                <w:rFonts w:hint="eastAsia" w:ascii="宋体" w:hAnsi="宋体" w:cs="宋体"/>
                <w:sz w:val="24"/>
                <w:szCs w:val="24"/>
              </w:rPr>
              <w:t>8. 心电监护支持心率，ST段测量，心律失常分析，QT/QTc连续实时测量和对应报警功能，支持成人、小儿、新生儿患者；</w:t>
            </w:r>
          </w:p>
          <w:p w14:paraId="4BD3545B">
            <w:pPr>
              <w:snapToGrid w:val="0"/>
              <w:spacing w:line="300" w:lineRule="exact"/>
              <w:jc w:val="left"/>
              <w:rPr>
                <w:rFonts w:ascii="宋体" w:hAnsi="宋体" w:cs="宋体"/>
                <w:sz w:val="24"/>
                <w:szCs w:val="24"/>
              </w:rPr>
            </w:pPr>
            <w:r>
              <w:rPr>
                <w:rFonts w:hint="eastAsia" w:ascii="宋体" w:hAnsi="宋体" w:cs="宋体"/>
                <w:sz w:val="24"/>
                <w:szCs w:val="24"/>
              </w:rPr>
              <w:t>9. 支持包括但不限于室上性心动过速和SVCs/min室上性心律失常分析；</w:t>
            </w:r>
          </w:p>
          <w:p w14:paraId="3CFB9A56">
            <w:pPr>
              <w:snapToGrid w:val="0"/>
              <w:spacing w:line="300" w:lineRule="exact"/>
              <w:jc w:val="left"/>
              <w:rPr>
                <w:rFonts w:ascii="宋体" w:hAnsi="宋体" w:cs="宋体"/>
                <w:sz w:val="24"/>
                <w:szCs w:val="24"/>
              </w:rPr>
            </w:pPr>
            <w:r>
              <w:rPr>
                <w:rFonts w:hint="eastAsia" w:ascii="宋体" w:hAnsi="宋体" w:cs="宋体"/>
                <w:sz w:val="24"/>
                <w:szCs w:val="24"/>
              </w:rPr>
              <w:t>10. 心电支持≥3个分析导联实时动态同步分析，并非多个导联波形同屏显示及12导联静息分析；</w:t>
            </w:r>
          </w:p>
          <w:p w14:paraId="211BA3F0">
            <w:pPr>
              <w:snapToGrid w:val="0"/>
              <w:spacing w:line="300" w:lineRule="exact"/>
              <w:jc w:val="left"/>
              <w:rPr>
                <w:rFonts w:ascii="宋体" w:hAnsi="宋体" w:cs="宋体"/>
                <w:sz w:val="24"/>
                <w:szCs w:val="24"/>
              </w:rPr>
            </w:pPr>
            <w:r>
              <w:rPr>
                <w:rFonts w:hint="eastAsia" w:ascii="宋体" w:hAnsi="宋体" w:cs="宋体"/>
                <w:sz w:val="24"/>
                <w:szCs w:val="24"/>
              </w:rPr>
              <w:t>11. 提供SPO</w:t>
            </w:r>
            <w:r>
              <w:rPr>
                <w:rFonts w:hint="eastAsia" w:ascii="宋体" w:hAnsi="宋体" w:cs="宋体"/>
                <w:sz w:val="24"/>
                <w:szCs w:val="24"/>
                <w:vertAlign w:val="subscript"/>
              </w:rPr>
              <w:t>2</w:t>
            </w:r>
            <w:r>
              <w:rPr>
                <w:rFonts w:hint="eastAsia" w:ascii="宋体" w:hAnsi="宋体" w:cs="宋体"/>
                <w:sz w:val="24"/>
                <w:szCs w:val="24"/>
              </w:rPr>
              <w:t>,PR和PI参数的实时监测，适用于成人，小儿和新生儿。来自SPO</w:t>
            </w:r>
            <w:r>
              <w:rPr>
                <w:rFonts w:hint="eastAsia" w:ascii="宋体" w:hAnsi="宋体" w:cs="宋体"/>
                <w:sz w:val="24"/>
                <w:szCs w:val="24"/>
                <w:vertAlign w:val="subscript"/>
              </w:rPr>
              <w:t>2</w:t>
            </w:r>
            <w:r>
              <w:rPr>
                <w:rFonts w:hint="eastAsia" w:ascii="宋体" w:hAnsi="宋体" w:cs="宋体"/>
                <w:sz w:val="24"/>
                <w:szCs w:val="24"/>
              </w:rPr>
              <w:t>的PR测量范围：20-300；</w:t>
            </w:r>
          </w:p>
          <w:p w14:paraId="6E6A5EB0">
            <w:pPr>
              <w:snapToGrid w:val="0"/>
              <w:spacing w:line="300" w:lineRule="exact"/>
              <w:jc w:val="left"/>
              <w:rPr>
                <w:rFonts w:ascii="宋体" w:hAnsi="宋体" w:cs="宋体"/>
                <w:sz w:val="24"/>
                <w:szCs w:val="24"/>
              </w:rPr>
            </w:pPr>
            <w:r>
              <w:rPr>
                <w:rFonts w:hint="eastAsia" w:ascii="宋体" w:hAnsi="宋体" w:cs="宋体"/>
                <w:sz w:val="24"/>
                <w:szCs w:val="24"/>
              </w:rPr>
              <w:t>12. 支持指套式血氧探头，IPX7防水等级，支持液体浸泡消毒和清洁；</w:t>
            </w:r>
          </w:p>
          <w:p w14:paraId="3F280EEB">
            <w:pPr>
              <w:snapToGrid w:val="0"/>
              <w:spacing w:line="300" w:lineRule="exact"/>
              <w:jc w:val="left"/>
              <w:rPr>
                <w:rFonts w:ascii="宋体" w:hAnsi="宋体" w:cs="宋体"/>
                <w:sz w:val="24"/>
                <w:szCs w:val="24"/>
              </w:rPr>
            </w:pPr>
            <w:r>
              <w:rPr>
                <w:rFonts w:hint="eastAsia" w:ascii="宋体" w:hAnsi="宋体" w:cs="宋体"/>
                <w:sz w:val="24"/>
                <w:szCs w:val="24"/>
              </w:rPr>
              <w:t>13. 提供手动，自动，连续、序列和整点5种测量模式，提供24小时血压统计结果；</w:t>
            </w:r>
          </w:p>
          <w:p w14:paraId="3EF74341">
            <w:pPr>
              <w:snapToGrid w:val="0"/>
              <w:spacing w:line="300" w:lineRule="exact"/>
              <w:jc w:val="left"/>
              <w:rPr>
                <w:rFonts w:ascii="宋体" w:hAnsi="宋体" w:cs="宋体"/>
                <w:sz w:val="24"/>
                <w:szCs w:val="24"/>
              </w:rPr>
            </w:pPr>
            <w:r>
              <w:rPr>
                <w:rFonts w:hint="eastAsia" w:ascii="宋体" w:hAnsi="宋体" w:cs="宋体"/>
                <w:sz w:val="24"/>
                <w:szCs w:val="24"/>
              </w:rPr>
              <w:t>14. 配置无创血压测量，适用于成人，小儿和新生儿。无创血压成人测量范围：收缩压25-290mmH；</w:t>
            </w:r>
          </w:p>
          <w:p w14:paraId="6DF08966">
            <w:pPr>
              <w:snapToGrid w:val="0"/>
              <w:spacing w:line="300" w:lineRule="exact"/>
              <w:jc w:val="left"/>
              <w:rPr>
                <w:rFonts w:ascii="宋体" w:hAnsi="宋体" w:cs="宋体"/>
                <w:sz w:val="24"/>
                <w:szCs w:val="24"/>
              </w:rPr>
            </w:pPr>
            <w:r>
              <w:rPr>
                <w:rFonts w:hint="eastAsia" w:ascii="宋体" w:hAnsi="宋体" w:cs="宋体"/>
                <w:sz w:val="24"/>
                <w:szCs w:val="24"/>
              </w:rPr>
              <w:t>15. 提供双通道体温和温差参数的监测, 并可根据需要更改体温通道标名；</w:t>
            </w:r>
          </w:p>
          <w:p w14:paraId="220130AF">
            <w:pPr>
              <w:snapToGrid w:val="0"/>
              <w:spacing w:line="300" w:lineRule="exact"/>
              <w:jc w:val="left"/>
              <w:rPr>
                <w:rFonts w:ascii="宋体" w:hAnsi="宋体" w:cs="宋体"/>
                <w:sz w:val="24"/>
                <w:szCs w:val="24"/>
              </w:rPr>
            </w:pPr>
            <w:r>
              <w:rPr>
                <w:rFonts w:hint="eastAsia" w:ascii="宋体" w:hAnsi="宋体" w:cs="宋体"/>
                <w:sz w:val="24"/>
                <w:szCs w:val="24"/>
              </w:rPr>
              <w:t>16. 支持≥1000条事件回顾。每条报警事件至少能够存储≥30秒相关波形，以及报警触发时所有测量参数值；</w:t>
            </w:r>
          </w:p>
          <w:p w14:paraId="4055B9F4">
            <w:pPr>
              <w:snapToGrid w:val="0"/>
              <w:spacing w:line="300" w:lineRule="exact"/>
              <w:jc w:val="left"/>
              <w:rPr>
                <w:rFonts w:ascii="宋体" w:hAnsi="宋体" w:cs="宋体"/>
                <w:sz w:val="24"/>
                <w:szCs w:val="24"/>
              </w:rPr>
            </w:pPr>
            <w:r>
              <w:rPr>
                <w:rFonts w:hint="eastAsia" w:ascii="宋体" w:hAnsi="宋体" w:cs="宋体"/>
                <w:sz w:val="24"/>
                <w:szCs w:val="24"/>
              </w:rPr>
              <w:t>17. 具备包括但不限于参数组合报警功能（并非早期预警评分EWS），可对患者同时多个参数变化给出统一报警提示，更好地反映病人状态，提供≥10个预设组合报警，并允许自定义≥6个组合报警；</w:t>
            </w:r>
          </w:p>
          <w:p w14:paraId="475DE226">
            <w:pPr>
              <w:snapToGrid w:val="0"/>
              <w:spacing w:line="300" w:lineRule="exact"/>
              <w:jc w:val="left"/>
              <w:rPr>
                <w:rFonts w:ascii="宋体" w:hAnsi="宋体" w:cs="宋体"/>
                <w:sz w:val="24"/>
                <w:szCs w:val="24"/>
              </w:rPr>
            </w:pPr>
            <w:r>
              <w:rPr>
                <w:rFonts w:hint="eastAsia" w:ascii="宋体" w:hAnsi="宋体" w:cs="宋体"/>
                <w:sz w:val="24"/>
                <w:szCs w:val="24"/>
              </w:rPr>
              <w:t>18. 可升级（本次不采购）临床评分系统，包括MEWS（改良早期预警评分）、NEWS（英国早期预警评分系统）、NEWS2（英国早期预警评分系统2），可支持定时自动EWS评分功能，支持动态刷新EWS和EWS报警；</w:t>
            </w:r>
          </w:p>
          <w:p w14:paraId="29A09EE7">
            <w:pPr>
              <w:snapToGrid w:val="0"/>
              <w:spacing w:line="300" w:lineRule="exact"/>
              <w:jc w:val="left"/>
              <w:rPr>
                <w:rFonts w:ascii="宋体" w:hAnsi="宋体" w:cs="宋体"/>
                <w:sz w:val="24"/>
                <w:szCs w:val="24"/>
              </w:rPr>
            </w:pPr>
            <w:r>
              <w:rPr>
                <w:rFonts w:hint="eastAsia" w:ascii="宋体" w:hAnsi="宋体" w:cs="宋体"/>
                <w:sz w:val="24"/>
                <w:szCs w:val="24"/>
              </w:rPr>
              <w:t>19. 动态趋势界面可支持统计1-24小时心律失常报警、参数超限报警信息，并对超限报警区间的波形进行高亮显示，帮助医护人员快速识别异常趋势信息；</w:t>
            </w:r>
          </w:p>
          <w:p w14:paraId="182D898A">
            <w:pPr>
              <w:snapToGrid w:val="0"/>
              <w:spacing w:line="300" w:lineRule="exact"/>
              <w:jc w:val="left"/>
              <w:rPr>
                <w:rFonts w:ascii="宋体" w:hAnsi="宋体" w:cs="宋体"/>
                <w:sz w:val="24"/>
                <w:szCs w:val="24"/>
                <w:highlight w:val="yellow"/>
              </w:rPr>
            </w:pPr>
            <w:r>
              <w:rPr>
                <w:rFonts w:hint="eastAsia" w:ascii="宋体" w:hAnsi="宋体" w:cs="宋体"/>
                <w:sz w:val="24"/>
                <w:szCs w:val="24"/>
                <w:highlight w:val="yellow"/>
              </w:rPr>
              <w:t>20. ；</w:t>
            </w:r>
          </w:p>
          <w:p w14:paraId="4D852FD6">
            <w:pPr>
              <w:snapToGrid w:val="0"/>
              <w:spacing w:line="300" w:lineRule="exact"/>
              <w:jc w:val="left"/>
              <w:rPr>
                <w:rFonts w:ascii="宋体" w:hAnsi="宋体" w:cs="宋体"/>
                <w:sz w:val="24"/>
                <w:szCs w:val="24"/>
              </w:rPr>
            </w:pPr>
            <w:r>
              <w:rPr>
                <w:rFonts w:hint="eastAsia" w:ascii="宋体" w:hAnsi="宋体" w:cs="宋体"/>
                <w:sz w:val="24"/>
                <w:szCs w:val="24"/>
              </w:rPr>
              <w:t>21. 具备WIFI功能。</w:t>
            </w:r>
          </w:p>
          <w:p w14:paraId="5E1F57A7">
            <w:pPr>
              <w:snapToGrid w:val="0"/>
              <w:spacing w:line="300" w:lineRule="exact"/>
              <w:jc w:val="left"/>
              <w:rPr>
                <w:rFonts w:ascii="宋体" w:hAnsi="宋体" w:cs="宋体"/>
                <w:sz w:val="24"/>
                <w:szCs w:val="24"/>
              </w:rPr>
            </w:pPr>
            <w:r>
              <w:rPr>
                <w:rFonts w:hint="eastAsia" w:ascii="宋体" w:hAnsi="宋体" w:cs="宋体"/>
                <w:sz w:val="24"/>
                <w:szCs w:val="24"/>
              </w:rPr>
              <w:t>（二）中央站：</w:t>
            </w:r>
          </w:p>
          <w:p w14:paraId="494636DF">
            <w:pPr>
              <w:snapToGrid w:val="0"/>
              <w:spacing w:line="300" w:lineRule="exact"/>
              <w:jc w:val="left"/>
              <w:rPr>
                <w:rFonts w:ascii="宋体" w:hAnsi="宋体" w:cs="宋体"/>
                <w:sz w:val="24"/>
                <w:szCs w:val="24"/>
              </w:rPr>
            </w:pPr>
            <w:r>
              <w:rPr>
                <w:rFonts w:hint="eastAsia" w:ascii="宋体" w:hAnsi="宋体" w:cs="宋体"/>
                <w:sz w:val="24"/>
                <w:szCs w:val="24"/>
              </w:rPr>
              <w:t>1．中央站支持≥24寸液晶显示，≥1280×1024高分辨率，内存≥4GB，硬盘≥2个，单个硬盘内存≥1T。</w:t>
            </w:r>
          </w:p>
          <w:p w14:paraId="03B6D251">
            <w:pPr>
              <w:snapToGrid w:val="0"/>
              <w:spacing w:line="300" w:lineRule="exact"/>
              <w:jc w:val="left"/>
              <w:rPr>
                <w:rFonts w:ascii="宋体" w:hAnsi="宋体" w:cs="宋体"/>
                <w:sz w:val="24"/>
                <w:szCs w:val="24"/>
              </w:rPr>
            </w:pPr>
            <w:r>
              <w:rPr>
                <w:rFonts w:hint="eastAsia" w:ascii="宋体" w:hAnsi="宋体" w:cs="宋体"/>
                <w:sz w:val="24"/>
                <w:szCs w:val="24"/>
              </w:rPr>
              <w:t>2．有线、无线、遥测多元化自由组网方式，可同时全面监护多达≥64床的重症监护病人，以提供较强的未来扩展空间。</w:t>
            </w:r>
          </w:p>
          <w:p w14:paraId="41767D83">
            <w:pPr>
              <w:snapToGrid w:val="0"/>
              <w:spacing w:line="300" w:lineRule="exact"/>
              <w:jc w:val="left"/>
              <w:rPr>
                <w:rFonts w:ascii="宋体" w:hAnsi="宋体" w:cs="宋体"/>
                <w:sz w:val="24"/>
                <w:szCs w:val="24"/>
              </w:rPr>
            </w:pPr>
            <w:r>
              <w:rPr>
                <w:rFonts w:hint="eastAsia" w:ascii="宋体" w:hAnsi="宋体" w:cs="宋体"/>
                <w:sz w:val="24"/>
                <w:szCs w:val="24"/>
              </w:rPr>
              <w:t>3．可同屏显示≥32张床位信息，多达≥20余种窗口布置任意选择，方便同时监护多床位的重症病人。</w:t>
            </w:r>
          </w:p>
          <w:p w14:paraId="1DAC87AA">
            <w:pPr>
              <w:snapToGrid w:val="0"/>
              <w:spacing w:line="300" w:lineRule="exact"/>
              <w:jc w:val="left"/>
              <w:rPr>
                <w:rFonts w:ascii="宋体" w:hAnsi="宋体" w:cs="宋体"/>
                <w:sz w:val="24"/>
                <w:szCs w:val="24"/>
              </w:rPr>
            </w:pPr>
            <w:r>
              <w:rPr>
                <w:rFonts w:hint="eastAsia" w:ascii="宋体" w:hAnsi="宋体" w:cs="宋体"/>
                <w:sz w:val="24"/>
                <w:szCs w:val="24"/>
              </w:rPr>
              <w:t>4．数据处理功能：≥240小时趋势回顾、≥720条无创血压测量回顾、≥720条CO测量结果回顾、≥720条12导分析结果结果回顾、≥720条报警事件回顾、72小时全息波形回顾。</w:t>
            </w:r>
          </w:p>
          <w:p w14:paraId="070405A9">
            <w:pPr>
              <w:snapToGrid w:val="0"/>
              <w:spacing w:line="300" w:lineRule="exact"/>
              <w:jc w:val="left"/>
              <w:rPr>
                <w:rFonts w:ascii="宋体" w:hAnsi="宋体" w:cs="宋体"/>
                <w:sz w:val="24"/>
                <w:szCs w:val="24"/>
              </w:rPr>
            </w:pPr>
            <w:r>
              <w:rPr>
                <w:rFonts w:hint="eastAsia" w:ascii="宋体" w:hAnsi="宋体" w:cs="宋体"/>
                <w:sz w:val="24"/>
                <w:szCs w:val="24"/>
              </w:rPr>
              <w:t>5．支持≥2万个历史病人数据存储与回顾。</w:t>
            </w:r>
          </w:p>
          <w:p w14:paraId="7C8979C0">
            <w:pPr>
              <w:snapToGrid w:val="0"/>
              <w:spacing w:line="300" w:lineRule="exact"/>
              <w:jc w:val="left"/>
              <w:rPr>
                <w:rFonts w:ascii="宋体" w:hAnsi="宋体" w:cs="宋体"/>
                <w:sz w:val="24"/>
                <w:szCs w:val="24"/>
              </w:rPr>
            </w:pPr>
            <w:r>
              <w:rPr>
                <w:rFonts w:hint="eastAsia" w:ascii="宋体" w:hAnsi="宋体" w:cs="宋体"/>
                <w:sz w:val="24"/>
                <w:szCs w:val="24"/>
              </w:rPr>
              <w:t>6．中央站可支持其所管辖的所有病床一键进入夜间模式和隐私模式。</w:t>
            </w:r>
          </w:p>
          <w:p w14:paraId="32A1D904">
            <w:pPr>
              <w:snapToGrid w:val="0"/>
              <w:spacing w:line="300" w:lineRule="exact"/>
              <w:jc w:val="left"/>
              <w:rPr>
                <w:rFonts w:ascii="宋体" w:hAnsi="宋体" w:cs="宋体"/>
                <w:sz w:val="24"/>
                <w:szCs w:val="24"/>
              </w:rPr>
            </w:pPr>
            <w:r>
              <w:rPr>
                <w:rFonts w:hint="eastAsia" w:ascii="宋体" w:hAnsi="宋体" w:cs="宋体"/>
                <w:sz w:val="24"/>
                <w:szCs w:val="24"/>
              </w:rPr>
              <w:t>7．双向控制：监测中心与各床旁、各监测单元的监护仪均可对病案信息、报警级别、报警上下限、无创血压测量方式等操作进行双向一站式处理，并具备自动、手动、床旁（各监测单元）、监测中心4种灵活的病人管理模式。</w:t>
            </w:r>
          </w:p>
          <w:p w14:paraId="0A736A69">
            <w:pPr>
              <w:snapToGrid w:val="0"/>
              <w:spacing w:line="300" w:lineRule="exact"/>
              <w:jc w:val="left"/>
              <w:rPr>
                <w:rFonts w:ascii="宋体" w:hAnsi="宋体" w:cs="宋体"/>
                <w:sz w:val="24"/>
                <w:szCs w:val="24"/>
              </w:rPr>
            </w:pPr>
            <w:r>
              <w:rPr>
                <w:rFonts w:hint="eastAsia" w:ascii="宋体" w:hAnsi="宋体" w:cs="宋体"/>
                <w:sz w:val="24"/>
                <w:szCs w:val="24"/>
              </w:rPr>
              <w:t>8．支持同品牌输注泵，呼吸机，除颤，遥测，超声，视频信号等设备接入中央站。</w:t>
            </w:r>
          </w:p>
          <w:p w14:paraId="5C30BB78">
            <w:pPr>
              <w:snapToGrid w:val="0"/>
              <w:spacing w:line="300" w:lineRule="exact"/>
              <w:jc w:val="left"/>
              <w:rPr>
                <w:rFonts w:ascii="宋体" w:hAnsi="宋体" w:cs="宋体"/>
                <w:sz w:val="24"/>
                <w:szCs w:val="24"/>
              </w:rPr>
            </w:pPr>
            <w:r>
              <w:rPr>
                <w:rFonts w:hint="eastAsia" w:ascii="宋体" w:hAnsi="宋体" w:cs="宋体"/>
                <w:sz w:val="24"/>
                <w:szCs w:val="24"/>
              </w:rPr>
              <w:t>9．数据断网续传功能，至少保证断网48小时内，数据不会丢失。</w:t>
            </w:r>
          </w:p>
          <w:p w14:paraId="79383D2E">
            <w:pPr>
              <w:snapToGrid w:val="0"/>
              <w:spacing w:line="300" w:lineRule="exact"/>
              <w:jc w:val="left"/>
              <w:rPr>
                <w:rFonts w:ascii="宋体" w:hAnsi="宋体" w:cs="宋体"/>
                <w:sz w:val="24"/>
                <w:szCs w:val="24"/>
              </w:rPr>
            </w:pPr>
            <w:r>
              <w:rPr>
                <w:rFonts w:hint="eastAsia" w:ascii="宋体" w:hAnsi="宋体" w:cs="宋体"/>
                <w:sz w:val="24"/>
                <w:szCs w:val="24"/>
              </w:rPr>
              <w:t>10．支持与院内信息系统对接实现相关数据的抓取。</w:t>
            </w:r>
          </w:p>
          <w:p w14:paraId="362766CC">
            <w:pPr>
              <w:snapToGrid w:val="0"/>
              <w:spacing w:line="300" w:lineRule="exact"/>
              <w:jc w:val="left"/>
              <w:rPr>
                <w:rFonts w:ascii="宋体" w:hAnsi="宋体" w:cs="宋体"/>
                <w:sz w:val="24"/>
                <w:szCs w:val="24"/>
              </w:rPr>
            </w:pPr>
            <w:r>
              <w:rPr>
                <w:rFonts w:hint="eastAsia" w:ascii="宋体" w:hAnsi="宋体" w:cs="宋体"/>
                <w:sz w:val="24"/>
                <w:szCs w:val="24"/>
              </w:rPr>
              <w:t>11．中央站系统能够兼容同品牌下所有的监护仪及遥测产品，包括早期（10年以内）提供的产品。</w:t>
            </w:r>
          </w:p>
          <w:p w14:paraId="03BE9058">
            <w:pPr>
              <w:snapToGrid w:val="0"/>
              <w:spacing w:line="300" w:lineRule="exact"/>
              <w:jc w:val="left"/>
              <w:rPr>
                <w:rFonts w:ascii="宋体" w:hAnsi="宋体" w:cs="宋体"/>
                <w:sz w:val="24"/>
                <w:szCs w:val="24"/>
              </w:rPr>
            </w:pPr>
            <w:r>
              <w:rPr>
                <w:rFonts w:hint="eastAsia" w:ascii="宋体" w:hAnsi="宋体" w:cs="宋体"/>
                <w:sz w:val="24"/>
                <w:szCs w:val="24"/>
              </w:rPr>
              <w:t>★12.支持中央监护站网络覆盖及线路连接（全部中央站配套全楼层床位覆盖）</w:t>
            </w:r>
          </w:p>
          <w:p w14:paraId="08E832CF">
            <w:pPr>
              <w:snapToGrid w:val="0"/>
              <w:spacing w:line="300" w:lineRule="exact"/>
              <w:jc w:val="left"/>
              <w:rPr>
                <w:rFonts w:ascii="宋体" w:hAnsi="宋体" w:cs="宋体"/>
                <w:sz w:val="24"/>
                <w:szCs w:val="24"/>
              </w:rPr>
            </w:pPr>
            <w:r>
              <w:rPr>
                <w:rFonts w:hint="eastAsia" w:ascii="宋体" w:hAnsi="宋体" w:cs="宋体"/>
                <w:sz w:val="24"/>
                <w:szCs w:val="24"/>
              </w:rPr>
              <w:t>（三）信息系统：</w:t>
            </w:r>
          </w:p>
          <w:p w14:paraId="38D4DD57">
            <w:pPr>
              <w:snapToGrid w:val="0"/>
              <w:spacing w:line="300" w:lineRule="exact"/>
              <w:jc w:val="left"/>
              <w:rPr>
                <w:rFonts w:ascii="宋体" w:hAnsi="宋体" w:cs="宋体"/>
                <w:sz w:val="24"/>
                <w:szCs w:val="24"/>
              </w:rPr>
            </w:pPr>
            <w:r>
              <w:rPr>
                <w:rFonts w:hint="eastAsia" w:ascii="宋体" w:hAnsi="宋体" w:cs="宋体"/>
                <w:sz w:val="24"/>
                <w:szCs w:val="24"/>
              </w:rPr>
              <w:t>1.具备连接全院心电监护设备的能力可以实现全院信息集中显示，免费开放端口。</w:t>
            </w:r>
          </w:p>
          <w:p w14:paraId="79A64EF4">
            <w:pPr>
              <w:snapToGrid w:val="0"/>
              <w:spacing w:line="300" w:lineRule="exact"/>
              <w:jc w:val="left"/>
              <w:rPr>
                <w:rFonts w:ascii="宋体" w:hAnsi="宋体" w:cs="宋体"/>
                <w:sz w:val="24"/>
                <w:szCs w:val="24"/>
              </w:rPr>
            </w:pPr>
            <w:r>
              <w:rPr>
                <w:rFonts w:hint="eastAsia" w:ascii="宋体" w:hAnsi="宋体" w:cs="宋体"/>
                <w:sz w:val="24"/>
                <w:szCs w:val="24"/>
              </w:rPr>
              <w:t>（四）配置要求：</w:t>
            </w:r>
          </w:p>
          <w:p w14:paraId="66D976B0">
            <w:pPr>
              <w:snapToGrid w:val="0"/>
              <w:spacing w:line="300" w:lineRule="exact"/>
              <w:jc w:val="left"/>
              <w:rPr>
                <w:rFonts w:ascii="宋体" w:hAnsi="宋体" w:cs="宋体"/>
                <w:sz w:val="24"/>
                <w:szCs w:val="24"/>
              </w:rPr>
            </w:pPr>
            <w:r>
              <w:rPr>
                <w:rFonts w:hint="eastAsia" w:ascii="宋体" w:hAnsi="宋体" w:cs="宋体"/>
                <w:sz w:val="24"/>
                <w:szCs w:val="24"/>
              </w:rPr>
              <w:t>1.中央监护站：8套</w:t>
            </w:r>
          </w:p>
          <w:p w14:paraId="79E4B892">
            <w:pPr>
              <w:snapToGrid w:val="0"/>
              <w:spacing w:line="300" w:lineRule="exact"/>
              <w:jc w:val="left"/>
              <w:rPr>
                <w:rFonts w:ascii="宋体" w:hAnsi="宋体" w:cs="宋体"/>
                <w:sz w:val="24"/>
                <w:szCs w:val="24"/>
              </w:rPr>
            </w:pPr>
            <w:r>
              <w:rPr>
                <w:rFonts w:hint="eastAsia" w:ascii="宋体" w:hAnsi="宋体" w:cs="宋体"/>
                <w:sz w:val="24"/>
                <w:szCs w:val="24"/>
              </w:rPr>
              <w:t>2.心电监护仪：89台</w:t>
            </w:r>
          </w:p>
          <w:p w14:paraId="22D21002">
            <w:pPr>
              <w:snapToGrid w:val="0"/>
              <w:spacing w:line="300" w:lineRule="exact"/>
              <w:jc w:val="left"/>
              <w:rPr>
                <w:rFonts w:ascii="宋体" w:hAnsi="宋体" w:cs="宋体"/>
                <w:sz w:val="24"/>
                <w:szCs w:val="24"/>
              </w:rPr>
            </w:pPr>
            <w:r>
              <w:rPr>
                <w:rFonts w:hint="eastAsia" w:ascii="宋体" w:hAnsi="宋体" w:cs="宋体"/>
                <w:sz w:val="24"/>
                <w:szCs w:val="24"/>
              </w:rPr>
              <w:t>3.心电导联线：89套</w:t>
            </w:r>
          </w:p>
          <w:p w14:paraId="2FAAD933">
            <w:pPr>
              <w:snapToGrid w:val="0"/>
              <w:spacing w:line="300" w:lineRule="exact"/>
              <w:jc w:val="left"/>
              <w:rPr>
                <w:rFonts w:ascii="宋体" w:hAnsi="宋体" w:cs="宋体"/>
                <w:sz w:val="24"/>
                <w:szCs w:val="24"/>
              </w:rPr>
            </w:pPr>
            <w:r>
              <w:rPr>
                <w:rFonts w:hint="eastAsia" w:ascii="宋体" w:hAnsi="宋体" w:cs="宋体"/>
                <w:sz w:val="24"/>
                <w:szCs w:val="24"/>
              </w:rPr>
              <w:t>4.血压导联线及袖带：89套</w:t>
            </w:r>
          </w:p>
          <w:p w14:paraId="50876C10">
            <w:pPr>
              <w:snapToGrid w:val="0"/>
              <w:spacing w:line="300" w:lineRule="exact"/>
              <w:jc w:val="left"/>
              <w:rPr>
                <w:rFonts w:ascii="宋体" w:hAnsi="宋体" w:cs="宋体"/>
                <w:sz w:val="24"/>
                <w:szCs w:val="24"/>
              </w:rPr>
            </w:pPr>
            <w:r>
              <w:rPr>
                <w:rFonts w:hint="eastAsia" w:ascii="宋体" w:hAnsi="宋体" w:cs="宋体"/>
                <w:sz w:val="24"/>
                <w:szCs w:val="24"/>
              </w:rPr>
              <w:t>5.血氧导联线：89套</w:t>
            </w:r>
          </w:p>
          <w:p w14:paraId="29ED4AF1">
            <w:pPr>
              <w:snapToGrid w:val="0"/>
              <w:spacing w:line="300" w:lineRule="exact"/>
              <w:jc w:val="left"/>
              <w:rPr>
                <w:rFonts w:ascii="宋体" w:hAnsi="宋体" w:cs="宋体"/>
                <w:sz w:val="24"/>
                <w:szCs w:val="24"/>
              </w:rPr>
            </w:pPr>
            <w:r>
              <w:rPr>
                <w:rFonts w:hint="eastAsia" w:ascii="宋体" w:hAnsi="宋体" w:cs="宋体"/>
                <w:sz w:val="24"/>
                <w:szCs w:val="24"/>
              </w:rPr>
              <w:t>6.台车：89辆</w:t>
            </w:r>
          </w:p>
          <w:p w14:paraId="09BBEEE4">
            <w:pPr>
              <w:snapToGrid w:val="0"/>
              <w:spacing w:line="300" w:lineRule="exact"/>
              <w:jc w:val="left"/>
              <w:rPr>
                <w:rFonts w:ascii="宋体" w:hAnsi="宋体" w:cs="宋体"/>
                <w:sz w:val="24"/>
                <w:szCs w:val="24"/>
              </w:rPr>
            </w:pPr>
            <w:r>
              <w:rPr>
                <w:rFonts w:hint="eastAsia" w:ascii="宋体" w:hAnsi="宋体" w:cs="宋体"/>
                <w:sz w:val="24"/>
                <w:szCs w:val="24"/>
              </w:rPr>
              <w:t>7.上墙支架：30个</w:t>
            </w:r>
          </w:p>
          <w:p w14:paraId="04D2E06A">
            <w:pPr>
              <w:snapToGrid w:val="0"/>
              <w:spacing w:line="300" w:lineRule="exact"/>
              <w:jc w:val="left"/>
              <w:rPr>
                <w:rFonts w:ascii="宋体" w:hAnsi="宋体" w:cs="宋体"/>
                <w:b/>
                <w:bCs/>
                <w:sz w:val="24"/>
                <w:szCs w:val="24"/>
              </w:rPr>
            </w:pPr>
            <w:r>
              <w:rPr>
                <w:rFonts w:hint="eastAsia" w:ascii="宋体" w:hAnsi="宋体" w:cs="宋体"/>
                <w:sz w:val="24"/>
                <w:szCs w:val="24"/>
              </w:rPr>
              <w:t>8.中央站网络覆盖点位及布线：要求中央站配套全楼层床位覆盖</w:t>
            </w:r>
          </w:p>
        </w:tc>
      </w:tr>
      <w:tr w14:paraId="32F477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tcBorders>
              <w:top w:val="single" w:color="auto" w:sz="4" w:space="0"/>
              <w:left w:val="single" w:color="auto" w:sz="4" w:space="0"/>
              <w:bottom w:val="single" w:color="auto" w:sz="4" w:space="0"/>
              <w:right w:val="single" w:color="auto" w:sz="4" w:space="0"/>
            </w:tcBorders>
            <w:vAlign w:val="center"/>
          </w:tcPr>
          <w:p w14:paraId="2B6723B5">
            <w:pPr>
              <w:snapToGrid w:val="0"/>
              <w:spacing w:line="360" w:lineRule="auto"/>
              <w:jc w:val="center"/>
              <w:rPr>
                <w:rFonts w:ascii="宋体" w:hAnsi="宋体" w:cs="宋体"/>
                <w:sz w:val="24"/>
                <w:szCs w:val="24"/>
              </w:rPr>
            </w:pPr>
            <w:r>
              <w:rPr>
                <w:rFonts w:hint="eastAsia" w:ascii="宋体" w:hAnsi="宋体" w:cs="宋体"/>
                <w:sz w:val="24"/>
                <w:szCs w:val="24"/>
              </w:rPr>
              <w:t>3</w:t>
            </w:r>
          </w:p>
        </w:tc>
        <w:tc>
          <w:tcPr>
            <w:tcW w:w="704" w:type="pct"/>
            <w:tcBorders>
              <w:top w:val="single" w:color="auto" w:sz="4" w:space="0"/>
              <w:left w:val="single" w:color="auto" w:sz="4" w:space="0"/>
              <w:bottom w:val="single" w:color="auto" w:sz="4" w:space="0"/>
              <w:right w:val="single" w:color="auto" w:sz="4" w:space="0"/>
            </w:tcBorders>
            <w:vAlign w:val="center"/>
          </w:tcPr>
          <w:p w14:paraId="18750BD0">
            <w:pPr>
              <w:snapToGrid w:val="0"/>
              <w:spacing w:line="360" w:lineRule="auto"/>
              <w:jc w:val="center"/>
              <w:rPr>
                <w:rFonts w:ascii="宋体" w:hAnsi="宋体" w:cs="宋体"/>
                <w:sz w:val="24"/>
                <w:szCs w:val="24"/>
              </w:rPr>
            </w:pPr>
            <w:r>
              <w:rPr>
                <w:rFonts w:hint="eastAsia" w:ascii="宋体" w:hAnsi="宋体" w:cs="宋体"/>
                <w:sz w:val="24"/>
                <w:szCs w:val="24"/>
              </w:rPr>
              <w:t>监护仪（3）</w:t>
            </w:r>
          </w:p>
        </w:tc>
        <w:tc>
          <w:tcPr>
            <w:tcW w:w="390" w:type="pct"/>
            <w:tcBorders>
              <w:top w:val="single" w:color="auto" w:sz="4" w:space="0"/>
              <w:left w:val="single" w:color="auto" w:sz="4" w:space="0"/>
              <w:bottom w:val="single" w:color="auto" w:sz="4" w:space="0"/>
              <w:right w:val="single" w:color="auto" w:sz="4" w:space="0"/>
            </w:tcBorders>
            <w:vAlign w:val="center"/>
          </w:tcPr>
          <w:p w14:paraId="425E0922">
            <w:pPr>
              <w:snapToGrid w:val="0"/>
              <w:spacing w:line="360" w:lineRule="auto"/>
              <w:jc w:val="center"/>
              <w:rPr>
                <w:rFonts w:ascii="宋体" w:hAnsi="宋体" w:cs="宋体"/>
                <w:sz w:val="24"/>
                <w:szCs w:val="24"/>
              </w:rPr>
            </w:pPr>
            <w:r>
              <w:rPr>
                <w:rFonts w:hint="eastAsia" w:ascii="宋体" w:hAnsi="宋体" w:cs="宋体"/>
                <w:sz w:val="24"/>
                <w:szCs w:val="24"/>
              </w:rPr>
              <w:t>台</w:t>
            </w:r>
          </w:p>
        </w:tc>
        <w:tc>
          <w:tcPr>
            <w:tcW w:w="439" w:type="pct"/>
            <w:tcBorders>
              <w:top w:val="single" w:color="auto" w:sz="4" w:space="0"/>
              <w:left w:val="single" w:color="auto" w:sz="4" w:space="0"/>
              <w:bottom w:val="single" w:color="auto" w:sz="4" w:space="0"/>
              <w:right w:val="single" w:color="auto" w:sz="4" w:space="0"/>
            </w:tcBorders>
            <w:vAlign w:val="center"/>
          </w:tcPr>
          <w:p w14:paraId="793441E3">
            <w:pPr>
              <w:snapToGrid w:val="0"/>
              <w:spacing w:line="360" w:lineRule="auto"/>
              <w:jc w:val="center"/>
              <w:rPr>
                <w:rFonts w:ascii="宋体" w:hAnsi="宋体" w:cs="宋体"/>
                <w:sz w:val="24"/>
                <w:szCs w:val="24"/>
              </w:rPr>
            </w:pPr>
            <w:r>
              <w:rPr>
                <w:rFonts w:hint="eastAsia" w:ascii="宋体" w:hAnsi="宋体" w:cs="宋体"/>
                <w:sz w:val="24"/>
                <w:szCs w:val="24"/>
              </w:rPr>
              <w:t>4</w:t>
            </w:r>
          </w:p>
        </w:tc>
        <w:tc>
          <w:tcPr>
            <w:tcW w:w="3033" w:type="pct"/>
            <w:tcBorders>
              <w:top w:val="single" w:color="auto" w:sz="4" w:space="0"/>
              <w:left w:val="single" w:color="auto" w:sz="4" w:space="0"/>
              <w:bottom w:val="single" w:color="auto" w:sz="4" w:space="0"/>
              <w:right w:val="single" w:color="auto" w:sz="4" w:space="0"/>
            </w:tcBorders>
            <w:vAlign w:val="center"/>
          </w:tcPr>
          <w:p w14:paraId="2175511C">
            <w:pPr>
              <w:snapToGrid w:val="0"/>
              <w:spacing w:line="300" w:lineRule="exact"/>
              <w:rPr>
                <w:rFonts w:ascii="宋体" w:hAnsi="宋体" w:cs="宋体"/>
                <w:sz w:val="24"/>
                <w:szCs w:val="24"/>
              </w:rPr>
            </w:pPr>
            <w:r>
              <w:rPr>
                <w:rFonts w:hint="eastAsia" w:ascii="宋体" w:hAnsi="宋体" w:cs="宋体"/>
                <w:sz w:val="24"/>
                <w:szCs w:val="24"/>
              </w:rPr>
              <w:t>一、产品用途 用于床旁患者的生命体征参数监测，对异常参数进行实时报警，辅助临床决策</w:t>
            </w:r>
          </w:p>
          <w:p w14:paraId="6A4CF398">
            <w:pPr>
              <w:snapToGrid w:val="0"/>
              <w:spacing w:line="300" w:lineRule="exact"/>
              <w:rPr>
                <w:rFonts w:ascii="宋体" w:hAnsi="宋体" w:cs="宋体"/>
                <w:sz w:val="24"/>
                <w:szCs w:val="24"/>
              </w:rPr>
            </w:pPr>
            <w:r>
              <w:rPr>
                <w:rFonts w:hint="eastAsia" w:ascii="宋体" w:hAnsi="宋体" w:cs="宋体"/>
                <w:sz w:val="24"/>
                <w:szCs w:val="24"/>
              </w:rPr>
              <w:t>二、技术参数</w:t>
            </w:r>
          </w:p>
          <w:p w14:paraId="220E290C">
            <w:pPr>
              <w:snapToGrid w:val="0"/>
              <w:spacing w:line="300" w:lineRule="exact"/>
              <w:rPr>
                <w:rFonts w:ascii="宋体" w:hAnsi="宋体" w:cs="宋体"/>
                <w:sz w:val="24"/>
                <w:szCs w:val="24"/>
              </w:rPr>
            </w:pPr>
            <w:r>
              <w:rPr>
                <w:rFonts w:hint="eastAsia" w:ascii="宋体" w:hAnsi="宋体" w:cs="宋体"/>
                <w:sz w:val="24"/>
                <w:szCs w:val="24"/>
                <w:highlight w:val="yellow"/>
              </w:rPr>
              <w:t>★1.≥12英寸彩色液晶触摸屏，分辨率≥1280*800，≥8通道波形显示，屏幕标配最新电容屏非电阻屏，显示屏采用宽视角技术，支持170度可视范围；</w:t>
            </w:r>
          </w:p>
          <w:p w14:paraId="589B73A3">
            <w:pPr>
              <w:snapToGrid w:val="0"/>
              <w:spacing w:line="300" w:lineRule="exact"/>
              <w:rPr>
                <w:rFonts w:ascii="宋体" w:hAnsi="宋体" w:cs="宋体"/>
                <w:sz w:val="24"/>
                <w:szCs w:val="24"/>
              </w:rPr>
            </w:pPr>
            <w:r>
              <w:rPr>
                <w:rFonts w:hint="eastAsia" w:ascii="宋体" w:hAnsi="宋体" w:cs="宋体"/>
                <w:sz w:val="24"/>
                <w:szCs w:val="24"/>
              </w:rPr>
              <w:t>2.内置锂电池，插槽式设计，无需螺丝刀工具支持快速拆卸和安装，锂电池支持监护仪工作时间≥4.5小时；可选配高容量电池工作时间≥9小时；</w:t>
            </w:r>
          </w:p>
          <w:p w14:paraId="245EF753">
            <w:pPr>
              <w:snapToGrid w:val="0"/>
              <w:spacing w:line="300" w:lineRule="exact"/>
              <w:rPr>
                <w:rFonts w:ascii="宋体" w:hAnsi="宋体" w:cs="宋体"/>
                <w:sz w:val="24"/>
                <w:szCs w:val="24"/>
              </w:rPr>
            </w:pPr>
            <w:r>
              <w:rPr>
                <w:rFonts w:hint="eastAsia" w:ascii="宋体" w:hAnsi="宋体" w:cs="宋体"/>
                <w:sz w:val="24"/>
                <w:szCs w:val="24"/>
              </w:rPr>
              <w:t>3.安全规格：ECG, TEMP, SPO</w:t>
            </w:r>
            <w:r>
              <w:rPr>
                <w:rFonts w:hint="eastAsia" w:ascii="宋体" w:hAnsi="宋体" w:cs="宋体"/>
                <w:sz w:val="24"/>
                <w:szCs w:val="24"/>
                <w:vertAlign w:val="subscript"/>
              </w:rPr>
              <w:t>2</w:t>
            </w:r>
            <w:r>
              <w:rPr>
                <w:rFonts w:hint="eastAsia" w:ascii="宋体" w:hAnsi="宋体" w:cs="宋体"/>
                <w:sz w:val="24"/>
                <w:szCs w:val="24"/>
              </w:rPr>
              <w:t xml:space="preserve"> , NIBP监测参数抗电击程度为防除颤CF型；</w:t>
            </w:r>
          </w:p>
          <w:p w14:paraId="3F349C86">
            <w:pPr>
              <w:snapToGrid w:val="0"/>
              <w:spacing w:line="300" w:lineRule="exact"/>
              <w:rPr>
                <w:rFonts w:ascii="宋体" w:hAnsi="宋体" w:cs="宋体"/>
                <w:sz w:val="24"/>
                <w:szCs w:val="24"/>
                <w:highlight w:val="yellow"/>
              </w:rPr>
            </w:pPr>
            <w:r>
              <w:rPr>
                <w:rFonts w:hint="eastAsia" w:ascii="宋体" w:hAnsi="宋体" w:cs="宋体"/>
                <w:strike/>
                <w:sz w:val="24"/>
                <w:szCs w:val="24"/>
                <w:highlight w:val="yellow"/>
              </w:rPr>
              <w:t>4</w:t>
            </w:r>
            <w:r>
              <w:rPr>
                <w:rFonts w:hint="eastAsia" w:ascii="宋体" w:hAnsi="宋体" w:cs="宋体"/>
                <w:sz w:val="24"/>
                <w:szCs w:val="24"/>
                <w:highlight w:val="yellow"/>
              </w:rPr>
              <w:t>.；</w:t>
            </w:r>
          </w:p>
          <w:p w14:paraId="5F4F4EAB">
            <w:pPr>
              <w:snapToGrid w:val="0"/>
              <w:spacing w:line="300" w:lineRule="exact"/>
              <w:rPr>
                <w:rFonts w:ascii="宋体" w:hAnsi="宋体" w:cs="宋体"/>
                <w:sz w:val="24"/>
                <w:szCs w:val="24"/>
              </w:rPr>
            </w:pPr>
            <w:r>
              <w:rPr>
                <w:rFonts w:hint="eastAsia" w:ascii="宋体" w:hAnsi="宋体" w:cs="宋体"/>
                <w:sz w:val="24"/>
                <w:szCs w:val="24"/>
              </w:rPr>
              <w:t>5.支持室上性心动过速和SVCs/min等室上性心律失常分析；</w:t>
            </w:r>
          </w:p>
          <w:p w14:paraId="46C7BCD4">
            <w:pPr>
              <w:snapToGrid w:val="0"/>
              <w:spacing w:line="300" w:lineRule="exact"/>
              <w:rPr>
                <w:rFonts w:ascii="宋体" w:hAnsi="宋体" w:cs="宋体"/>
                <w:sz w:val="24"/>
                <w:szCs w:val="24"/>
              </w:rPr>
            </w:pPr>
            <w:r>
              <w:rPr>
                <w:rFonts w:hint="eastAsia" w:ascii="宋体" w:hAnsi="宋体" w:cs="宋体"/>
                <w:sz w:val="24"/>
                <w:szCs w:val="24"/>
              </w:rPr>
              <w:t>6.心电支持≥3个分析导联实时动态同步分析，并非多个导联波形同屏显示及12导联静息分析；</w:t>
            </w:r>
          </w:p>
          <w:p w14:paraId="35AAA3FC">
            <w:pPr>
              <w:snapToGrid w:val="0"/>
              <w:spacing w:line="300" w:lineRule="exact"/>
              <w:rPr>
                <w:rFonts w:ascii="宋体" w:hAnsi="宋体" w:cs="宋体"/>
                <w:sz w:val="24"/>
                <w:szCs w:val="24"/>
              </w:rPr>
            </w:pPr>
            <w:r>
              <w:rPr>
                <w:rFonts w:hint="eastAsia" w:ascii="宋体" w:hAnsi="宋体" w:cs="宋体"/>
                <w:sz w:val="24"/>
                <w:szCs w:val="24"/>
              </w:rPr>
              <w:t>★7.提供SPO</w:t>
            </w:r>
            <w:r>
              <w:rPr>
                <w:rFonts w:hint="eastAsia" w:ascii="宋体" w:hAnsi="宋体" w:cs="宋体"/>
                <w:sz w:val="24"/>
                <w:szCs w:val="24"/>
                <w:vertAlign w:val="subscript"/>
              </w:rPr>
              <w:t>2</w:t>
            </w:r>
            <w:r>
              <w:rPr>
                <w:rFonts w:hint="eastAsia" w:ascii="宋体" w:hAnsi="宋体" w:cs="宋体"/>
                <w:sz w:val="24"/>
                <w:szCs w:val="24"/>
              </w:rPr>
              <w:t>和PR的实时监测，来自SPO</w:t>
            </w:r>
            <w:r>
              <w:rPr>
                <w:rFonts w:hint="eastAsia" w:ascii="宋体" w:hAnsi="宋体" w:cs="宋体"/>
                <w:sz w:val="24"/>
                <w:szCs w:val="24"/>
                <w:vertAlign w:val="subscript"/>
              </w:rPr>
              <w:t>2</w:t>
            </w:r>
            <w:r>
              <w:rPr>
                <w:rFonts w:hint="eastAsia" w:ascii="宋体" w:hAnsi="宋体" w:cs="宋体"/>
                <w:sz w:val="24"/>
                <w:szCs w:val="24"/>
              </w:rPr>
              <w:t>的PR测量范围：20-300；</w:t>
            </w:r>
          </w:p>
          <w:p w14:paraId="5CB56A5F">
            <w:pPr>
              <w:snapToGrid w:val="0"/>
              <w:spacing w:line="300" w:lineRule="exact"/>
              <w:rPr>
                <w:rFonts w:ascii="宋体" w:hAnsi="宋体" w:cs="宋体"/>
                <w:sz w:val="24"/>
                <w:szCs w:val="24"/>
              </w:rPr>
            </w:pPr>
            <w:r>
              <w:rPr>
                <w:rFonts w:hint="eastAsia" w:ascii="宋体" w:hAnsi="宋体" w:cs="宋体"/>
                <w:sz w:val="24"/>
                <w:szCs w:val="24"/>
              </w:rPr>
              <w:t>★8.支持所有监测参数报警一键自动设置功能；</w:t>
            </w:r>
          </w:p>
          <w:p w14:paraId="2D9A140C">
            <w:pPr>
              <w:snapToGrid w:val="0"/>
              <w:spacing w:line="300" w:lineRule="exact"/>
              <w:rPr>
                <w:rFonts w:ascii="宋体" w:hAnsi="宋体" w:cs="宋体"/>
                <w:sz w:val="24"/>
                <w:szCs w:val="24"/>
              </w:rPr>
            </w:pPr>
            <w:r>
              <w:rPr>
                <w:rFonts w:hint="eastAsia" w:ascii="宋体" w:hAnsi="宋体" w:cs="宋体"/>
                <w:sz w:val="24"/>
                <w:szCs w:val="24"/>
              </w:rPr>
              <w:t>9.具有图形化技术报警指示功能，快速识别报警来源；</w:t>
            </w:r>
          </w:p>
          <w:p w14:paraId="5D283DAD">
            <w:pPr>
              <w:snapToGrid w:val="0"/>
              <w:spacing w:line="300" w:lineRule="exact"/>
              <w:rPr>
                <w:rFonts w:ascii="宋体" w:hAnsi="宋体" w:cs="宋体"/>
                <w:sz w:val="24"/>
                <w:szCs w:val="24"/>
              </w:rPr>
            </w:pPr>
            <w:r>
              <w:rPr>
                <w:rFonts w:hint="eastAsia" w:ascii="宋体" w:hAnsi="宋体" w:cs="宋体"/>
                <w:sz w:val="24"/>
                <w:szCs w:val="24"/>
              </w:rPr>
              <w:t>10.支持≥168小时趋势数据的存储与回顾功能，支持≥72小时全息波形的存储与回顾功能；</w:t>
            </w:r>
          </w:p>
          <w:p w14:paraId="0F558568">
            <w:pPr>
              <w:snapToGrid w:val="0"/>
              <w:spacing w:line="300" w:lineRule="exact"/>
              <w:rPr>
                <w:rFonts w:ascii="宋体" w:hAnsi="宋体" w:cs="宋体"/>
                <w:sz w:val="24"/>
                <w:szCs w:val="24"/>
              </w:rPr>
            </w:pPr>
            <w:r>
              <w:rPr>
                <w:rFonts w:hint="eastAsia" w:ascii="宋体" w:hAnsi="宋体" w:cs="宋体"/>
                <w:sz w:val="24"/>
                <w:szCs w:val="24"/>
              </w:rPr>
              <w:t>11.具备监护模式、待机模式，演示模式和夜间模式；</w:t>
            </w:r>
          </w:p>
          <w:p w14:paraId="1C079800">
            <w:pPr>
              <w:snapToGrid w:val="0"/>
              <w:spacing w:line="300" w:lineRule="exact"/>
              <w:rPr>
                <w:rFonts w:ascii="宋体" w:hAnsi="宋体" w:cs="宋体"/>
                <w:sz w:val="24"/>
                <w:szCs w:val="24"/>
              </w:rPr>
            </w:pPr>
            <w:r>
              <w:rPr>
                <w:rFonts w:hint="eastAsia" w:ascii="宋体" w:hAnsi="宋体" w:cs="宋体"/>
                <w:sz w:val="24"/>
                <w:szCs w:val="24"/>
              </w:rPr>
              <w:t>12.支持格拉斯哥昏迷评分（GCS）功能；</w:t>
            </w:r>
          </w:p>
          <w:p w14:paraId="63AB29DF">
            <w:pPr>
              <w:snapToGrid w:val="0"/>
              <w:spacing w:line="300" w:lineRule="exact"/>
              <w:rPr>
                <w:rFonts w:ascii="宋体" w:hAnsi="宋体" w:cs="宋体"/>
                <w:sz w:val="24"/>
                <w:szCs w:val="24"/>
              </w:rPr>
            </w:pPr>
            <w:r>
              <w:rPr>
                <w:rFonts w:hint="eastAsia" w:ascii="宋体" w:hAnsi="宋体" w:cs="宋体"/>
                <w:sz w:val="24"/>
                <w:szCs w:val="24"/>
              </w:rPr>
              <w:t>13.动态趋势界面可支持统计1-24小时心律失常报警、参数超限报警信息，并对超限报警区间的波形进行高亮显示，快速识别异常趋势信息；</w:t>
            </w:r>
          </w:p>
          <w:p w14:paraId="31F1F5C7">
            <w:pPr>
              <w:snapToGrid w:val="0"/>
              <w:spacing w:line="300" w:lineRule="exact"/>
              <w:rPr>
                <w:rFonts w:ascii="宋体" w:hAnsi="宋体" w:cs="宋体"/>
                <w:sz w:val="24"/>
                <w:szCs w:val="24"/>
                <w:highlight w:val="yellow"/>
              </w:rPr>
            </w:pPr>
            <w:r>
              <w:rPr>
                <w:rFonts w:hint="eastAsia" w:ascii="宋体" w:hAnsi="宋体" w:cs="宋体"/>
                <w:sz w:val="24"/>
                <w:szCs w:val="24"/>
                <w:highlight w:val="yellow"/>
              </w:rPr>
              <w:t>14.；</w:t>
            </w:r>
          </w:p>
          <w:p w14:paraId="533C668A">
            <w:pPr>
              <w:snapToGrid w:val="0"/>
              <w:spacing w:line="300" w:lineRule="exact"/>
              <w:rPr>
                <w:rFonts w:ascii="宋体" w:hAnsi="宋体" w:cs="宋体"/>
                <w:sz w:val="24"/>
                <w:szCs w:val="24"/>
              </w:rPr>
            </w:pPr>
            <w:r>
              <w:rPr>
                <w:rFonts w:hint="eastAsia" w:ascii="宋体" w:hAnsi="宋体" w:cs="宋体"/>
                <w:sz w:val="24"/>
                <w:szCs w:val="24"/>
              </w:rPr>
              <w:t>15.支持监护仪的系统日志向U盘设备的导出功能；</w:t>
            </w:r>
          </w:p>
          <w:p w14:paraId="04BDEDD6">
            <w:pPr>
              <w:snapToGrid w:val="0"/>
              <w:spacing w:line="300" w:lineRule="exact"/>
              <w:rPr>
                <w:rFonts w:ascii="宋体" w:hAnsi="宋体" w:cs="宋体"/>
                <w:sz w:val="24"/>
                <w:szCs w:val="24"/>
              </w:rPr>
            </w:pPr>
            <w:r>
              <w:rPr>
                <w:rFonts w:hint="eastAsia" w:ascii="宋体" w:hAnsi="宋体" w:cs="宋体"/>
                <w:sz w:val="24"/>
                <w:szCs w:val="24"/>
              </w:rPr>
              <w:t>16.支持升级有创压；</w:t>
            </w:r>
          </w:p>
          <w:p w14:paraId="4C393E07">
            <w:pPr>
              <w:snapToGrid w:val="0"/>
              <w:spacing w:line="300" w:lineRule="exact"/>
              <w:jc w:val="left"/>
              <w:rPr>
                <w:rFonts w:ascii="宋体" w:hAnsi="宋体" w:cs="宋体"/>
                <w:b/>
                <w:bCs/>
                <w:sz w:val="24"/>
                <w:szCs w:val="24"/>
              </w:rPr>
            </w:pPr>
            <w:r>
              <w:rPr>
                <w:rFonts w:hint="eastAsia" w:ascii="宋体" w:hAnsi="宋体" w:cs="宋体"/>
                <w:sz w:val="24"/>
                <w:szCs w:val="24"/>
              </w:rPr>
              <w:t>17.单台配置要求：监护仪内置热敏打印机。</w:t>
            </w:r>
          </w:p>
        </w:tc>
      </w:tr>
      <w:tr w14:paraId="4351DC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tcBorders>
              <w:top w:val="single" w:color="auto" w:sz="4" w:space="0"/>
              <w:left w:val="single" w:color="auto" w:sz="4" w:space="0"/>
              <w:bottom w:val="single" w:color="auto" w:sz="4" w:space="0"/>
              <w:right w:val="single" w:color="auto" w:sz="4" w:space="0"/>
            </w:tcBorders>
            <w:vAlign w:val="center"/>
          </w:tcPr>
          <w:p w14:paraId="43815E15">
            <w:pPr>
              <w:snapToGrid w:val="0"/>
              <w:spacing w:line="360" w:lineRule="auto"/>
              <w:jc w:val="center"/>
              <w:rPr>
                <w:rFonts w:ascii="宋体" w:hAnsi="宋体" w:cs="宋体"/>
                <w:sz w:val="24"/>
                <w:szCs w:val="24"/>
              </w:rPr>
            </w:pPr>
            <w:r>
              <w:rPr>
                <w:rFonts w:hint="eastAsia" w:ascii="宋体" w:hAnsi="宋体" w:cs="宋体"/>
                <w:sz w:val="24"/>
                <w:szCs w:val="24"/>
              </w:rPr>
              <w:t>4</w:t>
            </w:r>
          </w:p>
        </w:tc>
        <w:tc>
          <w:tcPr>
            <w:tcW w:w="704" w:type="pct"/>
            <w:tcBorders>
              <w:top w:val="single" w:color="auto" w:sz="4" w:space="0"/>
              <w:left w:val="single" w:color="auto" w:sz="4" w:space="0"/>
              <w:bottom w:val="single" w:color="auto" w:sz="4" w:space="0"/>
              <w:right w:val="single" w:color="auto" w:sz="4" w:space="0"/>
            </w:tcBorders>
            <w:vAlign w:val="center"/>
          </w:tcPr>
          <w:p w14:paraId="1D843C32">
            <w:pPr>
              <w:snapToGrid w:val="0"/>
              <w:spacing w:line="360" w:lineRule="auto"/>
              <w:jc w:val="center"/>
              <w:rPr>
                <w:rFonts w:ascii="宋体" w:hAnsi="宋体" w:cs="宋体"/>
                <w:sz w:val="24"/>
                <w:szCs w:val="24"/>
              </w:rPr>
            </w:pPr>
            <w:r>
              <w:rPr>
                <w:rFonts w:hint="eastAsia" w:ascii="宋体" w:hAnsi="宋体" w:cs="宋体"/>
                <w:sz w:val="24"/>
                <w:szCs w:val="24"/>
              </w:rPr>
              <w:t>监护仪（4）</w:t>
            </w:r>
          </w:p>
        </w:tc>
        <w:tc>
          <w:tcPr>
            <w:tcW w:w="390" w:type="pct"/>
            <w:tcBorders>
              <w:top w:val="single" w:color="auto" w:sz="4" w:space="0"/>
              <w:left w:val="single" w:color="auto" w:sz="4" w:space="0"/>
              <w:bottom w:val="single" w:color="auto" w:sz="4" w:space="0"/>
              <w:right w:val="single" w:color="auto" w:sz="4" w:space="0"/>
            </w:tcBorders>
            <w:vAlign w:val="center"/>
          </w:tcPr>
          <w:p w14:paraId="730E1E62">
            <w:pPr>
              <w:snapToGrid w:val="0"/>
              <w:spacing w:line="360" w:lineRule="auto"/>
              <w:jc w:val="center"/>
              <w:rPr>
                <w:rFonts w:ascii="宋体" w:hAnsi="宋体" w:cs="宋体"/>
                <w:sz w:val="24"/>
                <w:szCs w:val="24"/>
              </w:rPr>
            </w:pPr>
            <w:r>
              <w:rPr>
                <w:rFonts w:hint="eastAsia" w:ascii="宋体" w:hAnsi="宋体" w:cs="宋体"/>
                <w:sz w:val="24"/>
                <w:szCs w:val="24"/>
              </w:rPr>
              <w:t>台</w:t>
            </w:r>
          </w:p>
        </w:tc>
        <w:tc>
          <w:tcPr>
            <w:tcW w:w="439" w:type="pct"/>
            <w:tcBorders>
              <w:top w:val="single" w:color="auto" w:sz="4" w:space="0"/>
              <w:left w:val="single" w:color="auto" w:sz="4" w:space="0"/>
              <w:bottom w:val="single" w:color="auto" w:sz="4" w:space="0"/>
              <w:right w:val="single" w:color="auto" w:sz="4" w:space="0"/>
            </w:tcBorders>
            <w:vAlign w:val="center"/>
          </w:tcPr>
          <w:p w14:paraId="6B699C90">
            <w:pPr>
              <w:snapToGrid w:val="0"/>
              <w:spacing w:line="360" w:lineRule="auto"/>
              <w:jc w:val="center"/>
              <w:rPr>
                <w:rFonts w:ascii="宋体" w:hAnsi="宋体" w:cs="宋体"/>
                <w:sz w:val="24"/>
                <w:szCs w:val="24"/>
              </w:rPr>
            </w:pPr>
            <w:r>
              <w:rPr>
                <w:rFonts w:hint="eastAsia" w:ascii="宋体" w:hAnsi="宋体" w:cs="宋体"/>
                <w:sz w:val="24"/>
                <w:szCs w:val="24"/>
              </w:rPr>
              <w:t>35</w:t>
            </w:r>
          </w:p>
        </w:tc>
        <w:tc>
          <w:tcPr>
            <w:tcW w:w="3033" w:type="pct"/>
            <w:tcBorders>
              <w:top w:val="single" w:color="auto" w:sz="4" w:space="0"/>
              <w:left w:val="single" w:color="auto" w:sz="4" w:space="0"/>
              <w:bottom w:val="single" w:color="auto" w:sz="4" w:space="0"/>
              <w:right w:val="single" w:color="auto" w:sz="4" w:space="0"/>
            </w:tcBorders>
            <w:vAlign w:val="center"/>
          </w:tcPr>
          <w:p w14:paraId="3A266754">
            <w:pPr>
              <w:snapToGrid w:val="0"/>
              <w:spacing w:line="300" w:lineRule="exact"/>
              <w:jc w:val="left"/>
              <w:rPr>
                <w:rFonts w:ascii="宋体" w:hAnsi="宋体" w:cs="宋体"/>
                <w:sz w:val="24"/>
                <w:szCs w:val="24"/>
              </w:rPr>
            </w:pPr>
            <w:r>
              <w:rPr>
                <w:rFonts w:hint="eastAsia" w:ascii="宋体" w:hAnsi="宋体" w:cs="宋体"/>
                <w:sz w:val="24"/>
                <w:szCs w:val="24"/>
              </w:rPr>
              <w:t>（一）监护仪</w:t>
            </w:r>
          </w:p>
          <w:p w14:paraId="71F3DCE6">
            <w:pPr>
              <w:snapToGrid w:val="0"/>
              <w:spacing w:line="300" w:lineRule="exact"/>
              <w:jc w:val="left"/>
              <w:rPr>
                <w:rFonts w:ascii="宋体" w:hAnsi="宋体" w:cs="宋体"/>
                <w:sz w:val="24"/>
                <w:szCs w:val="24"/>
              </w:rPr>
            </w:pPr>
            <w:r>
              <w:rPr>
                <w:rFonts w:hint="eastAsia" w:ascii="宋体" w:hAnsi="宋体" w:cs="宋体"/>
                <w:sz w:val="24"/>
                <w:szCs w:val="24"/>
              </w:rPr>
              <w:t>1.模块化插件式床边监护仪，包括但不限于主机、显示屏和插件槽一体化设计，主机模块插槽数≥6个，主机屏幕≥18英寸彩色电容触摸屏，高分辨率≥1920×1080像素，≥12通道显示，显示屏亮度自动调节。</w:t>
            </w:r>
          </w:p>
          <w:p w14:paraId="05D106D9">
            <w:pPr>
              <w:snapToGrid w:val="0"/>
              <w:spacing w:line="300" w:lineRule="exact"/>
              <w:jc w:val="left"/>
              <w:rPr>
                <w:rFonts w:ascii="宋体" w:hAnsi="宋体" w:cs="宋体"/>
                <w:sz w:val="24"/>
                <w:szCs w:val="24"/>
              </w:rPr>
            </w:pPr>
            <w:r>
              <w:rPr>
                <w:rFonts w:hint="eastAsia" w:ascii="宋体" w:hAnsi="宋体" w:cs="宋体"/>
                <w:sz w:val="24"/>
                <w:szCs w:val="24"/>
              </w:rPr>
              <w:t>2．配置≥4个USB接口，支持连接鼠标、键盘、条码扫描枪和遥控器等USB设备。</w:t>
            </w:r>
          </w:p>
          <w:p w14:paraId="214E5BCC">
            <w:pPr>
              <w:snapToGrid w:val="0"/>
              <w:spacing w:line="300" w:lineRule="exact"/>
              <w:jc w:val="left"/>
              <w:rPr>
                <w:rFonts w:ascii="宋体" w:hAnsi="宋体" w:cs="宋体"/>
                <w:sz w:val="24"/>
                <w:szCs w:val="24"/>
              </w:rPr>
            </w:pPr>
            <w:r>
              <w:rPr>
                <w:rFonts w:hint="eastAsia" w:ascii="宋体" w:hAnsi="宋体" w:cs="宋体"/>
                <w:sz w:val="24"/>
                <w:szCs w:val="24"/>
              </w:rPr>
              <w:t>3．内置高能锂电池，供电时间≥2小时。</w:t>
            </w:r>
          </w:p>
          <w:p w14:paraId="4B603FAC">
            <w:pPr>
              <w:snapToGrid w:val="0"/>
              <w:spacing w:line="300" w:lineRule="exact"/>
              <w:jc w:val="left"/>
              <w:rPr>
                <w:rFonts w:ascii="宋体" w:hAnsi="宋体" w:cs="宋体"/>
                <w:sz w:val="24"/>
                <w:szCs w:val="24"/>
              </w:rPr>
            </w:pPr>
            <w:r>
              <w:rPr>
                <w:rFonts w:hint="eastAsia" w:ascii="宋体" w:hAnsi="宋体" w:cs="宋体"/>
                <w:sz w:val="24"/>
                <w:szCs w:val="24"/>
              </w:rPr>
              <w:t>4．基本功能模块支持心电，呼吸，心率，无创血压，血氧饱和度，脉搏，双通道体温和双通道有创压的同时监测。</w:t>
            </w:r>
          </w:p>
          <w:p w14:paraId="1B43857B">
            <w:pPr>
              <w:snapToGrid w:val="0"/>
              <w:spacing w:line="300" w:lineRule="exact"/>
              <w:jc w:val="left"/>
              <w:rPr>
                <w:rFonts w:ascii="宋体" w:hAnsi="宋体" w:cs="宋体"/>
                <w:sz w:val="24"/>
                <w:szCs w:val="24"/>
              </w:rPr>
            </w:pPr>
            <w:r>
              <w:rPr>
                <w:rFonts w:hint="eastAsia" w:ascii="宋体" w:hAnsi="宋体" w:cs="宋体"/>
                <w:sz w:val="24"/>
                <w:szCs w:val="24"/>
              </w:rPr>
              <w:t>5．基本功能模块支持从监护仪拔出后作为一个独立的监护仪支持病人的无缝转移，插入监护仪模块插槽作为主机模块，具有独立操作显示屏，屏幕尺寸≥5英寸，内置锂电池供电≥4小时。</w:t>
            </w:r>
          </w:p>
          <w:p w14:paraId="2E4AAEE2">
            <w:pPr>
              <w:snapToGrid w:val="0"/>
              <w:spacing w:line="300" w:lineRule="exact"/>
              <w:jc w:val="left"/>
              <w:rPr>
                <w:rFonts w:ascii="宋体" w:hAnsi="宋体" w:cs="宋体"/>
                <w:sz w:val="24"/>
                <w:szCs w:val="24"/>
              </w:rPr>
            </w:pPr>
            <w:r>
              <w:rPr>
                <w:rFonts w:hint="eastAsia" w:ascii="宋体" w:hAnsi="宋体" w:cs="宋体"/>
                <w:sz w:val="24"/>
                <w:szCs w:val="24"/>
              </w:rPr>
              <w:t>6．具备独立的转运监护仪模块，也可以实现插入监护仪主机的任意插槽使用。</w:t>
            </w:r>
          </w:p>
          <w:p w14:paraId="7D1C5A3B">
            <w:pPr>
              <w:snapToGrid w:val="0"/>
              <w:spacing w:line="300" w:lineRule="exact"/>
              <w:jc w:val="left"/>
              <w:rPr>
                <w:rFonts w:ascii="宋体" w:hAnsi="宋体" w:cs="宋体"/>
                <w:sz w:val="24"/>
                <w:szCs w:val="24"/>
              </w:rPr>
            </w:pPr>
            <w:r>
              <w:rPr>
                <w:rFonts w:hint="eastAsia" w:ascii="宋体" w:hAnsi="宋体" w:cs="宋体"/>
                <w:sz w:val="24"/>
                <w:szCs w:val="24"/>
              </w:rPr>
              <w:t>7.支持包括但不限于室上性心动过速和SVCs/min室上性心律失常分析.</w:t>
            </w:r>
          </w:p>
          <w:p w14:paraId="705E538B">
            <w:pPr>
              <w:snapToGrid w:val="0"/>
              <w:spacing w:line="300" w:lineRule="exact"/>
              <w:jc w:val="left"/>
              <w:rPr>
                <w:rFonts w:ascii="宋体" w:hAnsi="宋体" w:cs="宋体"/>
                <w:sz w:val="24"/>
                <w:szCs w:val="24"/>
              </w:rPr>
            </w:pPr>
            <w:r>
              <w:rPr>
                <w:rFonts w:hint="eastAsia" w:ascii="宋体" w:hAnsi="宋体" w:cs="宋体"/>
                <w:sz w:val="24"/>
                <w:szCs w:val="24"/>
              </w:rPr>
              <w:t>8．心电支持≥3个分析导联实时动态同步分析，并非多个导联波形同屏显示及12导联静息分析。</w:t>
            </w:r>
          </w:p>
          <w:p w14:paraId="332C28D8">
            <w:pPr>
              <w:snapToGrid w:val="0"/>
              <w:spacing w:line="300" w:lineRule="exact"/>
              <w:jc w:val="left"/>
              <w:rPr>
                <w:rFonts w:ascii="宋体" w:hAnsi="宋体" w:cs="宋体"/>
                <w:sz w:val="24"/>
                <w:szCs w:val="24"/>
              </w:rPr>
            </w:pPr>
            <w:r>
              <w:rPr>
                <w:rFonts w:hint="eastAsia" w:ascii="宋体" w:hAnsi="宋体" w:cs="宋体"/>
                <w:sz w:val="24"/>
                <w:szCs w:val="24"/>
              </w:rPr>
              <w:t>9．无创血压提供手动、自动间隔、连续、序列、整点五种测量模式。</w:t>
            </w:r>
          </w:p>
          <w:p w14:paraId="28B3B035">
            <w:pPr>
              <w:snapToGrid w:val="0"/>
              <w:spacing w:line="300" w:lineRule="exact"/>
              <w:jc w:val="left"/>
              <w:rPr>
                <w:rFonts w:ascii="宋体" w:hAnsi="宋体" w:cs="宋体"/>
                <w:sz w:val="24"/>
                <w:szCs w:val="24"/>
              </w:rPr>
            </w:pPr>
            <w:r>
              <w:rPr>
                <w:rFonts w:hint="eastAsia" w:ascii="宋体" w:hAnsi="宋体" w:cs="宋体"/>
                <w:sz w:val="24"/>
                <w:szCs w:val="24"/>
              </w:rPr>
              <w:t>10．NIBP成人病人类型收缩压测量：25～290mmHg。NIBP支持快速测量，典型测量时间≤15秒。</w:t>
            </w:r>
          </w:p>
          <w:p w14:paraId="61AB05DB">
            <w:pPr>
              <w:snapToGrid w:val="0"/>
              <w:spacing w:line="300" w:lineRule="exact"/>
              <w:jc w:val="left"/>
              <w:rPr>
                <w:rFonts w:ascii="宋体" w:hAnsi="宋体" w:cs="宋体"/>
                <w:sz w:val="24"/>
                <w:szCs w:val="24"/>
              </w:rPr>
            </w:pPr>
            <w:r>
              <w:rPr>
                <w:rFonts w:hint="eastAsia" w:ascii="宋体" w:hAnsi="宋体" w:cs="宋体"/>
                <w:sz w:val="24"/>
                <w:szCs w:val="24"/>
              </w:rPr>
              <w:t>11．有创压适用于成人，小儿和新生儿，有创压测量范围：-50～360mmHg。</w:t>
            </w:r>
          </w:p>
          <w:p w14:paraId="2D91DA4D">
            <w:pPr>
              <w:snapToGrid w:val="0"/>
              <w:spacing w:line="300" w:lineRule="exact"/>
              <w:jc w:val="left"/>
              <w:rPr>
                <w:rFonts w:ascii="宋体" w:hAnsi="宋体" w:cs="宋体"/>
                <w:sz w:val="24"/>
                <w:szCs w:val="24"/>
              </w:rPr>
            </w:pPr>
            <w:r>
              <w:rPr>
                <w:rFonts w:hint="eastAsia" w:ascii="宋体" w:hAnsi="宋体" w:cs="宋体"/>
                <w:sz w:val="24"/>
                <w:szCs w:val="24"/>
              </w:rPr>
              <w:t>12．可升级模块：血流动力学PICCO，脑组织氧监测，脑电双频指数BIS，麻醉气体AG，肌松NMT，呼末二氧化碳监测等高级参数。</w:t>
            </w:r>
          </w:p>
          <w:p w14:paraId="27E028E2">
            <w:pPr>
              <w:snapToGrid w:val="0"/>
              <w:spacing w:line="300" w:lineRule="exact"/>
              <w:jc w:val="left"/>
              <w:rPr>
                <w:rFonts w:ascii="宋体" w:hAnsi="宋体" w:cs="宋体"/>
                <w:sz w:val="24"/>
                <w:szCs w:val="24"/>
              </w:rPr>
            </w:pPr>
            <w:r>
              <w:rPr>
                <w:rFonts w:hint="eastAsia" w:ascii="宋体" w:hAnsi="宋体" w:cs="宋体"/>
                <w:sz w:val="24"/>
                <w:szCs w:val="24"/>
              </w:rPr>
              <w:t>13．支持升级FloTrac监测功能模块，非漂浮导管热稀释法或无创阻抗法，可通过监测桡动脉压力提供连续心排量（CCO），每搏量变异（SVV），实时外周血管阻力（SVR）等监测参数，满足连续血流动力学监测需求。</w:t>
            </w:r>
          </w:p>
          <w:p w14:paraId="73E30577">
            <w:pPr>
              <w:snapToGrid w:val="0"/>
              <w:spacing w:line="300" w:lineRule="exact"/>
              <w:jc w:val="left"/>
              <w:rPr>
                <w:rFonts w:ascii="宋体" w:hAnsi="宋体" w:cs="宋体"/>
                <w:sz w:val="24"/>
                <w:szCs w:val="24"/>
                <w:highlight w:val="yellow"/>
              </w:rPr>
            </w:pPr>
            <w:r>
              <w:rPr>
                <w:rFonts w:hint="eastAsia" w:ascii="宋体" w:hAnsi="宋体" w:cs="宋体"/>
                <w:sz w:val="24"/>
                <w:szCs w:val="24"/>
                <w:highlight w:val="yellow"/>
              </w:rPr>
              <w:t>14．。</w:t>
            </w:r>
          </w:p>
          <w:p w14:paraId="2D4B9FFA">
            <w:pPr>
              <w:snapToGrid w:val="0"/>
              <w:spacing w:line="300" w:lineRule="exact"/>
              <w:jc w:val="left"/>
              <w:rPr>
                <w:rFonts w:ascii="宋体" w:hAnsi="宋体" w:cs="宋体"/>
                <w:sz w:val="24"/>
                <w:szCs w:val="24"/>
              </w:rPr>
            </w:pPr>
            <w:r>
              <w:rPr>
                <w:rFonts w:hint="eastAsia" w:ascii="宋体" w:hAnsi="宋体" w:cs="宋体"/>
                <w:sz w:val="24"/>
                <w:szCs w:val="24"/>
              </w:rPr>
              <w:t>15．具有报警升级功能，当参数报警经过一定的时间未被处理或伴发了其他报警，可升级到更高一个级别。</w:t>
            </w:r>
          </w:p>
          <w:p w14:paraId="5300B987">
            <w:pPr>
              <w:snapToGrid w:val="0"/>
              <w:spacing w:line="300" w:lineRule="exact"/>
              <w:jc w:val="left"/>
              <w:rPr>
                <w:rFonts w:ascii="宋体" w:hAnsi="宋体" w:cs="宋体"/>
                <w:sz w:val="24"/>
                <w:szCs w:val="24"/>
              </w:rPr>
            </w:pPr>
            <w:r>
              <w:rPr>
                <w:rFonts w:hint="eastAsia" w:ascii="宋体" w:hAnsi="宋体" w:cs="宋体"/>
                <w:sz w:val="24"/>
                <w:szCs w:val="24"/>
              </w:rPr>
              <w:t>16．支持≥800条事件回顾。每条报警事件至少能够存储30秒三道相关波形，以及报警触发时所有测量参数值。</w:t>
            </w:r>
          </w:p>
          <w:p w14:paraId="00AB4DAE">
            <w:pPr>
              <w:snapToGrid w:val="0"/>
              <w:spacing w:line="300" w:lineRule="exact"/>
              <w:jc w:val="left"/>
              <w:rPr>
                <w:rFonts w:ascii="宋体" w:hAnsi="宋体" w:cs="宋体"/>
                <w:sz w:val="24"/>
                <w:szCs w:val="24"/>
              </w:rPr>
            </w:pPr>
            <w:r>
              <w:rPr>
                <w:rFonts w:hint="eastAsia" w:ascii="宋体" w:hAnsi="宋体" w:cs="宋体"/>
                <w:sz w:val="24"/>
                <w:szCs w:val="24"/>
              </w:rPr>
              <w:t>17．具备≥40小时全息波形的存储与回顾功能，支持≥120小时（分辨率1分钟）ST模板存储与回顾。</w:t>
            </w:r>
          </w:p>
          <w:p w14:paraId="7991B865">
            <w:pPr>
              <w:snapToGrid w:val="0"/>
              <w:spacing w:line="300" w:lineRule="exact"/>
              <w:jc w:val="left"/>
              <w:rPr>
                <w:rFonts w:ascii="宋体" w:hAnsi="宋体" w:cs="宋体"/>
                <w:sz w:val="24"/>
                <w:szCs w:val="24"/>
              </w:rPr>
            </w:pPr>
            <w:r>
              <w:rPr>
                <w:rFonts w:hint="eastAsia" w:ascii="宋体" w:hAnsi="宋体" w:cs="宋体"/>
                <w:sz w:val="24"/>
                <w:szCs w:val="24"/>
              </w:rPr>
              <w:t>18.具备参数组合报警功能（并非早期预警评分EWS），可对患者同时多个参数变化给出统一报警提示，预示病人不同生理系统状态改变，提供≥10个预设组合报警，并允许自定义≥6个组合报警。</w:t>
            </w:r>
          </w:p>
          <w:p w14:paraId="0886879B">
            <w:pPr>
              <w:snapToGrid w:val="0"/>
              <w:spacing w:line="300" w:lineRule="exact"/>
              <w:jc w:val="left"/>
              <w:rPr>
                <w:rFonts w:ascii="宋体" w:hAnsi="宋体" w:cs="宋体"/>
                <w:sz w:val="24"/>
                <w:szCs w:val="24"/>
              </w:rPr>
            </w:pPr>
            <w:r>
              <w:rPr>
                <w:rFonts w:hint="eastAsia" w:ascii="宋体" w:hAnsi="宋体" w:cs="宋体"/>
                <w:sz w:val="24"/>
                <w:szCs w:val="24"/>
              </w:rPr>
              <w:t>二、转运监护仪：</w:t>
            </w:r>
          </w:p>
          <w:p w14:paraId="3B923985">
            <w:pPr>
              <w:snapToGrid w:val="0"/>
              <w:spacing w:line="300" w:lineRule="exact"/>
              <w:jc w:val="left"/>
              <w:rPr>
                <w:rFonts w:ascii="宋体" w:hAnsi="宋体" w:cs="宋体"/>
                <w:sz w:val="24"/>
                <w:szCs w:val="24"/>
              </w:rPr>
            </w:pPr>
            <w:r>
              <w:rPr>
                <w:rFonts w:hint="eastAsia" w:ascii="宋体" w:hAnsi="宋体" w:cs="宋体"/>
                <w:sz w:val="24"/>
                <w:szCs w:val="24"/>
              </w:rPr>
              <w:t>1.内嵌式触摸屏≥5英寸，便携式；</w:t>
            </w:r>
          </w:p>
          <w:p w14:paraId="0767D520">
            <w:pPr>
              <w:snapToGrid w:val="0"/>
              <w:spacing w:line="300" w:lineRule="exact"/>
              <w:jc w:val="left"/>
              <w:rPr>
                <w:rFonts w:ascii="宋体" w:hAnsi="宋体" w:cs="宋体"/>
                <w:sz w:val="24"/>
                <w:szCs w:val="24"/>
              </w:rPr>
            </w:pPr>
            <w:r>
              <w:rPr>
                <w:rFonts w:hint="eastAsia" w:ascii="宋体" w:hAnsi="宋体" w:cs="宋体"/>
                <w:sz w:val="24"/>
                <w:szCs w:val="24"/>
              </w:rPr>
              <w:t>2.满足转运过程中的复杂临床救治环境；</w:t>
            </w:r>
          </w:p>
          <w:p w14:paraId="11EEC473">
            <w:pPr>
              <w:snapToGrid w:val="0"/>
              <w:spacing w:line="300" w:lineRule="exact"/>
              <w:jc w:val="left"/>
              <w:rPr>
                <w:rFonts w:ascii="宋体" w:hAnsi="宋体" w:cs="宋体"/>
                <w:sz w:val="24"/>
                <w:szCs w:val="24"/>
              </w:rPr>
            </w:pPr>
            <w:r>
              <w:rPr>
                <w:rFonts w:hint="eastAsia" w:ascii="宋体" w:hAnsi="宋体" w:cs="宋体"/>
                <w:sz w:val="24"/>
                <w:szCs w:val="24"/>
              </w:rPr>
              <w:t>3.内置锂电池供电，支持≥5小时的持续监测；</w:t>
            </w:r>
          </w:p>
          <w:p w14:paraId="2389E3BE">
            <w:pPr>
              <w:snapToGrid w:val="0"/>
              <w:spacing w:line="300" w:lineRule="exact"/>
              <w:jc w:val="left"/>
              <w:rPr>
                <w:rFonts w:ascii="宋体" w:hAnsi="宋体" w:cs="宋体"/>
                <w:sz w:val="24"/>
                <w:szCs w:val="24"/>
              </w:rPr>
            </w:pPr>
            <w:r>
              <w:rPr>
                <w:rFonts w:hint="eastAsia" w:ascii="宋体" w:hAnsi="宋体" w:cs="宋体"/>
                <w:sz w:val="24"/>
                <w:szCs w:val="24"/>
              </w:rPr>
              <w:t>4.内置DC电源接口，可以进行车载充电；</w:t>
            </w:r>
          </w:p>
          <w:p w14:paraId="6ECBD087">
            <w:pPr>
              <w:snapToGrid w:val="0"/>
              <w:spacing w:line="300" w:lineRule="exact"/>
              <w:jc w:val="left"/>
              <w:rPr>
                <w:rFonts w:ascii="宋体" w:hAnsi="宋体" w:cs="宋体"/>
                <w:sz w:val="24"/>
                <w:szCs w:val="24"/>
              </w:rPr>
            </w:pPr>
            <w:r>
              <w:rPr>
                <w:rFonts w:hint="eastAsia" w:ascii="宋体" w:hAnsi="宋体" w:cs="宋体"/>
                <w:sz w:val="24"/>
                <w:szCs w:val="24"/>
              </w:rPr>
              <w:t>5.支持3/5导心电，阻抗呼吸，血氧、无创血压、2通道体温；</w:t>
            </w:r>
          </w:p>
          <w:p w14:paraId="1C93A701">
            <w:pPr>
              <w:snapToGrid w:val="0"/>
              <w:spacing w:line="300" w:lineRule="exact"/>
              <w:jc w:val="left"/>
              <w:rPr>
                <w:rFonts w:ascii="宋体" w:hAnsi="宋体" w:cs="宋体"/>
                <w:sz w:val="24"/>
                <w:szCs w:val="24"/>
              </w:rPr>
            </w:pPr>
            <w:r>
              <w:rPr>
                <w:rFonts w:hint="eastAsia" w:ascii="宋体" w:hAnsi="宋体" w:cs="宋体"/>
                <w:sz w:val="24"/>
                <w:szCs w:val="24"/>
              </w:rPr>
              <w:t>6.转运监护仪支持插入床旁监护仪插槽作为参数模块使用，即插即用；</w:t>
            </w:r>
          </w:p>
          <w:p w14:paraId="2F4A7184">
            <w:pPr>
              <w:snapToGrid w:val="0"/>
              <w:spacing w:line="300" w:lineRule="exact"/>
              <w:jc w:val="left"/>
              <w:rPr>
                <w:rFonts w:ascii="宋体" w:hAnsi="宋体" w:cs="宋体"/>
                <w:sz w:val="24"/>
                <w:szCs w:val="24"/>
              </w:rPr>
            </w:pPr>
            <w:r>
              <w:rPr>
                <w:rFonts w:hint="eastAsia" w:ascii="宋体" w:hAnsi="宋体" w:cs="宋体"/>
                <w:sz w:val="24"/>
                <w:szCs w:val="24"/>
              </w:rPr>
              <w:t>7.具有多导心电监护算法 ，同步分析至少2通道心电波形，能够良好抗干扰。</w:t>
            </w:r>
          </w:p>
          <w:p w14:paraId="5DE64156">
            <w:pPr>
              <w:snapToGrid w:val="0"/>
              <w:spacing w:line="300" w:lineRule="exact"/>
              <w:jc w:val="left"/>
              <w:rPr>
                <w:rFonts w:ascii="宋体" w:hAnsi="宋体" w:cs="宋体"/>
                <w:sz w:val="24"/>
                <w:szCs w:val="24"/>
              </w:rPr>
            </w:pPr>
            <w:r>
              <w:rPr>
                <w:rFonts w:hint="eastAsia" w:ascii="宋体" w:hAnsi="宋体" w:cs="宋体"/>
                <w:sz w:val="24"/>
                <w:szCs w:val="24"/>
              </w:rPr>
              <w:t>8.支持联网功能。</w:t>
            </w:r>
          </w:p>
          <w:p w14:paraId="55EDCCD7">
            <w:pPr>
              <w:snapToGrid w:val="0"/>
              <w:spacing w:line="300" w:lineRule="exact"/>
              <w:jc w:val="left"/>
              <w:rPr>
                <w:rFonts w:ascii="宋体" w:hAnsi="宋体" w:cs="宋体"/>
                <w:sz w:val="24"/>
                <w:szCs w:val="24"/>
              </w:rPr>
            </w:pPr>
            <w:r>
              <w:rPr>
                <w:rFonts w:hint="eastAsia" w:ascii="宋体" w:hAnsi="宋体" w:cs="宋体"/>
                <w:sz w:val="24"/>
                <w:szCs w:val="24"/>
              </w:rPr>
              <w:t>三、中央站：</w:t>
            </w:r>
          </w:p>
          <w:p w14:paraId="79E52D53">
            <w:pPr>
              <w:snapToGrid w:val="0"/>
              <w:spacing w:line="300" w:lineRule="exact"/>
              <w:jc w:val="left"/>
              <w:rPr>
                <w:rFonts w:ascii="宋体" w:hAnsi="宋体" w:cs="宋体"/>
                <w:sz w:val="24"/>
                <w:szCs w:val="24"/>
              </w:rPr>
            </w:pPr>
            <w:r>
              <w:rPr>
                <w:rFonts w:hint="eastAsia" w:ascii="宋体" w:hAnsi="宋体" w:cs="宋体"/>
                <w:sz w:val="24"/>
                <w:szCs w:val="24"/>
              </w:rPr>
              <w:t>1．中央站支持≥24寸液晶显示，≥1280×1024高分辨率，内存≥4GB，硬盘≥2个，单个硬盘内存≥1T。</w:t>
            </w:r>
          </w:p>
          <w:p w14:paraId="6A1CCD8F">
            <w:pPr>
              <w:snapToGrid w:val="0"/>
              <w:spacing w:line="300" w:lineRule="exact"/>
              <w:jc w:val="left"/>
              <w:rPr>
                <w:rFonts w:ascii="宋体" w:hAnsi="宋体" w:cs="宋体"/>
                <w:sz w:val="24"/>
                <w:szCs w:val="24"/>
              </w:rPr>
            </w:pPr>
            <w:r>
              <w:rPr>
                <w:rFonts w:hint="eastAsia" w:ascii="宋体" w:hAnsi="宋体" w:cs="宋体"/>
                <w:sz w:val="24"/>
                <w:szCs w:val="24"/>
              </w:rPr>
              <w:t>2．有线、无线、遥测多元化自由组网方式，可同时全面监护多达≥64床的重症监护病人，以提供较强的未来扩展空间。</w:t>
            </w:r>
          </w:p>
          <w:p w14:paraId="791B0EA4">
            <w:pPr>
              <w:snapToGrid w:val="0"/>
              <w:spacing w:line="300" w:lineRule="exact"/>
              <w:jc w:val="left"/>
              <w:rPr>
                <w:rFonts w:ascii="宋体" w:hAnsi="宋体" w:cs="宋体"/>
                <w:sz w:val="24"/>
                <w:szCs w:val="24"/>
              </w:rPr>
            </w:pPr>
            <w:r>
              <w:rPr>
                <w:rFonts w:hint="eastAsia" w:ascii="宋体" w:hAnsi="宋体" w:cs="宋体"/>
                <w:sz w:val="24"/>
                <w:szCs w:val="24"/>
              </w:rPr>
              <w:t>3．可同屏显示≥32张床位信息，多达≥20余种窗口布置任意选择，方便同时监护多床位的重症病人。</w:t>
            </w:r>
          </w:p>
          <w:p w14:paraId="56C5F935">
            <w:pPr>
              <w:snapToGrid w:val="0"/>
              <w:spacing w:line="300" w:lineRule="exact"/>
              <w:jc w:val="left"/>
              <w:rPr>
                <w:rFonts w:ascii="宋体" w:hAnsi="宋体" w:cs="宋体"/>
                <w:sz w:val="24"/>
                <w:szCs w:val="24"/>
              </w:rPr>
            </w:pPr>
            <w:r>
              <w:rPr>
                <w:rFonts w:hint="eastAsia" w:ascii="宋体" w:hAnsi="宋体" w:cs="宋体"/>
                <w:sz w:val="24"/>
                <w:szCs w:val="24"/>
              </w:rPr>
              <w:t>4．数据处理功能：≥240小时趋势回顾、≥720条无创血压测量回顾、≥720条CO测量结果回顾、≥720条12导分析结果结果回顾、≥720条报警事件回顾、72小时全息波形回顾。</w:t>
            </w:r>
          </w:p>
          <w:p w14:paraId="775921E7">
            <w:pPr>
              <w:snapToGrid w:val="0"/>
              <w:spacing w:line="300" w:lineRule="exact"/>
              <w:jc w:val="left"/>
              <w:rPr>
                <w:rFonts w:ascii="宋体" w:hAnsi="宋体" w:cs="宋体"/>
                <w:sz w:val="24"/>
                <w:szCs w:val="24"/>
              </w:rPr>
            </w:pPr>
            <w:r>
              <w:rPr>
                <w:rFonts w:hint="eastAsia" w:ascii="宋体" w:hAnsi="宋体" w:cs="宋体"/>
                <w:sz w:val="24"/>
                <w:szCs w:val="24"/>
              </w:rPr>
              <w:t>5．支持≥2万个历史病人数据存储与回顾。</w:t>
            </w:r>
          </w:p>
          <w:p w14:paraId="1F4E692E">
            <w:pPr>
              <w:snapToGrid w:val="0"/>
              <w:spacing w:line="300" w:lineRule="exact"/>
              <w:jc w:val="left"/>
              <w:rPr>
                <w:rFonts w:ascii="宋体" w:hAnsi="宋体" w:cs="宋体"/>
                <w:sz w:val="24"/>
                <w:szCs w:val="24"/>
              </w:rPr>
            </w:pPr>
            <w:r>
              <w:rPr>
                <w:rFonts w:hint="eastAsia" w:ascii="宋体" w:hAnsi="宋体" w:cs="宋体"/>
                <w:sz w:val="24"/>
                <w:szCs w:val="24"/>
              </w:rPr>
              <w:t>6．中央站可支持其所管辖的所有病床一键进入夜间模式和隐私模式。</w:t>
            </w:r>
          </w:p>
          <w:p w14:paraId="1E364B76">
            <w:pPr>
              <w:snapToGrid w:val="0"/>
              <w:spacing w:line="300" w:lineRule="exact"/>
              <w:jc w:val="left"/>
              <w:rPr>
                <w:rFonts w:ascii="宋体" w:hAnsi="宋体" w:cs="宋体"/>
                <w:sz w:val="24"/>
                <w:szCs w:val="24"/>
              </w:rPr>
            </w:pPr>
            <w:r>
              <w:rPr>
                <w:rFonts w:hint="eastAsia" w:ascii="宋体" w:hAnsi="宋体" w:cs="宋体"/>
                <w:sz w:val="24"/>
                <w:szCs w:val="24"/>
              </w:rPr>
              <w:t>7．双向控制：监测中心与各床旁、各监测单元的监护仪均可对病案信息、报警级别、报警上下限、无创血压测量方式等操作进行双向一站式处理，并具备自动、手动、床旁（各监测单元）、监测中心等灵活的病人管理模式。</w:t>
            </w:r>
          </w:p>
          <w:p w14:paraId="416C95E5">
            <w:pPr>
              <w:snapToGrid w:val="0"/>
              <w:spacing w:line="300" w:lineRule="exact"/>
              <w:jc w:val="left"/>
              <w:rPr>
                <w:rFonts w:ascii="宋体" w:hAnsi="宋体" w:cs="宋体"/>
                <w:sz w:val="24"/>
                <w:szCs w:val="24"/>
              </w:rPr>
            </w:pPr>
            <w:r>
              <w:rPr>
                <w:rFonts w:hint="eastAsia" w:ascii="宋体" w:hAnsi="宋体" w:cs="宋体"/>
                <w:sz w:val="24"/>
                <w:szCs w:val="24"/>
              </w:rPr>
              <w:t>8．支持同品牌输注泵，呼吸机，除颤，遥测，超声，视频信号等设备接入中央站。</w:t>
            </w:r>
          </w:p>
          <w:p w14:paraId="415A8AA8">
            <w:pPr>
              <w:snapToGrid w:val="0"/>
              <w:spacing w:line="300" w:lineRule="exact"/>
              <w:jc w:val="left"/>
              <w:rPr>
                <w:rFonts w:ascii="宋体" w:hAnsi="宋体" w:cs="宋体"/>
                <w:sz w:val="24"/>
                <w:szCs w:val="24"/>
              </w:rPr>
            </w:pPr>
            <w:r>
              <w:rPr>
                <w:rFonts w:hint="eastAsia" w:ascii="宋体" w:hAnsi="宋体" w:cs="宋体"/>
                <w:sz w:val="24"/>
                <w:szCs w:val="24"/>
              </w:rPr>
              <w:t>9．数据断网续传功能，至少保证断网48小时内，数据不会丢失。</w:t>
            </w:r>
          </w:p>
          <w:p w14:paraId="26C3593C">
            <w:pPr>
              <w:snapToGrid w:val="0"/>
              <w:spacing w:line="300" w:lineRule="exact"/>
              <w:jc w:val="left"/>
              <w:rPr>
                <w:rFonts w:ascii="宋体" w:hAnsi="宋体" w:cs="宋体"/>
                <w:sz w:val="24"/>
                <w:szCs w:val="24"/>
              </w:rPr>
            </w:pPr>
            <w:r>
              <w:rPr>
                <w:rFonts w:hint="eastAsia" w:ascii="宋体" w:hAnsi="宋体" w:cs="宋体"/>
                <w:sz w:val="24"/>
                <w:szCs w:val="24"/>
              </w:rPr>
              <w:t>10．支持与院内信息系统对接实现相关数据的抓取。</w:t>
            </w:r>
          </w:p>
          <w:p w14:paraId="0CA4852B">
            <w:pPr>
              <w:snapToGrid w:val="0"/>
              <w:spacing w:line="300" w:lineRule="exact"/>
              <w:jc w:val="left"/>
              <w:rPr>
                <w:rFonts w:ascii="宋体" w:hAnsi="宋体" w:cs="宋体"/>
                <w:sz w:val="24"/>
                <w:szCs w:val="24"/>
              </w:rPr>
            </w:pPr>
            <w:r>
              <w:rPr>
                <w:rFonts w:hint="eastAsia" w:ascii="宋体" w:hAnsi="宋体" w:cs="宋体"/>
                <w:sz w:val="24"/>
                <w:szCs w:val="24"/>
              </w:rPr>
              <w:t>11．中央站系统能够兼容同品牌下所有的监护仪及遥测。</w:t>
            </w:r>
          </w:p>
          <w:p w14:paraId="3C368F2F">
            <w:pPr>
              <w:snapToGrid w:val="0"/>
              <w:spacing w:line="300" w:lineRule="exact"/>
              <w:jc w:val="left"/>
              <w:rPr>
                <w:rFonts w:ascii="宋体" w:hAnsi="宋体" w:cs="宋体"/>
                <w:sz w:val="24"/>
                <w:szCs w:val="24"/>
              </w:rPr>
            </w:pPr>
            <w:r>
              <w:rPr>
                <w:rFonts w:hint="eastAsia" w:ascii="宋体" w:hAnsi="宋体" w:cs="宋体"/>
                <w:sz w:val="24"/>
                <w:szCs w:val="24"/>
              </w:rPr>
              <w:t>四、信息系统：</w:t>
            </w:r>
          </w:p>
          <w:p w14:paraId="631EC02E">
            <w:pPr>
              <w:snapToGrid w:val="0"/>
              <w:spacing w:line="300" w:lineRule="exact"/>
              <w:jc w:val="left"/>
              <w:rPr>
                <w:rFonts w:ascii="宋体" w:hAnsi="宋体" w:cs="宋体"/>
                <w:sz w:val="24"/>
                <w:szCs w:val="24"/>
              </w:rPr>
            </w:pPr>
            <w:r>
              <w:rPr>
                <w:rFonts w:hint="eastAsia" w:ascii="宋体" w:hAnsi="宋体" w:cs="宋体"/>
                <w:sz w:val="24"/>
                <w:szCs w:val="24"/>
              </w:rPr>
              <w:t>1.具备连接全院心电监护设备的能力，可以实现全院信息集中显示，免费开放端口。</w:t>
            </w:r>
          </w:p>
          <w:p w14:paraId="035E285A">
            <w:pPr>
              <w:snapToGrid w:val="0"/>
              <w:spacing w:line="300" w:lineRule="exact"/>
              <w:jc w:val="left"/>
              <w:rPr>
                <w:rFonts w:ascii="宋体" w:hAnsi="宋体" w:cs="宋体"/>
                <w:sz w:val="24"/>
                <w:szCs w:val="24"/>
              </w:rPr>
            </w:pPr>
            <w:r>
              <w:rPr>
                <w:rFonts w:hint="eastAsia" w:ascii="宋体" w:hAnsi="宋体" w:cs="宋体"/>
                <w:sz w:val="24"/>
                <w:szCs w:val="24"/>
              </w:rPr>
              <w:t>三、配置要求：</w:t>
            </w:r>
          </w:p>
          <w:p w14:paraId="3C7FB481">
            <w:pPr>
              <w:snapToGrid w:val="0"/>
              <w:spacing w:line="300" w:lineRule="exact"/>
              <w:jc w:val="left"/>
              <w:rPr>
                <w:rFonts w:ascii="宋体" w:hAnsi="宋体" w:cs="宋体"/>
                <w:sz w:val="24"/>
                <w:szCs w:val="24"/>
              </w:rPr>
            </w:pPr>
            <w:r>
              <w:rPr>
                <w:rFonts w:hint="eastAsia" w:ascii="宋体" w:hAnsi="宋体" w:cs="宋体"/>
                <w:sz w:val="24"/>
                <w:szCs w:val="24"/>
              </w:rPr>
              <w:t>1. 中央监护站：4套</w:t>
            </w:r>
          </w:p>
          <w:p w14:paraId="6A88F732">
            <w:pPr>
              <w:snapToGrid w:val="0"/>
              <w:spacing w:line="300" w:lineRule="exact"/>
              <w:jc w:val="left"/>
              <w:rPr>
                <w:rFonts w:ascii="宋体" w:hAnsi="宋体" w:cs="宋体"/>
                <w:sz w:val="24"/>
                <w:szCs w:val="24"/>
              </w:rPr>
            </w:pPr>
            <w:r>
              <w:rPr>
                <w:rFonts w:hint="eastAsia" w:ascii="宋体" w:hAnsi="宋体" w:cs="宋体"/>
                <w:sz w:val="24"/>
                <w:szCs w:val="24"/>
              </w:rPr>
              <w:t>2. 心电监护仪：35台</w:t>
            </w:r>
          </w:p>
          <w:p w14:paraId="6C4D7908">
            <w:pPr>
              <w:snapToGrid w:val="0"/>
              <w:spacing w:line="300" w:lineRule="exact"/>
              <w:jc w:val="left"/>
              <w:rPr>
                <w:rFonts w:ascii="宋体" w:hAnsi="宋体" w:cs="宋体"/>
                <w:sz w:val="24"/>
                <w:szCs w:val="24"/>
              </w:rPr>
            </w:pPr>
            <w:r>
              <w:rPr>
                <w:rFonts w:hint="eastAsia" w:ascii="宋体" w:hAnsi="宋体" w:cs="宋体"/>
                <w:sz w:val="24"/>
                <w:szCs w:val="24"/>
              </w:rPr>
              <w:t>3. 转运监护仪：4台</w:t>
            </w:r>
          </w:p>
          <w:p w14:paraId="4D52C2A9">
            <w:pPr>
              <w:snapToGrid w:val="0"/>
              <w:spacing w:line="300" w:lineRule="exact"/>
              <w:jc w:val="left"/>
              <w:rPr>
                <w:rFonts w:ascii="宋体" w:hAnsi="宋体" w:cs="宋体"/>
                <w:sz w:val="24"/>
                <w:szCs w:val="24"/>
              </w:rPr>
            </w:pPr>
            <w:r>
              <w:rPr>
                <w:rFonts w:hint="eastAsia" w:ascii="宋体" w:hAnsi="宋体" w:cs="宋体"/>
                <w:sz w:val="24"/>
                <w:szCs w:val="24"/>
              </w:rPr>
              <w:t>4. 心电导联线：35套</w:t>
            </w:r>
          </w:p>
          <w:p w14:paraId="697E9205">
            <w:pPr>
              <w:snapToGrid w:val="0"/>
              <w:spacing w:line="300" w:lineRule="exact"/>
              <w:jc w:val="left"/>
              <w:rPr>
                <w:rFonts w:ascii="宋体" w:hAnsi="宋体" w:cs="宋体"/>
                <w:sz w:val="24"/>
                <w:szCs w:val="24"/>
              </w:rPr>
            </w:pPr>
            <w:r>
              <w:rPr>
                <w:rFonts w:hint="eastAsia" w:ascii="宋体" w:hAnsi="宋体" w:cs="宋体"/>
                <w:sz w:val="24"/>
                <w:szCs w:val="24"/>
              </w:rPr>
              <w:t>5. 血压导联线及袖带：35套</w:t>
            </w:r>
          </w:p>
          <w:p w14:paraId="6EE47F0F">
            <w:pPr>
              <w:snapToGrid w:val="0"/>
              <w:spacing w:line="300" w:lineRule="exact"/>
              <w:jc w:val="left"/>
              <w:rPr>
                <w:rFonts w:ascii="宋体" w:hAnsi="宋体" w:cs="宋体"/>
                <w:sz w:val="24"/>
                <w:szCs w:val="24"/>
              </w:rPr>
            </w:pPr>
            <w:r>
              <w:rPr>
                <w:rFonts w:hint="eastAsia" w:ascii="宋体" w:hAnsi="宋体" w:cs="宋体"/>
                <w:sz w:val="24"/>
                <w:szCs w:val="24"/>
              </w:rPr>
              <w:t>6. 血氧导联线：35套</w:t>
            </w:r>
          </w:p>
          <w:p w14:paraId="4C2E5205">
            <w:pPr>
              <w:snapToGrid w:val="0"/>
              <w:spacing w:line="300" w:lineRule="exact"/>
              <w:jc w:val="left"/>
              <w:rPr>
                <w:rFonts w:ascii="宋体" w:hAnsi="宋体" w:cs="宋体"/>
                <w:sz w:val="24"/>
                <w:szCs w:val="24"/>
              </w:rPr>
            </w:pPr>
            <w:r>
              <w:rPr>
                <w:rFonts w:hint="eastAsia" w:ascii="宋体" w:hAnsi="宋体" w:cs="宋体"/>
                <w:sz w:val="24"/>
                <w:szCs w:val="24"/>
              </w:rPr>
              <w:t>7. BIS模块及导联线：9套</w:t>
            </w:r>
          </w:p>
          <w:p w14:paraId="28537416">
            <w:pPr>
              <w:snapToGrid w:val="0"/>
              <w:spacing w:line="300" w:lineRule="exact"/>
              <w:jc w:val="left"/>
              <w:rPr>
                <w:rFonts w:ascii="宋体" w:hAnsi="宋体" w:cs="宋体"/>
                <w:sz w:val="24"/>
                <w:szCs w:val="24"/>
              </w:rPr>
            </w:pPr>
            <w:r>
              <w:rPr>
                <w:rFonts w:hint="eastAsia" w:ascii="宋体" w:hAnsi="宋体" w:cs="宋体"/>
                <w:sz w:val="24"/>
                <w:szCs w:val="24"/>
              </w:rPr>
              <w:t>8. PICCO模块及导联线：2套</w:t>
            </w:r>
          </w:p>
          <w:p w14:paraId="499DA115">
            <w:pPr>
              <w:snapToGrid w:val="0"/>
              <w:spacing w:line="300" w:lineRule="exact"/>
              <w:jc w:val="left"/>
              <w:rPr>
                <w:rFonts w:ascii="宋体" w:hAnsi="宋体" w:cs="宋体"/>
                <w:sz w:val="24"/>
                <w:szCs w:val="24"/>
              </w:rPr>
            </w:pPr>
            <w:r>
              <w:rPr>
                <w:rFonts w:hint="eastAsia" w:ascii="宋体" w:hAnsi="宋体" w:cs="宋体"/>
                <w:sz w:val="24"/>
                <w:szCs w:val="24"/>
              </w:rPr>
              <w:t>9. 呼末CO</w:t>
            </w:r>
            <w:r>
              <w:rPr>
                <w:rFonts w:hint="eastAsia" w:ascii="宋体" w:hAnsi="宋体" w:cs="宋体"/>
                <w:sz w:val="24"/>
                <w:szCs w:val="24"/>
                <w:vertAlign w:val="subscript"/>
              </w:rPr>
              <w:t>2</w:t>
            </w:r>
            <w:r>
              <w:rPr>
                <w:rFonts w:hint="eastAsia" w:ascii="宋体" w:hAnsi="宋体" w:cs="宋体"/>
                <w:sz w:val="24"/>
                <w:szCs w:val="24"/>
              </w:rPr>
              <w:t>模块及导联线：2套</w:t>
            </w:r>
          </w:p>
          <w:p w14:paraId="17221D40">
            <w:pPr>
              <w:snapToGrid w:val="0"/>
              <w:spacing w:line="300" w:lineRule="exact"/>
              <w:jc w:val="left"/>
              <w:rPr>
                <w:rFonts w:ascii="宋体" w:hAnsi="宋体" w:cs="宋体"/>
                <w:sz w:val="24"/>
                <w:szCs w:val="24"/>
              </w:rPr>
            </w:pPr>
            <w:r>
              <w:rPr>
                <w:rFonts w:hint="eastAsia" w:ascii="宋体" w:hAnsi="宋体" w:cs="宋体"/>
                <w:sz w:val="24"/>
                <w:szCs w:val="24"/>
              </w:rPr>
              <w:t>10. 脑氧模块及导联线：1套</w:t>
            </w:r>
          </w:p>
          <w:p w14:paraId="54DB10F6">
            <w:pPr>
              <w:snapToGrid w:val="0"/>
              <w:spacing w:line="300" w:lineRule="exact"/>
              <w:jc w:val="left"/>
              <w:rPr>
                <w:rFonts w:ascii="宋体" w:hAnsi="宋体" w:cs="宋体"/>
                <w:b/>
                <w:bCs/>
                <w:sz w:val="24"/>
                <w:szCs w:val="24"/>
              </w:rPr>
            </w:pPr>
            <w:r>
              <w:rPr>
                <w:rFonts w:hint="eastAsia" w:ascii="宋体" w:hAnsi="宋体" w:cs="宋体"/>
                <w:sz w:val="24"/>
                <w:szCs w:val="24"/>
              </w:rPr>
              <w:t>10. 上墙支架：11个</w:t>
            </w:r>
          </w:p>
        </w:tc>
      </w:tr>
      <w:tr w14:paraId="438693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tcBorders>
              <w:top w:val="single" w:color="auto" w:sz="4" w:space="0"/>
              <w:left w:val="single" w:color="auto" w:sz="4" w:space="0"/>
              <w:bottom w:val="single" w:color="auto" w:sz="4" w:space="0"/>
              <w:right w:val="single" w:color="auto" w:sz="4" w:space="0"/>
            </w:tcBorders>
            <w:vAlign w:val="center"/>
          </w:tcPr>
          <w:p w14:paraId="333B314B">
            <w:pPr>
              <w:snapToGrid w:val="0"/>
              <w:spacing w:line="360" w:lineRule="auto"/>
              <w:jc w:val="center"/>
              <w:rPr>
                <w:rFonts w:ascii="宋体" w:hAnsi="宋体" w:cs="宋体"/>
                <w:sz w:val="24"/>
                <w:szCs w:val="24"/>
              </w:rPr>
            </w:pPr>
            <w:r>
              <w:rPr>
                <w:rFonts w:hint="eastAsia" w:ascii="宋体" w:hAnsi="宋体" w:cs="宋体"/>
                <w:sz w:val="24"/>
                <w:szCs w:val="24"/>
              </w:rPr>
              <w:t>5</w:t>
            </w:r>
          </w:p>
        </w:tc>
        <w:tc>
          <w:tcPr>
            <w:tcW w:w="704" w:type="pct"/>
            <w:tcBorders>
              <w:top w:val="single" w:color="auto" w:sz="4" w:space="0"/>
              <w:left w:val="single" w:color="auto" w:sz="4" w:space="0"/>
              <w:bottom w:val="single" w:color="auto" w:sz="4" w:space="0"/>
              <w:right w:val="single" w:color="auto" w:sz="4" w:space="0"/>
            </w:tcBorders>
            <w:vAlign w:val="center"/>
          </w:tcPr>
          <w:p w14:paraId="140927B4">
            <w:pPr>
              <w:snapToGrid w:val="0"/>
              <w:spacing w:line="360" w:lineRule="auto"/>
              <w:jc w:val="center"/>
              <w:rPr>
                <w:rFonts w:ascii="宋体" w:hAnsi="宋体" w:cs="宋体"/>
                <w:sz w:val="24"/>
                <w:szCs w:val="24"/>
              </w:rPr>
            </w:pPr>
            <w:r>
              <w:rPr>
                <w:rFonts w:hint="eastAsia"/>
                <w:sz w:val="24"/>
              </w:rPr>
              <w:t>▲</w:t>
            </w:r>
            <w:r>
              <w:rPr>
                <w:rFonts w:hint="eastAsia" w:ascii="宋体" w:hAnsi="宋体" w:cs="宋体"/>
                <w:sz w:val="24"/>
                <w:szCs w:val="24"/>
              </w:rPr>
              <w:t>监护仪（5）</w:t>
            </w:r>
          </w:p>
        </w:tc>
        <w:tc>
          <w:tcPr>
            <w:tcW w:w="390" w:type="pct"/>
            <w:tcBorders>
              <w:top w:val="single" w:color="auto" w:sz="4" w:space="0"/>
              <w:left w:val="single" w:color="auto" w:sz="4" w:space="0"/>
              <w:bottom w:val="single" w:color="auto" w:sz="4" w:space="0"/>
              <w:right w:val="single" w:color="auto" w:sz="4" w:space="0"/>
            </w:tcBorders>
            <w:vAlign w:val="center"/>
          </w:tcPr>
          <w:p w14:paraId="5CD4FFF3">
            <w:pPr>
              <w:snapToGrid w:val="0"/>
              <w:spacing w:line="360" w:lineRule="auto"/>
              <w:jc w:val="center"/>
              <w:rPr>
                <w:rFonts w:ascii="宋体" w:hAnsi="宋体" w:cs="宋体"/>
                <w:sz w:val="24"/>
                <w:szCs w:val="24"/>
              </w:rPr>
            </w:pPr>
            <w:r>
              <w:rPr>
                <w:rFonts w:hint="eastAsia" w:ascii="宋体" w:hAnsi="宋体" w:cs="宋体"/>
                <w:sz w:val="24"/>
                <w:szCs w:val="24"/>
              </w:rPr>
              <w:t>台</w:t>
            </w:r>
          </w:p>
        </w:tc>
        <w:tc>
          <w:tcPr>
            <w:tcW w:w="439" w:type="pct"/>
            <w:tcBorders>
              <w:top w:val="single" w:color="auto" w:sz="4" w:space="0"/>
              <w:left w:val="single" w:color="auto" w:sz="4" w:space="0"/>
              <w:bottom w:val="single" w:color="auto" w:sz="4" w:space="0"/>
              <w:right w:val="single" w:color="auto" w:sz="4" w:space="0"/>
            </w:tcBorders>
            <w:vAlign w:val="center"/>
          </w:tcPr>
          <w:p w14:paraId="6EB2C7FC">
            <w:pPr>
              <w:snapToGrid w:val="0"/>
              <w:spacing w:line="360" w:lineRule="auto"/>
              <w:jc w:val="center"/>
              <w:rPr>
                <w:rFonts w:ascii="宋体" w:hAnsi="宋体" w:cs="宋体"/>
                <w:sz w:val="24"/>
                <w:szCs w:val="24"/>
              </w:rPr>
            </w:pPr>
            <w:r>
              <w:rPr>
                <w:rFonts w:hint="eastAsia" w:ascii="宋体" w:hAnsi="宋体" w:cs="宋体"/>
                <w:sz w:val="24"/>
                <w:szCs w:val="24"/>
              </w:rPr>
              <w:t>2</w:t>
            </w:r>
          </w:p>
        </w:tc>
        <w:tc>
          <w:tcPr>
            <w:tcW w:w="3033" w:type="pct"/>
            <w:tcBorders>
              <w:top w:val="single" w:color="auto" w:sz="4" w:space="0"/>
              <w:left w:val="single" w:color="auto" w:sz="4" w:space="0"/>
              <w:bottom w:val="single" w:color="auto" w:sz="4" w:space="0"/>
              <w:right w:val="single" w:color="auto" w:sz="4" w:space="0"/>
            </w:tcBorders>
            <w:vAlign w:val="center"/>
          </w:tcPr>
          <w:p w14:paraId="7682030D">
            <w:pPr>
              <w:snapToGrid w:val="0"/>
              <w:spacing w:line="300" w:lineRule="exact"/>
              <w:rPr>
                <w:rFonts w:ascii="宋体" w:hAnsi="宋体" w:cs="宋体"/>
                <w:sz w:val="24"/>
                <w:szCs w:val="24"/>
              </w:rPr>
            </w:pPr>
            <w:r>
              <w:rPr>
                <w:rFonts w:hint="eastAsia" w:ascii="宋体" w:hAnsi="宋体" w:cs="宋体"/>
                <w:sz w:val="24"/>
                <w:szCs w:val="24"/>
              </w:rPr>
              <w:t>一、产品用途 监护仪可反应手术中患者们的麻醉情况，用于直接反映手术中患者生命体征。</w:t>
            </w:r>
          </w:p>
          <w:p w14:paraId="443E4644">
            <w:pPr>
              <w:snapToGrid w:val="0"/>
              <w:spacing w:line="300" w:lineRule="exact"/>
              <w:rPr>
                <w:rFonts w:ascii="宋体" w:hAnsi="宋体" w:cs="宋体"/>
                <w:sz w:val="24"/>
                <w:szCs w:val="24"/>
              </w:rPr>
            </w:pPr>
            <w:r>
              <w:rPr>
                <w:rFonts w:hint="eastAsia" w:ascii="宋体" w:hAnsi="宋体" w:cs="宋体"/>
                <w:sz w:val="24"/>
                <w:szCs w:val="24"/>
              </w:rPr>
              <w:t>二、技术参数</w:t>
            </w:r>
          </w:p>
          <w:p w14:paraId="116541D6">
            <w:pPr>
              <w:snapToGrid w:val="0"/>
              <w:spacing w:line="300" w:lineRule="exact"/>
              <w:rPr>
                <w:rFonts w:ascii="宋体" w:hAnsi="宋体" w:cs="宋体"/>
                <w:sz w:val="24"/>
                <w:szCs w:val="24"/>
              </w:rPr>
            </w:pPr>
            <w:r>
              <w:rPr>
                <w:rFonts w:hint="eastAsia" w:ascii="宋体" w:hAnsi="宋体" w:cs="宋体"/>
                <w:sz w:val="24"/>
                <w:szCs w:val="24"/>
              </w:rPr>
              <w:t>★1.模块化插件式床边监护仪，包括但不限于主机、显示屏和插件槽一体化设计，主机模块插槽数≥6个，主机屏幕≥18英寸彩色电容触摸屏，高分辨率≥1920×1080像素，≥12通道显示，显示屏亮度自动调节。</w:t>
            </w:r>
          </w:p>
          <w:p w14:paraId="7F5ED8B7">
            <w:pPr>
              <w:snapToGrid w:val="0"/>
              <w:spacing w:line="300" w:lineRule="exact"/>
              <w:rPr>
                <w:rFonts w:ascii="宋体" w:hAnsi="宋体" w:cs="宋体"/>
                <w:sz w:val="24"/>
                <w:szCs w:val="24"/>
              </w:rPr>
            </w:pPr>
            <w:r>
              <w:rPr>
                <w:rFonts w:hint="eastAsia" w:ascii="宋体" w:hAnsi="宋体" w:cs="宋体"/>
                <w:sz w:val="24"/>
                <w:szCs w:val="24"/>
              </w:rPr>
              <w:t>2.内置锂电池，供电时间≥2小时。</w:t>
            </w:r>
          </w:p>
          <w:p w14:paraId="5BB2CB80">
            <w:pPr>
              <w:snapToGrid w:val="0"/>
              <w:spacing w:line="300" w:lineRule="exact"/>
              <w:rPr>
                <w:rFonts w:ascii="宋体" w:hAnsi="宋体" w:cs="宋体"/>
                <w:sz w:val="24"/>
                <w:szCs w:val="24"/>
              </w:rPr>
            </w:pPr>
            <w:r>
              <w:rPr>
                <w:rFonts w:hint="eastAsia" w:ascii="宋体" w:hAnsi="宋体" w:cs="宋体"/>
                <w:sz w:val="24"/>
                <w:szCs w:val="24"/>
              </w:rPr>
              <w:t>3.支持实时连续心律失常分析，心律失常分析种类≥20种，包含房颤。</w:t>
            </w:r>
          </w:p>
          <w:p w14:paraId="00183D4C">
            <w:pPr>
              <w:snapToGrid w:val="0"/>
              <w:spacing w:line="300" w:lineRule="exact"/>
              <w:rPr>
                <w:rFonts w:hint="eastAsia" w:ascii="宋体" w:hAnsi="宋体" w:cs="宋体"/>
                <w:sz w:val="24"/>
                <w:szCs w:val="24"/>
                <w:highlight w:val="yellow"/>
              </w:rPr>
            </w:pPr>
            <w:r>
              <w:rPr>
                <w:rFonts w:hint="eastAsia" w:ascii="宋体" w:hAnsi="宋体" w:cs="宋体"/>
                <w:sz w:val="24"/>
                <w:szCs w:val="24"/>
                <w:highlight w:val="yellow"/>
              </w:rPr>
              <w:t>★4.可通过模块升级：连续心排量PiCCO，脑电双频指数BIS，麻醉气体AG，肌松NMT等高级参数。</w:t>
            </w:r>
          </w:p>
          <w:p w14:paraId="1AE81555">
            <w:pPr>
              <w:snapToGrid w:val="0"/>
              <w:spacing w:line="300" w:lineRule="exact"/>
              <w:rPr>
                <w:rFonts w:ascii="宋体" w:hAnsi="宋体" w:cs="宋体"/>
                <w:sz w:val="24"/>
                <w:szCs w:val="24"/>
              </w:rPr>
            </w:pPr>
            <w:r>
              <w:rPr>
                <w:rFonts w:hint="eastAsia" w:ascii="宋体" w:hAnsi="宋体" w:cs="宋体"/>
                <w:sz w:val="24"/>
                <w:szCs w:val="24"/>
              </w:rPr>
              <w:t>5.基本监测参数：心电，呼吸，心率，脉率，无创血压，血氧饱和度，双通道体温和双通道有创血压，且双通道体温和有创血压可同时监测。</w:t>
            </w:r>
          </w:p>
          <w:p w14:paraId="3354D01D">
            <w:pPr>
              <w:snapToGrid w:val="0"/>
              <w:spacing w:line="300" w:lineRule="exact"/>
              <w:rPr>
                <w:rFonts w:ascii="宋体" w:hAnsi="宋体" w:cs="宋体"/>
                <w:sz w:val="24"/>
                <w:szCs w:val="24"/>
              </w:rPr>
            </w:pPr>
            <w:r>
              <w:rPr>
                <w:rFonts w:hint="eastAsia" w:ascii="宋体" w:hAnsi="宋体" w:cs="宋体"/>
                <w:sz w:val="24"/>
                <w:szCs w:val="24"/>
              </w:rPr>
              <w:t>6.具有血氧的抗干扰和抗弱灌注技术，可显示PI血氧灌注指数，有效反映血氧灌注情况。</w:t>
            </w:r>
          </w:p>
          <w:p w14:paraId="4552B174">
            <w:pPr>
              <w:snapToGrid w:val="0"/>
              <w:spacing w:line="300" w:lineRule="exact"/>
              <w:rPr>
                <w:rFonts w:ascii="宋体" w:hAnsi="宋体" w:cs="宋体"/>
                <w:sz w:val="24"/>
                <w:szCs w:val="24"/>
              </w:rPr>
            </w:pPr>
            <w:r>
              <w:rPr>
                <w:rFonts w:hint="eastAsia" w:ascii="宋体" w:hAnsi="宋体" w:cs="宋体"/>
                <w:sz w:val="24"/>
                <w:szCs w:val="24"/>
              </w:rPr>
              <w:t>7.标配具备血液动力学，药物计算，氧合计算，通气计算和肾功能计算功能。</w:t>
            </w:r>
          </w:p>
          <w:p w14:paraId="20C67C13">
            <w:pPr>
              <w:snapToGrid w:val="0"/>
              <w:spacing w:line="300" w:lineRule="exact"/>
              <w:rPr>
                <w:rFonts w:ascii="宋体" w:hAnsi="宋体" w:cs="宋体"/>
                <w:sz w:val="24"/>
                <w:szCs w:val="24"/>
              </w:rPr>
            </w:pPr>
            <w:r>
              <w:rPr>
                <w:rFonts w:hint="eastAsia" w:ascii="宋体" w:hAnsi="宋体" w:cs="宋体"/>
                <w:sz w:val="24"/>
                <w:szCs w:val="24"/>
              </w:rPr>
              <w:t>8.支持≥120小时（分辨率1分钟）趋势表、趋势图回顾，≥4小时（分辨率5秒）趋势表、趋势图回顾。≥1000条事件回顾。每条报警事件至少能够存储30秒三道相关波形，以及报警触发时所有测量参数值。</w:t>
            </w:r>
          </w:p>
          <w:p w14:paraId="332606FE">
            <w:pPr>
              <w:snapToGrid w:val="0"/>
              <w:spacing w:line="300" w:lineRule="exact"/>
              <w:rPr>
                <w:rFonts w:ascii="宋体" w:hAnsi="宋体" w:cs="宋体"/>
                <w:sz w:val="24"/>
                <w:szCs w:val="24"/>
              </w:rPr>
            </w:pPr>
            <w:r>
              <w:rPr>
                <w:rFonts w:hint="eastAsia" w:ascii="宋体" w:hAnsi="宋体" w:cs="宋体"/>
                <w:sz w:val="24"/>
                <w:szCs w:val="24"/>
              </w:rPr>
              <w:t>9.具备≥48小时全息波形的存储与回顾功能。</w:t>
            </w:r>
          </w:p>
          <w:p w14:paraId="4AB52393">
            <w:pPr>
              <w:snapToGrid w:val="0"/>
              <w:spacing w:line="300" w:lineRule="exact"/>
              <w:rPr>
                <w:rFonts w:ascii="宋体" w:hAnsi="宋体" w:cs="宋体"/>
                <w:sz w:val="24"/>
                <w:szCs w:val="24"/>
              </w:rPr>
            </w:pPr>
            <w:r>
              <w:rPr>
                <w:rFonts w:hint="eastAsia" w:ascii="宋体" w:hAnsi="宋体" w:cs="宋体"/>
                <w:sz w:val="24"/>
                <w:szCs w:val="24"/>
              </w:rPr>
              <w:t>10.有创血压IBP模块，支持肺动脉楔压（PAWP）和脉搏血压变异（PPV）参数的监测。</w:t>
            </w:r>
          </w:p>
          <w:p w14:paraId="50F33985">
            <w:pPr>
              <w:snapToGrid w:val="0"/>
              <w:spacing w:line="300" w:lineRule="exact"/>
              <w:rPr>
                <w:rFonts w:ascii="宋体" w:hAnsi="宋体" w:cs="宋体"/>
                <w:sz w:val="24"/>
                <w:szCs w:val="24"/>
              </w:rPr>
            </w:pPr>
            <w:r>
              <w:rPr>
                <w:rFonts w:hint="eastAsia" w:ascii="宋体" w:hAnsi="宋体" w:cs="宋体"/>
                <w:sz w:val="24"/>
                <w:szCs w:val="24"/>
              </w:rPr>
              <w:t>11.支持床旁设备连接模块，可通过模块连接床旁设备实现其他床旁设备的信息集中在监护仪上显示、存储、记录、打印。</w:t>
            </w:r>
          </w:p>
          <w:p w14:paraId="35B311C5">
            <w:pPr>
              <w:snapToGrid w:val="0"/>
              <w:spacing w:line="300" w:lineRule="exact"/>
              <w:rPr>
                <w:rFonts w:ascii="宋体" w:hAnsi="宋体" w:cs="宋体"/>
                <w:sz w:val="24"/>
                <w:szCs w:val="24"/>
              </w:rPr>
            </w:pPr>
            <w:r>
              <w:rPr>
                <w:rFonts w:hint="eastAsia" w:ascii="宋体" w:hAnsi="宋体" w:cs="宋体"/>
                <w:sz w:val="24"/>
                <w:szCs w:val="24"/>
              </w:rPr>
              <w:t>★12.支持但不限于室上性心动过速和SVCs/min室上性心律失常分析。</w:t>
            </w:r>
          </w:p>
          <w:p w14:paraId="2F6BDF7C">
            <w:pPr>
              <w:snapToGrid w:val="0"/>
              <w:spacing w:line="300" w:lineRule="exact"/>
              <w:rPr>
                <w:rFonts w:ascii="宋体" w:hAnsi="宋体" w:cs="宋体"/>
                <w:sz w:val="24"/>
                <w:szCs w:val="24"/>
              </w:rPr>
            </w:pPr>
            <w:r>
              <w:rPr>
                <w:rFonts w:hint="eastAsia" w:ascii="宋体" w:hAnsi="宋体" w:cs="宋体"/>
                <w:sz w:val="24"/>
                <w:szCs w:val="24"/>
              </w:rPr>
              <w:t>13．心电支持≥3个分析导联实时动态同步分析，并非多个导联波形同屏显示及12导联静息分析。</w:t>
            </w:r>
          </w:p>
          <w:p w14:paraId="690A1641">
            <w:pPr>
              <w:snapToGrid w:val="0"/>
              <w:spacing w:line="300" w:lineRule="exact"/>
              <w:rPr>
                <w:rFonts w:ascii="宋体" w:hAnsi="宋体" w:cs="宋体"/>
                <w:sz w:val="24"/>
                <w:szCs w:val="24"/>
              </w:rPr>
            </w:pPr>
            <w:r>
              <w:rPr>
                <w:rFonts w:hint="eastAsia" w:ascii="宋体" w:hAnsi="宋体" w:cs="宋体"/>
                <w:sz w:val="24"/>
                <w:szCs w:val="24"/>
              </w:rPr>
              <w:t>14．NIBP成人病人类型收缩压测量：25～290mmHg。NIBP支持快速测量，典型测量时间≤15秒。</w:t>
            </w:r>
          </w:p>
          <w:p w14:paraId="7DE8A60C">
            <w:pPr>
              <w:snapToGrid w:val="0"/>
              <w:spacing w:line="300" w:lineRule="exact"/>
              <w:rPr>
                <w:rFonts w:ascii="宋体" w:hAnsi="宋体" w:cs="宋体"/>
                <w:sz w:val="24"/>
                <w:szCs w:val="24"/>
              </w:rPr>
            </w:pPr>
            <w:r>
              <w:rPr>
                <w:rFonts w:hint="eastAsia" w:ascii="宋体" w:hAnsi="宋体" w:cs="宋体"/>
                <w:sz w:val="24"/>
                <w:szCs w:val="24"/>
              </w:rPr>
              <w:t>15.具备参数组合报警功能（并非早期预警评分EWS），可对患者同时多个参数变化给出统一报警提示，预示病人不同生理系统状态改变，提供≥10个预设组合报警，并允许自定义≥6个组合报警。</w:t>
            </w:r>
          </w:p>
          <w:p w14:paraId="708AEEF7">
            <w:pPr>
              <w:snapToGrid w:val="0"/>
              <w:spacing w:line="300" w:lineRule="exact"/>
              <w:rPr>
                <w:rFonts w:ascii="宋体" w:hAnsi="宋体" w:cs="宋体"/>
                <w:sz w:val="24"/>
                <w:szCs w:val="24"/>
              </w:rPr>
            </w:pPr>
            <w:r>
              <w:rPr>
                <w:rFonts w:hint="eastAsia" w:ascii="宋体" w:hAnsi="宋体" w:cs="宋体"/>
                <w:sz w:val="24"/>
                <w:szCs w:val="24"/>
              </w:rPr>
              <w:t>★16.具有独立操作显示屏，屏幕尺寸≥5英寸，内置锂电池供电≥4小时，无风扇设计。</w:t>
            </w:r>
          </w:p>
          <w:p w14:paraId="4B5AA426">
            <w:pPr>
              <w:snapToGrid w:val="0"/>
              <w:spacing w:line="300" w:lineRule="exact"/>
              <w:rPr>
                <w:rFonts w:ascii="宋体" w:hAnsi="宋体" w:cs="宋体"/>
                <w:sz w:val="24"/>
                <w:szCs w:val="24"/>
                <w:highlight w:val="yellow"/>
              </w:rPr>
            </w:pPr>
            <w:r>
              <w:rPr>
                <w:rFonts w:hint="eastAsia" w:ascii="宋体" w:hAnsi="宋体" w:cs="宋体"/>
                <w:sz w:val="24"/>
                <w:szCs w:val="24"/>
                <w:highlight w:val="yellow"/>
              </w:rPr>
              <w:t>17.。</w:t>
            </w:r>
          </w:p>
          <w:p w14:paraId="2254D7C2">
            <w:pPr>
              <w:snapToGrid w:val="0"/>
              <w:spacing w:line="300" w:lineRule="exact"/>
              <w:rPr>
                <w:rFonts w:ascii="宋体" w:hAnsi="宋体" w:cs="宋体"/>
                <w:sz w:val="24"/>
                <w:szCs w:val="24"/>
              </w:rPr>
            </w:pPr>
            <w:r>
              <w:rPr>
                <w:rFonts w:hint="eastAsia" w:ascii="宋体" w:hAnsi="宋体" w:cs="宋体"/>
                <w:sz w:val="24"/>
                <w:szCs w:val="24"/>
              </w:rPr>
              <w:t>18.单台配置：</w:t>
            </w:r>
          </w:p>
          <w:p w14:paraId="5F5E8FF2">
            <w:pPr>
              <w:snapToGrid w:val="0"/>
              <w:spacing w:line="300" w:lineRule="exact"/>
              <w:rPr>
                <w:rFonts w:ascii="宋体" w:hAnsi="宋体" w:cs="宋体"/>
                <w:sz w:val="24"/>
                <w:szCs w:val="24"/>
              </w:rPr>
            </w:pPr>
            <w:r>
              <w:rPr>
                <w:rFonts w:hint="eastAsia" w:ascii="宋体" w:hAnsi="宋体" w:cs="宋体"/>
                <w:sz w:val="24"/>
                <w:szCs w:val="24"/>
              </w:rPr>
              <w:t>监护仪1台</w:t>
            </w:r>
          </w:p>
          <w:p w14:paraId="2F2F35F5">
            <w:pPr>
              <w:snapToGrid w:val="0"/>
              <w:spacing w:line="300" w:lineRule="exact"/>
              <w:rPr>
                <w:rFonts w:ascii="宋体" w:hAnsi="宋体" w:cs="宋体"/>
                <w:sz w:val="24"/>
                <w:szCs w:val="24"/>
              </w:rPr>
            </w:pPr>
            <w:r>
              <w:rPr>
                <w:rFonts w:hint="eastAsia" w:ascii="宋体" w:hAnsi="宋体" w:cs="宋体"/>
                <w:sz w:val="24"/>
                <w:szCs w:val="24"/>
              </w:rPr>
              <w:t>转运监护模块1个</w:t>
            </w:r>
          </w:p>
          <w:p w14:paraId="10D6BC17">
            <w:pPr>
              <w:snapToGrid w:val="0"/>
              <w:spacing w:line="300" w:lineRule="exact"/>
              <w:rPr>
                <w:rFonts w:ascii="宋体" w:hAnsi="宋体" w:cs="宋体"/>
                <w:sz w:val="24"/>
                <w:szCs w:val="24"/>
              </w:rPr>
            </w:pPr>
            <w:r>
              <w:rPr>
                <w:rFonts w:hint="eastAsia" w:ascii="宋体" w:hAnsi="宋体" w:cs="宋体"/>
                <w:sz w:val="24"/>
                <w:szCs w:val="24"/>
              </w:rPr>
              <w:t>BIS监测模块1个</w:t>
            </w:r>
          </w:p>
          <w:p w14:paraId="654C25DD">
            <w:pPr>
              <w:snapToGrid w:val="0"/>
              <w:spacing w:line="300" w:lineRule="exact"/>
              <w:rPr>
                <w:rFonts w:ascii="宋体" w:hAnsi="宋体" w:cs="宋体"/>
                <w:sz w:val="24"/>
                <w:szCs w:val="24"/>
              </w:rPr>
            </w:pPr>
            <w:r>
              <w:rPr>
                <w:rFonts w:hint="eastAsia" w:ascii="宋体" w:hAnsi="宋体" w:cs="宋体"/>
                <w:sz w:val="24"/>
                <w:szCs w:val="24"/>
              </w:rPr>
              <w:t>NMT监测模块1个</w:t>
            </w:r>
          </w:p>
          <w:p w14:paraId="034E755B">
            <w:pPr>
              <w:snapToGrid w:val="0"/>
              <w:spacing w:line="300" w:lineRule="exact"/>
              <w:rPr>
                <w:rFonts w:ascii="宋体" w:hAnsi="宋体" w:cs="宋体"/>
                <w:sz w:val="24"/>
                <w:szCs w:val="24"/>
              </w:rPr>
            </w:pPr>
            <w:r>
              <w:rPr>
                <w:rFonts w:hint="eastAsia" w:ascii="宋体" w:hAnsi="宋体" w:cs="宋体"/>
                <w:sz w:val="24"/>
                <w:szCs w:val="24"/>
              </w:rPr>
              <w:t>心电导联线4套</w:t>
            </w:r>
          </w:p>
          <w:p w14:paraId="2D0E6D50">
            <w:pPr>
              <w:snapToGrid w:val="0"/>
              <w:spacing w:line="300" w:lineRule="exact"/>
              <w:rPr>
                <w:rFonts w:ascii="宋体" w:hAnsi="宋体" w:cs="宋体"/>
                <w:sz w:val="24"/>
                <w:szCs w:val="24"/>
              </w:rPr>
            </w:pPr>
            <w:r>
              <w:rPr>
                <w:rFonts w:hint="eastAsia" w:ascii="宋体" w:hAnsi="宋体" w:cs="宋体"/>
                <w:sz w:val="24"/>
                <w:szCs w:val="24"/>
              </w:rPr>
              <w:t>血压导联线及袖带4套</w:t>
            </w:r>
          </w:p>
          <w:p w14:paraId="62C63CC4">
            <w:pPr>
              <w:snapToGrid w:val="0"/>
              <w:spacing w:line="300" w:lineRule="exact"/>
              <w:rPr>
                <w:rFonts w:ascii="宋体" w:hAnsi="宋体" w:cs="宋体"/>
                <w:sz w:val="24"/>
                <w:szCs w:val="24"/>
              </w:rPr>
            </w:pPr>
            <w:r>
              <w:rPr>
                <w:rFonts w:hint="eastAsia" w:ascii="宋体" w:hAnsi="宋体" w:cs="宋体"/>
                <w:sz w:val="24"/>
                <w:szCs w:val="24"/>
              </w:rPr>
              <w:t>血氧导联线4套</w:t>
            </w:r>
          </w:p>
          <w:p w14:paraId="36A77487">
            <w:pPr>
              <w:snapToGrid w:val="0"/>
              <w:spacing w:line="300" w:lineRule="exact"/>
              <w:rPr>
                <w:rFonts w:ascii="宋体" w:hAnsi="宋体" w:cs="宋体"/>
                <w:sz w:val="24"/>
                <w:szCs w:val="24"/>
              </w:rPr>
            </w:pPr>
            <w:r>
              <w:rPr>
                <w:rFonts w:hint="eastAsia" w:ascii="宋体" w:hAnsi="宋体" w:cs="宋体"/>
                <w:sz w:val="24"/>
                <w:szCs w:val="24"/>
              </w:rPr>
              <w:t>BIS导联线及患者端4套</w:t>
            </w:r>
          </w:p>
          <w:p w14:paraId="1A467D41">
            <w:pPr>
              <w:snapToGrid w:val="0"/>
              <w:spacing w:line="300" w:lineRule="exact"/>
              <w:rPr>
                <w:rFonts w:ascii="宋体" w:hAnsi="宋体" w:cs="宋体"/>
                <w:sz w:val="24"/>
                <w:szCs w:val="24"/>
              </w:rPr>
            </w:pPr>
            <w:r>
              <w:rPr>
                <w:rFonts w:hint="eastAsia" w:ascii="宋体" w:hAnsi="宋体" w:cs="宋体"/>
                <w:sz w:val="24"/>
                <w:szCs w:val="24"/>
              </w:rPr>
              <w:t>NMT导联线及患者端4套</w:t>
            </w:r>
          </w:p>
          <w:p w14:paraId="7508870A">
            <w:pPr>
              <w:snapToGrid w:val="0"/>
              <w:spacing w:line="300" w:lineRule="exact"/>
              <w:jc w:val="left"/>
              <w:rPr>
                <w:rFonts w:ascii="宋体" w:hAnsi="宋体" w:cs="宋体"/>
                <w:b/>
                <w:bCs/>
                <w:sz w:val="24"/>
                <w:szCs w:val="24"/>
              </w:rPr>
            </w:pPr>
            <w:r>
              <w:rPr>
                <w:rFonts w:hint="eastAsia" w:ascii="宋体" w:hAnsi="宋体" w:cs="宋体"/>
                <w:sz w:val="24"/>
                <w:szCs w:val="24"/>
              </w:rPr>
              <w:t>体温导联线及患者端4套</w:t>
            </w:r>
          </w:p>
        </w:tc>
      </w:tr>
    </w:tbl>
    <w:p w14:paraId="1AC5A14F">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第三包：</w:t>
      </w:r>
    </w:p>
    <w:p w14:paraId="02E66605">
      <w:pPr>
        <w:pStyle w:val="25"/>
        <w:spacing w:line="360" w:lineRule="auto"/>
        <w:ind w:firstLine="480" w:firstLineChars="200"/>
        <w:jc w:val="both"/>
        <w:rPr>
          <w:rFonts w:ascii="Times New Roman" w:hAnsi="Times New Roman" w:eastAsia="宋体" w:cs="Times New Roman"/>
          <w:color w:val="auto"/>
        </w:rPr>
      </w:pPr>
      <w:r>
        <w:rPr>
          <w:rFonts w:hint="eastAsia"/>
          <w:color w:val="auto"/>
        </w:rPr>
        <w:t>★</w:t>
      </w:r>
      <w:r>
        <w:rPr>
          <w:rFonts w:hint="eastAsia" w:ascii="Times New Roman" w:hAnsi="Times New Roman" w:eastAsia="宋体" w:cs="Times New Roman"/>
          <w:color w:val="auto"/>
        </w:rPr>
        <w:t>1. 投标产品实质性要求</w:t>
      </w:r>
    </w:p>
    <w:p w14:paraId="31D8BFD8">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所投产品须按照《医疗器械注册与备案管理办法》（国家市场监督管理总局令第47号）的规定，提供医疗器械备案证明材料或医疗器械注册证扫描件。</w:t>
      </w:r>
    </w:p>
    <w:p w14:paraId="0E131D91">
      <w:pPr>
        <w:spacing w:line="360" w:lineRule="auto"/>
        <w:ind w:firstLine="480" w:firstLineChars="200"/>
        <w:outlineLvl w:val="0"/>
        <w:rPr>
          <w:sz w:val="24"/>
        </w:rPr>
      </w:pPr>
      <w:r>
        <w:rPr>
          <w:rFonts w:hint="eastAsia"/>
          <w:sz w:val="24"/>
        </w:rPr>
        <w:t>2. 技术参数</w:t>
      </w:r>
    </w:p>
    <w:tbl>
      <w:tblPr>
        <w:tblStyle w:val="18"/>
        <w:tblW w:w="568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2"/>
        <w:gridCol w:w="1365"/>
        <w:gridCol w:w="756"/>
        <w:gridCol w:w="851"/>
        <w:gridCol w:w="5882"/>
      </w:tblGrid>
      <w:tr w14:paraId="55F905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434" w:type="pct"/>
            <w:tcBorders>
              <w:top w:val="single" w:color="auto" w:sz="4" w:space="0"/>
              <w:left w:val="single" w:color="auto" w:sz="4" w:space="0"/>
              <w:bottom w:val="single" w:color="auto" w:sz="4" w:space="0"/>
              <w:right w:val="single" w:color="auto" w:sz="4" w:space="0"/>
            </w:tcBorders>
            <w:vAlign w:val="center"/>
          </w:tcPr>
          <w:p w14:paraId="23C9D536">
            <w:pPr>
              <w:widowControl/>
              <w:jc w:val="center"/>
              <w:rPr>
                <w:rFonts w:cs="宋体"/>
                <w:kern w:val="0"/>
                <w:sz w:val="24"/>
                <w:szCs w:val="24"/>
              </w:rPr>
            </w:pPr>
            <w:r>
              <w:rPr>
                <w:rFonts w:hint="eastAsia" w:cs="宋体"/>
                <w:kern w:val="0"/>
                <w:sz w:val="24"/>
              </w:rPr>
              <w:t>序号</w:t>
            </w:r>
          </w:p>
        </w:tc>
        <w:tc>
          <w:tcPr>
            <w:tcW w:w="704" w:type="pct"/>
            <w:tcBorders>
              <w:top w:val="single" w:color="auto" w:sz="4" w:space="0"/>
              <w:left w:val="single" w:color="auto" w:sz="4" w:space="0"/>
              <w:bottom w:val="single" w:color="auto" w:sz="4" w:space="0"/>
              <w:right w:val="single" w:color="auto" w:sz="4" w:space="0"/>
            </w:tcBorders>
            <w:vAlign w:val="center"/>
          </w:tcPr>
          <w:p w14:paraId="6ED2032E">
            <w:pPr>
              <w:widowControl/>
              <w:jc w:val="center"/>
              <w:rPr>
                <w:rFonts w:cs="宋体"/>
                <w:kern w:val="0"/>
                <w:sz w:val="24"/>
                <w:szCs w:val="24"/>
              </w:rPr>
            </w:pPr>
            <w:r>
              <w:rPr>
                <w:rFonts w:hint="eastAsia" w:cs="宋体"/>
                <w:kern w:val="0"/>
                <w:sz w:val="24"/>
              </w:rPr>
              <w:t>标的名称</w:t>
            </w:r>
          </w:p>
        </w:tc>
        <w:tc>
          <w:tcPr>
            <w:tcW w:w="390" w:type="pct"/>
            <w:tcBorders>
              <w:top w:val="single" w:color="auto" w:sz="4" w:space="0"/>
              <w:left w:val="single" w:color="auto" w:sz="4" w:space="0"/>
              <w:bottom w:val="single" w:color="auto" w:sz="4" w:space="0"/>
              <w:right w:val="single" w:color="auto" w:sz="4" w:space="0"/>
            </w:tcBorders>
            <w:vAlign w:val="center"/>
          </w:tcPr>
          <w:p w14:paraId="4EAF3BD2">
            <w:pPr>
              <w:widowControl/>
              <w:jc w:val="center"/>
              <w:rPr>
                <w:rFonts w:cs="宋体"/>
                <w:kern w:val="0"/>
                <w:sz w:val="24"/>
                <w:szCs w:val="24"/>
              </w:rPr>
            </w:pPr>
            <w:r>
              <w:rPr>
                <w:rFonts w:cs="宋体"/>
                <w:kern w:val="0"/>
                <w:sz w:val="24"/>
                <w:szCs w:val="24"/>
              </w:rPr>
              <w:t>单位</w:t>
            </w:r>
          </w:p>
        </w:tc>
        <w:tc>
          <w:tcPr>
            <w:tcW w:w="439" w:type="pct"/>
            <w:tcBorders>
              <w:top w:val="single" w:color="auto" w:sz="4" w:space="0"/>
              <w:left w:val="single" w:color="auto" w:sz="4" w:space="0"/>
              <w:bottom w:val="single" w:color="auto" w:sz="4" w:space="0"/>
              <w:right w:val="single" w:color="auto" w:sz="4" w:space="0"/>
            </w:tcBorders>
            <w:vAlign w:val="center"/>
          </w:tcPr>
          <w:p w14:paraId="4A98F088">
            <w:pPr>
              <w:widowControl/>
              <w:jc w:val="center"/>
              <w:rPr>
                <w:rFonts w:cs="宋体"/>
                <w:kern w:val="0"/>
                <w:sz w:val="24"/>
              </w:rPr>
            </w:pPr>
            <w:r>
              <w:rPr>
                <w:rFonts w:hint="eastAsia" w:cs="宋体"/>
                <w:kern w:val="0"/>
                <w:sz w:val="24"/>
              </w:rPr>
              <w:t>数量</w:t>
            </w:r>
          </w:p>
        </w:tc>
        <w:tc>
          <w:tcPr>
            <w:tcW w:w="3033" w:type="pct"/>
            <w:tcBorders>
              <w:top w:val="single" w:color="auto" w:sz="4" w:space="0"/>
              <w:left w:val="single" w:color="auto" w:sz="4" w:space="0"/>
              <w:bottom w:val="single" w:color="auto" w:sz="4" w:space="0"/>
              <w:right w:val="single" w:color="auto" w:sz="4" w:space="0"/>
            </w:tcBorders>
            <w:vAlign w:val="center"/>
          </w:tcPr>
          <w:p w14:paraId="37FA0884">
            <w:pPr>
              <w:widowControl/>
              <w:jc w:val="center"/>
              <w:rPr>
                <w:rFonts w:cs="宋体"/>
                <w:kern w:val="0"/>
                <w:sz w:val="24"/>
                <w:szCs w:val="24"/>
              </w:rPr>
            </w:pPr>
            <w:r>
              <w:rPr>
                <w:rFonts w:hint="eastAsia" w:cs="宋体"/>
                <w:kern w:val="0"/>
                <w:sz w:val="24"/>
              </w:rPr>
              <w:t>需求条款</w:t>
            </w:r>
          </w:p>
        </w:tc>
      </w:tr>
      <w:tr w14:paraId="6BC388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tcBorders>
              <w:top w:val="single" w:color="auto" w:sz="4" w:space="0"/>
              <w:left w:val="single" w:color="auto" w:sz="4" w:space="0"/>
              <w:bottom w:val="single" w:color="auto" w:sz="4" w:space="0"/>
              <w:right w:val="single" w:color="auto" w:sz="4" w:space="0"/>
            </w:tcBorders>
            <w:vAlign w:val="center"/>
          </w:tcPr>
          <w:p w14:paraId="527DA16C">
            <w:pPr>
              <w:snapToGrid w:val="0"/>
              <w:spacing w:line="360" w:lineRule="auto"/>
              <w:jc w:val="center"/>
              <w:rPr>
                <w:rFonts w:ascii="宋体" w:hAnsi="宋体" w:cs="宋体"/>
                <w:sz w:val="24"/>
                <w:szCs w:val="24"/>
              </w:rPr>
            </w:pPr>
            <w:r>
              <w:rPr>
                <w:rFonts w:hint="eastAsia" w:ascii="宋体" w:hAnsi="宋体" w:cs="宋体"/>
                <w:sz w:val="24"/>
                <w:szCs w:val="24"/>
              </w:rPr>
              <w:t>1</w:t>
            </w:r>
          </w:p>
        </w:tc>
        <w:tc>
          <w:tcPr>
            <w:tcW w:w="704" w:type="pct"/>
            <w:tcBorders>
              <w:top w:val="single" w:color="auto" w:sz="4" w:space="0"/>
              <w:left w:val="single" w:color="auto" w:sz="4" w:space="0"/>
              <w:bottom w:val="single" w:color="auto" w:sz="4" w:space="0"/>
              <w:right w:val="single" w:color="auto" w:sz="4" w:space="0"/>
            </w:tcBorders>
            <w:vAlign w:val="center"/>
          </w:tcPr>
          <w:p w14:paraId="6B473B30">
            <w:pPr>
              <w:snapToGrid w:val="0"/>
              <w:spacing w:line="360" w:lineRule="auto"/>
              <w:jc w:val="center"/>
              <w:rPr>
                <w:rFonts w:ascii="宋体" w:hAnsi="宋体" w:cs="宋体"/>
                <w:sz w:val="24"/>
                <w:szCs w:val="24"/>
              </w:rPr>
            </w:pPr>
            <w:r>
              <w:rPr>
                <w:rFonts w:hint="eastAsia"/>
                <w:sz w:val="24"/>
              </w:rPr>
              <w:t>▲</w:t>
            </w:r>
            <w:r>
              <w:rPr>
                <w:rFonts w:hint="eastAsia" w:ascii="宋体" w:hAnsi="宋体" w:cs="宋体"/>
                <w:sz w:val="24"/>
                <w:szCs w:val="24"/>
              </w:rPr>
              <w:t>麻醉机</w:t>
            </w:r>
          </w:p>
        </w:tc>
        <w:tc>
          <w:tcPr>
            <w:tcW w:w="390" w:type="pct"/>
            <w:tcBorders>
              <w:top w:val="single" w:color="auto" w:sz="4" w:space="0"/>
              <w:left w:val="single" w:color="auto" w:sz="4" w:space="0"/>
              <w:bottom w:val="single" w:color="auto" w:sz="4" w:space="0"/>
              <w:right w:val="single" w:color="auto" w:sz="4" w:space="0"/>
            </w:tcBorders>
            <w:vAlign w:val="center"/>
          </w:tcPr>
          <w:p w14:paraId="216661E6">
            <w:pPr>
              <w:jc w:val="center"/>
              <w:rPr>
                <w:rFonts w:cs="宋体"/>
                <w:color w:val="000000"/>
                <w:kern w:val="0"/>
                <w:sz w:val="24"/>
                <w:szCs w:val="21"/>
              </w:rPr>
            </w:pPr>
            <w:r>
              <w:rPr>
                <w:rFonts w:cs="宋体"/>
                <w:color w:val="000000"/>
                <w:kern w:val="0"/>
                <w:sz w:val="24"/>
                <w:szCs w:val="21"/>
              </w:rPr>
              <w:t>台</w:t>
            </w:r>
          </w:p>
        </w:tc>
        <w:tc>
          <w:tcPr>
            <w:tcW w:w="439" w:type="pct"/>
            <w:tcBorders>
              <w:top w:val="single" w:color="auto" w:sz="4" w:space="0"/>
              <w:left w:val="single" w:color="auto" w:sz="4" w:space="0"/>
              <w:bottom w:val="single" w:color="auto" w:sz="4" w:space="0"/>
              <w:right w:val="single" w:color="auto" w:sz="4" w:space="0"/>
            </w:tcBorders>
            <w:vAlign w:val="center"/>
          </w:tcPr>
          <w:p w14:paraId="0EF7C111">
            <w:pPr>
              <w:jc w:val="center"/>
              <w:rPr>
                <w:sz w:val="24"/>
                <w:szCs w:val="21"/>
              </w:rPr>
            </w:pPr>
            <w:r>
              <w:rPr>
                <w:rFonts w:hint="eastAsia"/>
                <w:sz w:val="24"/>
                <w:szCs w:val="21"/>
              </w:rPr>
              <w:t>1</w:t>
            </w:r>
          </w:p>
        </w:tc>
        <w:tc>
          <w:tcPr>
            <w:tcW w:w="3033" w:type="pct"/>
            <w:tcBorders>
              <w:top w:val="single" w:color="auto" w:sz="4" w:space="0"/>
              <w:left w:val="single" w:color="auto" w:sz="4" w:space="0"/>
              <w:bottom w:val="single" w:color="auto" w:sz="4" w:space="0"/>
              <w:right w:val="single" w:color="auto" w:sz="4" w:space="0"/>
            </w:tcBorders>
          </w:tcPr>
          <w:p w14:paraId="31FDF37C">
            <w:pPr>
              <w:snapToGrid w:val="0"/>
              <w:spacing w:line="300" w:lineRule="exact"/>
              <w:jc w:val="left"/>
              <w:rPr>
                <w:rFonts w:ascii="宋体" w:hAnsi="宋体" w:cs="宋体"/>
                <w:color w:val="000000"/>
                <w:sz w:val="24"/>
                <w:szCs w:val="24"/>
              </w:rPr>
            </w:pPr>
            <w:r>
              <w:rPr>
                <w:rFonts w:hint="eastAsia" w:ascii="宋体" w:hAnsi="宋体" w:cs="宋体"/>
                <w:color w:val="000000"/>
                <w:sz w:val="24"/>
                <w:szCs w:val="24"/>
              </w:rPr>
              <w:t>一、产品用途：用于维持患者呼吸功能，保障术中生命体征稳定及辅助麻醉药物精准管理等</w:t>
            </w:r>
          </w:p>
          <w:p w14:paraId="26423146">
            <w:pPr>
              <w:snapToGrid w:val="0"/>
              <w:spacing w:line="300" w:lineRule="exact"/>
              <w:jc w:val="left"/>
              <w:rPr>
                <w:rFonts w:ascii="宋体" w:hAnsi="宋体" w:cs="宋体"/>
                <w:color w:val="000000"/>
                <w:sz w:val="24"/>
                <w:szCs w:val="24"/>
              </w:rPr>
            </w:pPr>
            <w:r>
              <w:rPr>
                <w:rFonts w:hint="eastAsia" w:ascii="宋体" w:hAnsi="宋体" w:cs="宋体"/>
                <w:color w:val="000000"/>
                <w:sz w:val="24"/>
                <w:szCs w:val="24"/>
              </w:rPr>
              <w:t>二、技术参数</w:t>
            </w:r>
            <w:r>
              <w:rPr>
                <w:rFonts w:hint="eastAsia" w:ascii="宋体" w:hAnsi="宋体" w:cs="宋体"/>
                <w:color w:val="000000"/>
                <w:sz w:val="24"/>
                <w:szCs w:val="24"/>
              </w:rPr>
              <w:tab/>
            </w:r>
          </w:p>
          <w:p w14:paraId="3B6BF505">
            <w:pPr>
              <w:snapToGrid w:val="0"/>
              <w:spacing w:line="300" w:lineRule="exact"/>
              <w:jc w:val="left"/>
              <w:rPr>
                <w:rFonts w:ascii="宋体" w:hAnsi="宋体" w:cs="宋体"/>
                <w:color w:val="000000"/>
                <w:sz w:val="24"/>
                <w:szCs w:val="24"/>
              </w:rPr>
            </w:pPr>
            <w:r>
              <w:rPr>
                <w:rFonts w:hint="eastAsia" w:ascii="宋体" w:hAnsi="宋体" w:cs="宋体"/>
                <w:color w:val="000000"/>
                <w:sz w:val="24"/>
                <w:szCs w:val="24"/>
              </w:rPr>
              <w:t>1.蒸发器高亮度LED数码显示数据</w:t>
            </w:r>
          </w:p>
          <w:p w14:paraId="59985B4B">
            <w:pPr>
              <w:snapToGrid w:val="0"/>
              <w:spacing w:line="300" w:lineRule="exact"/>
              <w:jc w:val="left"/>
              <w:rPr>
                <w:rFonts w:ascii="宋体" w:hAnsi="宋体" w:cs="宋体"/>
                <w:color w:val="000000"/>
                <w:sz w:val="24"/>
                <w:szCs w:val="24"/>
              </w:rPr>
            </w:pPr>
            <w:r>
              <w:rPr>
                <w:rFonts w:hint="eastAsia" w:ascii="宋体" w:hAnsi="宋体" w:cs="宋体"/>
                <w:color w:val="000000"/>
                <w:sz w:val="24"/>
                <w:szCs w:val="24"/>
              </w:rPr>
              <w:t>★2.停电支持功能，交流电断电时，自动转换为备用电</w:t>
            </w:r>
          </w:p>
          <w:p w14:paraId="63082F5D">
            <w:pPr>
              <w:snapToGrid w:val="0"/>
              <w:spacing w:line="300" w:lineRule="exact"/>
              <w:jc w:val="left"/>
              <w:rPr>
                <w:rFonts w:ascii="宋体" w:hAnsi="宋体" w:cs="宋体"/>
                <w:color w:val="000000"/>
                <w:sz w:val="24"/>
                <w:szCs w:val="24"/>
              </w:rPr>
            </w:pPr>
            <w:r>
              <w:rPr>
                <w:rFonts w:hint="eastAsia" w:ascii="宋体" w:hAnsi="宋体" w:cs="宋体"/>
                <w:color w:val="000000"/>
                <w:sz w:val="24"/>
                <w:szCs w:val="24"/>
              </w:rPr>
              <w:t>3.气源压力：0.32MPa≤气源压力≤0.6MPa快速供氧范围：25L/min≤快速供氧范围≤75L/min</w:t>
            </w:r>
          </w:p>
          <w:p w14:paraId="17B07CD7">
            <w:pPr>
              <w:snapToGrid w:val="0"/>
              <w:spacing w:line="300" w:lineRule="exact"/>
              <w:jc w:val="left"/>
              <w:rPr>
                <w:rFonts w:ascii="宋体" w:hAnsi="宋体" w:cs="宋体"/>
                <w:color w:val="000000"/>
                <w:sz w:val="24"/>
                <w:szCs w:val="24"/>
              </w:rPr>
            </w:pPr>
            <w:r>
              <w:rPr>
                <w:rFonts w:hint="eastAsia" w:ascii="宋体" w:hAnsi="宋体" w:cs="宋体"/>
                <w:color w:val="000000"/>
                <w:sz w:val="24"/>
                <w:szCs w:val="24"/>
              </w:rPr>
              <w:t>★4.同步麻醉呼吸机，气动电控、时间切换潮气量、呼吸频率、呼吸比等多种参数显示</w:t>
            </w:r>
          </w:p>
          <w:p w14:paraId="3F39AE49">
            <w:pPr>
              <w:snapToGrid w:val="0"/>
              <w:spacing w:line="300" w:lineRule="exact"/>
              <w:jc w:val="left"/>
              <w:rPr>
                <w:rFonts w:ascii="宋体" w:hAnsi="宋体" w:cs="宋体"/>
                <w:color w:val="000000"/>
                <w:sz w:val="24"/>
                <w:szCs w:val="24"/>
              </w:rPr>
            </w:pPr>
            <w:r>
              <w:rPr>
                <w:rFonts w:hint="eastAsia" w:ascii="宋体" w:hAnsi="宋体" w:cs="宋体"/>
                <w:color w:val="000000"/>
                <w:sz w:val="24"/>
                <w:szCs w:val="24"/>
              </w:rPr>
              <w:t>5.通气模式：通气模式：辅助/控制、手动等模式 张气触发压调节范围：-0.5kPg≤张气触发压调节范围≤-2.0kPg"</w:t>
            </w:r>
          </w:p>
          <w:p w14:paraId="22CE888A">
            <w:pPr>
              <w:snapToGrid w:val="0"/>
              <w:spacing w:line="300" w:lineRule="exact"/>
              <w:jc w:val="left"/>
              <w:rPr>
                <w:rFonts w:ascii="宋体" w:hAnsi="宋体" w:cs="宋体"/>
                <w:color w:val="000000"/>
                <w:sz w:val="24"/>
                <w:szCs w:val="24"/>
              </w:rPr>
            </w:pPr>
            <w:r>
              <w:rPr>
                <w:rFonts w:hint="eastAsia" w:ascii="宋体" w:hAnsi="宋体" w:cs="宋体"/>
                <w:color w:val="000000"/>
                <w:sz w:val="24"/>
                <w:szCs w:val="24"/>
              </w:rPr>
              <w:t>6.监测参数：潮气量、呼频率、气道压力、吸呼比报警功能：具有声光报警：通气量上限报警气道压力上下限报警：电源放障报警</w:t>
            </w:r>
          </w:p>
        </w:tc>
      </w:tr>
    </w:tbl>
    <w:p w14:paraId="2CEF4A3A">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第四包：</w:t>
      </w:r>
    </w:p>
    <w:p w14:paraId="1B4F7A98">
      <w:pPr>
        <w:pStyle w:val="25"/>
        <w:spacing w:line="360" w:lineRule="auto"/>
        <w:ind w:firstLine="480" w:firstLineChars="200"/>
        <w:jc w:val="both"/>
        <w:rPr>
          <w:rFonts w:ascii="Times New Roman" w:hAnsi="Times New Roman" w:eastAsia="宋体" w:cs="Times New Roman"/>
          <w:color w:val="auto"/>
        </w:rPr>
      </w:pPr>
      <w:r>
        <w:rPr>
          <w:rFonts w:hint="eastAsia"/>
          <w:color w:val="auto"/>
        </w:rPr>
        <w:t>★</w:t>
      </w:r>
      <w:r>
        <w:rPr>
          <w:rFonts w:hint="eastAsia" w:ascii="Times New Roman" w:hAnsi="Times New Roman" w:eastAsia="宋体" w:cs="Times New Roman"/>
          <w:color w:val="auto"/>
        </w:rPr>
        <w:t>1. 投标产品实质性要求</w:t>
      </w:r>
    </w:p>
    <w:p w14:paraId="00FD1A35">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所投全部产品须按照《医疗器械注册与备案管理办法》（国家市场监督管理总局令第47号）的规定，提供医疗器械备案证明材料或医疗器械注册证扫描件。</w:t>
      </w:r>
    </w:p>
    <w:p w14:paraId="303F8D0B">
      <w:pPr>
        <w:spacing w:line="360" w:lineRule="auto"/>
        <w:ind w:firstLine="480" w:firstLineChars="200"/>
        <w:outlineLvl w:val="0"/>
        <w:rPr>
          <w:sz w:val="24"/>
        </w:rPr>
      </w:pPr>
      <w:r>
        <w:rPr>
          <w:rFonts w:hint="eastAsia"/>
          <w:sz w:val="24"/>
        </w:rPr>
        <w:t>2. 技术参数</w:t>
      </w:r>
    </w:p>
    <w:tbl>
      <w:tblPr>
        <w:tblStyle w:val="18"/>
        <w:tblW w:w="568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2"/>
        <w:gridCol w:w="1365"/>
        <w:gridCol w:w="756"/>
        <w:gridCol w:w="851"/>
        <w:gridCol w:w="5882"/>
      </w:tblGrid>
      <w:tr w14:paraId="1A7D6C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434" w:type="pct"/>
            <w:tcBorders>
              <w:top w:val="single" w:color="auto" w:sz="4" w:space="0"/>
              <w:left w:val="single" w:color="auto" w:sz="4" w:space="0"/>
              <w:bottom w:val="single" w:color="auto" w:sz="4" w:space="0"/>
              <w:right w:val="single" w:color="auto" w:sz="4" w:space="0"/>
            </w:tcBorders>
            <w:vAlign w:val="center"/>
          </w:tcPr>
          <w:p w14:paraId="71398A01">
            <w:pPr>
              <w:widowControl/>
              <w:jc w:val="center"/>
              <w:rPr>
                <w:rFonts w:cs="宋体"/>
                <w:kern w:val="0"/>
                <w:sz w:val="24"/>
                <w:szCs w:val="24"/>
              </w:rPr>
            </w:pPr>
            <w:r>
              <w:rPr>
                <w:rFonts w:hint="eastAsia" w:cs="宋体"/>
                <w:kern w:val="0"/>
                <w:sz w:val="24"/>
              </w:rPr>
              <w:t>序号</w:t>
            </w:r>
          </w:p>
        </w:tc>
        <w:tc>
          <w:tcPr>
            <w:tcW w:w="704" w:type="pct"/>
            <w:tcBorders>
              <w:top w:val="single" w:color="auto" w:sz="4" w:space="0"/>
              <w:left w:val="single" w:color="auto" w:sz="4" w:space="0"/>
              <w:bottom w:val="single" w:color="auto" w:sz="4" w:space="0"/>
              <w:right w:val="single" w:color="auto" w:sz="4" w:space="0"/>
            </w:tcBorders>
            <w:vAlign w:val="center"/>
          </w:tcPr>
          <w:p w14:paraId="0BF87EAD">
            <w:pPr>
              <w:widowControl/>
              <w:jc w:val="center"/>
              <w:rPr>
                <w:rFonts w:cs="宋体"/>
                <w:kern w:val="0"/>
                <w:sz w:val="24"/>
                <w:szCs w:val="24"/>
              </w:rPr>
            </w:pPr>
            <w:r>
              <w:rPr>
                <w:rFonts w:hint="eastAsia" w:cs="宋体"/>
                <w:kern w:val="0"/>
                <w:sz w:val="24"/>
              </w:rPr>
              <w:t>标的名称</w:t>
            </w:r>
          </w:p>
        </w:tc>
        <w:tc>
          <w:tcPr>
            <w:tcW w:w="390" w:type="pct"/>
            <w:tcBorders>
              <w:top w:val="single" w:color="auto" w:sz="4" w:space="0"/>
              <w:left w:val="single" w:color="auto" w:sz="4" w:space="0"/>
              <w:bottom w:val="single" w:color="auto" w:sz="4" w:space="0"/>
              <w:right w:val="single" w:color="auto" w:sz="4" w:space="0"/>
            </w:tcBorders>
            <w:vAlign w:val="center"/>
          </w:tcPr>
          <w:p w14:paraId="3E724B2A">
            <w:pPr>
              <w:widowControl/>
              <w:jc w:val="center"/>
              <w:rPr>
                <w:rFonts w:cs="宋体"/>
                <w:kern w:val="0"/>
                <w:sz w:val="24"/>
                <w:szCs w:val="24"/>
              </w:rPr>
            </w:pPr>
            <w:r>
              <w:rPr>
                <w:rFonts w:cs="宋体"/>
                <w:kern w:val="0"/>
                <w:sz w:val="24"/>
                <w:szCs w:val="24"/>
              </w:rPr>
              <w:t>单位</w:t>
            </w:r>
          </w:p>
        </w:tc>
        <w:tc>
          <w:tcPr>
            <w:tcW w:w="439" w:type="pct"/>
            <w:tcBorders>
              <w:top w:val="single" w:color="auto" w:sz="4" w:space="0"/>
              <w:left w:val="single" w:color="auto" w:sz="4" w:space="0"/>
              <w:bottom w:val="single" w:color="auto" w:sz="4" w:space="0"/>
              <w:right w:val="single" w:color="auto" w:sz="4" w:space="0"/>
            </w:tcBorders>
            <w:vAlign w:val="center"/>
          </w:tcPr>
          <w:p w14:paraId="324EAFF9">
            <w:pPr>
              <w:widowControl/>
              <w:jc w:val="center"/>
              <w:rPr>
                <w:rFonts w:cs="宋体"/>
                <w:kern w:val="0"/>
                <w:sz w:val="24"/>
              </w:rPr>
            </w:pPr>
            <w:r>
              <w:rPr>
                <w:rFonts w:hint="eastAsia" w:cs="宋体"/>
                <w:kern w:val="0"/>
                <w:sz w:val="24"/>
              </w:rPr>
              <w:t>数量</w:t>
            </w:r>
          </w:p>
        </w:tc>
        <w:tc>
          <w:tcPr>
            <w:tcW w:w="3033" w:type="pct"/>
            <w:tcBorders>
              <w:top w:val="single" w:color="auto" w:sz="4" w:space="0"/>
              <w:left w:val="single" w:color="auto" w:sz="4" w:space="0"/>
              <w:bottom w:val="single" w:color="auto" w:sz="4" w:space="0"/>
              <w:right w:val="single" w:color="auto" w:sz="4" w:space="0"/>
            </w:tcBorders>
            <w:vAlign w:val="center"/>
          </w:tcPr>
          <w:p w14:paraId="6520DD6D">
            <w:pPr>
              <w:widowControl/>
              <w:spacing w:line="300" w:lineRule="exact"/>
              <w:jc w:val="center"/>
              <w:rPr>
                <w:rFonts w:cs="宋体"/>
                <w:kern w:val="0"/>
                <w:sz w:val="24"/>
                <w:szCs w:val="24"/>
              </w:rPr>
            </w:pPr>
            <w:r>
              <w:rPr>
                <w:rFonts w:hint="eastAsia" w:cs="宋体"/>
                <w:kern w:val="0"/>
                <w:sz w:val="24"/>
              </w:rPr>
              <w:t>需求条款</w:t>
            </w:r>
          </w:p>
        </w:tc>
      </w:tr>
      <w:tr w14:paraId="64701A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tcBorders>
              <w:top w:val="single" w:color="auto" w:sz="4" w:space="0"/>
              <w:left w:val="single" w:color="auto" w:sz="4" w:space="0"/>
              <w:bottom w:val="single" w:color="auto" w:sz="4" w:space="0"/>
              <w:right w:val="single" w:color="auto" w:sz="4" w:space="0"/>
            </w:tcBorders>
            <w:vAlign w:val="center"/>
          </w:tcPr>
          <w:p w14:paraId="41A16FF9">
            <w:pPr>
              <w:snapToGrid w:val="0"/>
              <w:spacing w:line="360" w:lineRule="auto"/>
              <w:jc w:val="center"/>
              <w:rPr>
                <w:rFonts w:ascii="宋体" w:hAnsi="宋体" w:cs="宋体"/>
                <w:sz w:val="24"/>
                <w:szCs w:val="24"/>
              </w:rPr>
            </w:pPr>
            <w:r>
              <w:rPr>
                <w:rFonts w:hint="eastAsia" w:ascii="宋体" w:hAnsi="宋体" w:cs="宋体"/>
                <w:sz w:val="24"/>
                <w:szCs w:val="24"/>
              </w:rPr>
              <w:t>1</w:t>
            </w:r>
          </w:p>
        </w:tc>
        <w:tc>
          <w:tcPr>
            <w:tcW w:w="704" w:type="pct"/>
            <w:tcBorders>
              <w:top w:val="single" w:color="auto" w:sz="4" w:space="0"/>
              <w:left w:val="single" w:color="auto" w:sz="4" w:space="0"/>
              <w:bottom w:val="single" w:color="auto" w:sz="4" w:space="0"/>
              <w:right w:val="single" w:color="auto" w:sz="4" w:space="0"/>
            </w:tcBorders>
            <w:vAlign w:val="center"/>
          </w:tcPr>
          <w:p w14:paraId="1CF17867">
            <w:pPr>
              <w:snapToGrid w:val="0"/>
              <w:spacing w:line="360" w:lineRule="auto"/>
              <w:jc w:val="center"/>
              <w:rPr>
                <w:rFonts w:ascii="宋体" w:hAnsi="宋体" w:cs="宋体"/>
                <w:sz w:val="24"/>
                <w:szCs w:val="24"/>
              </w:rPr>
            </w:pPr>
            <w:r>
              <w:rPr>
                <w:rFonts w:hint="eastAsia" w:ascii="宋体" w:hAnsi="宋体" w:cs="宋体"/>
                <w:sz w:val="24"/>
                <w:szCs w:val="24"/>
              </w:rPr>
              <w:t>麻醉机（1）</w:t>
            </w:r>
          </w:p>
        </w:tc>
        <w:tc>
          <w:tcPr>
            <w:tcW w:w="390" w:type="pct"/>
            <w:tcBorders>
              <w:top w:val="single" w:color="auto" w:sz="4" w:space="0"/>
              <w:left w:val="single" w:color="auto" w:sz="4" w:space="0"/>
              <w:bottom w:val="single" w:color="auto" w:sz="4" w:space="0"/>
              <w:right w:val="single" w:color="auto" w:sz="4" w:space="0"/>
            </w:tcBorders>
            <w:vAlign w:val="center"/>
          </w:tcPr>
          <w:p w14:paraId="7AC182F3">
            <w:pPr>
              <w:jc w:val="center"/>
              <w:rPr>
                <w:rFonts w:cs="宋体"/>
                <w:color w:val="000000"/>
                <w:kern w:val="0"/>
                <w:sz w:val="24"/>
                <w:szCs w:val="21"/>
              </w:rPr>
            </w:pPr>
            <w:r>
              <w:rPr>
                <w:rFonts w:hint="eastAsia" w:ascii="宋体" w:hAnsi="宋体" w:cs="宋体"/>
                <w:sz w:val="24"/>
                <w:szCs w:val="24"/>
              </w:rPr>
              <w:t>台</w:t>
            </w:r>
          </w:p>
        </w:tc>
        <w:tc>
          <w:tcPr>
            <w:tcW w:w="439" w:type="pct"/>
            <w:tcBorders>
              <w:top w:val="single" w:color="auto" w:sz="4" w:space="0"/>
              <w:left w:val="single" w:color="auto" w:sz="4" w:space="0"/>
              <w:bottom w:val="single" w:color="auto" w:sz="4" w:space="0"/>
              <w:right w:val="single" w:color="auto" w:sz="4" w:space="0"/>
            </w:tcBorders>
            <w:vAlign w:val="center"/>
          </w:tcPr>
          <w:p w14:paraId="50B852C6">
            <w:pPr>
              <w:snapToGrid w:val="0"/>
              <w:spacing w:line="360" w:lineRule="auto"/>
              <w:jc w:val="center"/>
              <w:rPr>
                <w:rFonts w:ascii="宋体" w:hAnsi="宋体" w:cs="宋体"/>
                <w:sz w:val="24"/>
                <w:szCs w:val="24"/>
              </w:rPr>
            </w:pPr>
            <w:r>
              <w:rPr>
                <w:rFonts w:hint="eastAsia" w:ascii="宋体" w:hAnsi="宋体" w:cs="宋体"/>
                <w:sz w:val="24"/>
                <w:szCs w:val="24"/>
              </w:rPr>
              <w:t>1</w:t>
            </w:r>
          </w:p>
        </w:tc>
        <w:tc>
          <w:tcPr>
            <w:tcW w:w="3033" w:type="pct"/>
            <w:tcBorders>
              <w:top w:val="single" w:color="auto" w:sz="4" w:space="0"/>
              <w:left w:val="single" w:color="auto" w:sz="4" w:space="0"/>
              <w:bottom w:val="single" w:color="auto" w:sz="4" w:space="0"/>
              <w:right w:val="single" w:color="auto" w:sz="4" w:space="0"/>
            </w:tcBorders>
          </w:tcPr>
          <w:p w14:paraId="4F1CED47">
            <w:pPr>
              <w:snapToGrid w:val="0"/>
              <w:spacing w:line="300" w:lineRule="exact"/>
              <w:jc w:val="left"/>
              <w:rPr>
                <w:rFonts w:ascii="宋体" w:hAnsi="宋体" w:cs="宋体"/>
                <w:color w:val="000000"/>
                <w:sz w:val="24"/>
                <w:szCs w:val="24"/>
              </w:rPr>
            </w:pPr>
            <w:r>
              <w:rPr>
                <w:rFonts w:hint="eastAsia" w:ascii="宋体" w:hAnsi="宋体" w:cs="宋体"/>
                <w:color w:val="000000"/>
                <w:sz w:val="24"/>
                <w:szCs w:val="24"/>
              </w:rPr>
              <w:t>一、产品用途：供医疗部门对患者进行吸入麻醉用，适用对象为婴幼儿、儿童和成人患者</w:t>
            </w:r>
          </w:p>
          <w:p w14:paraId="7E3B10D6">
            <w:pPr>
              <w:snapToGrid w:val="0"/>
              <w:spacing w:line="300" w:lineRule="exact"/>
              <w:jc w:val="left"/>
              <w:rPr>
                <w:rFonts w:ascii="宋体" w:hAnsi="宋体" w:cs="宋体"/>
                <w:color w:val="000000"/>
                <w:sz w:val="24"/>
                <w:szCs w:val="24"/>
              </w:rPr>
            </w:pPr>
            <w:r>
              <w:rPr>
                <w:rFonts w:hint="eastAsia" w:ascii="宋体" w:hAnsi="宋体" w:cs="宋体"/>
                <w:color w:val="000000"/>
                <w:sz w:val="24"/>
                <w:szCs w:val="24"/>
              </w:rPr>
              <w:t>二、技术参数</w:t>
            </w:r>
            <w:r>
              <w:rPr>
                <w:rFonts w:hint="eastAsia" w:ascii="宋体" w:hAnsi="宋体" w:cs="宋体"/>
                <w:color w:val="000000"/>
                <w:sz w:val="24"/>
                <w:szCs w:val="24"/>
              </w:rPr>
              <w:tab/>
            </w:r>
          </w:p>
          <w:p w14:paraId="3B5EFAA5">
            <w:pPr>
              <w:snapToGrid w:val="0"/>
              <w:spacing w:line="300" w:lineRule="exact"/>
              <w:jc w:val="left"/>
              <w:rPr>
                <w:rFonts w:ascii="宋体" w:hAnsi="宋体" w:cs="宋体"/>
                <w:color w:val="000000"/>
                <w:sz w:val="24"/>
                <w:szCs w:val="24"/>
              </w:rPr>
            </w:pPr>
            <w:r>
              <w:rPr>
                <w:rFonts w:hint="eastAsia" w:ascii="宋体" w:hAnsi="宋体" w:cs="宋体"/>
                <w:color w:val="000000"/>
                <w:sz w:val="24"/>
                <w:szCs w:val="24"/>
              </w:rPr>
              <w:t>1、标配两气源，氧气、空气</w:t>
            </w:r>
          </w:p>
          <w:p w14:paraId="27A3913A">
            <w:pPr>
              <w:snapToGrid w:val="0"/>
              <w:spacing w:line="300" w:lineRule="exact"/>
              <w:jc w:val="left"/>
              <w:rPr>
                <w:rFonts w:ascii="宋体" w:hAnsi="宋体" w:cs="宋体"/>
                <w:color w:val="000000"/>
                <w:sz w:val="24"/>
                <w:szCs w:val="24"/>
              </w:rPr>
            </w:pPr>
            <w:r>
              <w:rPr>
                <w:rFonts w:hint="eastAsia" w:ascii="宋体" w:hAnsi="宋体" w:cs="宋体"/>
                <w:color w:val="000000"/>
                <w:sz w:val="24"/>
                <w:szCs w:val="24"/>
              </w:rPr>
              <w:t>2、氧气：低压安全保护装置，在供氧压低于200Kpa时报警</w:t>
            </w:r>
          </w:p>
          <w:p w14:paraId="4872BDF2">
            <w:pPr>
              <w:snapToGrid w:val="0"/>
              <w:spacing w:line="300" w:lineRule="exact"/>
              <w:jc w:val="left"/>
              <w:rPr>
                <w:rFonts w:ascii="宋体" w:hAnsi="宋体" w:cs="宋体"/>
                <w:color w:val="000000"/>
                <w:sz w:val="24"/>
                <w:szCs w:val="24"/>
              </w:rPr>
            </w:pPr>
            <w:r>
              <w:rPr>
                <w:rFonts w:hint="eastAsia" w:ascii="宋体" w:hAnsi="宋体" w:cs="宋体"/>
                <w:color w:val="000000"/>
                <w:sz w:val="24"/>
                <w:szCs w:val="24"/>
              </w:rPr>
              <w:t>3、快速充氧范围25 - 75 L/min</w:t>
            </w:r>
          </w:p>
          <w:p w14:paraId="6907AFB7">
            <w:pPr>
              <w:snapToGrid w:val="0"/>
              <w:spacing w:line="300" w:lineRule="exact"/>
              <w:jc w:val="left"/>
              <w:rPr>
                <w:rFonts w:ascii="宋体" w:hAnsi="宋体" w:cs="宋体"/>
                <w:color w:val="000000"/>
                <w:sz w:val="24"/>
                <w:szCs w:val="24"/>
              </w:rPr>
            </w:pPr>
            <w:r>
              <w:rPr>
                <w:rFonts w:hint="eastAsia" w:ascii="宋体" w:hAnsi="宋体" w:cs="宋体"/>
                <w:color w:val="000000"/>
                <w:sz w:val="24"/>
                <w:szCs w:val="24"/>
              </w:rPr>
              <w:t>4、电子流量计，具有读数和屏幕虚拟流量管双重操作显示</w:t>
            </w:r>
          </w:p>
          <w:p w14:paraId="5EAE9667">
            <w:pPr>
              <w:snapToGrid w:val="0"/>
              <w:spacing w:line="300" w:lineRule="exact"/>
              <w:jc w:val="left"/>
              <w:rPr>
                <w:rFonts w:ascii="宋体" w:hAnsi="宋体" w:cs="宋体"/>
                <w:color w:val="000000"/>
                <w:sz w:val="24"/>
                <w:szCs w:val="24"/>
              </w:rPr>
            </w:pPr>
            <w:r>
              <w:rPr>
                <w:rFonts w:hint="eastAsia" w:ascii="宋体" w:hAnsi="宋体" w:cs="宋体"/>
                <w:color w:val="000000"/>
                <w:sz w:val="24"/>
                <w:szCs w:val="24"/>
              </w:rPr>
              <w:t>5、O</w:t>
            </w:r>
            <w:r>
              <w:rPr>
                <w:rFonts w:hint="eastAsia" w:ascii="宋体" w:hAnsi="宋体" w:cs="宋体"/>
                <w:color w:val="000000"/>
                <w:sz w:val="24"/>
                <w:szCs w:val="24"/>
                <w:vertAlign w:val="subscript"/>
              </w:rPr>
              <w:t>2</w:t>
            </w:r>
            <w:r>
              <w:rPr>
                <w:rFonts w:hint="eastAsia" w:ascii="宋体" w:hAnsi="宋体" w:cs="宋体"/>
                <w:color w:val="000000"/>
                <w:sz w:val="24"/>
                <w:szCs w:val="24"/>
              </w:rPr>
              <w:t>：0 -10L/min；Air：0-12L/min</w:t>
            </w:r>
          </w:p>
          <w:p w14:paraId="3F7758CC">
            <w:pPr>
              <w:snapToGrid w:val="0"/>
              <w:spacing w:line="300" w:lineRule="exact"/>
              <w:jc w:val="left"/>
              <w:rPr>
                <w:rFonts w:ascii="宋体" w:hAnsi="宋体" w:cs="宋体"/>
                <w:color w:val="000000"/>
                <w:sz w:val="24"/>
                <w:szCs w:val="24"/>
              </w:rPr>
            </w:pPr>
            <w:r>
              <w:rPr>
                <w:rFonts w:hint="eastAsia" w:ascii="宋体" w:hAnsi="宋体" w:cs="宋体"/>
                <w:color w:val="000000"/>
                <w:sz w:val="24"/>
                <w:szCs w:val="24"/>
              </w:rPr>
              <w:t>6、气电控呼吸机</w:t>
            </w:r>
          </w:p>
          <w:p w14:paraId="608393E2">
            <w:pPr>
              <w:snapToGrid w:val="0"/>
              <w:spacing w:line="300" w:lineRule="exact"/>
              <w:jc w:val="left"/>
              <w:rPr>
                <w:rFonts w:ascii="宋体" w:hAnsi="宋体" w:cs="宋体"/>
                <w:color w:val="000000"/>
                <w:sz w:val="24"/>
                <w:szCs w:val="24"/>
              </w:rPr>
            </w:pPr>
            <w:r>
              <w:rPr>
                <w:rFonts w:hint="eastAsia" w:ascii="宋体" w:hAnsi="宋体" w:cs="宋体"/>
                <w:color w:val="000000"/>
                <w:sz w:val="24"/>
                <w:szCs w:val="24"/>
              </w:rPr>
              <w:t>7、标配通气模式：IPPV、PCV、PS/CPAP、APRV、Manual</w:t>
            </w:r>
          </w:p>
          <w:p w14:paraId="11152420">
            <w:pPr>
              <w:snapToGrid w:val="0"/>
              <w:spacing w:line="300" w:lineRule="exact"/>
              <w:jc w:val="left"/>
              <w:rPr>
                <w:rFonts w:ascii="宋体" w:hAnsi="宋体" w:cs="宋体"/>
                <w:color w:val="000000"/>
                <w:sz w:val="24"/>
                <w:szCs w:val="24"/>
              </w:rPr>
            </w:pPr>
            <w:r>
              <w:rPr>
                <w:rFonts w:hint="eastAsia" w:ascii="宋体" w:hAnsi="宋体" w:cs="宋体"/>
                <w:color w:val="000000"/>
                <w:sz w:val="24"/>
                <w:szCs w:val="24"/>
              </w:rPr>
              <w:t>8、支持窒息通气保护</w:t>
            </w:r>
          </w:p>
          <w:p w14:paraId="3885A801">
            <w:pPr>
              <w:snapToGrid w:val="0"/>
              <w:spacing w:line="300" w:lineRule="exact"/>
              <w:jc w:val="left"/>
              <w:rPr>
                <w:rFonts w:ascii="宋体" w:hAnsi="宋体" w:cs="宋体"/>
                <w:color w:val="000000"/>
                <w:sz w:val="24"/>
                <w:szCs w:val="24"/>
              </w:rPr>
            </w:pPr>
            <w:r>
              <w:rPr>
                <w:rFonts w:hint="eastAsia" w:ascii="宋体" w:hAnsi="宋体" w:cs="宋体"/>
                <w:color w:val="000000"/>
                <w:sz w:val="24"/>
                <w:szCs w:val="24"/>
              </w:rPr>
              <w:t>9、潮气量设置：10ml-1500ml</w:t>
            </w:r>
          </w:p>
          <w:p w14:paraId="55D05707">
            <w:pPr>
              <w:snapToGrid w:val="0"/>
              <w:spacing w:line="300" w:lineRule="exact"/>
              <w:jc w:val="left"/>
              <w:rPr>
                <w:rFonts w:ascii="宋体" w:hAnsi="宋体" w:cs="宋体"/>
                <w:color w:val="000000"/>
                <w:sz w:val="24"/>
                <w:szCs w:val="24"/>
              </w:rPr>
            </w:pPr>
            <w:r>
              <w:rPr>
                <w:rFonts w:hint="eastAsia" w:ascii="宋体" w:hAnsi="宋体" w:cs="宋体"/>
                <w:color w:val="000000"/>
                <w:sz w:val="24"/>
                <w:szCs w:val="24"/>
              </w:rPr>
              <w:t>10、吸呼比：4:1到1:8</w:t>
            </w:r>
          </w:p>
          <w:p w14:paraId="32767368">
            <w:pPr>
              <w:snapToGrid w:val="0"/>
              <w:spacing w:line="300" w:lineRule="exact"/>
              <w:jc w:val="left"/>
              <w:rPr>
                <w:rFonts w:ascii="宋体" w:hAnsi="宋体" w:cs="宋体"/>
                <w:color w:val="000000"/>
                <w:sz w:val="24"/>
                <w:szCs w:val="24"/>
              </w:rPr>
            </w:pPr>
            <w:r>
              <w:rPr>
                <w:rFonts w:hint="eastAsia" w:ascii="宋体" w:hAnsi="宋体" w:cs="宋体"/>
                <w:color w:val="000000"/>
                <w:sz w:val="24"/>
                <w:szCs w:val="24"/>
              </w:rPr>
              <w:t>11、压力范围（压力模式）： 5到 70 cmH</w:t>
            </w:r>
            <w:r>
              <w:rPr>
                <w:rFonts w:hint="eastAsia" w:ascii="宋体" w:hAnsi="宋体" w:cs="宋体"/>
                <w:color w:val="000000"/>
                <w:sz w:val="24"/>
                <w:szCs w:val="24"/>
                <w:vertAlign w:val="subscript"/>
              </w:rPr>
              <w:t>2</w:t>
            </w:r>
            <w:r>
              <w:rPr>
                <w:rFonts w:hint="eastAsia" w:ascii="宋体" w:hAnsi="宋体" w:cs="宋体"/>
                <w:color w:val="000000"/>
                <w:sz w:val="24"/>
                <w:szCs w:val="24"/>
              </w:rPr>
              <w:t>O</w:t>
            </w:r>
          </w:p>
          <w:p w14:paraId="0660C482">
            <w:pPr>
              <w:snapToGrid w:val="0"/>
              <w:spacing w:line="300" w:lineRule="exact"/>
              <w:jc w:val="left"/>
              <w:rPr>
                <w:rFonts w:ascii="宋体" w:hAnsi="宋体" w:cs="宋体"/>
                <w:color w:val="000000"/>
                <w:sz w:val="24"/>
                <w:szCs w:val="24"/>
              </w:rPr>
            </w:pPr>
            <w:r>
              <w:rPr>
                <w:rFonts w:hint="eastAsia" w:ascii="宋体" w:hAnsi="宋体" w:cs="宋体"/>
                <w:color w:val="000000"/>
                <w:sz w:val="24"/>
                <w:szCs w:val="24"/>
              </w:rPr>
              <w:t>12、电子PEEP：OFF，3 到 40 cmH</w:t>
            </w:r>
            <w:r>
              <w:rPr>
                <w:rFonts w:hint="eastAsia" w:ascii="宋体" w:hAnsi="宋体" w:cs="宋体"/>
                <w:color w:val="000000"/>
                <w:sz w:val="24"/>
                <w:szCs w:val="24"/>
                <w:vertAlign w:val="subscript"/>
              </w:rPr>
              <w:t>2</w:t>
            </w:r>
            <w:r>
              <w:rPr>
                <w:rFonts w:hint="eastAsia" w:ascii="宋体" w:hAnsi="宋体" w:cs="宋体"/>
                <w:color w:val="000000"/>
                <w:sz w:val="24"/>
                <w:szCs w:val="24"/>
              </w:rPr>
              <w:t>O</w:t>
            </w:r>
          </w:p>
          <w:p w14:paraId="755CE0BE">
            <w:pPr>
              <w:snapToGrid w:val="0"/>
              <w:spacing w:line="300" w:lineRule="exact"/>
              <w:jc w:val="left"/>
              <w:rPr>
                <w:rFonts w:ascii="宋体" w:hAnsi="宋体" w:cs="宋体"/>
                <w:color w:val="000000"/>
                <w:sz w:val="24"/>
                <w:szCs w:val="24"/>
              </w:rPr>
            </w:pPr>
            <w:r>
              <w:rPr>
                <w:rFonts w:hint="eastAsia" w:ascii="宋体" w:hAnsi="宋体" w:cs="宋体"/>
                <w:color w:val="000000"/>
                <w:sz w:val="24"/>
                <w:szCs w:val="24"/>
              </w:rPr>
              <w:t>13、具有患者信息预设记录功能</w:t>
            </w:r>
          </w:p>
          <w:p w14:paraId="24D42DB7">
            <w:pPr>
              <w:snapToGrid w:val="0"/>
              <w:spacing w:line="300" w:lineRule="exact"/>
              <w:jc w:val="left"/>
              <w:rPr>
                <w:rFonts w:ascii="宋体" w:hAnsi="宋体" w:cs="宋体"/>
                <w:color w:val="000000"/>
                <w:sz w:val="24"/>
                <w:szCs w:val="24"/>
              </w:rPr>
            </w:pPr>
            <w:r>
              <w:rPr>
                <w:rFonts w:hint="eastAsia" w:ascii="宋体" w:hAnsi="宋体" w:cs="宋体"/>
                <w:color w:val="000000"/>
                <w:sz w:val="24"/>
                <w:szCs w:val="24"/>
              </w:rPr>
              <w:t>14、监测参数：呼吸频率、潮气量、分钟通气量、气道压（峰压、平台压、平均压、PEEP）</w:t>
            </w:r>
          </w:p>
          <w:p w14:paraId="3FF9F8BA">
            <w:pPr>
              <w:snapToGrid w:val="0"/>
              <w:spacing w:line="300" w:lineRule="exact"/>
              <w:jc w:val="left"/>
              <w:rPr>
                <w:rFonts w:ascii="宋体" w:hAnsi="宋体" w:cs="宋体"/>
                <w:color w:val="000000"/>
                <w:sz w:val="24"/>
                <w:szCs w:val="24"/>
              </w:rPr>
            </w:pPr>
            <w:r>
              <w:rPr>
                <w:rFonts w:hint="eastAsia" w:ascii="宋体" w:hAnsi="宋体" w:cs="宋体"/>
                <w:color w:val="000000"/>
                <w:sz w:val="24"/>
                <w:szCs w:val="24"/>
              </w:rPr>
              <w:t>15、标配实时压力时间、流速时间、容量时间、二氧化碳时间波形描记</w:t>
            </w:r>
          </w:p>
          <w:p w14:paraId="2BA66A9B">
            <w:pPr>
              <w:snapToGrid w:val="0"/>
              <w:spacing w:line="300" w:lineRule="exact"/>
              <w:jc w:val="left"/>
              <w:rPr>
                <w:rFonts w:ascii="宋体" w:hAnsi="宋体" w:cs="宋体"/>
                <w:color w:val="000000"/>
                <w:sz w:val="24"/>
                <w:szCs w:val="24"/>
              </w:rPr>
            </w:pPr>
            <w:r>
              <w:rPr>
                <w:rFonts w:hint="eastAsia" w:ascii="宋体" w:hAnsi="宋体" w:cs="宋体"/>
                <w:color w:val="000000"/>
                <w:sz w:val="24"/>
                <w:szCs w:val="24"/>
              </w:rPr>
              <w:t>16、标配呼吸环监测功能：压力容量环、容量流速环、压力流速环，二氧化碳容积图；一键进入，具备呼吸环冻结功能</w:t>
            </w:r>
          </w:p>
          <w:p w14:paraId="06280388">
            <w:pPr>
              <w:snapToGrid w:val="0"/>
              <w:spacing w:line="300" w:lineRule="exact"/>
              <w:jc w:val="left"/>
              <w:rPr>
                <w:rFonts w:ascii="宋体" w:hAnsi="宋体" w:cs="宋体"/>
                <w:color w:val="000000"/>
                <w:sz w:val="24"/>
                <w:szCs w:val="24"/>
              </w:rPr>
            </w:pPr>
            <w:r>
              <w:rPr>
                <w:rFonts w:hint="eastAsia" w:ascii="宋体" w:hAnsi="宋体" w:cs="宋体"/>
                <w:color w:val="000000"/>
                <w:sz w:val="24"/>
                <w:szCs w:val="24"/>
              </w:rPr>
              <w:t>17、报警参数：气道压、潮气量、分钟通气量、窒息</w:t>
            </w:r>
          </w:p>
          <w:p w14:paraId="0CB3FE8F">
            <w:pPr>
              <w:snapToGrid w:val="0"/>
              <w:spacing w:line="300" w:lineRule="exact"/>
              <w:jc w:val="left"/>
              <w:rPr>
                <w:rFonts w:ascii="宋体" w:hAnsi="宋体" w:cs="宋体"/>
                <w:color w:val="000000"/>
                <w:sz w:val="24"/>
                <w:szCs w:val="24"/>
              </w:rPr>
            </w:pPr>
            <w:r>
              <w:rPr>
                <w:rFonts w:hint="eastAsia" w:ascii="宋体" w:hAnsi="宋体" w:cs="宋体"/>
                <w:color w:val="000000"/>
                <w:sz w:val="24"/>
                <w:szCs w:val="24"/>
              </w:rPr>
              <w:t>18、蒸发器罐位并配备蒸发器一只</w:t>
            </w:r>
          </w:p>
          <w:p w14:paraId="60D4178A">
            <w:pPr>
              <w:snapToGrid w:val="0"/>
              <w:spacing w:line="300" w:lineRule="exact"/>
              <w:jc w:val="left"/>
              <w:rPr>
                <w:rFonts w:ascii="宋体" w:hAnsi="宋体" w:cs="宋体"/>
                <w:color w:val="000000"/>
                <w:sz w:val="24"/>
                <w:szCs w:val="24"/>
              </w:rPr>
            </w:pPr>
            <w:r>
              <w:rPr>
                <w:rFonts w:hint="eastAsia" w:ascii="宋体" w:hAnsi="宋体" w:cs="宋体"/>
                <w:color w:val="000000"/>
                <w:sz w:val="24"/>
                <w:szCs w:val="24"/>
              </w:rPr>
              <w:t>19、具备温度、流量、压力补偿功能</w:t>
            </w:r>
          </w:p>
          <w:p w14:paraId="36D684CC">
            <w:pPr>
              <w:snapToGrid w:val="0"/>
              <w:spacing w:line="300" w:lineRule="exact"/>
              <w:jc w:val="left"/>
              <w:rPr>
                <w:rFonts w:ascii="宋体" w:hAnsi="宋体" w:cs="宋体"/>
                <w:color w:val="000000"/>
                <w:sz w:val="24"/>
                <w:szCs w:val="24"/>
              </w:rPr>
            </w:pPr>
            <w:r>
              <w:rPr>
                <w:rFonts w:hint="eastAsia" w:ascii="宋体" w:hAnsi="宋体" w:cs="宋体"/>
                <w:color w:val="000000"/>
                <w:sz w:val="24"/>
                <w:szCs w:val="24"/>
              </w:rPr>
              <w:t>20、后备电池使用时间：120分</w:t>
            </w:r>
          </w:p>
          <w:p w14:paraId="3F2701A8">
            <w:pPr>
              <w:snapToGrid w:val="0"/>
              <w:spacing w:line="300" w:lineRule="exact"/>
              <w:jc w:val="left"/>
              <w:rPr>
                <w:rFonts w:ascii="宋体" w:hAnsi="宋体" w:cs="宋体"/>
                <w:color w:val="000000"/>
                <w:sz w:val="24"/>
                <w:szCs w:val="24"/>
              </w:rPr>
            </w:pPr>
            <w:r>
              <w:rPr>
                <w:rFonts w:hint="eastAsia" w:ascii="宋体" w:hAnsi="宋体" w:cs="宋体"/>
                <w:color w:val="000000"/>
                <w:sz w:val="24"/>
                <w:szCs w:val="24"/>
              </w:rPr>
              <w:t>三、配置要求</w:t>
            </w:r>
          </w:p>
          <w:p w14:paraId="1E1A020F">
            <w:pPr>
              <w:snapToGrid w:val="0"/>
              <w:spacing w:line="300" w:lineRule="exact"/>
              <w:jc w:val="left"/>
              <w:rPr>
                <w:rFonts w:ascii="宋体" w:hAnsi="宋体" w:cs="宋体"/>
                <w:color w:val="000000"/>
                <w:sz w:val="24"/>
                <w:szCs w:val="24"/>
              </w:rPr>
            </w:pPr>
            <w:r>
              <w:rPr>
                <w:rFonts w:hint="eastAsia" w:ascii="宋体" w:hAnsi="宋体" w:cs="宋体"/>
                <w:color w:val="000000"/>
                <w:sz w:val="24"/>
                <w:szCs w:val="24"/>
              </w:rPr>
              <w:t>1、麻醉机主机1台</w:t>
            </w:r>
          </w:p>
          <w:p w14:paraId="33A7BEC1">
            <w:pPr>
              <w:snapToGrid w:val="0"/>
              <w:spacing w:line="300" w:lineRule="exact"/>
              <w:jc w:val="left"/>
              <w:rPr>
                <w:rFonts w:ascii="宋体" w:hAnsi="宋体" w:cs="宋体"/>
                <w:color w:val="000000"/>
                <w:sz w:val="24"/>
                <w:szCs w:val="24"/>
              </w:rPr>
            </w:pPr>
            <w:r>
              <w:rPr>
                <w:rFonts w:hint="eastAsia" w:ascii="宋体" w:hAnsi="宋体" w:cs="宋体"/>
                <w:color w:val="000000"/>
                <w:sz w:val="24"/>
                <w:szCs w:val="24"/>
              </w:rPr>
              <w:t>2、内置电池1块</w:t>
            </w:r>
          </w:p>
          <w:p w14:paraId="7574929E">
            <w:pPr>
              <w:snapToGrid w:val="0"/>
              <w:spacing w:line="300" w:lineRule="exact"/>
              <w:jc w:val="left"/>
              <w:rPr>
                <w:rFonts w:ascii="宋体" w:hAnsi="宋体" w:cs="宋体"/>
                <w:color w:val="000000"/>
                <w:sz w:val="24"/>
                <w:szCs w:val="24"/>
              </w:rPr>
            </w:pPr>
            <w:r>
              <w:rPr>
                <w:rFonts w:hint="eastAsia" w:ascii="宋体" w:hAnsi="宋体" w:cs="宋体"/>
                <w:color w:val="000000"/>
                <w:sz w:val="24"/>
                <w:szCs w:val="24"/>
              </w:rPr>
              <w:t>3、麻醉蒸发罐1个</w:t>
            </w:r>
          </w:p>
          <w:p w14:paraId="48008013">
            <w:pPr>
              <w:snapToGrid w:val="0"/>
              <w:spacing w:line="300" w:lineRule="exact"/>
              <w:jc w:val="left"/>
              <w:rPr>
                <w:rFonts w:ascii="宋体" w:hAnsi="宋体" w:cs="宋体"/>
                <w:color w:val="000000"/>
                <w:sz w:val="24"/>
                <w:szCs w:val="24"/>
              </w:rPr>
            </w:pPr>
            <w:r>
              <w:rPr>
                <w:rFonts w:hint="eastAsia" w:ascii="宋体" w:hAnsi="宋体" w:cs="宋体"/>
                <w:color w:val="000000"/>
                <w:sz w:val="24"/>
                <w:szCs w:val="24"/>
              </w:rPr>
              <w:t>4、输气管（空气输气管、氧气输气管）</w:t>
            </w:r>
          </w:p>
          <w:p w14:paraId="4B50A89A">
            <w:pPr>
              <w:snapToGrid w:val="0"/>
              <w:spacing w:line="300" w:lineRule="exact"/>
              <w:jc w:val="left"/>
              <w:rPr>
                <w:rFonts w:ascii="宋体" w:hAnsi="宋体" w:cs="宋体"/>
                <w:color w:val="000000"/>
                <w:sz w:val="24"/>
                <w:szCs w:val="24"/>
              </w:rPr>
            </w:pPr>
            <w:r>
              <w:rPr>
                <w:rFonts w:hint="eastAsia" w:ascii="宋体" w:hAnsi="宋体" w:cs="宋体"/>
                <w:color w:val="000000"/>
                <w:sz w:val="24"/>
                <w:szCs w:val="24"/>
              </w:rPr>
              <w:t>5、成人PVC麻醉呼吸管路套件</w:t>
            </w:r>
          </w:p>
          <w:p w14:paraId="24F9BF4D">
            <w:pPr>
              <w:snapToGrid w:val="0"/>
              <w:spacing w:line="300" w:lineRule="exact"/>
              <w:jc w:val="left"/>
              <w:rPr>
                <w:rFonts w:ascii="宋体" w:hAnsi="宋体" w:cs="宋体"/>
                <w:color w:val="000000"/>
                <w:sz w:val="24"/>
                <w:szCs w:val="24"/>
              </w:rPr>
            </w:pPr>
            <w:r>
              <w:rPr>
                <w:rFonts w:hint="eastAsia" w:ascii="宋体" w:hAnsi="宋体" w:cs="宋体"/>
                <w:color w:val="000000"/>
                <w:sz w:val="24"/>
                <w:szCs w:val="24"/>
              </w:rPr>
              <w:t>6、氧气减压器</w:t>
            </w:r>
          </w:p>
        </w:tc>
      </w:tr>
      <w:tr w14:paraId="1C16E8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tcBorders>
              <w:top w:val="single" w:color="auto" w:sz="4" w:space="0"/>
              <w:left w:val="single" w:color="auto" w:sz="4" w:space="0"/>
              <w:bottom w:val="single" w:color="auto" w:sz="4" w:space="0"/>
              <w:right w:val="single" w:color="auto" w:sz="4" w:space="0"/>
            </w:tcBorders>
            <w:vAlign w:val="center"/>
          </w:tcPr>
          <w:p w14:paraId="6C7CF37D">
            <w:pPr>
              <w:snapToGrid w:val="0"/>
              <w:spacing w:line="360" w:lineRule="auto"/>
              <w:jc w:val="center"/>
              <w:rPr>
                <w:rFonts w:ascii="宋体" w:hAnsi="宋体" w:cs="宋体"/>
                <w:sz w:val="24"/>
                <w:szCs w:val="24"/>
              </w:rPr>
            </w:pPr>
            <w:r>
              <w:rPr>
                <w:rFonts w:hint="eastAsia" w:ascii="宋体" w:hAnsi="宋体" w:cs="宋体"/>
                <w:sz w:val="24"/>
                <w:szCs w:val="24"/>
              </w:rPr>
              <w:t>2</w:t>
            </w:r>
          </w:p>
        </w:tc>
        <w:tc>
          <w:tcPr>
            <w:tcW w:w="704" w:type="pct"/>
            <w:tcBorders>
              <w:top w:val="single" w:color="auto" w:sz="4" w:space="0"/>
              <w:left w:val="single" w:color="auto" w:sz="4" w:space="0"/>
              <w:bottom w:val="single" w:color="auto" w:sz="4" w:space="0"/>
              <w:right w:val="single" w:color="auto" w:sz="4" w:space="0"/>
            </w:tcBorders>
            <w:vAlign w:val="center"/>
          </w:tcPr>
          <w:p w14:paraId="5137A3F6">
            <w:pPr>
              <w:snapToGrid w:val="0"/>
              <w:spacing w:line="360" w:lineRule="auto"/>
              <w:jc w:val="center"/>
              <w:rPr>
                <w:rFonts w:ascii="宋体" w:hAnsi="宋体" w:cs="宋体"/>
                <w:sz w:val="24"/>
                <w:szCs w:val="24"/>
              </w:rPr>
            </w:pPr>
            <w:r>
              <w:rPr>
                <w:rFonts w:hint="eastAsia" w:ascii="宋体" w:hAnsi="宋体" w:cs="宋体"/>
                <w:sz w:val="24"/>
                <w:szCs w:val="24"/>
              </w:rPr>
              <w:t>麻醉机（2）</w:t>
            </w:r>
          </w:p>
        </w:tc>
        <w:tc>
          <w:tcPr>
            <w:tcW w:w="390" w:type="pct"/>
            <w:tcBorders>
              <w:top w:val="single" w:color="auto" w:sz="4" w:space="0"/>
              <w:left w:val="single" w:color="auto" w:sz="4" w:space="0"/>
              <w:bottom w:val="single" w:color="auto" w:sz="4" w:space="0"/>
              <w:right w:val="single" w:color="auto" w:sz="4" w:space="0"/>
            </w:tcBorders>
            <w:vAlign w:val="center"/>
          </w:tcPr>
          <w:p w14:paraId="537EE7AA">
            <w:pPr>
              <w:jc w:val="center"/>
              <w:rPr>
                <w:rFonts w:cs="宋体"/>
                <w:color w:val="000000"/>
                <w:kern w:val="0"/>
                <w:sz w:val="24"/>
                <w:szCs w:val="21"/>
              </w:rPr>
            </w:pPr>
            <w:r>
              <w:rPr>
                <w:rFonts w:hint="eastAsia" w:ascii="宋体" w:hAnsi="宋体" w:cs="宋体"/>
                <w:sz w:val="24"/>
                <w:szCs w:val="24"/>
              </w:rPr>
              <w:t>台</w:t>
            </w:r>
          </w:p>
        </w:tc>
        <w:tc>
          <w:tcPr>
            <w:tcW w:w="439" w:type="pct"/>
            <w:tcBorders>
              <w:top w:val="single" w:color="auto" w:sz="4" w:space="0"/>
              <w:left w:val="single" w:color="auto" w:sz="4" w:space="0"/>
              <w:bottom w:val="single" w:color="auto" w:sz="4" w:space="0"/>
              <w:right w:val="single" w:color="auto" w:sz="4" w:space="0"/>
            </w:tcBorders>
            <w:vAlign w:val="center"/>
          </w:tcPr>
          <w:p w14:paraId="3EEADF9B">
            <w:pPr>
              <w:snapToGrid w:val="0"/>
              <w:spacing w:line="360" w:lineRule="auto"/>
              <w:jc w:val="center"/>
              <w:rPr>
                <w:rFonts w:ascii="宋体" w:hAnsi="宋体" w:cs="宋体"/>
                <w:sz w:val="24"/>
                <w:szCs w:val="24"/>
              </w:rPr>
            </w:pPr>
            <w:r>
              <w:rPr>
                <w:rFonts w:hint="eastAsia" w:ascii="宋体" w:hAnsi="宋体" w:cs="宋体"/>
                <w:sz w:val="24"/>
                <w:szCs w:val="24"/>
              </w:rPr>
              <w:t>1</w:t>
            </w:r>
          </w:p>
        </w:tc>
        <w:tc>
          <w:tcPr>
            <w:tcW w:w="3033" w:type="pct"/>
            <w:tcBorders>
              <w:top w:val="single" w:color="auto" w:sz="4" w:space="0"/>
              <w:left w:val="single" w:color="auto" w:sz="4" w:space="0"/>
              <w:bottom w:val="single" w:color="auto" w:sz="4" w:space="0"/>
              <w:right w:val="single" w:color="auto" w:sz="4" w:space="0"/>
            </w:tcBorders>
          </w:tcPr>
          <w:p w14:paraId="426632A5">
            <w:pPr>
              <w:snapToGrid w:val="0"/>
              <w:spacing w:line="300" w:lineRule="exact"/>
              <w:rPr>
                <w:rFonts w:ascii="宋体" w:hAnsi="宋体" w:cs="宋体"/>
                <w:color w:val="000000"/>
                <w:sz w:val="24"/>
                <w:szCs w:val="24"/>
              </w:rPr>
            </w:pPr>
            <w:r>
              <w:rPr>
                <w:rFonts w:hint="eastAsia" w:ascii="宋体" w:hAnsi="宋体" w:cs="宋体"/>
                <w:color w:val="000000"/>
                <w:sz w:val="24"/>
                <w:szCs w:val="24"/>
              </w:rPr>
              <w:t>一、产品用途：</w:t>
            </w:r>
          </w:p>
          <w:p w14:paraId="4E5D95A4">
            <w:pPr>
              <w:snapToGrid w:val="0"/>
              <w:spacing w:line="300" w:lineRule="exact"/>
              <w:rPr>
                <w:rFonts w:ascii="宋体" w:hAnsi="宋体" w:cs="宋体"/>
                <w:color w:val="000000"/>
                <w:sz w:val="24"/>
                <w:szCs w:val="24"/>
              </w:rPr>
            </w:pPr>
            <w:r>
              <w:rPr>
                <w:rFonts w:hint="eastAsia" w:ascii="宋体" w:hAnsi="宋体" w:cs="宋体"/>
                <w:color w:val="000000"/>
                <w:sz w:val="24"/>
                <w:szCs w:val="24"/>
              </w:rPr>
              <w:t>1.用于围术期为患者提供全身麻醉及复苏过程中麻药输送</w:t>
            </w:r>
            <w:r>
              <w:rPr>
                <w:rFonts w:hint="eastAsia" w:ascii="宋体" w:hAnsi="宋体" w:cs="宋体"/>
                <w:sz w:val="24"/>
                <w:szCs w:val="24"/>
              </w:rPr>
              <w:t>及通气支持，</w:t>
            </w:r>
            <w:r>
              <w:rPr>
                <w:rFonts w:hint="eastAsia" w:ascii="宋体" w:hAnsi="宋体" w:cs="宋体"/>
                <w:color w:val="000000"/>
                <w:sz w:val="24"/>
                <w:szCs w:val="24"/>
              </w:rPr>
              <w:t>全面保障患者围术期安全，为临床提供辅助临床决策工具，提升工作效率</w:t>
            </w:r>
          </w:p>
          <w:p w14:paraId="23AF1B36">
            <w:pPr>
              <w:snapToGrid w:val="0"/>
              <w:spacing w:line="300" w:lineRule="exact"/>
              <w:rPr>
                <w:rFonts w:ascii="宋体" w:hAnsi="宋体" w:cs="宋体"/>
                <w:color w:val="000000"/>
                <w:sz w:val="24"/>
                <w:szCs w:val="24"/>
              </w:rPr>
            </w:pPr>
            <w:r>
              <w:rPr>
                <w:rFonts w:hint="eastAsia" w:ascii="宋体" w:hAnsi="宋体" w:cs="宋体"/>
                <w:color w:val="000000"/>
                <w:sz w:val="24"/>
                <w:szCs w:val="24"/>
              </w:rPr>
              <w:t>二、技术参数：</w:t>
            </w:r>
          </w:p>
          <w:p w14:paraId="260D4EAA">
            <w:pPr>
              <w:snapToGrid w:val="0"/>
              <w:spacing w:line="300" w:lineRule="exact"/>
              <w:rPr>
                <w:rFonts w:ascii="宋体" w:hAnsi="宋体" w:cs="宋体"/>
                <w:color w:val="000000"/>
                <w:sz w:val="24"/>
                <w:szCs w:val="24"/>
                <w:highlight w:val="yellow"/>
              </w:rPr>
            </w:pPr>
            <w:r>
              <w:rPr>
                <w:rFonts w:hint="eastAsia" w:ascii="宋体" w:hAnsi="宋体" w:cs="宋体"/>
                <w:color w:val="000000"/>
                <w:sz w:val="24"/>
                <w:szCs w:val="24"/>
                <w:highlight w:val="yellow"/>
              </w:rPr>
              <w:t>1.用于对成人、儿童/小儿、新生儿的吸入麻醉及呼吸管理</w:t>
            </w:r>
          </w:p>
          <w:p w14:paraId="186F3722">
            <w:pPr>
              <w:snapToGrid w:val="0"/>
              <w:spacing w:line="300" w:lineRule="exact"/>
              <w:rPr>
                <w:rFonts w:ascii="宋体" w:hAnsi="宋体" w:cs="宋体"/>
                <w:color w:val="000000"/>
                <w:sz w:val="24"/>
                <w:szCs w:val="24"/>
              </w:rPr>
            </w:pPr>
            <w:r>
              <w:rPr>
                <w:rFonts w:hint="eastAsia" w:ascii="宋体" w:hAnsi="宋体" w:cs="宋体"/>
                <w:color w:val="000000"/>
                <w:sz w:val="24"/>
                <w:szCs w:val="24"/>
              </w:rPr>
              <w:t>2.★采用气动电控或电动电控呼吸机，全中文操作和显示，屏幕尺寸≥15英寸，彩色触摸屏，支持手势操作，可同屏显示波形或2个呼吸环图</w:t>
            </w:r>
          </w:p>
          <w:p w14:paraId="0F2657C8">
            <w:pPr>
              <w:snapToGrid w:val="0"/>
              <w:spacing w:line="300" w:lineRule="exact"/>
              <w:rPr>
                <w:rFonts w:ascii="宋体" w:hAnsi="宋体" w:cs="宋体"/>
                <w:color w:val="000000"/>
                <w:sz w:val="24"/>
                <w:szCs w:val="24"/>
              </w:rPr>
            </w:pPr>
            <w:r>
              <w:rPr>
                <w:rFonts w:hint="eastAsia" w:ascii="宋体" w:hAnsi="宋体" w:cs="宋体"/>
                <w:color w:val="000000"/>
                <w:sz w:val="24"/>
                <w:szCs w:val="24"/>
              </w:rPr>
              <w:t>3.同屏幕≥4通道波形显示（压力时间波形，流速时间波形，容量时间波形， CO</w:t>
            </w:r>
            <w:r>
              <w:rPr>
                <w:rFonts w:hint="eastAsia" w:ascii="宋体" w:hAnsi="宋体" w:cs="宋体"/>
                <w:color w:val="000000"/>
                <w:sz w:val="24"/>
                <w:szCs w:val="24"/>
                <w:vertAlign w:val="subscript"/>
              </w:rPr>
              <w:t>2</w:t>
            </w:r>
            <w:r>
              <w:rPr>
                <w:rFonts w:hint="eastAsia" w:ascii="宋体" w:hAnsi="宋体" w:cs="宋体"/>
                <w:color w:val="000000"/>
                <w:sz w:val="24"/>
                <w:szCs w:val="24"/>
              </w:rPr>
              <w:t>或麻醉气体浓度波形）</w:t>
            </w:r>
          </w:p>
          <w:p w14:paraId="18CE7AC1">
            <w:pPr>
              <w:snapToGrid w:val="0"/>
              <w:spacing w:line="300" w:lineRule="exact"/>
              <w:rPr>
                <w:rFonts w:ascii="宋体" w:hAnsi="宋体" w:cs="宋体"/>
                <w:color w:val="000000"/>
                <w:sz w:val="24"/>
                <w:szCs w:val="24"/>
              </w:rPr>
            </w:pPr>
            <w:r>
              <w:rPr>
                <w:rFonts w:hint="eastAsia" w:ascii="宋体" w:hAnsi="宋体" w:cs="宋体"/>
                <w:color w:val="000000"/>
                <w:sz w:val="24"/>
                <w:szCs w:val="24"/>
              </w:rPr>
              <w:t>4.标配≥4个辅助电源接口</w:t>
            </w:r>
          </w:p>
          <w:p w14:paraId="7DF40E5B">
            <w:pPr>
              <w:snapToGrid w:val="0"/>
              <w:spacing w:line="300" w:lineRule="exact"/>
              <w:rPr>
                <w:rFonts w:ascii="宋体" w:hAnsi="宋体" w:cs="宋体"/>
                <w:color w:val="000000"/>
                <w:sz w:val="24"/>
                <w:szCs w:val="24"/>
              </w:rPr>
            </w:pPr>
            <w:r>
              <w:rPr>
                <w:rFonts w:hint="eastAsia" w:ascii="宋体" w:hAnsi="宋体" w:cs="宋体"/>
                <w:color w:val="000000"/>
                <w:sz w:val="24"/>
                <w:szCs w:val="24"/>
              </w:rPr>
              <w:t>5.标配氧气、空气两气源，具备氧笑联动系统，保证接入氧气和笑气时氧浓度不低于25%，快速充氧范围25-75 L/min</w:t>
            </w:r>
          </w:p>
          <w:p w14:paraId="1C7D51E8">
            <w:pPr>
              <w:snapToGrid w:val="0"/>
              <w:spacing w:line="300" w:lineRule="exact"/>
              <w:rPr>
                <w:rFonts w:hint="eastAsia" w:ascii="宋体" w:hAnsi="宋体" w:cs="宋体"/>
                <w:color w:val="000000"/>
                <w:sz w:val="24"/>
                <w:szCs w:val="24"/>
                <w:highlight w:val="yellow"/>
              </w:rPr>
            </w:pPr>
            <w:r>
              <w:rPr>
                <w:rFonts w:hint="eastAsia" w:ascii="宋体" w:hAnsi="宋体" w:cs="宋体"/>
                <w:color w:val="000000"/>
                <w:sz w:val="24"/>
                <w:szCs w:val="24"/>
                <w:highlight w:val="yellow"/>
              </w:rPr>
              <w:t>6.★全电子流量计 ，可直接设置氧浓度和总流量</w:t>
            </w:r>
          </w:p>
          <w:p w14:paraId="6713808A">
            <w:pPr>
              <w:snapToGrid w:val="0"/>
              <w:spacing w:line="300" w:lineRule="exact"/>
              <w:rPr>
                <w:rFonts w:ascii="宋体" w:hAnsi="宋体" w:cs="宋体"/>
                <w:color w:val="000000"/>
                <w:sz w:val="24"/>
                <w:szCs w:val="24"/>
              </w:rPr>
            </w:pPr>
            <w:r>
              <w:rPr>
                <w:rFonts w:hint="eastAsia" w:ascii="宋体" w:hAnsi="宋体" w:cs="宋体"/>
                <w:color w:val="000000"/>
                <w:sz w:val="24"/>
                <w:szCs w:val="24"/>
              </w:rPr>
              <w:t>7.具备备用流量计，具备辅助吸氧流量计，具备直观的适宜低流量麻醉的新鲜气体流量指示工具，具备麻药消耗速度显示和总消耗量统计，具备新鲜气体流量暂停功能，方便吸痰等操作</w:t>
            </w:r>
          </w:p>
          <w:p w14:paraId="55887EC9">
            <w:pPr>
              <w:snapToGrid w:val="0"/>
              <w:spacing w:line="300" w:lineRule="exact"/>
              <w:rPr>
                <w:rFonts w:hint="eastAsia" w:ascii="宋体" w:hAnsi="宋体" w:cs="宋体"/>
                <w:color w:val="000000"/>
                <w:sz w:val="24"/>
                <w:szCs w:val="24"/>
                <w:highlight w:val="yellow"/>
              </w:rPr>
            </w:pPr>
            <w:r>
              <w:rPr>
                <w:rFonts w:hint="eastAsia" w:ascii="宋体" w:hAnsi="宋体" w:cs="宋体"/>
                <w:color w:val="000000"/>
                <w:sz w:val="24"/>
                <w:szCs w:val="24"/>
                <w:highlight w:val="yellow"/>
              </w:rPr>
              <w:t>8.★具备高流量给氧功能，流量范围 0-60 L/min</w:t>
            </w:r>
          </w:p>
          <w:p w14:paraId="6827D6C1">
            <w:pPr>
              <w:snapToGrid w:val="0"/>
              <w:spacing w:line="300" w:lineRule="exact"/>
              <w:rPr>
                <w:rFonts w:hint="eastAsia" w:ascii="宋体" w:hAnsi="宋体" w:cs="宋体"/>
                <w:color w:val="000000"/>
                <w:sz w:val="24"/>
                <w:szCs w:val="24"/>
                <w:highlight w:val="yellow"/>
              </w:rPr>
            </w:pPr>
            <w:r>
              <w:rPr>
                <w:rFonts w:hint="eastAsia" w:ascii="宋体" w:hAnsi="宋体" w:cs="宋体"/>
                <w:color w:val="000000"/>
                <w:sz w:val="24"/>
                <w:szCs w:val="24"/>
                <w:highlight w:val="yellow"/>
              </w:rPr>
              <w:t>9.★标配双麻醉罐位</w:t>
            </w:r>
          </w:p>
          <w:p w14:paraId="79AEF228">
            <w:pPr>
              <w:snapToGrid w:val="0"/>
              <w:spacing w:line="300" w:lineRule="exact"/>
              <w:rPr>
                <w:rFonts w:ascii="宋体" w:hAnsi="宋体" w:cs="宋体"/>
                <w:color w:val="000000"/>
                <w:sz w:val="24"/>
                <w:szCs w:val="24"/>
              </w:rPr>
            </w:pPr>
            <w:r>
              <w:rPr>
                <w:rFonts w:hint="eastAsia" w:ascii="宋体" w:hAnsi="宋体" w:cs="宋体"/>
                <w:color w:val="000000"/>
                <w:sz w:val="24"/>
                <w:szCs w:val="24"/>
              </w:rPr>
              <w:t>10.回路部件(包括流量传感器)可以耐受≥120℃高温高压消毒</w:t>
            </w:r>
          </w:p>
          <w:p w14:paraId="3B8466F4">
            <w:pPr>
              <w:snapToGrid w:val="0"/>
              <w:spacing w:line="300" w:lineRule="exact"/>
              <w:rPr>
                <w:rFonts w:ascii="宋体" w:hAnsi="宋体" w:cs="宋体"/>
                <w:color w:val="000000"/>
                <w:sz w:val="24"/>
                <w:szCs w:val="24"/>
              </w:rPr>
            </w:pPr>
            <w:r>
              <w:rPr>
                <w:rFonts w:hint="eastAsia" w:ascii="宋体" w:hAnsi="宋体" w:cs="宋体"/>
                <w:color w:val="000000"/>
                <w:sz w:val="24"/>
                <w:szCs w:val="24"/>
              </w:rPr>
              <w:t>11.具备吸入端与呼出端双流量传感器，实现动态潮气量实时自动补偿功能，补偿新鲜气体变化、气体压缩、回路顺应性变化以及小的回路泄漏造成的吸入潮气量和设置潮气量的误差。具备内置第三基准流量传感器，用户可自行校准吸入和呼出端流量传感器</w:t>
            </w:r>
          </w:p>
          <w:p w14:paraId="2B6A6C29">
            <w:pPr>
              <w:snapToGrid w:val="0"/>
              <w:spacing w:line="300" w:lineRule="exact"/>
              <w:rPr>
                <w:rFonts w:ascii="宋体" w:hAnsi="宋体" w:cs="宋体"/>
                <w:color w:val="000000"/>
                <w:sz w:val="24"/>
                <w:szCs w:val="24"/>
              </w:rPr>
            </w:pPr>
            <w:r>
              <w:rPr>
                <w:rFonts w:hint="eastAsia" w:ascii="宋体" w:hAnsi="宋体" w:cs="宋体"/>
                <w:color w:val="000000"/>
                <w:sz w:val="24"/>
                <w:szCs w:val="24"/>
              </w:rPr>
              <w:t>12.★具有回路整体加温功能，保证回路不受积水影响</w:t>
            </w:r>
          </w:p>
          <w:p w14:paraId="4AB2FD6D">
            <w:pPr>
              <w:snapToGrid w:val="0"/>
              <w:spacing w:line="300" w:lineRule="exact"/>
              <w:rPr>
                <w:rFonts w:ascii="宋体" w:hAnsi="宋体" w:cs="宋体"/>
                <w:color w:val="000000"/>
                <w:sz w:val="24"/>
                <w:szCs w:val="24"/>
              </w:rPr>
            </w:pPr>
            <w:r>
              <w:rPr>
                <w:rFonts w:hint="eastAsia" w:ascii="宋体" w:hAnsi="宋体" w:cs="宋体"/>
                <w:color w:val="000000"/>
                <w:sz w:val="24"/>
                <w:szCs w:val="24"/>
              </w:rPr>
              <w:t>13.标配CO</w:t>
            </w:r>
            <w:r>
              <w:rPr>
                <w:rFonts w:hint="eastAsia" w:ascii="宋体" w:hAnsi="宋体" w:cs="宋体"/>
                <w:color w:val="000000"/>
                <w:sz w:val="24"/>
                <w:szCs w:val="24"/>
                <w:vertAlign w:val="subscript"/>
              </w:rPr>
              <w:t>2</w:t>
            </w:r>
            <w:r>
              <w:rPr>
                <w:rFonts w:hint="eastAsia" w:ascii="宋体" w:hAnsi="宋体" w:cs="宋体"/>
                <w:color w:val="000000"/>
                <w:sz w:val="24"/>
                <w:szCs w:val="24"/>
              </w:rPr>
              <w:t>旁路功能，在机械通气过程中，更换钠石灰罐无需关停机械通气，可方便直接更换</w:t>
            </w:r>
          </w:p>
          <w:p w14:paraId="1610F431">
            <w:pPr>
              <w:snapToGrid w:val="0"/>
              <w:spacing w:line="300" w:lineRule="exact"/>
              <w:rPr>
                <w:rFonts w:hint="eastAsia" w:ascii="宋体" w:hAnsi="宋体" w:cs="宋体"/>
                <w:color w:val="000000"/>
                <w:sz w:val="24"/>
                <w:szCs w:val="24"/>
                <w:highlight w:val="yellow"/>
              </w:rPr>
            </w:pPr>
            <w:r>
              <w:rPr>
                <w:rFonts w:hint="eastAsia" w:ascii="宋体" w:hAnsi="宋体" w:cs="宋体"/>
                <w:color w:val="000000"/>
                <w:sz w:val="24"/>
                <w:szCs w:val="24"/>
                <w:highlight w:val="yellow"/>
              </w:rPr>
              <w:t>14.提供辅助/控制通气，标配通气模式：VCV、PCV、压力控制容量保证通气（PCV-VG/AUTOFLOW ）和 SIMV （SIMV-VC、SIMV-PC）、PS 模式，支持升级高端通气模式 SIMV-VG、CPAP/PS、APRV模式</w:t>
            </w:r>
          </w:p>
          <w:p w14:paraId="5F24AA3A">
            <w:pPr>
              <w:snapToGrid w:val="0"/>
              <w:spacing w:line="300" w:lineRule="exact"/>
              <w:rPr>
                <w:rFonts w:ascii="宋体" w:hAnsi="宋体" w:cs="宋体"/>
                <w:color w:val="000000"/>
                <w:sz w:val="24"/>
                <w:szCs w:val="24"/>
              </w:rPr>
            </w:pPr>
            <w:r>
              <w:rPr>
                <w:rFonts w:hint="eastAsia" w:ascii="宋体" w:hAnsi="宋体" w:cs="宋体"/>
                <w:color w:val="000000"/>
                <w:sz w:val="24"/>
                <w:szCs w:val="24"/>
              </w:rPr>
              <w:t>15.具备心肺旁流模式CPB, 且心肺旁流模式可在手动通气模式和机控通气模式下启动</w:t>
            </w:r>
          </w:p>
          <w:p w14:paraId="5257552E">
            <w:pPr>
              <w:snapToGrid w:val="0"/>
              <w:spacing w:line="300" w:lineRule="exact"/>
              <w:rPr>
                <w:rFonts w:ascii="宋体" w:hAnsi="宋体" w:cs="宋体"/>
                <w:color w:val="000000"/>
                <w:sz w:val="24"/>
                <w:szCs w:val="24"/>
              </w:rPr>
            </w:pPr>
            <w:r>
              <w:rPr>
                <w:rFonts w:hint="eastAsia" w:ascii="宋体" w:hAnsi="宋体" w:cs="宋体"/>
                <w:color w:val="000000"/>
                <w:sz w:val="24"/>
                <w:szCs w:val="24"/>
              </w:rPr>
              <w:t>16.潮气量设置范围：</w:t>
            </w:r>
          </w:p>
          <w:p w14:paraId="11B4A51B">
            <w:pPr>
              <w:snapToGrid w:val="0"/>
              <w:spacing w:line="300" w:lineRule="exact"/>
              <w:rPr>
                <w:rFonts w:ascii="宋体" w:hAnsi="宋体" w:cs="宋体"/>
                <w:color w:val="000000"/>
                <w:sz w:val="24"/>
                <w:szCs w:val="24"/>
              </w:rPr>
            </w:pPr>
            <w:r>
              <w:rPr>
                <w:rFonts w:hint="eastAsia" w:ascii="宋体" w:hAnsi="宋体" w:cs="宋体"/>
                <w:color w:val="000000"/>
                <w:sz w:val="24"/>
                <w:szCs w:val="24"/>
              </w:rPr>
              <w:t>★（1）潮气量设置范围：5ml-1500ml（PCV模式），10ml-1500ml（VCV模式）</w:t>
            </w:r>
          </w:p>
          <w:p w14:paraId="7E0DBE3F">
            <w:pPr>
              <w:snapToGrid w:val="0"/>
              <w:spacing w:line="300" w:lineRule="exact"/>
              <w:rPr>
                <w:rFonts w:ascii="宋体" w:hAnsi="宋体" w:cs="宋体"/>
                <w:color w:val="000000"/>
                <w:sz w:val="24"/>
                <w:szCs w:val="24"/>
              </w:rPr>
            </w:pPr>
            <w:r>
              <w:rPr>
                <w:rFonts w:hint="eastAsia" w:ascii="宋体" w:hAnsi="宋体" w:cs="宋体"/>
                <w:color w:val="000000"/>
                <w:sz w:val="24"/>
                <w:szCs w:val="24"/>
              </w:rPr>
              <w:t>（2）潮气量监测范围：0到3000ml</w:t>
            </w:r>
          </w:p>
          <w:p w14:paraId="631DBDFE">
            <w:pPr>
              <w:snapToGrid w:val="0"/>
              <w:spacing w:line="300" w:lineRule="exact"/>
              <w:rPr>
                <w:rFonts w:ascii="宋体" w:hAnsi="宋体" w:cs="宋体"/>
                <w:color w:val="000000"/>
                <w:sz w:val="24"/>
                <w:szCs w:val="24"/>
              </w:rPr>
            </w:pPr>
            <w:r>
              <w:rPr>
                <w:rFonts w:hint="eastAsia" w:ascii="宋体" w:hAnsi="宋体" w:cs="宋体"/>
                <w:color w:val="000000"/>
                <w:sz w:val="24"/>
                <w:szCs w:val="24"/>
              </w:rPr>
              <w:t>（3）呼吸机吸气阀峰值流速：≥180 L/min；</w:t>
            </w:r>
          </w:p>
          <w:p w14:paraId="0232693B">
            <w:pPr>
              <w:snapToGrid w:val="0"/>
              <w:spacing w:line="300" w:lineRule="exact"/>
              <w:rPr>
                <w:rFonts w:ascii="宋体" w:hAnsi="宋体" w:cs="宋体"/>
                <w:color w:val="000000"/>
                <w:sz w:val="24"/>
                <w:szCs w:val="24"/>
              </w:rPr>
            </w:pPr>
            <w:r>
              <w:rPr>
                <w:rFonts w:hint="eastAsia" w:ascii="宋体" w:hAnsi="宋体" w:cs="宋体"/>
                <w:color w:val="000000"/>
                <w:sz w:val="24"/>
                <w:szCs w:val="24"/>
              </w:rPr>
              <w:t>（4）吸气压力设置范围：5-80 cmH</w:t>
            </w:r>
            <w:r>
              <w:rPr>
                <w:rFonts w:hint="eastAsia" w:ascii="宋体" w:hAnsi="宋体" w:cs="宋体"/>
                <w:color w:val="000000"/>
                <w:sz w:val="24"/>
                <w:szCs w:val="24"/>
                <w:vertAlign w:val="subscript"/>
              </w:rPr>
              <w:t>2</w:t>
            </w:r>
            <w:r>
              <w:rPr>
                <w:rFonts w:hint="eastAsia" w:ascii="宋体" w:hAnsi="宋体" w:cs="宋体"/>
                <w:color w:val="000000"/>
                <w:sz w:val="24"/>
                <w:szCs w:val="24"/>
              </w:rPr>
              <w:t>O （PEEP+）；</w:t>
            </w:r>
          </w:p>
          <w:p w14:paraId="7C8D1024">
            <w:pPr>
              <w:snapToGrid w:val="0"/>
              <w:spacing w:line="300" w:lineRule="exact"/>
              <w:rPr>
                <w:rFonts w:ascii="宋体" w:hAnsi="宋体" w:cs="宋体"/>
                <w:color w:val="000000"/>
                <w:sz w:val="24"/>
                <w:szCs w:val="24"/>
              </w:rPr>
            </w:pPr>
            <w:r>
              <w:rPr>
                <w:rFonts w:hint="eastAsia" w:ascii="宋体" w:hAnsi="宋体" w:cs="宋体"/>
                <w:color w:val="000000"/>
                <w:sz w:val="24"/>
                <w:szCs w:val="24"/>
              </w:rPr>
              <w:t>（5）吸呼比：4:1到1:8</w:t>
            </w:r>
          </w:p>
          <w:p w14:paraId="05ECBD8F">
            <w:pPr>
              <w:snapToGrid w:val="0"/>
              <w:spacing w:line="300" w:lineRule="exact"/>
              <w:rPr>
                <w:rFonts w:ascii="宋体" w:hAnsi="宋体" w:cs="宋体"/>
                <w:color w:val="000000"/>
                <w:sz w:val="24"/>
                <w:szCs w:val="24"/>
              </w:rPr>
            </w:pPr>
            <w:r>
              <w:rPr>
                <w:rFonts w:hint="eastAsia" w:ascii="宋体" w:hAnsi="宋体" w:cs="宋体"/>
                <w:color w:val="000000"/>
                <w:sz w:val="24"/>
                <w:szCs w:val="24"/>
              </w:rPr>
              <w:t>17.具有肺保护工具：支持两种复张手法——单周期和多周期，支持定时膨肺功能</w:t>
            </w:r>
          </w:p>
          <w:p w14:paraId="71BB259B">
            <w:pPr>
              <w:snapToGrid w:val="0"/>
              <w:spacing w:line="300" w:lineRule="exact"/>
              <w:rPr>
                <w:rFonts w:ascii="宋体" w:hAnsi="宋体" w:cs="宋体"/>
                <w:color w:val="000000"/>
                <w:sz w:val="24"/>
                <w:szCs w:val="24"/>
                <w:highlight w:val="yellow"/>
              </w:rPr>
            </w:pPr>
            <w:r>
              <w:rPr>
                <w:rFonts w:hint="eastAsia" w:ascii="宋体" w:hAnsi="宋体" w:cs="宋体"/>
                <w:color w:val="000000"/>
                <w:sz w:val="24"/>
                <w:szCs w:val="24"/>
                <w:highlight w:val="yellow"/>
              </w:rPr>
              <w:t>18.</w:t>
            </w:r>
          </w:p>
          <w:p w14:paraId="19CBCEEB">
            <w:pPr>
              <w:snapToGrid w:val="0"/>
              <w:spacing w:line="300" w:lineRule="exact"/>
              <w:rPr>
                <w:rFonts w:ascii="宋体" w:hAnsi="宋体" w:cs="宋体"/>
                <w:color w:val="000000"/>
                <w:sz w:val="24"/>
                <w:szCs w:val="24"/>
              </w:rPr>
            </w:pPr>
            <w:r>
              <w:rPr>
                <w:rFonts w:hint="eastAsia" w:ascii="宋体" w:hAnsi="宋体" w:cs="宋体"/>
                <w:color w:val="000000"/>
                <w:sz w:val="24"/>
                <w:szCs w:val="24"/>
              </w:rPr>
              <w:t>★19.麻醉机内置≥2个槽位插件槽，可直接热插拔插件</w:t>
            </w:r>
          </w:p>
          <w:p w14:paraId="58EA0391">
            <w:pPr>
              <w:snapToGrid w:val="0"/>
              <w:spacing w:line="300" w:lineRule="exact"/>
              <w:rPr>
                <w:rFonts w:ascii="宋体" w:hAnsi="宋体" w:cs="宋体"/>
                <w:color w:val="000000"/>
                <w:sz w:val="24"/>
                <w:szCs w:val="24"/>
              </w:rPr>
            </w:pPr>
            <w:r>
              <w:rPr>
                <w:rFonts w:hint="eastAsia" w:ascii="宋体" w:hAnsi="宋体" w:cs="宋体"/>
                <w:color w:val="000000"/>
                <w:sz w:val="24"/>
                <w:szCs w:val="24"/>
              </w:rPr>
              <w:t>20.配备插件：AG麻醉气体模块、 BIS、 EtCO</w:t>
            </w:r>
            <w:r>
              <w:rPr>
                <w:rFonts w:hint="eastAsia" w:ascii="宋体" w:hAnsi="宋体" w:cs="宋体"/>
                <w:color w:val="000000"/>
                <w:sz w:val="24"/>
                <w:szCs w:val="24"/>
                <w:vertAlign w:val="subscript"/>
              </w:rPr>
              <w:t>2</w:t>
            </w:r>
            <w:r>
              <w:rPr>
                <w:rFonts w:hint="eastAsia" w:ascii="宋体" w:hAnsi="宋体" w:cs="宋体"/>
                <w:color w:val="000000"/>
                <w:sz w:val="24"/>
                <w:szCs w:val="24"/>
              </w:rPr>
              <w:t>，可单独升级EtCO</w:t>
            </w:r>
            <w:r>
              <w:rPr>
                <w:rFonts w:hint="eastAsia" w:ascii="宋体" w:hAnsi="宋体" w:cs="宋体"/>
                <w:color w:val="000000"/>
                <w:sz w:val="24"/>
                <w:szCs w:val="24"/>
                <w:vertAlign w:val="subscript"/>
              </w:rPr>
              <w:t>2</w:t>
            </w:r>
            <w:r>
              <w:rPr>
                <w:rFonts w:hint="eastAsia" w:ascii="宋体" w:hAnsi="宋体" w:cs="宋体"/>
                <w:color w:val="000000"/>
                <w:sz w:val="24"/>
                <w:szCs w:val="24"/>
              </w:rPr>
              <w:t>插件，</w:t>
            </w:r>
          </w:p>
          <w:p w14:paraId="150EF12A">
            <w:pPr>
              <w:snapToGrid w:val="0"/>
              <w:spacing w:line="300" w:lineRule="exact"/>
              <w:rPr>
                <w:rFonts w:ascii="宋体" w:hAnsi="宋体" w:cs="宋体"/>
                <w:color w:val="000000"/>
                <w:sz w:val="24"/>
                <w:szCs w:val="24"/>
              </w:rPr>
            </w:pPr>
            <w:r>
              <w:rPr>
                <w:rFonts w:hint="eastAsia" w:ascii="宋体" w:hAnsi="宋体" w:cs="宋体"/>
                <w:color w:val="000000"/>
                <w:sz w:val="24"/>
                <w:szCs w:val="24"/>
              </w:rPr>
              <w:t>21.麻醉工作站可提供标准HL7协议，与院方信息实现实时通讯，信息连接。</w:t>
            </w:r>
          </w:p>
          <w:p w14:paraId="6B485A9F">
            <w:pPr>
              <w:snapToGrid w:val="0"/>
              <w:spacing w:line="300" w:lineRule="exact"/>
              <w:rPr>
                <w:rFonts w:ascii="宋体" w:hAnsi="宋体" w:cs="宋体"/>
                <w:color w:val="000000"/>
                <w:sz w:val="24"/>
                <w:szCs w:val="24"/>
              </w:rPr>
            </w:pPr>
            <w:r>
              <w:rPr>
                <w:rFonts w:hint="eastAsia" w:ascii="宋体" w:hAnsi="宋体" w:cs="宋体"/>
                <w:color w:val="000000"/>
                <w:sz w:val="24"/>
                <w:szCs w:val="24"/>
              </w:rPr>
              <w:t>三、配置要求：</w:t>
            </w:r>
          </w:p>
          <w:p w14:paraId="19946881">
            <w:pPr>
              <w:snapToGrid w:val="0"/>
              <w:spacing w:line="300" w:lineRule="exact"/>
              <w:rPr>
                <w:rFonts w:ascii="宋体" w:hAnsi="宋体" w:cs="宋体"/>
                <w:color w:val="000000"/>
                <w:sz w:val="24"/>
                <w:szCs w:val="24"/>
              </w:rPr>
            </w:pPr>
            <w:r>
              <w:rPr>
                <w:rFonts w:hint="eastAsia" w:ascii="宋体" w:hAnsi="宋体" w:cs="宋体"/>
                <w:color w:val="000000"/>
                <w:sz w:val="24"/>
                <w:szCs w:val="24"/>
              </w:rPr>
              <w:t>麻醉机1套；</w:t>
            </w:r>
          </w:p>
          <w:p w14:paraId="639514B3">
            <w:pPr>
              <w:snapToGrid w:val="0"/>
              <w:spacing w:line="300" w:lineRule="exact"/>
              <w:rPr>
                <w:rFonts w:ascii="宋体" w:hAnsi="宋体" w:cs="宋体"/>
                <w:color w:val="000000"/>
                <w:sz w:val="24"/>
                <w:szCs w:val="24"/>
              </w:rPr>
            </w:pPr>
            <w:r>
              <w:rPr>
                <w:rFonts w:hint="eastAsia" w:ascii="宋体" w:hAnsi="宋体" w:cs="宋体"/>
                <w:color w:val="000000"/>
                <w:sz w:val="24"/>
                <w:szCs w:val="24"/>
              </w:rPr>
              <w:t>配套附件（电源线、保修卡、说明书）1套。</w:t>
            </w:r>
          </w:p>
        </w:tc>
      </w:tr>
      <w:tr w14:paraId="50C5BA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tcBorders>
              <w:top w:val="single" w:color="auto" w:sz="4" w:space="0"/>
              <w:left w:val="single" w:color="auto" w:sz="4" w:space="0"/>
              <w:bottom w:val="single" w:color="auto" w:sz="4" w:space="0"/>
              <w:right w:val="single" w:color="auto" w:sz="4" w:space="0"/>
            </w:tcBorders>
            <w:vAlign w:val="center"/>
          </w:tcPr>
          <w:p w14:paraId="171FD4FF">
            <w:pPr>
              <w:snapToGrid w:val="0"/>
              <w:spacing w:line="360" w:lineRule="auto"/>
              <w:jc w:val="center"/>
              <w:rPr>
                <w:rFonts w:ascii="宋体" w:hAnsi="宋体" w:cs="宋体"/>
                <w:sz w:val="24"/>
                <w:szCs w:val="24"/>
              </w:rPr>
            </w:pPr>
            <w:r>
              <w:rPr>
                <w:rFonts w:hint="eastAsia" w:ascii="宋体" w:hAnsi="宋体" w:cs="宋体"/>
                <w:sz w:val="24"/>
                <w:szCs w:val="24"/>
              </w:rPr>
              <w:t>3</w:t>
            </w:r>
          </w:p>
        </w:tc>
        <w:tc>
          <w:tcPr>
            <w:tcW w:w="704" w:type="pct"/>
            <w:tcBorders>
              <w:top w:val="single" w:color="auto" w:sz="4" w:space="0"/>
              <w:left w:val="single" w:color="auto" w:sz="4" w:space="0"/>
              <w:bottom w:val="single" w:color="auto" w:sz="4" w:space="0"/>
              <w:right w:val="single" w:color="auto" w:sz="4" w:space="0"/>
            </w:tcBorders>
            <w:vAlign w:val="center"/>
          </w:tcPr>
          <w:p w14:paraId="7ECBAEA9">
            <w:pPr>
              <w:snapToGrid w:val="0"/>
              <w:spacing w:line="360" w:lineRule="auto"/>
              <w:jc w:val="center"/>
              <w:rPr>
                <w:rFonts w:ascii="宋体" w:hAnsi="宋体" w:cs="宋体"/>
                <w:sz w:val="24"/>
                <w:szCs w:val="24"/>
              </w:rPr>
            </w:pPr>
            <w:r>
              <w:rPr>
                <w:rFonts w:hint="eastAsia" w:ascii="宋体" w:hAnsi="宋体" w:cs="宋体"/>
                <w:sz w:val="24"/>
                <w:szCs w:val="24"/>
              </w:rPr>
              <w:t>麻醉机（3）</w:t>
            </w:r>
          </w:p>
        </w:tc>
        <w:tc>
          <w:tcPr>
            <w:tcW w:w="390" w:type="pct"/>
            <w:tcBorders>
              <w:top w:val="single" w:color="auto" w:sz="4" w:space="0"/>
              <w:left w:val="single" w:color="auto" w:sz="4" w:space="0"/>
              <w:bottom w:val="single" w:color="auto" w:sz="4" w:space="0"/>
              <w:right w:val="single" w:color="auto" w:sz="4" w:space="0"/>
            </w:tcBorders>
            <w:vAlign w:val="center"/>
          </w:tcPr>
          <w:p w14:paraId="1DB37A0A">
            <w:pPr>
              <w:jc w:val="center"/>
              <w:rPr>
                <w:rFonts w:cs="宋体"/>
                <w:color w:val="000000"/>
                <w:kern w:val="0"/>
                <w:sz w:val="24"/>
                <w:szCs w:val="21"/>
              </w:rPr>
            </w:pPr>
            <w:r>
              <w:rPr>
                <w:rFonts w:hint="eastAsia" w:ascii="宋体" w:hAnsi="宋体" w:cs="宋体"/>
                <w:sz w:val="24"/>
                <w:szCs w:val="24"/>
              </w:rPr>
              <w:t>台</w:t>
            </w:r>
          </w:p>
        </w:tc>
        <w:tc>
          <w:tcPr>
            <w:tcW w:w="439" w:type="pct"/>
            <w:tcBorders>
              <w:top w:val="single" w:color="auto" w:sz="4" w:space="0"/>
              <w:left w:val="single" w:color="auto" w:sz="4" w:space="0"/>
              <w:bottom w:val="single" w:color="auto" w:sz="4" w:space="0"/>
              <w:right w:val="single" w:color="auto" w:sz="4" w:space="0"/>
            </w:tcBorders>
            <w:vAlign w:val="center"/>
          </w:tcPr>
          <w:p w14:paraId="7A9A05D9">
            <w:pPr>
              <w:snapToGrid w:val="0"/>
              <w:spacing w:line="360" w:lineRule="auto"/>
              <w:jc w:val="center"/>
              <w:rPr>
                <w:rFonts w:ascii="宋体" w:hAnsi="宋体" w:cs="宋体"/>
                <w:sz w:val="24"/>
                <w:szCs w:val="24"/>
              </w:rPr>
            </w:pPr>
            <w:r>
              <w:rPr>
                <w:rFonts w:hint="eastAsia" w:ascii="宋体" w:hAnsi="宋体" w:cs="宋体"/>
                <w:sz w:val="24"/>
                <w:szCs w:val="24"/>
              </w:rPr>
              <w:t>1</w:t>
            </w:r>
          </w:p>
        </w:tc>
        <w:tc>
          <w:tcPr>
            <w:tcW w:w="3033" w:type="pct"/>
            <w:tcBorders>
              <w:top w:val="single" w:color="auto" w:sz="4" w:space="0"/>
              <w:left w:val="single" w:color="auto" w:sz="4" w:space="0"/>
              <w:bottom w:val="single" w:color="auto" w:sz="4" w:space="0"/>
              <w:right w:val="single" w:color="auto" w:sz="4" w:space="0"/>
            </w:tcBorders>
          </w:tcPr>
          <w:p w14:paraId="02833182">
            <w:pPr>
              <w:snapToGrid w:val="0"/>
              <w:spacing w:line="300" w:lineRule="exact"/>
              <w:rPr>
                <w:rFonts w:ascii="宋体" w:hAnsi="宋体" w:cs="宋体"/>
                <w:color w:val="000000"/>
                <w:sz w:val="24"/>
                <w:szCs w:val="24"/>
              </w:rPr>
            </w:pPr>
            <w:r>
              <w:rPr>
                <w:rFonts w:hint="eastAsia" w:ascii="宋体" w:hAnsi="宋体" w:cs="宋体"/>
                <w:color w:val="000000"/>
                <w:sz w:val="24"/>
                <w:szCs w:val="24"/>
              </w:rPr>
              <w:t>一、产品用途：</w:t>
            </w:r>
          </w:p>
          <w:p w14:paraId="7B4A279C">
            <w:pPr>
              <w:snapToGrid w:val="0"/>
              <w:spacing w:line="300" w:lineRule="exact"/>
              <w:rPr>
                <w:rFonts w:ascii="宋体" w:hAnsi="宋体" w:cs="宋体"/>
                <w:color w:val="000000"/>
                <w:sz w:val="24"/>
                <w:szCs w:val="24"/>
              </w:rPr>
            </w:pPr>
            <w:r>
              <w:rPr>
                <w:rFonts w:hint="eastAsia" w:ascii="宋体" w:hAnsi="宋体" w:cs="宋体"/>
                <w:color w:val="000000"/>
                <w:sz w:val="24"/>
                <w:szCs w:val="24"/>
              </w:rPr>
              <w:t>1.用于围术期为患者提供全身麻醉及复苏过程中麻药输送</w:t>
            </w:r>
            <w:r>
              <w:rPr>
                <w:rFonts w:hint="eastAsia" w:ascii="宋体" w:hAnsi="宋体" w:cs="宋体"/>
                <w:sz w:val="24"/>
                <w:szCs w:val="24"/>
              </w:rPr>
              <w:t>及通气支持，</w:t>
            </w:r>
            <w:r>
              <w:rPr>
                <w:rFonts w:hint="eastAsia" w:ascii="宋体" w:hAnsi="宋体" w:cs="宋体"/>
                <w:color w:val="000000"/>
                <w:sz w:val="24"/>
                <w:szCs w:val="24"/>
              </w:rPr>
              <w:t>全面保障患者围术期安全，为临床提供辅助临床决策工具，提升工作效率</w:t>
            </w:r>
          </w:p>
          <w:p w14:paraId="4A1AB6BC">
            <w:pPr>
              <w:snapToGrid w:val="0"/>
              <w:spacing w:line="300" w:lineRule="exact"/>
              <w:rPr>
                <w:rFonts w:ascii="宋体" w:hAnsi="宋体" w:cs="宋体"/>
                <w:color w:val="000000"/>
                <w:sz w:val="24"/>
                <w:szCs w:val="24"/>
              </w:rPr>
            </w:pPr>
            <w:r>
              <w:rPr>
                <w:rFonts w:hint="eastAsia" w:ascii="宋体" w:hAnsi="宋体" w:cs="宋体"/>
                <w:color w:val="000000"/>
                <w:sz w:val="24"/>
                <w:szCs w:val="24"/>
              </w:rPr>
              <w:t>二、技术参数：</w:t>
            </w:r>
          </w:p>
          <w:p w14:paraId="1D371734">
            <w:pPr>
              <w:snapToGrid w:val="0"/>
              <w:spacing w:line="300" w:lineRule="exact"/>
              <w:rPr>
                <w:rFonts w:ascii="宋体" w:hAnsi="宋体" w:cs="宋体"/>
                <w:color w:val="000000"/>
                <w:sz w:val="24"/>
                <w:szCs w:val="24"/>
                <w:highlight w:val="yellow"/>
              </w:rPr>
            </w:pPr>
            <w:r>
              <w:rPr>
                <w:rFonts w:hint="eastAsia" w:ascii="宋体" w:hAnsi="宋体" w:cs="宋体"/>
                <w:color w:val="000000"/>
                <w:sz w:val="24"/>
                <w:szCs w:val="24"/>
                <w:highlight w:val="yellow"/>
              </w:rPr>
              <w:t>1.用于对成人、儿童/小儿、新生儿的吸入麻醉及呼吸管理</w:t>
            </w:r>
          </w:p>
          <w:p w14:paraId="5F801F59">
            <w:pPr>
              <w:snapToGrid w:val="0"/>
              <w:spacing w:line="300" w:lineRule="exact"/>
              <w:rPr>
                <w:rFonts w:ascii="宋体" w:hAnsi="宋体" w:cs="宋体"/>
                <w:color w:val="000000"/>
                <w:sz w:val="24"/>
                <w:szCs w:val="24"/>
              </w:rPr>
            </w:pPr>
            <w:r>
              <w:rPr>
                <w:rFonts w:hint="eastAsia" w:ascii="宋体" w:hAnsi="宋体" w:cs="宋体"/>
                <w:color w:val="000000"/>
                <w:sz w:val="24"/>
                <w:szCs w:val="24"/>
              </w:rPr>
              <w:t>★2.采用气动电控或电动电控呼吸机，全中文操作和显示，屏幕尺寸≥15英寸，彩色触摸屏，支持手势操作，可同屏显示波形和呼吸环图</w:t>
            </w:r>
          </w:p>
          <w:p w14:paraId="5CF8AED6">
            <w:pPr>
              <w:snapToGrid w:val="0"/>
              <w:spacing w:line="300" w:lineRule="exact"/>
              <w:rPr>
                <w:rFonts w:ascii="宋体" w:hAnsi="宋体" w:cs="宋体"/>
                <w:color w:val="000000"/>
                <w:sz w:val="24"/>
                <w:szCs w:val="24"/>
              </w:rPr>
            </w:pPr>
            <w:r>
              <w:rPr>
                <w:rFonts w:hint="eastAsia" w:ascii="宋体" w:hAnsi="宋体" w:cs="宋体"/>
                <w:color w:val="000000"/>
                <w:sz w:val="24"/>
                <w:szCs w:val="24"/>
              </w:rPr>
              <w:t>3.同屏幕≥4通道波形显示（压力时间波形，流速时间波形，容量时间波形， CO</w:t>
            </w:r>
            <w:r>
              <w:rPr>
                <w:rFonts w:hint="eastAsia" w:ascii="宋体" w:hAnsi="宋体" w:cs="宋体"/>
                <w:color w:val="000000"/>
                <w:sz w:val="24"/>
                <w:szCs w:val="24"/>
                <w:vertAlign w:val="subscript"/>
              </w:rPr>
              <w:t>2</w:t>
            </w:r>
            <w:r>
              <w:rPr>
                <w:rFonts w:hint="eastAsia" w:ascii="宋体" w:hAnsi="宋体" w:cs="宋体"/>
                <w:color w:val="000000"/>
                <w:sz w:val="24"/>
                <w:szCs w:val="24"/>
              </w:rPr>
              <w:t>或麻醉气体浓度波形）</w:t>
            </w:r>
          </w:p>
          <w:p w14:paraId="04A81BB2">
            <w:pPr>
              <w:snapToGrid w:val="0"/>
              <w:spacing w:line="300" w:lineRule="exact"/>
              <w:rPr>
                <w:rFonts w:ascii="宋体" w:hAnsi="宋体" w:cs="宋体"/>
                <w:color w:val="000000"/>
                <w:sz w:val="24"/>
                <w:szCs w:val="24"/>
              </w:rPr>
            </w:pPr>
            <w:r>
              <w:rPr>
                <w:rFonts w:hint="eastAsia" w:ascii="宋体" w:hAnsi="宋体" w:cs="宋体"/>
                <w:color w:val="000000"/>
                <w:sz w:val="24"/>
                <w:szCs w:val="24"/>
              </w:rPr>
              <w:t>4.标配≥4个辅助电源接口</w:t>
            </w:r>
          </w:p>
          <w:p w14:paraId="4DD26AFF">
            <w:pPr>
              <w:snapToGrid w:val="0"/>
              <w:spacing w:line="300" w:lineRule="exact"/>
              <w:rPr>
                <w:rFonts w:ascii="宋体" w:hAnsi="宋体" w:cs="宋体"/>
                <w:color w:val="000000"/>
                <w:sz w:val="24"/>
                <w:szCs w:val="24"/>
              </w:rPr>
            </w:pPr>
            <w:r>
              <w:rPr>
                <w:rFonts w:hint="eastAsia" w:ascii="宋体" w:hAnsi="宋体" w:cs="宋体"/>
                <w:color w:val="000000"/>
                <w:sz w:val="24"/>
                <w:szCs w:val="24"/>
              </w:rPr>
              <w:t>5.标配氧气、空气两气源，具备氧笑联动系统，保证接入氧气和笑气时氧浓度不低于25%，快速充氧范围25-75 L/min</w:t>
            </w:r>
          </w:p>
          <w:p w14:paraId="7C05364E">
            <w:pPr>
              <w:snapToGrid w:val="0"/>
              <w:spacing w:line="300" w:lineRule="exact"/>
              <w:rPr>
                <w:rFonts w:hint="eastAsia" w:ascii="宋体" w:hAnsi="宋体" w:cs="宋体"/>
                <w:color w:val="000000"/>
                <w:sz w:val="24"/>
                <w:szCs w:val="24"/>
                <w:highlight w:val="yellow"/>
              </w:rPr>
            </w:pPr>
            <w:r>
              <w:rPr>
                <w:rFonts w:hint="eastAsia" w:ascii="宋体" w:hAnsi="宋体" w:cs="宋体"/>
                <w:color w:val="000000"/>
                <w:sz w:val="24"/>
                <w:szCs w:val="24"/>
                <w:highlight w:val="yellow"/>
              </w:rPr>
              <w:t>6.★全电子流量计 ，可直接设置氧浓度和总流量</w:t>
            </w:r>
          </w:p>
          <w:p w14:paraId="7093245D">
            <w:pPr>
              <w:snapToGrid w:val="0"/>
              <w:spacing w:line="300" w:lineRule="exact"/>
              <w:rPr>
                <w:rFonts w:ascii="宋体" w:hAnsi="宋体" w:cs="宋体"/>
                <w:color w:val="000000"/>
                <w:sz w:val="24"/>
                <w:szCs w:val="24"/>
              </w:rPr>
            </w:pPr>
            <w:r>
              <w:rPr>
                <w:rFonts w:hint="eastAsia" w:ascii="宋体" w:hAnsi="宋体" w:cs="宋体"/>
                <w:color w:val="000000"/>
                <w:sz w:val="24"/>
                <w:szCs w:val="24"/>
              </w:rPr>
              <w:t>7.具备备用流量计，具备辅助吸氧流量计，具备直观的适宜低流量麻醉的新鲜气体流量指示工具，具备麻药消耗速度显示和总消耗量统计，具备新鲜气体流量暂停功能，方便吸痰等操作</w:t>
            </w:r>
          </w:p>
          <w:p w14:paraId="3DDDAC79">
            <w:pPr>
              <w:snapToGrid w:val="0"/>
              <w:spacing w:line="300" w:lineRule="exact"/>
              <w:rPr>
                <w:rFonts w:hint="eastAsia" w:ascii="宋体" w:hAnsi="宋体" w:cs="宋体"/>
                <w:color w:val="000000"/>
                <w:sz w:val="24"/>
                <w:szCs w:val="24"/>
                <w:highlight w:val="yellow"/>
              </w:rPr>
            </w:pPr>
            <w:r>
              <w:rPr>
                <w:rFonts w:hint="eastAsia" w:ascii="宋体" w:hAnsi="宋体" w:cs="宋体"/>
                <w:color w:val="000000"/>
                <w:sz w:val="24"/>
                <w:szCs w:val="24"/>
                <w:highlight w:val="yellow"/>
              </w:rPr>
              <w:t>8.★具备高流量给氧功能，流量范围 0-60 L/min</w:t>
            </w:r>
          </w:p>
          <w:p w14:paraId="01188C7F">
            <w:pPr>
              <w:snapToGrid w:val="0"/>
              <w:spacing w:line="300" w:lineRule="exact"/>
              <w:rPr>
                <w:rFonts w:hint="eastAsia" w:ascii="宋体" w:hAnsi="宋体" w:cs="宋体"/>
                <w:color w:val="000000"/>
                <w:sz w:val="24"/>
                <w:szCs w:val="24"/>
                <w:highlight w:val="yellow"/>
              </w:rPr>
            </w:pPr>
            <w:r>
              <w:rPr>
                <w:rFonts w:hint="eastAsia" w:ascii="宋体" w:hAnsi="宋体" w:cs="宋体"/>
                <w:color w:val="000000"/>
                <w:sz w:val="24"/>
                <w:szCs w:val="24"/>
                <w:highlight w:val="yellow"/>
              </w:rPr>
              <w:t>9.★标配双麻醉罐位</w:t>
            </w:r>
          </w:p>
          <w:p w14:paraId="2154879F">
            <w:pPr>
              <w:snapToGrid w:val="0"/>
              <w:spacing w:line="300" w:lineRule="exact"/>
              <w:rPr>
                <w:rFonts w:ascii="宋体" w:hAnsi="宋体" w:cs="宋体"/>
                <w:color w:val="000000"/>
                <w:sz w:val="24"/>
                <w:szCs w:val="24"/>
              </w:rPr>
            </w:pPr>
            <w:r>
              <w:rPr>
                <w:rFonts w:hint="eastAsia" w:ascii="宋体" w:hAnsi="宋体" w:cs="宋体"/>
                <w:color w:val="000000"/>
                <w:sz w:val="24"/>
                <w:szCs w:val="24"/>
              </w:rPr>
              <w:t>10.回路部件(包括流量传感器)可以耐受≥120℃高温高压消毒</w:t>
            </w:r>
          </w:p>
          <w:p w14:paraId="1A73D10F">
            <w:pPr>
              <w:snapToGrid w:val="0"/>
              <w:spacing w:line="300" w:lineRule="exact"/>
              <w:rPr>
                <w:rFonts w:ascii="宋体" w:hAnsi="宋体" w:cs="宋体"/>
                <w:color w:val="000000"/>
                <w:sz w:val="24"/>
                <w:szCs w:val="24"/>
              </w:rPr>
            </w:pPr>
            <w:r>
              <w:rPr>
                <w:rFonts w:hint="eastAsia" w:ascii="宋体" w:hAnsi="宋体" w:cs="宋体"/>
                <w:color w:val="000000"/>
                <w:sz w:val="24"/>
                <w:szCs w:val="24"/>
              </w:rPr>
              <w:t>11.具备吸入端与呼出端双流量传感器，实现动态潮气量实时自动补偿功能，补偿新鲜气体变化、气体压缩、回路顺应性变化以及小的回路泄漏造成的吸入潮气量和设置潮气量的误差。具备内置第三基准流量传感器，用户可自行校准吸入和呼出端流量传感器</w:t>
            </w:r>
          </w:p>
          <w:p w14:paraId="68C8561D">
            <w:pPr>
              <w:snapToGrid w:val="0"/>
              <w:spacing w:line="300" w:lineRule="exact"/>
              <w:rPr>
                <w:rFonts w:ascii="宋体" w:hAnsi="宋体" w:cs="宋体"/>
                <w:color w:val="000000"/>
                <w:sz w:val="24"/>
                <w:szCs w:val="24"/>
              </w:rPr>
            </w:pPr>
            <w:r>
              <w:rPr>
                <w:rFonts w:hint="eastAsia" w:ascii="宋体" w:hAnsi="宋体" w:cs="宋体"/>
                <w:color w:val="000000"/>
                <w:sz w:val="24"/>
                <w:szCs w:val="24"/>
              </w:rPr>
              <w:t>★12.具有回路整体加温功能，保证回路不受积水影响</w:t>
            </w:r>
          </w:p>
          <w:p w14:paraId="1A89F8D6">
            <w:pPr>
              <w:snapToGrid w:val="0"/>
              <w:spacing w:line="300" w:lineRule="exact"/>
              <w:rPr>
                <w:rFonts w:ascii="宋体" w:hAnsi="宋体" w:cs="宋体"/>
                <w:color w:val="000000"/>
                <w:sz w:val="24"/>
                <w:szCs w:val="24"/>
              </w:rPr>
            </w:pPr>
            <w:r>
              <w:rPr>
                <w:rFonts w:hint="eastAsia" w:ascii="宋体" w:hAnsi="宋体" w:cs="宋体"/>
                <w:color w:val="000000"/>
                <w:sz w:val="24"/>
                <w:szCs w:val="24"/>
              </w:rPr>
              <w:t>13.标配CO</w:t>
            </w:r>
            <w:r>
              <w:rPr>
                <w:rFonts w:hint="eastAsia" w:ascii="宋体" w:hAnsi="宋体" w:cs="宋体"/>
                <w:color w:val="000000"/>
                <w:sz w:val="24"/>
                <w:szCs w:val="24"/>
                <w:vertAlign w:val="subscript"/>
              </w:rPr>
              <w:t>2</w:t>
            </w:r>
            <w:r>
              <w:rPr>
                <w:rFonts w:hint="eastAsia" w:ascii="宋体" w:hAnsi="宋体" w:cs="宋体"/>
                <w:color w:val="000000"/>
                <w:sz w:val="24"/>
                <w:szCs w:val="24"/>
              </w:rPr>
              <w:t>旁路功能，在机械通气过程中，更换钠石灰罐无需关停机械通气，可方便直接更换</w:t>
            </w:r>
          </w:p>
          <w:p w14:paraId="61E9812B">
            <w:pPr>
              <w:snapToGrid w:val="0"/>
              <w:spacing w:line="300" w:lineRule="exact"/>
              <w:rPr>
                <w:rFonts w:hint="eastAsia" w:ascii="宋体" w:hAnsi="宋体" w:cs="宋体"/>
                <w:color w:val="000000"/>
                <w:sz w:val="24"/>
                <w:szCs w:val="24"/>
                <w:highlight w:val="yellow"/>
              </w:rPr>
            </w:pPr>
            <w:r>
              <w:rPr>
                <w:rFonts w:hint="eastAsia" w:ascii="宋体" w:hAnsi="宋体" w:cs="宋体"/>
                <w:color w:val="000000"/>
                <w:sz w:val="24"/>
                <w:szCs w:val="24"/>
                <w:highlight w:val="yellow"/>
              </w:rPr>
              <w:t>14.提供辅助/控制通气，标配通气模式：VCV、PCV、压力控制容量保证通气（PCV-VG/AUTOFLOW ）和 SIMV （SIMV-VC、SIMV-PC）、PS 模式，支持升级高端通气模式 SIMV-VG、CPAP/PS、APRV模式</w:t>
            </w:r>
          </w:p>
          <w:p w14:paraId="55287547">
            <w:pPr>
              <w:snapToGrid w:val="0"/>
              <w:spacing w:line="300" w:lineRule="exact"/>
              <w:rPr>
                <w:rFonts w:ascii="宋体" w:hAnsi="宋体" w:cs="宋体"/>
                <w:color w:val="000000"/>
                <w:sz w:val="24"/>
                <w:szCs w:val="24"/>
              </w:rPr>
            </w:pPr>
            <w:r>
              <w:rPr>
                <w:rFonts w:hint="eastAsia" w:ascii="宋体" w:hAnsi="宋体" w:cs="宋体"/>
                <w:color w:val="000000"/>
                <w:sz w:val="24"/>
                <w:szCs w:val="24"/>
              </w:rPr>
              <w:t>15.具备心肺旁流模式CPB, 且心肺旁流模式可在手动通气模式和机控通气模式下启动</w:t>
            </w:r>
          </w:p>
          <w:p w14:paraId="17A70210">
            <w:pPr>
              <w:snapToGrid w:val="0"/>
              <w:spacing w:line="300" w:lineRule="exact"/>
              <w:rPr>
                <w:rFonts w:ascii="宋体" w:hAnsi="宋体" w:cs="宋体"/>
                <w:color w:val="000000"/>
                <w:sz w:val="24"/>
                <w:szCs w:val="24"/>
              </w:rPr>
            </w:pPr>
            <w:r>
              <w:rPr>
                <w:rFonts w:hint="eastAsia" w:ascii="宋体" w:hAnsi="宋体" w:cs="宋体"/>
                <w:color w:val="000000"/>
                <w:sz w:val="24"/>
                <w:szCs w:val="24"/>
              </w:rPr>
              <w:t>16.潮气量设置范围：</w:t>
            </w:r>
          </w:p>
          <w:p w14:paraId="3B4FEAE6">
            <w:pPr>
              <w:snapToGrid w:val="0"/>
              <w:spacing w:line="300" w:lineRule="exact"/>
              <w:rPr>
                <w:rFonts w:ascii="宋体" w:hAnsi="宋体" w:cs="宋体"/>
                <w:color w:val="000000"/>
                <w:sz w:val="24"/>
                <w:szCs w:val="24"/>
              </w:rPr>
            </w:pPr>
            <w:r>
              <w:rPr>
                <w:rFonts w:hint="eastAsia" w:ascii="宋体" w:hAnsi="宋体" w:cs="宋体"/>
                <w:color w:val="000000"/>
                <w:sz w:val="24"/>
                <w:szCs w:val="24"/>
              </w:rPr>
              <w:t>★（1）潮气量设置范围：5ml-1500ml（PCV模式），10ml-1500ml（VCV模式）</w:t>
            </w:r>
          </w:p>
          <w:p w14:paraId="4FBBC87F">
            <w:pPr>
              <w:snapToGrid w:val="0"/>
              <w:spacing w:line="300" w:lineRule="exact"/>
              <w:rPr>
                <w:rFonts w:ascii="宋体" w:hAnsi="宋体" w:cs="宋体"/>
                <w:color w:val="000000"/>
                <w:sz w:val="24"/>
                <w:szCs w:val="24"/>
              </w:rPr>
            </w:pPr>
            <w:r>
              <w:rPr>
                <w:rFonts w:hint="eastAsia" w:ascii="宋体" w:hAnsi="宋体" w:cs="宋体"/>
                <w:color w:val="000000"/>
                <w:sz w:val="24"/>
                <w:szCs w:val="24"/>
              </w:rPr>
              <w:t>（2）潮气量监测范围：0到3000ml</w:t>
            </w:r>
          </w:p>
          <w:p w14:paraId="26C16EB8">
            <w:pPr>
              <w:snapToGrid w:val="0"/>
              <w:spacing w:line="300" w:lineRule="exact"/>
              <w:rPr>
                <w:rFonts w:ascii="宋体" w:hAnsi="宋体" w:cs="宋体"/>
                <w:color w:val="000000"/>
                <w:sz w:val="24"/>
                <w:szCs w:val="24"/>
              </w:rPr>
            </w:pPr>
            <w:r>
              <w:rPr>
                <w:rFonts w:hint="eastAsia" w:ascii="宋体" w:hAnsi="宋体" w:cs="宋体"/>
                <w:color w:val="000000"/>
                <w:sz w:val="24"/>
                <w:szCs w:val="24"/>
              </w:rPr>
              <w:t>（3）呼吸机吸气阀峰值流速：≥180 L/min；</w:t>
            </w:r>
          </w:p>
          <w:p w14:paraId="4BB0CE31">
            <w:pPr>
              <w:snapToGrid w:val="0"/>
              <w:spacing w:line="300" w:lineRule="exact"/>
              <w:rPr>
                <w:rFonts w:ascii="宋体" w:hAnsi="宋体" w:cs="宋体"/>
                <w:color w:val="000000"/>
                <w:sz w:val="24"/>
                <w:szCs w:val="24"/>
              </w:rPr>
            </w:pPr>
            <w:r>
              <w:rPr>
                <w:rFonts w:hint="eastAsia" w:ascii="宋体" w:hAnsi="宋体" w:cs="宋体"/>
                <w:color w:val="000000"/>
                <w:sz w:val="24"/>
                <w:szCs w:val="24"/>
              </w:rPr>
              <w:t>（4）吸气压力设置范围：5-80 cmH</w:t>
            </w:r>
            <w:r>
              <w:rPr>
                <w:rFonts w:hint="eastAsia" w:ascii="宋体" w:hAnsi="宋体" w:cs="宋体"/>
                <w:color w:val="000000"/>
                <w:sz w:val="24"/>
                <w:szCs w:val="24"/>
                <w:vertAlign w:val="subscript"/>
              </w:rPr>
              <w:t>2</w:t>
            </w:r>
            <w:r>
              <w:rPr>
                <w:rFonts w:hint="eastAsia" w:ascii="宋体" w:hAnsi="宋体" w:cs="宋体"/>
                <w:color w:val="000000"/>
                <w:sz w:val="24"/>
                <w:szCs w:val="24"/>
              </w:rPr>
              <w:t>O （PEEP+）；</w:t>
            </w:r>
          </w:p>
          <w:p w14:paraId="472C1F54">
            <w:pPr>
              <w:snapToGrid w:val="0"/>
              <w:spacing w:line="300" w:lineRule="exact"/>
              <w:rPr>
                <w:rFonts w:ascii="宋体" w:hAnsi="宋体" w:cs="宋体"/>
                <w:color w:val="000000"/>
                <w:sz w:val="24"/>
                <w:szCs w:val="24"/>
              </w:rPr>
            </w:pPr>
            <w:r>
              <w:rPr>
                <w:rFonts w:hint="eastAsia" w:ascii="宋体" w:hAnsi="宋体" w:cs="宋体"/>
                <w:color w:val="000000"/>
                <w:sz w:val="24"/>
                <w:szCs w:val="24"/>
              </w:rPr>
              <w:t>（5）吸呼比：4:1到1:8</w:t>
            </w:r>
          </w:p>
          <w:p w14:paraId="11B27EA2">
            <w:pPr>
              <w:snapToGrid w:val="0"/>
              <w:spacing w:line="300" w:lineRule="exact"/>
              <w:rPr>
                <w:rFonts w:ascii="宋体" w:hAnsi="宋体" w:cs="宋体"/>
                <w:color w:val="000000"/>
                <w:sz w:val="24"/>
                <w:szCs w:val="24"/>
              </w:rPr>
            </w:pPr>
            <w:r>
              <w:rPr>
                <w:rFonts w:hint="eastAsia" w:ascii="宋体" w:hAnsi="宋体" w:cs="宋体"/>
                <w:color w:val="000000"/>
                <w:sz w:val="24"/>
                <w:szCs w:val="24"/>
              </w:rPr>
              <w:t>17.具有肺保护工具：支持两种复张手法——单周期和多周期，支持定时膨肺功能</w:t>
            </w:r>
          </w:p>
          <w:p w14:paraId="78A56012">
            <w:pPr>
              <w:snapToGrid w:val="0"/>
              <w:spacing w:line="300" w:lineRule="exact"/>
              <w:rPr>
                <w:rFonts w:ascii="宋体" w:hAnsi="宋体" w:cs="宋体"/>
                <w:color w:val="000000"/>
                <w:sz w:val="24"/>
                <w:szCs w:val="24"/>
                <w:highlight w:val="yellow"/>
              </w:rPr>
            </w:pPr>
            <w:r>
              <w:rPr>
                <w:rFonts w:hint="eastAsia" w:ascii="宋体" w:hAnsi="宋体" w:cs="宋体"/>
                <w:color w:val="000000"/>
                <w:sz w:val="24"/>
                <w:szCs w:val="24"/>
                <w:highlight w:val="yellow"/>
              </w:rPr>
              <w:t>18.</w:t>
            </w:r>
          </w:p>
          <w:p w14:paraId="53C05543">
            <w:pPr>
              <w:snapToGrid w:val="0"/>
              <w:spacing w:line="300" w:lineRule="exact"/>
              <w:rPr>
                <w:rFonts w:ascii="宋体" w:hAnsi="宋体" w:cs="宋体"/>
                <w:color w:val="000000"/>
                <w:sz w:val="24"/>
                <w:szCs w:val="24"/>
              </w:rPr>
            </w:pPr>
            <w:r>
              <w:rPr>
                <w:rFonts w:hint="eastAsia" w:ascii="宋体" w:hAnsi="宋体" w:cs="宋体"/>
                <w:color w:val="000000"/>
                <w:sz w:val="24"/>
                <w:szCs w:val="24"/>
              </w:rPr>
              <w:t>★19.麻醉机内置≥2个槽位插件槽，可直接热插拔插件</w:t>
            </w:r>
          </w:p>
          <w:p w14:paraId="24E74DA3">
            <w:pPr>
              <w:snapToGrid w:val="0"/>
              <w:spacing w:line="300" w:lineRule="exact"/>
              <w:rPr>
                <w:rFonts w:ascii="宋体" w:hAnsi="宋体" w:cs="宋体"/>
                <w:color w:val="000000"/>
                <w:sz w:val="24"/>
                <w:szCs w:val="24"/>
              </w:rPr>
            </w:pPr>
            <w:r>
              <w:rPr>
                <w:rFonts w:hint="eastAsia" w:ascii="宋体" w:hAnsi="宋体" w:cs="宋体"/>
                <w:color w:val="000000"/>
                <w:sz w:val="24"/>
                <w:szCs w:val="24"/>
              </w:rPr>
              <w:t>20.配备插件：AG麻醉气体模块、 BIS、 EtCO</w:t>
            </w:r>
            <w:r>
              <w:rPr>
                <w:rFonts w:hint="eastAsia" w:ascii="宋体" w:hAnsi="宋体" w:cs="宋体"/>
                <w:color w:val="000000"/>
                <w:sz w:val="24"/>
                <w:szCs w:val="24"/>
                <w:vertAlign w:val="subscript"/>
              </w:rPr>
              <w:t>2</w:t>
            </w:r>
            <w:r>
              <w:rPr>
                <w:rFonts w:hint="eastAsia" w:ascii="宋体" w:hAnsi="宋体" w:cs="宋体"/>
                <w:color w:val="000000"/>
                <w:sz w:val="24"/>
                <w:szCs w:val="24"/>
              </w:rPr>
              <w:t>，可单独升级EtCO</w:t>
            </w:r>
            <w:r>
              <w:rPr>
                <w:rFonts w:hint="eastAsia" w:ascii="宋体" w:hAnsi="宋体" w:cs="宋体"/>
                <w:color w:val="000000"/>
                <w:sz w:val="24"/>
                <w:szCs w:val="24"/>
                <w:vertAlign w:val="subscript"/>
              </w:rPr>
              <w:t>2</w:t>
            </w:r>
            <w:r>
              <w:rPr>
                <w:rFonts w:hint="eastAsia" w:ascii="宋体" w:hAnsi="宋体" w:cs="宋体"/>
                <w:color w:val="000000"/>
                <w:sz w:val="24"/>
                <w:szCs w:val="24"/>
              </w:rPr>
              <w:t>插件，</w:t>
            </w:r>
          </w:p>
          <w:p w14:paraId="6C14CDB0">
            <w:pPr>
              <w:snapToGrid w:val="0"/>
              <w:spacing w:line="300" w:lineRule="exact"/>
              <w:rPr>
                <w:rFonts w:ascii="宋体" w:hAnsi="宋体" w:cs="宋体"/>
                <w:color w:val="000000"/>
                <w:sz w:val="24"/>
                <w:szCs w:val="24"/>
              </w:rPr>
            </w:pPr>
            <w:r>
              <w:rPr>
                <w:rFonts w:hint="eastAsia" w:ascii="宋体" w:hAnsi="宋体" w:cs="宋体"/>
                <w:color w:val="000000"/>
                <w:sz w:val="24"/>
                <w:szCs w:val="24"/>
              </w:rPr>
              <w:t>21.麻醉工作站可提供标准HL7协议，与院方信息实现实时通讯，信息连接。</w:t>
            </w:r>
          </w:p>
          <w:p w14:paraId="54F8191A">
            <w:pPr>
              <w:snapToGrid w:val="0"/>
              <w:spacing w:line="300" w:lineRule="exact"/>
              <w:rPr>
                <w:rFonts w:ascii="宋体" w:hAnsi="宋体" w:cs="宋体"/>
                <w:color w:val="000000"/>
                <w:sz w:val="24"/>
                <w:szCs w:val="24"/>
              </w:rPr>
            </w:pPr>
            <w:r>
              <w:rPr>
                <w:rFonts w:hint="eastAsia" w:ascii="宋体" w:hAnsi="宋体" w:cs="宋体"/>
                <w:color w:val="000000"/>
                <w:sz w:val="24"/>
                <w:szCs w:val="24"/>
              </w:rPr>
              <w:t>三、配置要求：</w:t>
            </w:r>
          </w:p>
          <w:p w14:paraId="5F9BA657">
            <w:pPr>
              <w:snapToGrid w:val="0"/>
              <w:spacing w:line="300" w:lineRule="exact"/>
              <w:rPr>
                <w:rFonts w:ascii="宋体" w:hAnsi="宋体" w:cs="宋体"/>
                <w:color w:val="000000"/>
                <w:sz w:val="24"/>
                <w:szCs w:val="24"/>
              </w:rPr>
            </w:pPr>
            <w:r>
              <w:rPr>
                <w:rFonts w:hint="eastAsia" w:ascii="宋体" w:hAnsi="宋体" w:cs="宋体"/>
                <w:color w:val="000000"/>
                <w:sz w:val="24"/>
                <w:szCs w:val="24"/>
              </w:rPr>
              <w:t>麻醉机1套；</w:t>
            </w:r>
          </w:p>
          <w:p w14:paraId="7E07E47D">
            <w:pPr>
              <w:snapToGrid w:val="0"/>
              <w:spacing w:line="300" w:lineRule="exact"/>
              <w:rPr>
                <w:rFonts w:ascii="宋体" w:hAnsi="宋体" w:cs="宋体"/>
                <w:color w:val="000000"/>
                <w:sz w:val="24"/>
                <w:szCs w:val="24"/>
              </w:rPr>
            </w:pPr>
            <w:r>
              <w:rPr>
                <w:rFonts w:hint="eastAsia" w:ascii="宋体" w:hAnsi="宋体" w:cs="宋体"/>
                <w:color w:val="000000"/>
                <w:sz w:val="24"/>
                <w:szCs w:val="24"/>
              </w:rPr>
              <w:t>配套附件（电源线、保修卡、说明书）1套。</w:t>
            </w:r>
          </w:p>
        </w:tc>
      </w:tr>
      <w:tr w14:paraId="408D93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tcBorders>
              <w:top w:val="single" w:color="auto" w:sz="4" w:space="0"/>
              <w:left w:val="single" w:color="auto" w:sz="4" w:space="0"/>
              <w:bottom w:val="single" w:color="auto" w:sz="4" w:space="0"/>
              <w:right w:val="single" w:color="auto" w:sz="4" w:space="0"/>
            </w:tcBorders>
            <w:vAlign w:val="center"/>
          </w:tcPr>
          <w:p w14:paraId="50F9D863">
            <w:pPr>
              <w:snapToGrid w:val="0"/>
              <w:spacing w:line="360" w:lineRule="auto"/>
              <w:jc w:val="center"/>
              <w:rPr>
                <w:rFonts w:ascii="宋体" w:hAnsi="宋体" w:cs="宋体"/>
                <w:sz w:val="24"/>
                <w:szCs w:val="24"/>
              </w:rPr>
            </w:pPr>
            <w:r>
              <w:rPr>
                <w:rFonts w:hint="eastAsia" w:ascii="宋体" w:hAnsi="宋体" w:cs="宋体"/>
                <w:sz w:val="24"/>
                <w:szCs w:val="24"/>
              </w:rPr>
              <w:t>4</w:t>
            </w:r>
          </w:p>
        </w:tc>
        <w:tc>
          <w:tcPr>
            <w:tcW w:w="704" w:type="pct"/>
            <w:tcBorders>
              <w:top w:val="single" w:color="auto" w:sz="4" w:space="0"/>
              <w:left w:val="single" w:color="auto" w:sz="4" w:space="0"/>
              <w:bottom w:val="single" w:color="auto" w:sz="4" w:space="0"/>
              <w:right w:val="single" w:color="auto" w:sz="4" w:space="0"/>
            </w:tcBorders>
            <w:vAlign w:val="center"/>
          </w:tcPr>
          <w:p w14:paraId="00BBC8E2">
            <w:pPr>
              <w:snapToGrid w:val="0"/>
              <w:spacing w:line="360" w:lineRule="auto"/>
              <w:jc w:val="center"/>
              <w:rPr>
                <w:rFonts w:ascii="宋体" w:hAnsi="宋体" w:cs="宋体"/>
                <w:sz w:val="24"/>
                <w:szCs w:val="24"/>
              </w:rPr>
            </w:pPr>
            <w:r>
              <w:rPr>
                <w:rFonts w:hint="eastAsia" w:ascii="宋体" w:hAnsi="宋体" w:cs="宋体"/>
                <w:sz w:val="24"/>
                <w:szCs w:val="24"/>
              </w:rPr>
              <w:t>麻醉机（4）</w:t>
            </w:r>
          </w:p>
        </w:tc>
        <w:tc>
          <w:tcPr>
            <w:tcW w:w="390" w:type="pct"/>
            <w:tcBorders>
              <w:top w:val="single" w:color="auto" w:sz="4" w:space="0"/>
              <w:left w:val="single" w:color="auto" w:sz="4" w:space="0"/>
              <w:bottom w:val="single" w:color="auto" w:sz="4" w:space="0"/>
              <w:right w:val="single" w:color="auto" w:sz="4" w:space="0"/>
            </w:tcBorders>
            <w:vAlign w:val="center"/>
          </w:tcPr>
          <w:p w14:paraId="2C5377E1">
            <w:pPr>
              <w:jc w:val="center"/>
              <w:rPr>
                <w:rFonts w:cs="宋体"/>
                <w:color w:val="000000"/>
                <w:kern w:val="0"/>
                <w:sz w:val="24"/>
                <w:szCs w:val="21"/>
              </w:rPr>
            </w:pPr>
            <w:r>
              <w:rPr>
                <w:rFonts w:hint="eastAsia" w:ascii="宋体" w:hAnsi="宋体" w:cs="宋体"/>
                <w:sz w:val="24"/>
                <w:szCs w:val="24"/>
              </w:rPr>
              <w:t>台</w:t>
            </w:r>
          </w:p>
        </w:tc>
        <w:tc>
          <w:tcPr>
            <w:tcW w:w="439" w:type="pct"/>
            <w:tcBorders>
              <w:top w:val="single" w:color="auto" w:sz="4" w:space="0"/>
              <w:left w:val="single" w:color="auto" w:sz="4" w:space="0"/>
              <w:bottom w:val="single" w:color="auto" w:sz="4" w:space="0"/>
              <w:right w:val="single" w:color="auto" w:sz="4" w:space="0"/>
            </w:tcBorders>
            <w:vAlign w:val="center"/>
          </w:tcPr>
          <w:p w14:paraId="18E2AB8E">
            <w:pPr>
              <w:snapToGrid w:val="0"/>
              <w:spacing w:line="360" w:lineRule="auto"/>
              <w:jc w:val="center"/>
              <w:rPr>
                <w:rFonts w:ascii="宋体" w:hAnsi="宋体" w:cs="宋体"/>
                <w:sz w:val="24"/>
                <w:szCs w:val="24"/>
              </w:rPr>
            </w:pPr>
            <w:r>
              <w:rPr>
                <w:rFonts w:hint="eastAsia" w:ascii="宋体" w:hAnsi="宋体" w:cs="宋体"/>
                <w:sz w:val="24"/>
                <w:szCs w:val="24"/>
              </w:rPr>
              <w:t>5</w:t>
            </w:r>
          </w:p>
        </w:tc>
        <w:tc>
          <w:tcPr>
            <w:tcW w:w="3033" w:type="pct"/>
            <w:tcBorders>
              <w:top w:val="single" w:color="auto" w:sz="4" w:space="0"/>
              <w:left w:val="single" w:color="auto" w:sz="4" w:space="0"/>
              <w:bottom w:val="single" w:color="auto" w:sz="4" w:space="0"/>
              <w:right w:val="single" w:color="auto" w:sz="4" w:space="0"/>
            </w:tcBorders>
          </w:tcPr>
          <w:p w14:paraId="390F7755">
            <w:pPr>
              <w:snapToGrid w:val="0"/>
              <w:spacing w:line="300" w:lineRule="exact"/>
              <w:ind w:left="63"/>
              <w:jc w:val="left"/>
              <w:rPr>
                <w:rFonts w:ascii="宋体" w:hAnsi="宋体" w:cs="宋体"/>
                <w:color w:val="000000"/>
                <w:sz w:val="24"/>
                <w:szCs w:val="24"/>
              </w:rPr>
            </w:pPr>
            <w:r>
              <w:rPr>
                <w:rFonts w:hint="eastAsia" w:ascii="宋体" w:hAnsi="宋体" w:cs="宋体"/>
                <w:color w:val="000000"/>
                <w:sz w:val="24"/>
                <w:szCs w:val="24"/>
              </w:rPr>
              <w:t>一、产品用途</w:t>
            </w:r>
            <w:r>
              <w:rPr>
                <w:rFonts w:hint="eastAsia" w:ascii="宋体" w:hAnsi="宋体" w:cs="宋体"/>
                <w:color w:val="000000"/>
                <w:sz w:val="24"/>
                <w:szCs w:val="24"/>
              </w:rPr>
              <w:tab/>
            </w:r>
            <w:r>
              <w:rPr>
                <w:rFonts w:hint="eastAsia" w:ascii="宋体" w:hAnsi="宋体" w:cs="宋体"/>
                <w:color w:val="000000"/>
                <w:sz w:val="24"/>
                <w:szCs w:val="24"/>
              </w:rPr>
              <w:t>用于对成人、儿童和新生儿的吸入麻醉及呼吸管理，可完成紧闭、半紧闭、全开放麻醉</w:t>
            </w:r>
            <w:r>
              <w:rPr>
                <w:rFonts w:hint="eastAsia" w:ascii="宋体" w:hAnsi="宋体" w:cs="宋体"/>
                <w:color w:val="000000"/>
                <w:sz w:val="24"/>
                <w:szCs w:val="24"/>
              </w:rPr>
              <w:tab/>
            </w:r>
          </w:p>
          <w:p w14:paraId="517A48AC">
            <w:pPr>
              <w:snapToGrid w:val="0"/>
              <w:spacing w:line="300" w:lineRule="exact"/>
              <w:ind w:left="63"/>
              <w:jc w:val="left"/>
              <w:rPr>
                <w:rFonts w:ascii="宋体" w:hAnsi="宋体" w:cs="宋体"/>
                <w:color w:val="000000"/>
                <w:sz w:val="24"/>
                <w:szCs w:val="24"/>
              </w:rPr>
            </w:pPr>
            <w:r>
              <w:rPr>
                <w:rFonts w:hint="eastAsia" w:ascii="宋体" w:hAnsi="宋体" w:cs="宋体"/>
                <w:color w:val="000000"/>
                <w:sz w:val="24"/>
                <w:szCs w:val="24"/>
              </w:rPr>
              <w:t>二、技术参数</w:t>
            </w:r>
          </w:p>
          <w:p w14:paraId="106C5506">
            <w:pPr>
              <w:snapToGrid w:val="0"/>
              <w:spacing w:line="300" w:lineRule="exact"/>
              <w:ind w:left="63"/>
              <w:jc w:val="left"/>
              <w:rPr>
                <w:rFonts w:ascii="宋体" w:hAnsi="宋体" w:cs="宋体"/>
                <w:color w:val="000000"/>
                <w:sz w:val="24"/>
                <w:szCs w:val="24"/>
              </w:rPr>
            </w:pPr>
            <w:r>
              <w:rPr>
                <w:rFonts w:hint="eastAsia" w:ascii="宋体" w:hAnsi="宋体" w:cs="宋体"/>
                <w:color w:val="000000"/>
                <w:sz w:val="24"/>
                <w:szCs w:val="24"/>
              </w:rPr>
              <w:t>1.用于对成人、儿童和新生儿的吸入麻醉及呼吸管理，可完成紧闭、半紧闭、全开放麻醉；</w:t>
            </w:r>
          </w:p>
          <w:p w14:paraId="67310B32">
            <w:pPr>
              <w:snapToGrid w:val="0"/>
              <w:spacing w:line="300" w:lineRule="exact"/>
              <w:ind w:left="63"/>
              <w:jc w:val="left"/>
              <w:rPr>
                <w:rFonts w:ascii="宋体" w:hAnsi="宋体" w:cs="宋体"/>
                <w:color w:val="000000"/>
                <w:sz w:val="24"/>
                <w:szCs w:val="24"/>
              </w:rPr>
            </w:pPr>
            <w:r>
              <w:rPr>
                <w:rFonts w:hint="eastAsia" w:ascii="宋体" w:hAnsi="宋体" w:cs="宋体"/>
                <w:color w:val="000000"/>
                <w:sz w:val="24"/>
                <w:szCs w:val="24"/>
              </w:rPr>
              <w:t>2.气动电控呼吸机，全中文操作和显示；</w:t>
            </w:r>
          </w:p>
          <w:p w14:paraId="1BC78BDA">
            <w:pPr>
              <w:snapToGrid w:val="0"/>
              <w:spacing w:line="300" w:lineRule="exact"/>
              <w:ind w:left="63"/>
              <w:jc w:val="left"/>
              <w:rPr>
                <w:rFonts w:ascii="宋体" w:hAnsi="宋体" w:cs="宋体"/>
                <w:color w:val="000000"/>
                <w:sz w:val="24"/>
                <w:szCs w:val="24"/>
              </w:rPr>
            </w:pPr>
            <w:r>
              <w:rPr>
                <w:rFonts w:hint="eastAsia" w:ascii="宋体" w:hAnsi="宋体" w:cs="宋体"/>
                <w:color w:val="000000"/>
                <w:sz w:val="24"/>
                <w:szCs w:val="24"/>
              </w:rPr>
              <w:t>3.屏幕尺寸≥15英寸，彩色触摸屏，可同屏显示波形和呼吸环图，同屏幕≥4通道波形显示；</w:t>
            </w:r>
          </w:p>
          <w:p w14:paraId="5CDB3663">
            <w:pPr>
              <w:snapToGrid w:val="0"/>
              <w:spacing w:line="300" w:lineRule="exact"/>
              <w:ind w:left="63"/>
              <w:jc w:val="left"/>
              <w:rPr>
                <w:rFonts w:ascii="宋体" w:hAnsi="宋体" w:cs="宋体"/>
                <w:color w:val="000000"/>
                <w:sz w:val="24"/>
                <w:szCs w:val="24"/>
              </w:rPr>
            </w:pPr>
            <w:r>
              <w:rPr>
                <w:rFonts w:hint="eastAsia" w:ascii="宋体" w:hAnsi="宋体" w:cs="宋体"/>
                <w:color w:val="000000"/>
                <w:sz w:val="24"/>
                <w:szCs w:val="24"/>
              </w:rPr>
              <w:t>4.标配通气模式：VCV、PCV，SIMV（SIMV-VC、SIMV-PC），自动调节吸气流量模式，以及后备通气模式；压力控制容量保证通气（PCV-VG）以及PS模式；</w:t>
            </w:r>
          </w:p>
          <w:p w14:paraId="51656170">
            <w:pPr>
              <w:snapToGrid w:val="0"/>
              <w:spacing w:line="300" w:lineRule="exact"/>
              <w:ind w:left="63"/>
              <w:jc w:val="left"/>
              <w:rPr>
                <w:rFonts w:ascii="宋体" w:hAnsi="宋体" w:cs="宋体"/>
                <w:color w:val="000000"/>
                <w:sz w:val="24"/>
                <w:szCs w:val="24"/>
              </w:rPr>
            </w:pPr>
            <w:r>
              <w:rPr>
                <w:rFonts w:hint="eastAsia" w:ascii="宋体" w:hAnsi="宋体" w:cs="宋体"/>
                <w:color w:val="000000"/>
                <w:sz w:val="24"/>
                <w:szCs w:val="24"/>
              </w:rPr>
              <w:t>5.具备吸入端，呼出端双流量传感器，实现动态潮气量实时自动补偿功能；</w:t>
            </w:r>
          </w:p>
          <w:p w14:paraId="24F5EE55">
            <w:pPr>
              <w:snapToGrid w:val="0"/>
              <w:spacing w:line="300" w:lineRule="exact"/>
              <w:ind w:left="63"/>
              <w:jc w:val="left"/>
              <w:rPr>
                <w:rFonts w:ascii="宋体" w:hAnsi="宋体" w:cs="宋体"/>
                <w:color w:val="000000"/>
                <w:sz w:val="24"/>
                <w:szCs w:val="24"/>
              </w:rPr>
            </w:pPr>
            <w:r>
              <w:rPr>
                <w:rFonts w:hint="eastAsia" w:ascii="宋体" w:hAnsi="宋体" w:cs="宋体"/>
                <w:color w:val="000000"/>
                <w:sz w:val="24"/>
                <w:szCs w:val="24"/>
              </w:rPr>
              <w:t>6.具备内置第三基准流量传感器，可自行校准吸入和呼出端流量传感器。</w:t>
            </w:r>
          </w:p>
          <w:p w14:paraId="0EE37F7E">
            <w:pPr>
              <w:snapToGrid w:val="0"/>
              <w:spacing w:line="300" w:lineRule="exact"/>
              <w:ind w:left="63"/>
              <w:jc w:val="left"/>
              <w:rPr>
                <w:rFonts w:ascii="宋体" w:hAnsi="宋体" w:cs="宋体"/>
                <w:color w:val="000000"/>
                <w:sz w:val="24"/>
                <w:szCs w:val="24"/>
              </w:rPr>
            </w:pPr>
            <w:r>
              <w:rPr>
                <w:rFonts w:hint="eastAsia" w:ascii="宋体" w:hAnsi="宋体" w:cs="宋体"/>
                <w:color w:val="000000"/>
                <w:sz w:val="24"/>
                <w:szCs w:val="24"/>
              </w:rPr>
              <w:t>7.麻醉机为插件式模块化结构设计，≥2个槽位插件槽，支持热插拔；标配AG麻醉气体模块（含二氧化碳监测）；</w:t>
            </w:r>
          </w:p>
          <w:p w14:paraId="0F73B72D">
            <w:pPr>
              <w:snapToGrid w:val="0"/>
              <w:spacing w:line="300" w:lineRule="exact"/>
              <w:ind w:left="63"/>
              <w:jc w:val="left"/>
              <w:rPr>
                <w:rFonts w:ascii="宋体" w:hAnsi="宋体" w:cs="宋体"/>
                <w:color w:val="000000"/>
                <w:sz w:val="24"/>
                <w:szCs w:val="24"/>
                <w:highlight w:val="yellow"/>
              </w:rPr>
            </w:pPr>
            <w:r>
              <w:rPr>
                <w:rFonts w:hint="eastAsia" w:ascii="宋体" w:hAnsi="宋体" w:cs="宋体"/>
                <w:color w:val="000000"/>
                <w:sz w:val="24"/>
                <w:szCs w:val="24"/>
                <w:highlight w:val="yellow"/>
              </w:rPr>
              <w:t>8.标配双麻醉罐位，配置一个七氟醚挥发罐，具备温度、压力和流量补偿功能；</w:t>
            </w:r>
          </w:p>
          <w:p w14:paraId="1C784715">
            <w:pPr>
              <w:snapToGrid w:val="0"/>
              <w:spacing w:line="300" w:lineRule="exact"/>
              <w:ind w:left="63"/>
              <w:jc w:val="left"/>
              <w:rPr>
                <w:rFonts w:ascii="宋体" w:hAnsi="宋体" w:cs="宋体"/>
                <w:color w:val="000000"/>
                <w:sz w:val="24"/>
                <w:szCs w:val="24"/>
              </w:rPr>
            </w:pPr>
            <w:r>
              <w:rPr>
                <w:rFonts w:hint="eastAsia" w:ascii="宋体" w:hAnsi="宋体" w:cs="宋体"/>
                <w:color w:val="000000"/>
                <w:sz w:val="24"/>
                <w:szCs w:val="24"/>
              </w:rPr>
              <w:t>10.具有回路整体加温功能，回路整体可旋转，适用于特殊体位手术患者，回路部件可以耐受≥120℃高温高压消毒；</w:t>
            </w:r>
          </w:p>
          <w:p w14:paraId="388E31FC">
            <w:pPr>
              <w:snapToGrid w:val="0"/>
              <w:spacing w:line="300" w:lineRule="exact"/>
              <w:ind w:left="63"/>
              <w:jc w:val="left"/>
              <w:rPr>
                <w:rFonts w:ascii="宋体" w:hAnsi="宋体" w:cs="宋体"/>
                <w:color w:val="000000"/>
                <w:sz w:val="24"/>
                <w:szCs w:val="24"/>
              </w:rPr>
            </w:pPr>
            <w:r>
              <w:rPr>
                <w:rFonts w:hint="eastAsia" w:ascii="宋体" w:hAnsi="宋体" w:cs="宋体"/>
                <w:color w:val="000000"/>
                <w:sz w:val="24"/>
                <w:szCs w:val="24"/>
              </w:rPr>
              <w:t>11.标配CO</w:t>
            </w:r>
            <w:r>
              <w:rPr>
                <w:rFonts w:hint="eastAsia" w:ascii="宋体" w:hAnsi="宋体" w:cs="宋体"/>
                <w:color w:val="000000"/>
                <w:sz w:val="24"/>
                <w:szCs w:val="24"/>
                <w:vertAlign w:val="subscript"/>
              </w:rPr>
              <w:t>2</w:t>
            </w:r>
            <w:r>
              <w:rPr>
                <w:rFonts w:hint="eastAsia" w:ascii="宋体" w:hAnsi="宋体" w:cs="宋体"/>
                <w:color w:val="000000"/>
                <w:sz w:val="24"/>
                <w:szCs w:val="24"/>
              </w:rPr>
              <w:t>旁路功能，在机械通气过程中，更换钠石灰罐无需选择确认，无需关停机械通气；</w:t>
            </w:r>
          </w:p>
          <w:p w14:paraId="429DDBF1">
            <w:pPr>
              <w:snapToGrid w:val="0"/>
              <w:spacing w:line="300" w:lineRule="exact"/>
              <w:ind w:left="63"/>
              <w:jc w:val="left"/>
              <w:rPr>
                <w:rFonts w:ascii="宋体" w:hAnsi="宋体" w:cs="宋体"/>
                <w:color w:val="000000"/>
                <w:sz w:val="24"/>
                <w:szCs w:val="24"/>
              </w:rPr>
            </w:pPr>
            <w:r>
              <w:rPr>
                <w:rFonts w:hint="eastAsia" w:ascii="宋体" w:hAnsi="宋体" w:cs="宋体"/>
                <w:color w:val="000000"/>
                <w:sz w:val="24"/>
                <w:szCs w:val="24"/>
              </w:rPr>
              <w:t>12.参数监测与设置：</w:t>
            </w:r>
          </w:p>
          <w:p w14:paraId="1BE023FF">
            <w:pPr>
              <w:snapToGrid w:val="0"/>
              <w:spacing w:line="300" w:lineRule="exact"/>
              <w:ind w:left="63"/>
              <w:jc w:val="left"/>
              <w:rPr>
                <w:rFonts w:ascii="宋体" w:hAnsi="宋体" w:cs="宋体"/>
                <w:color w:val="000000"/>
                <w:sz w:val="24"/>
                <w:szCs w:val="24"/>
              </w:rPr>
            </w:pPr>
            <w:r>
              <w:rPr>
                <w:rFonts w:hint="eastAsia" w:ascii="宋体" w:hAnsi="宋体" w:cs="宋体"/>
                <w:color w:val="000000"/>
                <w:sz w:val="24"/>
                <w:szCs w:val="24"/>
              </w:rPr>
              <w:t>12.1潮气量设置范围：5ml-1500ml（PCV模式），10ml-1500ml（VCV模式）；</w:t>
            </w:r>
          </w:p>
          <w:p w14:paraId="2E8FEC5B">
            <w:pPr>
              <w:snapToGrid w:val="0"/>
              <w:spacing w:line="300" w:lineRule="exact"/>
              <w:ind w:left="63"/>
              <w:jc w:val="left"/>
              <w:rPr>
                <w:rFonts w:ascii="宋体" w:hAnsi="宋体" w:cs="宋体"/>
                <w:color w:val="000000"/>
                <w:sz w:val="24"/>
                <w:szCs w:val="24"/>
              </w:rPr>
            </w:pPr>
            <w:r>
              <w:rPr>
                <w:rFonts w:hint="eastAsia" w:ascii="宋体" w:hAnsi="宋体" w:cs="宋体"/>
                <w:color w:val="000000"/>
                <w:sz w:val="24"/>
                <w:szCs w:val="24"/>
              </w:rPr>
              <w:t>12.2呼吸机吸气阀峰值流速：≥120 L/min；</w:t>
            </w:r>
          </w:p>
          <w:p w14:paraId="5A08A5E4">
            <w:pPr>
              <w:snapToGrid w:val="0"/>
              <w:spacing w:line="300" w:lineRule="exact"/>
              <w:ind w:left="63"/>
              <w:jc w:val="left"/>
              <w:rPr>
                <w:rFonts w:ascii="宋体" w:hAnsi="宋体" w:cs="宋体"/>
                <w:color w:val="000000"/>
                <w:sz w:val="24"/>
                <w:szCs w:val="24"/>
              </w:rPr>
            </w:pPr>
            <w:r>
              <w:rPr>
                <w:rFonts w:hint="eastAsia" w:ascii="宋体" w:hAnsi="宋体" w:cs="宋体"/>
                <w:color w:val="000000"/>
                <w:sz w:val="24"/>
                <w:szCs w:val="24"/>
              </w:rPr>
              <w:t>12.3吸气压力设置范围：5-80 cmH</w:t>
            </w:r>
            <w:r>
              <w:rPr>
                <w:rFonts w:hint="eastAsia" w:ascii="宋体" w:hAnsi="宋体" w:cs="宋体"/>
                <w:color w:val="000000"/>
                <w:sz w:val="24"/>
                <w:szCs w:val="24"/>
                <w:vertAlign w:val="subscript"/>
              </w:rPr>
              <w:t>2</w:t>
            </w:r>
            <w:r>
              <w:rPr>
                <w:rFonts w:hint="eastAsia" w:ascii="宋体" w:hAnsi="宋体" w:cs="宋体"/>
                <w:color w:val="000000"/>
                <w:sz w:val="24"/>
                <w:szCs w:val="24"/>
              </w:rPr>
              <w:t>O（PEEP+）；</w:t>
            </w:r>
          </w:p>
          <w:p w14:paraId="41E8C714">
            <w:pPr>
              <w:snapToGrid w:val="0"/>
              <w:spacing w:line="300" w:lineRule="exact"/>
              <w:ind w:left="63"/>
              <w:jc w:val="left"/>
              <w:rPr>
                <w:rFonts w:ascii="宋体" w:hAnsi="宋体" w:cs="宋体"/>
                <w:color w:val="000000"/>
                <w:sz w:val="24"/>
                <w:szCs w:val="24"/>
              </w:rPr>
            </w:pPr>
            <w:r>
              <w:rPr>
                <w:rFonts w:hint="eastAsia" w:ascii="宋体" w:hAnsi="宋体" w:cs="宋体"/>
                <w:color w:val="000000"/>
                <w:sz w:val="24"/>
                <w:szCs w:val="24"/>
              </w:rPr>
              <w:t>12.4呼吸频率：4-100次/分钟；</w:t>
            </w:r>
          </w:p>
          <w:p w14:paraId="46A4806F">
            <w:pPr>
              <w:snapToGrid w:val="0"/>
              <w:spacing w:line="300" w:lineRule="exact"/>
              <w:ind w:left="63"/>
              <w:jc w:val="left"/>
              <w:rPr>
                <w:rFonts w:ascii="宋体" w:hAnsi="宋体" w:cs="宋体"/>
                <w:color w:val="000000"/>
                <w:sz w:val="24"/>
                <w:szCs w:val="24"/>
              </w:rPr>
            </w:pPr>
            <w:r>
              <w:rPr>
                <w:rFonts w:hint="eastAsia" w:ascii="宋体" w:hAnsi="宋体" w:cs="宋体"/>
                <w:color w:val="000000"/>
                <w:sz w:val="24"/>
                <w:szCs w:val="24"/>
              </w:rPr>
              <w:t>13.电子流量计配备屏幕数字显示和虚拟流量管显示，屏幕可显示新鲜气体设置总流量和氧浓度；</w:t>
            </w:r>
          </w:p>
          <w:p w14:paraId="200DFA77">
            <w:pPr>
              <w:snapToGrid w:val="0"/>
              <w:spacing w:line="300" w:lineRule="exact"/>
              <w:ind w:left="63"/>
              <w:jc w:val="left"/>
              <w:rPr>
                <w:rFonts w:ascii="宋体" w:hAnsi="宋体" w:cs="宋体"/>
                <w:color w:val="000000"/>
                <w:sz w:val="24"/>
                <w:szCs w:val="24"/>
              </w:rPr>
            </w:pPr>
            <w:r>
              <w:rPr>
                <w:rFonts w:hint="eastAsia" w:ascii="宋体" w:hAnsi="宋体" w:cs="宋体"/>
                <w:color w:val="000000"/>
                <w:sz w:val="24"/>
                <w:szCs w:val="24"/>
              </w:rPr>
              <w:t>14.配备经鼻高流量给氧功能，输出流速范围0-60L/min可调；</w:t>
            </w:r>
          </w:p>
          <w:p w14:paraId="44AE970E">
            <w:pPr>
              <w:snapToGrid w:val="0"/>
              <w:spacing w:line="300" w:lineRule="exact"/>
              <w:ind w:left="63"/>
              <w:jc w:val="left"/>
              <w:rPr>
                <w:rFonts w:ascii="宋体" w:hAnsi="宋体" w:cs="宋体"/>
                <w:color w:val="000000"/>
                <w:sz w:val="24"/>
                <w:szCs w:val="24"/>
              </w:rPr>
            </w:pPr>
            <w:r>
              <w:rPr>
                <w:rFonts w:hint="eastAsia" w:ascii="宋体" w:hAnsi="宋体" w:cs="宋体"/>
                <w:color w:val="000000"/>
                <w:sz w:val="24"/>
                <w:szCs w:val="24"/>
              </w:rPr>
              <w:t>15.支持升级直观的适宜低流量麻醉的新鲜气体流量指示工具和麻药消耗量统计功能；</w:t>
            </w:r>
          </w:p>
          <w:p w14:paraId="31FDE69B">
            <w:pPr>
              <w:snapToGrid w:val="0"/>
              <w:spacing w:line="300" w:lineRule="exact"/>
              <w:ind w:left="63"/>
              <w:jc w:val="left"/>
              <w:rPr>
                <w:rFonts w:ascii="宋体" w:hAnsi="宋体" w:cs="宋体"/>
                <w:color w:val="000000"/>
                <w:sz w:val="24"/>
                <w:szCs w:val="24"/>
              </w:rPr>
            </w:pPr>
            <w:r>
              <w:rPr>
                <w:rFonts w:hint="eastAsia" w:ascii="宋体" w:hAnsi="宋体" w:cs="宋体"/>
                <w:color w:val="000000"/>
                <w:sz w:val="24"/>
                <w:szCs w:val="24"/>
              </w:rPr>
              <w:t>16.配备锂电池，支持续航≥90分钟；</w:t>
            </w:r>
          </w:p>
          <w:p w14:paraId="2855378A">
            <w:pPr>
              <w:snapToGrid w:val="0"/>
              <w:spacing w:line="300" w:lineRule="exact"/>
              <w:ind w:left="63"/>
              <w:jc w:val="left"/>
              <w:rPr>
                <w:rFonts w:ascii="宋体" w:hAnsi="宋体" w:cs="宋体"/>
                <w:color w:val="000000"/>
                <w:sz w:val="24"/>
                <w:szCs w:val="24"/>
              </w:rPr>
            </w:pPr>
            <w:r>
              <w:rPr>
                <w:rFonts w:hint="eastAsia" w:ascii="宋体" w:hAnsi="宋体" w:cs="宋体"/>
                <w:color w:val="000000"/>
                <w:sz w:val="24"/>
                <w:szCs w:val="24"/>
              </w:rPr>
              <w:t>17.支持升级肺保护工具：支持两种复张手法-单周期和多周期，支持定时膨肺功能；</w:t>
            </w:r>
          </w:p>
          <w:p w14:paraId="6D9D5A3D">
            <w:pPr>
              <w:snapToGrid w:val="0"/>
              <w:spacing w:line="300" w:lineRule="exact"/>
              <w:ind w:left="63"/>
              <w:jc w:val="left"/>
              <w:rPr>
                <w:rFonts w:ascii="宋体" w:hAnsi="宋体" w:cs="宋体"/>
                <w:color w:val="000000"/>
                <w:sz w:val="24"/>
                <w:szCs w:val="24"/>
              </w:rPr>
            </w:pPr>
            <w:r>
              <w:rPr>
                <w:rFonts w:hint="eastAsia" w:ascii="宋体" w:hAnsi="宋体" w:cs="宋体"/>
                <w:color w:val="000000"/>
                <w:sz w:val="24"/>
                <w:szCs w:val="24"/>
              </w:rPr>
              <w:t>18.具备心肺旁流模式CPB,且心肺旁流模式可在机控通气下启动；</w:t>
            </w:r>
          </w:p>
          <w:p w14:paraId="5445345F">
            <w:pPr>
              <w:snapToGrid w:val="0"/>
              <w:spacing w:line="300" w:lineRule="exact"/>
              <w:ind w:left="63"/>
              <w:jc w:val="left"/>
              <w:rPr>
                <w:rFonts w:ascii="宋体" w:hAnsi="宋体" w:cs="宋体"/>
                <w:color w:val="000000"/>
                <w:sz w:val="24"/>
                <w:szCs w:val="24"/>
              </w:rPr>
            </w:pPr>
            <w:r>
              <w:rPr>
                <w:rFonts w:hint="eastAsia" w:ascii="宋体" w:hAnsi="宋体" w:cs="宋体"/>
                <w:color w:val="000000"/>
                <w:sz w:val="24"/>
                <w:szCs w:val="24"/>
              </w:rPr>
              <w:t>19.麻醉机提供标准HL7协议，支持与院方信息系统实现实时通讯，数据传输，数据抓取等功能。</w:t>
            </w:r>
          </w:p>
          <w:p w14:paraId="2776191F">
            <w:pPr>
              <w:snapToGrid w:val="0"/>
              <w:spacing w:line="300" w:lineRule="exact"/>
              <w:ind w:left="63"/>
              <w:jc w:val="left"/>
              <w:rPr>
                <w:rFonts w:ascii="宋体" w:hAnsi="宋体" w:cs="宋体"/>
                <w:color w:val="000000"/>
                <w:sz w:val="24"/>
                <w:szCs w:val="24"/>
              </w:rPr>
            </w:pPr>
            <w:r>
              <w:rPr>
                <w:rFonts w:hint="eastAsia" w:ascii="宋体" w:hAnsi="宋体" w:cs="宋体"/>
                <w:color w:val="000000"/>
                <w:sz w:val="24"/>
                <w:szCs w:val="24"/>
              </w:rPr>
              <w:t>20.设备使用年限≥10年；</w:t>
            </w:r>
          </w:p>
        </w:tc>
      </w:tr>
      <w:tr w14:paraId="536F00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tcBorders>
              <w:top w:val="single" w:color="auto" w:sz="4" w:space="0"/>
              <w:left w:val="single" w:color="auto" w:sz="4" w:space="0"/>
              <w:bottom w:val="single" w:color="auto" w:sz="4" w:space="0"/>
              <w:right w:val="single" w:color="auto" w:sz="4" w:space="0"/>
            </w:tcBorders>
            <w:vAlign w:val="center"/>
          </w:tcPr>
          <w:p w14:paraId="6B39AC80">
            <w:pPr>
              <w:snapToGrid w:val="0"/>
              <w:spacing w:line="360" w:lineRule="auto"/>
              <w:jc w:val="center"/>
              <w:rPr>
                <w:rFonts w:ascii="宋体" w:hAnsi="宋体" w:cs="宋体"/>
                <w:sz w:val="24"/>
                <w:szCs w:val="24"/>
              </w:rPr>
            </w:pPr>
            <w:r>
              <w:rPr>
                <w:rFonts w:hint="eastAsia" w:ascii="宋体" w:hAnsi="宋体" w:cs="宋体"/>
                <w:sz w:val="24"/>
                <w:szCs w:val="24"/>
              </w:rPr>
              <w:t>5</w:t>
            </w:r>
          </w:p>
        </w:tc>
        <w:tc>
          <w:tcPr>
            <w:tcW w:w="704" w:type="pct"/>
            <w:tcBorders>
              <w:top w:val="single" w:color="auto" w:sz="4" w:space="0"/>
              <w:left w:val="single" w:color="auto" w:sz="4" w:space="0"/>
              <w:bottom w:val="single" w:color="auto" w:sz="4" w:space="0"/>
              <w:right w:val="single" w:color="auto" w:sz="4" w:space="0"/>
            </w:tcBorders>
            <w:vAlign w:val="center"/>
          </w:tcPr>
          <w:p w14:paraId="2B5A5FEB">
            <w:pPr>
              <w:snapToGrid w:val="0"/>
              <w:spacing w:line="360" w:lineRule="auto"/>
              <w:jc w:val="center"/>
              <w:rPr>
                <w:rFonts w:ascii="宋体" w:hAnsi="宋体" w:cs="宋体"/>
                <w:sz w:val="24"/>
                <w:szCs w:val="24"/>
              </w:rPr>
            </w:pPr>
            <w:r>
              <w:rPr>
                <w:rFonts w:hint="eastAsia"/>
                <w:sz w:val="24"/>
              </w:rPr>
              <w:t>▲</w:t>
            </w:r>
            <w:r>
              <w:rPr>
                <w:rFonts w:hint="eastAsia" w:ascii="宋体" w:hAnsi="宋体" w:cs="宋体"/>
                <w:sz w:val="24"/>
                <w:szCs w:val="24"/>
              </w:rPr>
              <w:t>麻醉机（5）</w:t>
            </w:r>
          </w:p>
        </w:tc>
        <w:tc>
          <w:tcPr>
            <w:tcW w:w="390" w:type="pct"/>
            <w:tcBorders>
              <w:top w:val="single" w:color="auto" w:sz="4" w:space="0"/>
              <w:left w:val="single" w:color="auto" w:sz="4" w:space="0"/>
              <w:bottom w:val="single" w:color="auto" w:sz="4" w:space="0"/>
              <w:right w:val="single" w:color="auto" w:sz="4" w:space="0"/>
            </w:tcBorders>
            <w:vAlign w:val="center"/>
          </w:tcPr>
          <w:p w14:paraId="3A1187A9">
            <w:pPr>
              <w:jc w:val="center"/>
              <w:rPr>
                <w:rFonts w:cs="宋体"/>
                <w:color w:val="000000"/>
                <w:kern w:val="0"/>
                <w:sz w:val="24"/>
                <w:szCs w:val="21"/>
              </w:rPr>
            </w:pPr>
            <w:r>
              <w:rPr>
                <w:rFonts w:hint="eastAsia" w:ascii="宋体" w:hAnsi="宋体" w:cs="宋体"/>
                <w:sz w:val="24"/>
                <w:szCs w:val="24"/>
              </w:rPr>
              <w:t>台</w:t>
            </w:r>
          </w:p>
        </w:tc>
        <w:tc>
          <w:tcPr>
            <w:tcW w:w="439" w:type="pct"/>
            <w:tcBorders>
              <w:top w:val="single" w:color="auto" w:sz="4" w:space="0"/>
              <w:left w:val="single" w:color="auto" w:sz="4" w:space="0"/>
              <w:bottom w:val="single" w:color="auto" w:sz="4" w:space="0"/>
              <w:right w:val="single" w:color="auto" w:sz="4" w:space="0"/>
            </w:tcBorders>
            <w:vAlign w:val="center"/>
          </w:tcPr>
          <w:p w14:paraId="785D57CE">
            <w:pPr>
              <w:snapToGrid w:val="0"/>
              <w:spacing w:line="360" w:lineRule="auto"/>
              <w:jc w:val="center"/>
              <w:rPr>
                <w:rFonts w:ascii="宋体" w:hAnsi="宋体" w:cs="宋体"/>
                <w:sz w:val="24"/>
                <w:szCs w:val="24"/>
              </w:rPr>
            </w:pPr>
            <w:r>
              <w:rPr>
                <w:rFonts w:hint="eastAsia" w:ascii="宋体" w:hAnsi="宋体" w:cs="宋体"/>
                <w:sz w:val="24"/>
                <w:szCs w:val="24"/>
              </w:rPr>
              <w:t>1</w:t>
            </w:r>
          </w:p>
        </w:tc>
        <w:tc>
          <w:tcPr>
            <w:tcW w:w="3033" w:type="pct"/>
            <w:tcBorders>
              <w:top w:val="single" w:color="auto" w:sz="4" w:space="0"/>
              <w:left w:val="single" w:color="auto" w:sz="4" w:space="0"/>
              <w:bottom w:val="single" w:color="auto" w:sz="4" w:space="0"/>
              <w:right w:val="single" w:color="auto" w:sz="4" w:space="0"/>
            </w:tcBorders>
          </w:tcPr>
          <w:p w14:paraId="443D1984">
            <w:pPr>
              <w:tabs>
                <w:tab w:val="left" w:pos="312"/>
              </w:tabs>
              <w:snapToGrid w:val="0"/>
              <w:spacing w:line="300" w:lineRule="exact"/>
              <w:rPr>
                <w:rFonts w:ascii="宋体" w:hAnsi="宋体" w:cs="宋体"/>
                <w:color w:val="000000"/>
                <w:sz w:val="24"/>
                <w:szCs w:val="24"/>
              </w:rPr>
            </w:pPr>
            <w:r>
              <w:rPr>
                <w:rFonts w:hint="eastAsia" w:ascii="宋体" w:hAnsi="宋体" w:cs="宋体"/>
                <w:color w:val="000000"/>
                <w:sz w:val="24"/>
                <w:szCs w:val="24"/>
              </w:rPr>
              <w:t>一、产品用途：用于手术病人全身麻醉</w:t>
            </w:r>
          </w:p>
          <w:p w14:paraId="1900D61F">
            <w:pPr>
              <w:tabs>
                <w:tab w:val="left" w:pos="312"/>
              </w:tabs>
              <w:snapToGrid w:val="0"/>
              <w:spacing w:line="300" w:lineRule="exact"/>
              <w:rPr>
                <w:rFonts w:ascii="宋体" w:hAnsi="宋体" w:cs="宋体"/>
                <w:color w:val="000000"/>
                <w:sz w:val="24"/>
                <w:szCs w:val="24"/>
              </w:rPr>
            </w:pPr>
            <w:r>
              <w:rPr>
                <w:rFonts w:hint="eastAsia" w:ascii="宋体" w:hAnsi="宋体" w:cs="宋体"/>
                <w:color w:val="000000"/>
                <w:sz w:val="24"/>
                <w:szCs w:val="24"/>
              </w:rPr>
              <w:t>二、技术参数</w:t>
            </w:r>
          </w:p>
          <w:p w14:paraId="6F331979">
            <w:pPr>
              <w:tabs>
                <w:tab w:val="left" w:pos="312"/>
              </w:tabs>
              <w:snapToGrid w:val="0"/>
              <w:spacing w:line="300" w:lineRule="exact"/>
              <w:rPr>
                <w:rFonts w:ascii="宋体" w:hAnsi="宋体" w:cs="宋体"/>
                <w:color w:val="000000"/>
                <w:sz w:val="24"/>
                <w:szCs w:val="24"/>
                <w:highlight w:val="yellow"/>
              </w:rPr>
            </w:pPr>
            <w:r>
              <w:rPr>
                <w:rFonts w:hint="eastAsia" w:ascii="宋体" w:hAnsi="宋体" w:cs="宋体"/>
                <w:color w:val="000000"/>
                <w:sz w:val="24"/>
                <w:szCs w:val="24"/>
                <w:highlight w:val="yellow"/>
              </w:rPr>
              <w:t>★1.≥15英寸彩色触摸屏</w:t>
            </w:r>
          </w:p>
          <w:p w14:paraId="3A13CB49">
            <w:pPr>
              <w:tabs>
                <w:tab w:val="left" w:pos="312"/>
              </w:tabs>
              <w:snapToGrid w:val="0"/>
              <w:spacing w:line="300" w:lineRule="exact"/>
              <w:rPr>
                <w:rFonts w:ascii="宋体" w:hAnsi="宋体" w:cs="宋体"/>
                <w:color w:val="000000"/>
                <w:sz w:val="24"/>
                <w:szCs w:val="24"/>
              </w:rPr>
            </w:pPr>
            <w:r>
              <w:rPr>
                <w:rFonts w:hint="eastAsia" w:ascii="宋体" w:hAnsi="宋体" w:cs="宋体"/>
                <w:color w:val="000000"/>
                <w:sz w:val="24"/>
                <w:szCs w:val="24"/>
              </w:rPr>
              <w:t>2.</w:t>
            </w:r>
            <w:r>
              <w:rPr>
                <w:rFonts w:hint="eastAsia" w:ascii="宋体" w:hAnsi="宋体" w:cs="宋体"/>
                <w:color w:val="000000"/>
                <w:sz w:val="24"/>
                <w:szCs w:val="24"/>
              </w:rPr>
              <w:tab/>
            </w:r>
            <w:r>
              <w:rPr>
                <w:rFonts w:hint="eastAsia" w:ascii="宋体" w:hAnsi="宋体" w:cs="宋体"/>
                <w:color w:val="000000"/>
                <w:sz w:val="24"/>
                <w:szCs w:val="24"/>
              </w:rPr>
              <w:t>后备锂电池，使用时间＞150分钟</w:t>
            </w:r>
          </w:p>
          <w:p w14:paraId="4A440C90">
            <w:pPr>
              <w:tabs>
                <w:tab w:val="left" w:pos="312"/>
              </w:tabs>
              <w:snapToGrid w:val="0"/>
              <w:spacing w:line="300" w:lineRule="exact"/>
              <w:rPr>
                <w:rFonts w:ascii="宋体" w:hAnsi="宋体" w:cs="宋体"/>
                <w:color w:val="000000"/>
                <w:sz w:val="24"/>
                <w:szCs w:val="24"/>
              </w:rPr>
            </w:pPr>
            <w:r>
              <w:rPr>
                <w:rFonts w:hint="eastAsia" w:ascii="宋体" w:hAnsi="宋体" w:cs="宋体"/>
                <w:color w:val="000000"/>
                <w:sz w:val="24"/>
                <w:szCs w:val="24"/>
              </w:rPr>
              <w:t>3.氧气，笑气，空气三气源</w:t>
            </w:r>
          </w:p>
          <w:p w14:paraId="72A8CB48">
            <w:pPr>
              <w:tabs>
                <w:tab w:val="left" w:pos="312"/>
              </w:tabs>
              <w:snapToGrid w:val="0"/>
              <w:spacing w:line="300" w:lineRule="exact"/>
              <w:rPr>
                <w:rFonts w:ascii="宋体" w:hAnsi="宋体" w:cs="宋体"/>
                <w:color w:val="000000"/>
                <w:sz w:val="24"/>
                <w:szCs w:val="24"/>
              </w:rPr>
            </w:pPr>
            <w:r>
              <w:rPr>
                <w:rFonts w:hint="eastAsia" w:ascii="宋体" w:hAnsi="宋体" w:cs="宋体"/>
                <w:color w:val="000000"/>
                <w:sz w:val="24"/>
                <w:szCs w:val="24"/>
              </w:rPr>
              <w:t>4.备机械的笑、氧保护装置，不受停电影响，氧气与空气混合时，氧浓度设定范围25%～100%</w:t>
            </w:r>
          </w:p>
          <w:p w14:paraId="1326C284">
            <w:pPr>
              <w:tabs>
                <w:tab w:val="left" w:pos="312"/>
              </w:tabs>
              <w:snapToGrid w:val="0"/>
              <w:spacing w:line="300" w:lineRule="exact"/>
              <w:rPr>
                <w:rFonts w:ascii="宋体" w:hAnsi="宋体" w:cs="宋体"/>
                <w:color w:val="000000"/>
                <w:sz w:val="24"/>
                <w:szCs w:val="24"/>
              </w:rPr>
            </w:pPr>
            <w:r>
              <w:rPr>
                <w:rFonts w:hint="eastAsia" w:ascii="宋体" w:hAnsi="宋体" w:cs="宋体"/>
                <w:color w:val="000000"/>
                <w:sz w:val="24"/>
                <w:szCs w:val="24"/>
              </w:rPr>
              <w:t>5．提供机械总流量机调节范围：0-15L/min</w:t>
            </w:r>
          </w:p>
          <w:p w14:paraId="531C4147">
            <w:pPr>
              <w:tabs>
                <w:tab w:val="left" w:pos="312"/>
              </w:tabs>
              <w:snapToGrid w:val="0"/>
              <w:spacing w:line="300" w:lineRule="exact"/>
              <w:rPr>
                <w:rFonts w:ascii="宋体" w:hAnsi="宋体" w:cs="宋体"/>
                <w:color w:val="000000"/>
                <w:sz w:val="24"/>
                <w:szCs w:val="24"/>
              </w:rPr>
            </w:pPr>
            <w:r>
              <w:rPr>
                <w:rFonts w:hint="eastAsia" w:ascii="宋体" w:hAnsi="宋体" w:cs="宋体"/>
                <w:color w:val="000000"/>
                <w:sz w:val="24"/>
                <w:szCs w:val="24"/>
              </w:rPr>
              <w:t>6．提供机械总流量机调节范围：0-15L/min</w:t>
            </w:r>
          </w:p>
          <w:p w14:paraId="4C2E3C10">
            <w:pPr>
              <w:tabs>
                <w:tab w:val="left" w:pos="312"/>
              </w:tabs>
              <w:snapToGrid w:val="0"/>
              <w:spacing w:line="300" w:lineRule="exact"/>
              <w:rPr>
                <w:rFonts w:ascii="宋体" w:hAnsi="宋体" w:cs="宋体"/>
                <w:color w:val="000000"/>
                <w:sz w:val="24"/>
                <w:szCs w:val="24"/>
              </w:rPr>
            </w:pPr>
            <w:r>
              <w:rPr>
                <w:rFonts w:hint="eastAsia" w:ascii="宋体" w:hAnsi="宋体" w:cs="宋体"/>
                <w:color w:val="000000"/>
                <w:sz w:val="24"/>
                <w:szCs w:val="24"/>
              </w:rPr>
              <w:t>7．具有回路泄漏、顺应性、新鲜气体自动补偿功能，保证潮气量所设即所得</w:t>
            </w:r>
          </w:p>
          <w:p w14:paraId="3059C57A">
            <w:pPr>
              <w:tabs>
                <w:tab w:val="left" w:pos="312"/>
              </w:tabs>
              <w:snapToGrid w:val="0"/>
              <w:spacing w:line="300" w:lineRule="exact"/>
              <w:rPr>
                <w:rFonts w:ascii="宋体" w:hAnsi="宋体" w:cs="宋体"/>
                <w:color w:val="000000"/>
                <w:sz w:val="24"/>
                <w:szCs w:val="24"/>
              </w:rPr>
            </w:pPr>
            <w:r>
              <w:rPr>
                <w:rFonts w:hint="eastAsia" w:ascii="宋体" w:hAnsi="宋体" w:cs="宋体"/>
                <w:color w:val="000000"/>
                <w:sz w:val="24"/>
                <w:szCs w:val="24"/>
              </w:rPr>
              <w:t>8．电气一体化开关，具有开机自检、快速启动功能、待机功能</w:t>
            </w:r>
          </w:p>
          <w:p w14:paraId="62301C93">
            <w:pPr>
              <w:tabs>
                <w:tab w:val="left" w:pos="312"/>
              </w:tabs>
              <w:snapToGrid w:val="0"/>
              <w:spacing w:line="300" w:lineRule="exact"/>
              <w:rPr>
                <w:rFonts w:ascii="宋体" w:hAnsi="宋体" w:cs="宋体"/>
                <w:color w:val="000000"/>
                <w:sz w:val="24"/>
                <w:szCs w:val="24"/>
              </w:rPr>
            </w:pPr>
            <w:r>
              <w:rPr>
                <w:rFonts w:hint="eastAsia" w:ascii="宋体" w:hAnsi="宋体" w:cs="宋体"/>
                <w:color w:val="000000"/>
                <w:sz w:val="24"/>
                <w:szCs w:val="24"/>
              </w:rPr>
              <w:t>9．一体化模块化回路，无需工具可徒手拆卸，回路与主机无管路连接</w:t>
            </w:r>
          </w:p>
          <w:p w14:paraId="070A3E6D">
            <w:pPr>
              <w:tabs>
                <w:tab w:val="left" w:pos="312"/>
              </w:tabs>
              <w:snapToGrid w:val="0"/>
              <w:spacing w:line="300" w:lineRule="exact"/>
              <w:rPr>
                <w:rFonts w:ascii="宋体" w:hAnsi="宋体" w:cs="宋体"/>
                <w:color w:val="000000"/>
                <w:sz w:val="24"/>
                <w:szCs w:val="24"/>
              </w:rPr>
            </w:pPr>
            <w:r>
              <w:rPr>
                <w:rFonts w:hint="eastAsia" w:ascii="宋体" w:hAnsi="宋体" w:cs="宋体"/>
                <w:color w:val="000000"/>
                <w:sz w:val="24"/>
                <w:szCs w:val="24"/>
              </w:rPr>
              <w:t>10.</w:t>
            </w:r>
            <w:r>
              <w:rPr>
                <w:rFonts w:hint="eastAsia" w:ascii="宋体" w:hAnsi="宋体" w:cs="宋体"/>
                <w:color w:val="000000"/>
                <w:sz w:val="24"/>
                <w:szCs w:val="24"/>
              </w:rPr>
              <w:tab/>
            </w:r>
            <w:r>
              <w:rPr>
                <w:rFonts w:hint="eastAsia" w:ascii="宋体" w:hAnsi="宋体" w:cs="宋体"/>
                <w:color w:val="000000"/>
                <w:sz w:val="24"/>
                <w:szCs w:val="24"/>
              </w:rPr>
              <w:t>气动电控呼吸机；</w:t>
            </w:r>
          </w:p>
          <w:p w14:paraId="69F054D8">
            <w:pPr>
              <w:tabs>
                <w:tab w:val="left" w:pos="312"/>
              </w:tabs>
              <w:snapToGrid w:val="0"/>
              <w:spacing w:line="300" w:lineRule="exact"/>
              <w:rPr>
                <w:rFonts w:ascii="宋体" w:hAnsi="宋体" w:cs="宋体"/>
                <w:color w:val="000000"/>
                <w:sz w:val="24"/>
                <w:szCs w:val="24"/>
                <w:highlight w:val="yellow"/>
              </w:rPr>
            </w:pPr>
            <w:r>
              <w:rPr>
                <w:rFonts w:hint="eastAsia" w:ascii="宋体" w:hAnsi="宋体" w:cs="宋体"/>
                <w:color w:val="000000"/>
                <w:sz w:val="24"/>
                <w:szCs w:val="24"/>
                <w:highlight w:val="yellow"/>
              </w:rPr>
              <w:t>11. 麻醉机适用于全年龄段病人，包含成人、小儿/儿童、新生儿。（以注册证为准）；</w:t>
            </w:r>
          </w:p>
          <w:p w14:paraId="0421257D">
            <w:pPr>
              <w:tabs>
                <w:tab w:val="left" w:pos="312"/>
              </w:tabs>
              <w:snapToGrid w:val="0"/>
              <w:spacing w:line="300" w:lineRule="exact"/>
              <w:rPr>
                <w:rFonts w:ascii="宋体" w:hAnsi="宋体" w:cs="宋体"/>
                <w:color w:val="000000"/>
                <w:sz w:val="24"/>
                <w:szCs w:val="24"/>
                <w:highlight w:val="yellow"/>
              </w:rPr>
            </w:pPr>
            <w:r>
              <w:rPr>
                <w:rFonts w:hint="eastAsia" w:ascii="宋体" w:hAnsi="宋体" w:cs="宋体"/>
                <w:color w:val="000000"/>
                <w:sz w:val="24"/>
                <w:szCs w:val="24"/>
                <w:highlight w:val="yellow"/>
              </w:rPr>
              <w:t>12. 通气模式：通气模式：手动，VCV，PCV，PRVC、SIMV-VC、SIMV-PC、SIMV-PRVC、PSVPro、APRV。</w:t>
            </w:r>
          </w:p>
          <w:p w14:paraId="25315BE0">
            <w:pPr>
              <w:tabs>
                <w:tab w:val="left" w:pos="312"/>
              </w:tabs>
              <w:snapToGrid w:val="0"/>
              <w:spacing w:line="300" w:lineRule="exact"/>
              <w:rPr>
                <w:rFonts w:ascii="宋体" w:hAnsi="宋体" w:cs="宋体"/>
                <w:color w:val="000000"/>
                <w:sz w:val="24"/>
                <w:szCs w:val="24"/>
              </w:rPr>
            </w:pPr>
            <w:r>
              <w:rPr>
                <w:rFonts w:hint="eastAsia" w:ascii="宋体" w:hAnsi="宋体" w:cs="宋体"/>
                <w:color w:val="000000"/>
                <w:sz w:val="24"/>
                <w:szCs w:val="24"/>
              </w:rPr>
              <w:t>13.</w:t>
            </w:r>
            <w:r>
              <w:rPr>
                <w:rFonts w:hint="eastAsia" w:ascii="宋体" w:hAnsi="宋体" w:cs="宋体"/>
                <w:color w:val="000000"/>
                <w:sz w:val="24"/>
                <w:szCs w:val="24"/>
              </w:rPr>
              <w:tab/>
            </w:r>
            <w:r>
              <w:rPr>
                <w:rFonts w:hint="eastAsia" w:ascii="宋体" w:hAnsi="宋体" w:cs="宋体"/>
                <w:color w:val="000000"/>
                <w:sz w:val="24"/>
                <w:szCs w:val="24"/>
              </w:rPr>
              <w:t>吸气流速：0～180L/min；</w:t>
            </w:r>
          </w:p>
          <w:p w14:paraId="4F4616E8">
            <w:pPr>
              <w:tabs>
                <w:tab w:val="left" w:pos="312"/>
              </w:tabs>
              <w:snapToGrid w:val="0"/>
              <w:spacing w:line="300" w:lineRule="exact"/>
              <w:rPr>
                <w:rFonts w:ascii="宋体" w:hAnsi="宋体" w:cs="宋体"/>
                <w:color w:val="000000"/>
                <w:sz w:val="24"/>
                <w:szCs w:val="24"/>
                <w:highlight w:val="yellow"/>
              </w:rPr>
            </w:pPr>
            <w:r>
              <w:rPr>
                <w:rFonts w:hint="eastAsia" w:ascii="宋体" w:hAnsi="宋体" w:cs="宋体"/>
                <w:color w:val="000000"/>
                <w:sz w:val="24"/>
                <w:szCs w:val="24"/>
                <w:highlight w:val="yellow"/>
              </w:rPr>
              <w:t>14. 监测参数：呼吸频率、峰压、平均压、平台压、呼末正压、吸入和呼出氧浓度、吸呼比，吸入和呼末 CO2浓度、吸入和呼末麻醉气体浓度（ 自动识别）；压力–容积环、压力–流速环、流速–容积环，并提供参考环相关呼吸力学参数，波形环图同屏显示；</w:t>
            </w:r>
          </w:p>
          <w:p w14:paraId="3861C5E7">
            <w:pPr>
              <w:tabs>
                <w:tab w:val="left" w:pos="312"/>
              </w:tabs>
              <w:snapToGrid w:val="0"/>
              <w:spacing w:line="300" w:lineRule="exact"/>
              <w:rPr>
                <w:rFonts w:ascii="宋体" w:hAnsi="宋体" w:cs="宋体"/>
                <w:color w:val="000000"/>
                <w:sz w:val="24"/>
                <w:szCs w:val="24"/>
              </w:rPr>
            </w:pPr>
            <w:r>
              <w:rPr>
                <w:rFonts w:hint="eastAsia" w:ascii="宋体" w:hAnsi="宋体" w:cs="宋体"/>
                <w:color w:val="000000"/>
                <w:sz w:val="24"/>
                <w:szCs w:val="24"/>
              </w:rPr>
              <w:t>15.永久使用流量传感器，具有防水处理装置</w:t>
            </w:r>
          </w:p>
          <w:p w14:paraId="137C3039">
            <w:pPr>
              <w:tabs>
                <w:tab w:val="left" w:pos="312"/>
              </w:tabs>
              <w:snapToGrid w:val="0"/>
              <w:spacing w:line="300" w:lineRule="exact"/>
              <w:rPr>
                <w:rFonts w:ascii="宋体" w:hAnsi="宋体" w:cs="宋体"/>
                <w:color w:val="000000"/>
                <w:sz w:val="24"/>
                <w:szCs w:val="24"/>
              </w:rPr>
            </w:pPr>
            <w:r>
              <w:rPr>
                <w:rFonts w:hint="eastAsia" w:ascii="宋体" w:hAnsi="宋体" w:cs="宋体"/>
                <w:color w:val="000000"/>
                <w:sz w:val="24"/>
                <w:szCs w:val="24"/>
              </w:rPr>
              <w:t>16．智能化Bypass旁路功能，支持术中更换钠石灰，不影响麻醉机的运行，且无麻醉药泄漏</w:t>
            </w:r>
          </w:p>
          <w:p w14:paraId="7F79F614">
            <w:pPr>
              <w:tabs>
                <w:tab w:val="left" w:pos="312"/>
              </w:tabs>
              <w:snapToGrid w:val="0"/>
              <w:spacing w:line="300" w:lineRule="exact"/>
              <w:rPr>
                <w:rFonts w:ascii="宋体" w:hAnsi="宋体" w:cs="宋体"/>
                <w:color w:val="000000"/>
                <w:sz w:val="24"/>
                <w:szCs w:val="24"/>
              </w:rPr>
            </w:pPr>
            <w:r>
              <w:rPr>
                <w:rFonts w:hint="eastAsia" w:ascii="宋体" w:hAnsi="宋体" w:cs="宋体"/>
                <w:color w:val="000000"/>
                <w:sz w:val="24"/>
                <w:szCs w:val="24"/>
              </w:rPr>
              <w:t>17．双罐位，标配一个七氟醚高标准蒸发罐，具有温度、压力、流量补偿功能</w:t>
            </w:r>
            <w:r>
              <w:rPr>
                <w:rFonts w:hint="eastAsia" w:ascii="宋体" w:hAnsi="宋体" w:cs="宋体"/>
                <w:color w:val="000000"/>
                <w:sz w:val="24"/>
                <w:szCs w:val="24"/>
              </w:rPr>
              <w:tab/>
            </w:r>
          </w:p>
        </w:tc>
      </w:tr>
    </w:tbl>
    <w:p w14:paraId="10B5F4D2">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第五包：</w:t>
      </w:r>
    </w:p>
    <w:p w14:paraId="3E747FF0">
      <w:pPr>
        <w:pStyle w:val="25"/>
        <w:spacing w:line="360" w:lineRule="auto"/>
        <w:ind w:firstLine="480" w:firstLineChars="200"/>
        <w:jc w:val="both"/>
        <w:rPr>
          <w:rFonts w:ascii="Times New Roman" w:hAnsi="Times New Roman" w:eastAsia="宋体" w:cs="Times New Roman"/>
          <w:color w:val="auto"/>
        </w:rPr>
      </w:pPr>
      <w:r>
        <w:rPr>
          <w:rFonts w:hint="eastAsia"/>
          <w:color w:val="auto"/>
        </w:rPr>
        <w:t>★</w:t>
      </w:r>
      <w:r>
        <w:rPr>
          <w:rFonts w:hint="eastAsia" w:ascii="Times New Roman" w:hAnsi="Times New Roman" w:eastAsia="宋体" w:cs="Times New Roman"/>
          <w:color w:val="auto"/>
        </w:rPr>
        <w:t>1. 投标产品实质性要求</w:t>
      </w:r>
    </w:p>
    <w:p w14:paraId="1CBA6D74">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所投全部产品须按照《医疗器械注册与备案管理办法》（国家市场监督管理总局令第47号）的规定，提供医疗器械备案证明材料或医疗器械注册证扫描件。</w:t>
      </w:r>
    </w:p>
    <w:p w14:paraId="32D90A29">
      <w:pPr>
        <w:spacing w:line="360" w:lineRule="auto"/>
        <w:ind w:firstLine="480" w:firstLineChars="200"/>
        <w:outlineLvl w:val="0"/>
        <w:rPr>
          <w:sz w:val="24"/>
        </w:rPr>
      </w:pPr>
      <w:r>
        <w:rPr>
          <w:rFonts w:hint="eastAsia"/>
          <w:sz w:val="24"/>
        </w:rPr>
        <w:t>2. 技术参数</w:t>
      </w:r>
    </w:p>
    <w:tbl>
      <w:tblPr>
        <w:tblStyle w:val="18"/>
        <w:tblW w:w="568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2"/>
        <w:gridCol w:w="1365"/>
        <w:gridCol w:w="756"/>
        <w:gridCol w:w="851"/>
        <w:gridCol w:w="5882"/>
      </w:tblGrid>
      <w:tr w14:paraId="75111A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blHeader/>
          <w:jc w:val="center"/>
        </w:trPr>
        <w:tc>
          <w:tcPr>
            <w:tcW w:w="434" w:type="pct"/>
            <w:tcBorders>
              <w:top w:val="single" w:color="auto" w:sz="4" w:space="0"/>
              <w:left w:val="single" w:color="auto" w:sz="4" w:space="0"/>
              <w:bottom w:val="single" w:color="auto" w:sz="4" w:space="0"/>
              <w:right w:val="single" w:color="auto" w:sz="4" w:space="0"/>
            </w:tcBorders>
            <w:vAlign w:val="center"/>
          </w:tcPr>
          <w:p w14:paraId="14B776EC">
            <w:pPr>
              <w:widowControl/>
              <w:jc w:val="center"/>
              <w:rPr>
                <w:rFonts w:cs="宋体"/>
                <w:kern w:val="0"/>
                <w:sz w:val="24"/>
                <w:szCs w:val="24"/>
              </w:rPr>
            </w:pPr>
            <w:r>
              <w:rPr>
                <w:rFonts w:hint="eastAsia" w:cs="宋体"/>
                <w:kern w:val="0"/>
                <w:sz w:val="24"/>
              </w:rPr>
              <w:t>序号</w:t>
            </w:r>
          </w:p>
        </w:tc>
        <w:tc>
          <w:tcPr>
            <w:tcW w:w="704" w:type="pct"/>
            <w:tcBorders>
              <w:top w:val="single" w:color="auto" w:sz="4" w:space="0"/>
              <w:left w:val="single" w:color="auto" w:sz="4" w:space="0"/>
              <w:bottom w:val="single" w:color="auto" w:sz="4" w:space="0"/>
              <w:right w:val="single" w:color="auto" w:sz="4" w:space="0"/>
            </w:tcBorders>
            <w:vAlign w:val="center"/>
          </w:tcPr>
          <w:p w14:paraId="44D7409E">
            <w:pPr>
              <w:widowControl/>
              <w:jc w:val="center"/>
              <w:rPr>
                <w:rFonts w:cs="宋体"/>
                <w:kern w:val="0"/>
                <w:sz w:val="24"/>
                <w:szCs w:val="24"/>
              </w:rPr>
            </w:pPr>
            <w:r>
              <w:rPr>
                <w:rFonts w:hint="eastAsia" w:cs="宋体"/>
                <w:kern w:val="0"/>
                <w:sz w:val="24"/>
              </w:rPr>
              <w:t>标的名称</w:t>
            </w:r>
          </w:p>
        </w:tc>
        <w:tc>
          <w:tcPr>
            <w:tcW w:w="390" w:type="pct"/>
            <w:tcBorders>
              <w:top w:val="single" w:color="auto" w:sz="4" w:space="0"/>
              <w:left w:val="single" w:color="auto" w:sz="4" w:space="0"/>
              <w:bottom w:val="single" w:color="auto" w:sz="4" w:space="0"/>
              <w:right w:val="single" w:color="auto" w:sz="4" w:space="0"/>
            </w:tcBorders>
            <w:vAlign w:val="center"/>
          </w:tcPr>
          <w:p w14:paraId="7D63CA00">
            <w:pPr>
              <w:widowControl/>
              <w:jc w:val="center"/>
              <w:rPr>
                <w:rFonts w:cs="宋体"/>
                <w:kern w:val="0"/>
                <w:sz w:val="24"/>
                <w:szCs w:val="24"/>
              </w:rPr>
            </w:pPr>
            <w:r>
              <w:rPr>
                <w:rFonts w:cs="宋体"/>
                <w:kern w:val="0"/>
                <w:sz w:val="24"/>
                <w:szCs w:val="24"/>
              </w:rPr>
              <w:t>单位</w:t>
            </w:r>
          </w:p>
        </w:tc>
        <w:tc>
          <w:tcPr>
            <w:tcW w:w="439" w:type="pct"/>
            <w:tcBorders>
              <w:top w:val="single" w:color="auto" w:sz="4" w:space="0"/>
              <w:left w:val="single" w:color="auto" w:sz="4" w:space="0"/>
              <w:bottom w:val="single" w:color="auto" w:sz="4" w:space="0"/>
              <w:right w:val="single" w:color="auto" w:sz="4" w:space="0"/>
            </w:tcBorders>
            <w:vAlign w:val="center"/>
          </w:tcPr>
          <w:p w14:paraId="30F42A5E">
            <w:pPr>
              <w:widowControl/>
              <w:jc w:val="center"/>
              <w:rPr>
                <w:rFonts w:cs="宋体"/>
                <w:kern w:val="0"/>
                <w:sz w:val="24"/>
              </w:rPr>
            </w:pPr>
            <w:r>
              <w:rPr>
                <w:rFonts w:hint="eastAsia" w:cs="宋体"/>
                <w:kern w:val="0"/>
                <w:sz w:val="24"/>
              </w:rPr>
              <w:t>数量</w:t>
            </w:r>
          </w:p>
        </w:tc>
        <w:tc>
          <w:tcPr>
            <w:tcW w:w="3033" w:type="pct"/>
            <w:tcBorders>
              <w:top w:val="single" w:color="auto" w:sz="4" w:space="0"/>
              <w:left w:val="single" w:color="auto" w:sz="4" w:space="0"/>
              <w:bottom w:val="single" w:color="auto" w:sz="4" w:space="0"/>
              <w:right w:val="single" w:color="auto" w:sz="4" w:space="0"/>
            </w:tcBorders>
            <w:vAlign w:val="center"/>
          </w:tcPr>
          <w:p w14:paraId="0BA2D285">
            <w:pPr>
              <w:widowControl/>
              <w:spacing w:line="300" w:lineRule="exact"/>
              <w:jc w:val="center"/>
              <w:rPr>
                <w:rFonts w:cs="宋体"/>
                <w:kern w:val="0"/>
                <w:sz w:val="24"/>
                <w:szCs w:val="24"/>
              </w:rPr>
            </w:pPr>
            <w:r>
              <w:rPr>
                <w:rFonts w:hint="eastAsia" w:cs="宋体"/>
                <w:kern w:val="0"/>
                <w:sz w:val="24"/>
              </w:rPr>
              <w:t>需求条款</w:t>
            </w:r>
          </w:p>
        </w:tc>
      </w:tr>
      <w:tr w14:paraId="5F2DCB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tcBorders>
              <w:top w:val="single" w:color="auto" w:sz="4" w:space="0"/>
              <w:left w:val="single" w:color="auto" w:sz="4" w:space="0"/>
              <w:bottom w:val="single" w:color="auto" w:sz="4" w:space="0"/>
              <w:right w:val="single" w:color="auto" w:sz="4" w:space="0"/>
            </w:tcBorders>
            <w:vAlign w:val="center"/>
          </w:tcPr>
          <w:p w14:paraId="148F285A">
            <w:pPr>
              <w:snapToGrid w:val="0"/>
              <w:spacing w:line="360" w:lineRule="auto"/>
              <w:jc w:val="center"/>
              <w:rPr>
                <w:rFonts w:ascii="宋体" w:hAnsi="宋体" w:cs="宋体"/>
                <w:sz w:val="24"/>
                <w:szCs w:val="24"/>
              </w:rPr>
            </w:pPr>
            <w:r>
              <w:rPr>
                <w:rFonts w:hint="eastAsia" w:ascii="宋体" w:hAnsi="宋体" w:cs="宋体"/>
                <w:sz w:val="24"/>
                <w:szCs w:val="24"/>
              </w:rPr>
              <w:t>1</w:t>
            </w:r>
          </w:p>
        </w:tc>
        <w:tc>
          <w:tcPr>
            <w:tcW w:w="704" w:type="pct"/>
            <w:tcBorders>
              <w:top w:val="single" w:color="auto" w:sz="4" w:space="0"/>
              <w:left w:val="single" w:color="auto" w:sz="4" w:space="0"/>
              <w:bottom w:val="single" w:color="auto" w:sz="4" w:space="0"/>
              <w:right w:val="single" w:color="auto" w:sz="4" w:space="0"/>
            </w:tcBorders>
            <w:vAlign w:val="center"/>
          </w:tcPr>
          <w:p w14:paraId="762181CC">
            <w:pPr>
              <w:snapToGrid w:val="0"/>
              <w:spacing w:line="360" w:lineRule="auto"/>
              <w:jc w:val="center"/>
              <w:rPr>
                <w:rFonts w:ascii="宋体" w:hAnsi="宋体" w:cs="宋体"/>
                <w:sz w:val="24"/>
                <w:szCs w:val="24"/>
              </w:rPr>
            </w:pPr>
            <w:r>
              <w:rPr>
                <w:rFonts w:hint="eastAsia"/>
                <w:sz w:val="24"/>
              </w:rPr>
              <w:t>▲</w:t>
            </w:r>
            <w:r>
              <w:rPr>
                <w:rFonts w:hint="eastAsia" w:ascii="宋体" w:hAnsi="宋体" w:cs="宋体"/>
                <w:sz w:val="24"/>
                <w:szCs w:val="24"/>
              </w:rPr>
              <w:t>麻醉机（1）</w:t>
            </w:r>
          </w:p>
        </w:tc>
        <w:tc>
          <w:tcPr>
            <w:tcW w:w="390" w:type="pct"/>
            <w:tcBorders>
              <w:top w:val="single" w:color="auto" w:sz="4" w:space="0"/>
              <w:left w:val="single" w:color="auto" w:sz="4" w:space="0"/>
              <w:bottom w:val="single" w:color="auto" w:sz="4" w:space="0"/>
              <w:right w:val="single" w:color="auto" w:sz="4" w:space="0"/>
            </w:tcBorders>
            <w:vAlign w:val="center"/>
          </w:tcPr>
          <w:p w14:paraId="04B5AC55">
            <w:pPr>
              <w:jc w:val="center"/>
              <w:rPr>
                <w:rFonts w:cs="宋体"/>
                <w:color w:val="000000"/>
                <w:kern w:val="0"/>
                <w:sz w:val="24"/>
                <w:szCs w:val="21"/>
              </w:rPr>
            </w:pPr>
            <w:r>
              <w:rPr>
                <w:rFonts w:hint="eastAsia" w:ascii="宋体" w:hAnsi="宋体" w:cs="宋体"/>
                <w:sz w:val="24"/>
                <w:szCs w:val="24"/>
              </w:rPr>
              <w:t>台</w:t>
            </w:r>
          </w:p>
        </w:tc>
        <w:tc>
          <w:tcPr>
            <w:tcW w:w="439" w:type="pct"/>
            <w:tcBorders>
              <w:top w:val="single" w:color="auto" w:sz="4" w:space="0"/>
              <w:left w:val="single" w:color="auto" w:sz="4" w:space="0"/>
              <w:bottom w:val="single" w:color="auto" w:sz="4" w:space="0"/>
              <w:right w:val="single" w:color="auto" w:sz="4" w:space="0"/>
            </w:tcBorders>
            <w:vAlign w:val="center"/>
          </w:tcPr>
          <w:p w14:paraId="19D02D63">
            <w:pPr>
              <w:snapToGrid w:val="0"/>
              <w:spacing w:line="360" w:lineRule="auto"/>
              <w:jc w:val="center"/>
              <w:rPr>
                <w:rFonts w:ascii="宋体" w:hAnsi="宋体" w:cs="宋体"/>
                <w:sz w:val="24"/>
                <w:szCs w:val="24"/>
              </w:rPr>
            </w:pPr>
            <w:r>
              <w:rPr>
                <w:rFonts w:hint="eastAsia" w:ascii="宋体" w:hAnsi="宋体" w:cs="宋体"/>
                <w:sz w:val="24"/>
                <w:szCs w:val="24"/>
              </w:rPr>
              <w:t>5</w:t>
            </w:r>
          </w:p>
        </w:tc>
        <w:tc>
          <w:tcPr>
            <w:tcW w:w="3033" w:type="pct"/>
            <w:tcBorders>
              <w:top w:val="single" w:color="auto" w:sz="4" w:space="0"/>
              <w:left w:val="single" w:color="auto" w:sz="4" w:space="0"/>
              <w:bottom w:val="single" w:color="auto" w:sz="4" w:space="0"/>
              <w:right w:val="single" w:color="auto" w:sz="4" w:space="0"/>
            </w:tcBorders>
          </w:tcPr>
          <w:p w14:paraId="646E1CE3">
            <w:pPr>
              <w:tabs>
                <w:tab w:val="left" w:pos="312"/>
              </w:tabs>
              <w:snapToGrid w:val="0"/>
              <w:spacing w:line="300" w:lineRule="exact"/>
              <w:rPr>
                <w:rFonts w:ascii="宋体" w:hAnsi="宋体" w:cs="宋体"/>
                <w:sz w:val="24"/>
                <w:szCs w:val="24"/>
              </w:rPr>
            </w:pPr>
            <w:r>
              <w:rPr>
                <w:rFonts w:hint="eastAsia" w:ascii="宋体" w:hAnsi="宋体" w:cs="宋体"/>
                <w:sz w:val="24"/>
                <w:szCs w:val="24"/>
              </w:rPr>
              <w:t>一、产品用途：</w:t>
            </w:r>
          </w:p>
          <w:p w14:paraId="51D39D68">
            <w:pPr>
              <w:tabs>
                <w:tab w:val="left" w:pos="312"/>
              </w:tabs>
              <w:snapToGrid w:val="0"/>
              <w:spacing w:line="300" w:lineRule="exact"/>
              <w:rPr>
                <w:rFonts w:ascii="宋体" w:hAnsi="宋体" w:cs="宋体"/>
                <w:sz w:val="24"/>
                <w:szCs w:val="24"/>
              </w:rPr>
            </w:pPr>
            <w:r>
              <w:rPr>
                <w:rFonts w:hint="eastAsia" w:ascii="宋体" w:hAnsi="宋体" w:cs="宋体"/>
                <w:sz w:val="24"/>
                <w:szCs w:val="24"/>
              </w:rPr>
              <w:t>1.用于围术期为患者提供全身麻醉及复苏过程中麻药输送及通气支持，对患者生命体征进行实时监测，全面保障患者围术期安全，为临床提供辅助临床决策工具，提升临床工作效率</w:t>
            </w:r>
          </w:p>
          <w:p w14:paraId="1FFD4F6D">
            <w:pPr>
              <w:tabs>
                <w:tab w:val="left" w:pos="312"/>
              </w:tabs>
              <w:snapToGrid w:val="0"/>
              <w:spacing w:line="300" w:lineRule="exact"/>
              <w:rPr>
                <w:rFonts w:ascii="宋体" w:hAnsi="宋体" w:cs="宋体"/>
                <w:sz w:val="24"/>
                <w:szCs w:val="24"/>
              </w:rPr>
            </w:pPr>
            <w:r>
              <w:rPr>
                <w:rFonts w:hint="eastAsia" w:ascii="宋体" w:hAnsi="宋体" w:cs="宋体"/>
                <w:sz w:val="24"/>
                <w:szCs w:val="24"/>
              </w:rPr>
              <w:t>二、技术参数：</w:t>
            </w:r>
          </w:p>
          <w:p w14:paraId="1DCF7693">
            <w:pPr>
              <w:tabs>
                <w:tab w:val="left" w:pos="312"/>
              </w:tabs>
              <w:snapToGrid w:val="0"/>
              <w:spacing w:line="300" w:lineRule="exact"/>
              <w:rPr>
                <w:rFonts w:ascii="宋体" w:hAnsi="宋体" w:cs="宋体"/>
                <w:sz w:val="24"/>
                <w:szCs w:val="24"/>
              </w:rPr>
            </w:pPr>
            <w:r>
              <w:rPr>
                <w:rFonts w:hint="eastAsia" w:ascii="宋体" w:hAnsi="宋体" w:cs="宋体"/>
                <w:sz w:val="24"/>
                <w:szCs w:val="24"/>
              </w:rPr>
              <w:t>1.用于对成人、儿童和新生儿的吸入麻醉及呼吸管理，可完成紧闭、半紧闭、全开放麻醉，且在小儿麻醉时无需更换风箱的设备</w:t>
            </w:r>
          </w:p>
          <w:p w14:paraId="63A563BD">
            <w:pPr>
              <w:tabs>
                <w:tab w:val="left" w:pos="312"/>
              </w:tabs>
              <w:snapToGrid w:val="0"/>
              <w:spacing w:line="300" w:lineRule="exact"/>
              <w:rPr>
                <w:rFonts w:ascii="宋体" w:hAnsi="宋体" w:cs="宋体"/>
                <w:sz w:val="24"/>
                <w:szCs w:val="24"/>
              </w:rPr>
            </w:pPr>
            <w:r>
              <w:rPr>
                <w:rFonts w:hint="eastAsia" w:ascii="宋体" w:hAnsi="宋体" w:cs="宋体"/>
                <w:sz w:val="24"/>
                <w:szCs w:val="24"/>
              </w:rPr>
              <w:t>2.采用气动电控或电动电控呼吸机，全中文操作和显示，屏幕尺寸≥15英寸，彩色电容触摸屏，显示屏可360度旋转，俯仰角度可调节，支持手势操作，可同屏显示波形和呼吸环图</w:t>
            </w:r>
          </w:p>
          <w:p w14:paraId="5C2BE7A6">
            <w:pPr>
              <w:tabs>
                <w:tab w:val="left" w:pos="312"/>
              </w:tabs>
              <w:snapToGrid w:val="0"/>
              <w:spacing w:line="300" w:lineRule="exact"/>
              <w:rPr>
                <w:rFonts w:ascii="宋体" w:hAnsi="宋体" w:cs="宋体"/>
                <w:sz w:val="24"/>
                <w:szCs w:val="24"/>
              </w:rPr>
            </w:pPr>
            <w:r>
              <w:rPr>
                <w:rFonts w:hint="eastAsia" w:ascii="宋体" w:hAnsi="宋体" w:cs="宋体"/>
                <w:sz w:val="24"/>
                <w:szCs w:val="24"/>
              </w:rPr>
              <w:t>3.同屏幕≥5通道波形显示（压力时间波形，流速时间波形，容量时间波形， CO</w:t>
            </w:r>
            <w:r>
              <w:rPr>
                <w:rFonts w:hint="eastAsia" w:ascii="宋体" w:hAnsi="宋体" w:cs="宋体"/>
                <w:sz w:val="24"/>
                <w:szCs w:val="24"/>
                <w:vertAlign w:val="subscript"/>
              </w:rPr>
              <w:t>2</w:t>
            </w:r>
            <w:r>
              <w:rPr>
                <w:rFonts w:hint="eastAsia" w:ascii="宋体" w:hAnsi="宋体" w:cs="宋体"/>
                <w:sz w:val="24"/>
                <w:szCs w:val="24"/>
              </w:rPr>
              <w:t>或麻醉气体浓度波形等）</w:t>
            </w:r>
          </w:p>
          <w:p w14:paraId="7F86CB77">
            <w:pPr>
              <w:tabs>
                <w:tab w:val="left" w:pos="312"/>
              </w:tabs>
              <w:snapToGrid w:val="0"/>
              <w:spacing w:line="300" w:lineRule="exact"/>
              <w:rPr>
                <w:rFonts w:ascii="宋体" w:hAnsi="宋体" w:cs="宋体"/>
                <w:sz w:val="24"/>
                <w:szCs w:val="24"/>
              </w:rPr>
            </w:pPr>
            <w:r>
              <w:rPr>
                <w:rFonts w:hint="eastAsia" w:ascii="宋体" w:hAnsi="宋体" w:cs="宋体"/>
                <w:sz w:val="24"/>
                <w:szCs w:val="24"/>
              </w:rPr>
              <w:t>4.麻醉机内置≥3槽位插件槽，可直接热插拔插件，具备麻醉气体监测模块，具备氧浓度监测功能</w:t>
            </w:r>
          </w:p>
          <w:p w14:paraId="07B59AC7">
            <w:pPr>
              <w:tabs>
                <w:tab w:val="left" w:pos="312"/>
              </w:tabs>
              <w:snapToGrid w:val="0"/>
              <w:spacing w:line="300" w:lineRule="exact"/>
              <w:rPr>
                <w:rFonts w:ascii="宋体" w:hAnsi="宋体" w:cs="宋体"/>
                <w:sz w:val="24"/>
                <w:szCs w:val="24"/>
              </w:rPr>
            </w:pPr>
            <w:r>
              <w:rPr>
                <w:rFonts w:hint="eastAsia" w:ascii="宋体" w:hAnsi="宋体" w:cs="宋体"/>
                <w:sz w:val="24"/>
                <w:szCs w:val="24"/>
              </w:rPr>
              <w:t>5.标配氧气、空气两气源，具备氧笑联动系统，保证接入氧气和笑气时氧浓度不低于25%，快速充氧范围25-75 L/min</w:t>
            </w:r>
          </w:p>
          <w:p w14:paraId="0E2B8F99">
            <w:pPr>
              <w:tabs>
                <w:tab w:val="left" w:pos="312"/>
              </w:tabs>
              <w:snapToGrid w:val="0"/>
              <w:spacing w:line="300" w:lineRule="exact"/>
              <w:rPr>
                <w:rFonts w:ascii="宋体" w:hAnsi="宋体" w:cs="宋体"/>
                <w:sz w:val="24"/>
                <w:szCs w:val="24"/>
              </w:rPr>
            </w:pPr>
            <w:r>
              <w:rPr>
                <w:rFonts w:hint="eastAsia" w:ascii="宋体" w:hAnsi="宋体" w:cs="宋体"/>
                <w:sz w:val="24"/>
                <w:szCs w:val="24"/>
              </w:rPr>
              <w:t>★6.全电子流量计 (可直接设置氧浓度和总流量，总流量控制模式下总流量范围：0.2-20 L/min。O</w:t>
            </w:r>
            <w:r>
              <w:rPr>
                <w:rFonts w:hint="eastAsia" w:ascii="宋体" w:hAnsi="宋体" w:cs="宋体"/>
                <w:sz w:val="24"/>
                <w:szCs w:val="24"/>
                <w:vertAlign w:val="subscript"/>
              </w:rPr>
              <w:t>2</w:t>
            </w:r>
            <w:r>
              <w:rPr>
                <w:rFonts w:hint="eastAsia" w:ascii="宋体" w:hAnsi="宋体" w:cs="宋体"/>
                <w:sz w:val="24"/>
                <w:szCs w:val="24"/>
              </w:rPr>
              <w:t xml:space="preserve"> 浓度范围： 21%-100%)，全电子流量计可以设置成总流量模式，也可以设置成单管流量模式</w:t>
            </w:r>
          </w:p>
          <w:p w14:paraId="677F388F">
            <w:pPr>
              <w:tabs>
                <w:tab w:val="left" w:pos="312"/>
              </w:tabs>
              <w:snapToGrid w:val="0"/>
              <w:spacing w:line="300" w:lineRule="exact"/>
              <w:rPr>
                <w:rFonts w:ascii="宋体" w:hAnsi="宋体" w:cs="宋体"/>
                <w:sz w:val="24"/>
                <w:szCs w:val="24"/>
              </w:rPr>
            </w:pPr>
            <w:r>
              <w:rPr>
                <w:rFonts w:hint="eastAsia" w:ascii="宋体" w:hAnsi="宋体" w:cs="宋体"/>
                <w:sz w:val="24"/>
                <w:szCs w:val="24"/>
              </w:rPr>
              <w:t>7.具备备用流量计，具备辅助吸氧流量计，具备直观的适宜低流量麻醉的新鲜气体流量指示工具，具备麻药消耗速度显示和总消耗量统计，具备新鲜气体流量暂停功能，方便吸痰等操作</w:t>
            </w:r>
          </w:p>
          <w:p w14:paraId="0745FA52">
            <w:pPr>
              <w:tabs>
                <w:tab w:val="left" w:pos="312"/>
              </w:tabs>
              <w:snapToGrid w:val="0"/>
              <w:spacing w:line="300" w:lineRule="exact"/>
              <w:rPr>
                <w:rFonts w:ascii="宋体" w:hAnsi="宋体" w:cs="宋体"/>
                <w:sz w:val="24"/>
                <w:szCs w:val="24"/>
              </w:rPr>
            </w:pPr>
            <w:r>
              <w:rPr>
                <w:rFonts w:hint="eastAsia" w:ascii="宋体" w:hAnsi="宋体" w:cs="宋体"/>
                <w:sz w:val="24"/>
                <w:szCs w:val="24"/>
              </w:rPr>
              <w:t>8.具备高流量给氧功能（HFNC功能)，流量范围 2-80 L/min，氧浓度设置范围21-100%</w:t>
            </w:r>
          </w:p>
          <w:p w14:paraId="180F4E10">
            <w:pPr>
              <w:tabs>
                <w:tab w:val="left" w:pos="312"/>
              </w:tabs>
              <w:snapToGrid w:val="0"/>
              <w:spacing w:line="300" w:lineRule="exact"/>
              <w:rPr>
                <w:rFonts w:ascii="宋体" w:hAnsi="宋体" w:cs="宋体"/>
                <w:sz w:val="24"/>
                <w:szCs w:val="24"/>
                <w:highlight w:val="yellow"/>
              </w:rPr>
            </w:pPr>
            <w:r>
              <w:rPr>
                <w:rFonts w:hint="eastAsia" w:ascii="宋体" w:hAnsi="宋体" w:cs="宋体"/>
                <w:sz w:val="24"/>
                <w:szCs w:val="24"/>
                <w:highlight w:val="yellow"/>
              </w:rPr>
              <w:t>9.配备电子喷射式挥发罐，可由软件调节设置，具备压力、流速和温度补偿</w:t>
            </w:r>
          </w:p>
          <w:p w14:paraId="47B52BFA">
            <w:pPr>
              <w:tabs>
                <w:tab w:val="left" w:pos="312"/>
              </w:tabs>
              <w:snapToGrid w:val="0"/>
              <w:spacing w:line="300" w:lineRule="exact"/>
              <w:rPr>
                <w:rFonts w:hint="eastAsia" w:ascii="宋体" w:hAnsi="宋体" w:cs="宋体"/>
                <w:sz w:val="24"/>
                <w:szCs w:val="24"/>
                <w:highlight w:val="yellow"/>
              </w:rPr>
            </w:pPr>
            <w:r>
              <w:rPr>
                <w:rFonts w:hint="eastAsia" w:ascii="宋体" w:hAnsi="宋体" w:cs="宋体"/>
                <w:sz w:val="24"/>
                <w:szCs w:val="24"/>
                <w:highlight w:val="yellow"/>
              </w:rPr>
              <w:t>★10.具备双麻醉罐位</w:t>
            </w:r>
          </w:p>
          <w:p w14:paraId="20023864">
            <w:pPr>
              <w:tabs>
                <w:tab w:val="left" w:pos="312"/>
              </w:tabs>
              <w:snapToGrid w:val="0"/>
              <w:spacing w:line="300" w:lineRule="exact"/>
              <w:rPr>
                <w:rFonts w:ascii="宋体" w:hAnsi="宋体" w:cs="宋体"/>
                <w:sz w:val="24"/>
                <w:szCs w:val="24"/>
              </w:rPr>
            </w:pPr>
            <w:r>
              <w:rPr>
                <w:rFonts w:hint="eastAsia" w:ascii="宋体" w:hAnsi="宋体" w:cs="宋体"/>
                <w:sz w:val="24"/>
                <w:szCs w:val="24"/>
              </w:rPr>
              <w:t>11.回路部件可以耐受≥134℃高温高压消毒以避免院内交叉感染(包括流量传感器)</w:t>
            </w:r>
          </w:p>
          <w:p w14:paraId="05F73BFD">
            <w:pPr>
              <w:tabs>
                <w:tab w:val="left" w:pos="312"/>
              </w:tabs>
              <w:snapToGrid w:val="0"/>
              <w:spacing w:line="300" w:lineRule="exact"/>
              <w:rPr>
                <w:rFonts w:ascii="宋体" w:hAnsi="宋体" w:cs="宋体"/>
                <w:sz w:val="24"/>
                <w:szCs w:val="24"/>
              </w:rPr>
            </w:pPr>
            <w:r>
              <w:rPr>
                <w:rFonts w:hint="eastAsia" w:ascii="宋体" w:hAnsi="宋体" w:cs="宋体"/>
                <w:sz w:val="24"/>
                <w:szCs w:val="24"/>
              </w:rPr>
              <w:t>12.具备吸入端与呼出端双流量传感器，实现动态潮气量实时自动补偿功能，补偿新鲜气体变化、气体压缩、回路顺应性变化以及小的回路泄漏造成的吸入潮气量和设置潮气量的误差。具备内置第三基准流量传感器，用户可自行校准吸入和呼出端流量传感器。</w:t>
            </w:r>
          </w:p>
          <w:p w14:paraId="2888C21F">
            <w:pPr>
              <w:tabs>
                <w:tab w:val="left" w:pos="312"/>
              </w:tabs>
              <w:snapToGrid w:val="0"/>
              <w:spacing w:line="300" w:lineRule="exact"/>
              <w:rPr>
                <w:rFonts w:ascii="宋体" w:hAnsi="宋体" w:cs="宋体"/>
                <w:sz w:val="24"/>
                <w:szCs w:val="24"/>
              </w:rPr>
            </w:pPr>
            <w:r>
              <w:rPr>
                <w:rFonts w:hint="eastAsia" w:ascii="宋体" w:hAnsi="宋体" w:cs="宋体"/>
                <w:sz w:val="24"/>
                <w:szCs w:val="24"/>
              </w:rPr>
              <w:t>13.★具有回路整体加温功能，保证回路不受积水影响，保证流量传感器精准及向病人提供温暖气体，避免对呼吸道的刺激</w:t>
            </w:r>
          </w:p>
          <w:p w14:paraId="39DA12BA">
            <w:pPr>
              <w:tabs>
                <w:tab w:val="left" w:pos="312"/>
              </w:tabs>
              <w:snapToGrid w:val="0"/>
              <w:spacing w:line="300" w:lineRule="exact"/>
              <w:rPr>
                <w:rFonts w:ascii="宋体" w:hAnsi="宋体" w:cs="宋体"/>
                <w:sz w:val="24"/>
                <w:szCs w:val="24"/>
              </w:rPr>
            </w:pPr>
            <w:r>
              <w:rPr>
                <w:rFonts w:hint="eastAsia" w:ascii="宋体" w:hAnsi="宋体" w:cs="宋体"/>
                <w:sz w:val="24"/>
                <w:szCs w:val="24"/>
              </w:rPr>
              <w:t>14.具备CO</w:t>
            </w:r>
            <w:r>
              <w:rPr>
                <w:rFonts w:hint="eastAsia" w:ascii="宋体" w:hAnsi="宋体" w:cs="宋体"/>
                <w:sz w:val="24"/>
                <w:szCs w:val="24"/>
                <w:vertAlign w:val="subscript"/>
              </w:rPr>
              <w:t>2</w:t>
            </w:r>
            <w:r>
              <w:rPr>
                <w:rFonts w:hint="eastAsia" w:ascii="宋体" w:hAnsi="宋体" w:cs="宋体"/>
                <w:sz w:val="24"/>
                <w:szCs w:val="24"/>
              </w:rPr>
              <w:t>旁路功能，在机械通气过程中，更换钠石灰罐无需关停机械通气，可方便直接更换</w:t>
            </w:r>
          </w:p>
          <w:p w14:paraId="7569E53C">
            <w:pPr>
              <w:tabs>
                <w:tab w:val="left" w:pos="312"/>
              </w:tabs>
              <w:snapToGrid w:val="0"/>
              <w:spacing w:line="300" w:lineRule="exact"/>
              <w:rPr>
                <w:rFonts w:ascii="宋体" w:hAnsi="宋体" w:cs="宋体"/>
                <w:sz w:val="24"/>
                <w:szCs w:val="24"/>
              </w:rPr>
            </w:pPr>
            <w:r>
              <w:rPr>
                <w:rFonts w:hint="eastAsia" w:ascii="宋体" w:hAnsi="宋体" w:cs="宋体"/>
                <w:sz w:val="24"/>
                <w:szCs w:val="24"/>
              </w:rPr>
              <w:t>15.提供辅助/控制通气，支持VCV、PCV、压力控制容量保证通气（PCV-VG/AUTOFLOW）和SIMV（SIMV-VC、SIMV-PC）、CPAP/PS等通气模式</w:t>
            </w:r>
          </w:p>
          <w:p w14:paraId="165AF045">
            <w:pPr>
              <w:tabs>
                <w:tab w:val="left" w:pos="312"/>
              </w:tabs>
              <w:snapToGrid w:val="0"/>
              <w:spacing w:line="300" w:lineRule="exact"/>
              <w:rPr>
                <w:rFonts w:ascii="宋体" w:hAnsi="宋体" w:cs="宋体"/>
                <w:sz w:val="24"/>
                <w:szCs w:val="24"/>
              </w:rPr>
            </w:pPr>
            <w:r>
              <w:rPr>
                <w:rFonts w:hint="eastAsia" w:ascii="宋体" w:hAnsi="宋体" w:cs="宋体"/>
                <w:sz w:val="24"/>
                <w:szCs w:val="24"/>
              </w:rPr>
              <w:t>16.具备心肺旁流模式CPB, 且心肺旁流模式可在手动通气模式和机控通气模式下启动</w:t>
            </w:r>
          </w:p>
          <w:p w14:paraId="13029A50">
            <w:pPr>
              <w:tabs>
                <w:tab w:val="left" w:pos="312"/>
              </w:tabs>
              <w:snapToGrid w:val="0"/>
              <w:spacing w:line="300" w:lineRule="exact"/>
              <w:rPr>
                <w:rFonts w:ascii="宋体" w:hAnsi="宋体" w:cs="宋体"/>
                <w:sz w:val="24"/>
                <w:szCs w:val="24"/>
              </w:rPr>
            </w:pPr>
            <w:r>
              <w:rPr>
                <w:rFonts w:hint="eastAsia" w:ascii="宋体" w:hAnsi="宋体" w:cs="宋体"/>
                <w:sz w:val="24"/>
                <w:szCs w:val="24"/>
              </w:rPr>
              <w:t>17.潮气量设置范围：</w:t>
            </w:r>
          </w:p>
          <w:p w14:paraId="7BB380AB">
            <w:pPr>
              <w:tabs>
                <w:tab w:val="left" w:pos="312"/>
              </w:tabs>
              <w:snapToGrid w:val="0"/>
              <w:spacing w:line="300" w:lineRule="exact"/>
              <w:rPr>
                <w:rFonts w:ascii="宋体" w:hAnsi="宋体" w:cs="宋体"/>
                <w:sz w:val="24"/>
                <w:szCs w:val="24"/>
              </w:rPr>
            </w:pPr>
            <w:r>
              <w:rPr>
                <w:rFonts w:hint="eastAsia" w:ascii="宋体" w:hAnsi="宋体" w:cs="宋体"/>
                <w:sz w:val="24"/>
                <w:szCs w:val="24"/>
              </w:rPr>
              <w:t>★（1）潮气量设置范围：5ml-1500ml（PCV模式），10ml-1500ml（VCV模式）</w:t>
            </w:r>
          </w:p>
          <w:p w14:paraId="7369DC2F">
            <w:pPr>
              <w:tabs>
                <w:tab w:val="left" w:pos="312"/>
              </w:tabs>
              <w:snapToGrid w:val="0"/>
              <w:spacing w:line="300" w:lineRule="exact"/>
              <w:rPr>
                <w:rFonts w:ascii="宋体" w:hAnsi="宋体" w:cs="宋体"/>
                <w:sz w:val="24"/>
                <w:szCs w:val="24"/>
              </w:rPr>
            </w:pPr>
            <w:r>
              <w:rPr>
                <w:rFonts w:hint="eastAsia" w:ascii="宋体" w:hAnsi="宋体" w:cs="宋体"/>
                <w:sz w:val="24"/>
                <w:szCs w:val="24"/>
              </w:rPr>
              <w:t>（2）潮气量监测范围：0到3000ml</w:t>
            </w:r>
          </w:p>
          <w:p w14:paraId="4AA34893">
            <w:pPr>
              <w:tabs>
                <w:tab w:val="left" w:pos="312"/>
              </w:tabs>
              <w:snapToGrid w:val="0"/>
              <w:spacing w:line="300" w:lineRule="exact"/>
              <w:rPr>
                <w:rFonts w:ascii="宋体" w:hAnsi="宋体" w:cs="宋体"/>
                <w:sz w:val="24"/>
                <w:szCs w:val="24"/>
              </w:rPr>
            </w:pPr>
            <w:r>
              <w:rPr>
                <w:rFonts w:hint="eastAsia" w:ascii="宋体" w:hAnsi="宋体" w:cs="宋体"/>
                <w:sz w:val="24"/>
                <w:szCs w:val="24"/>
              </w:rPr>
              <w:t>（3）呼吸机吸气阀峰值流速：≥180 L/min；</w:t>
            </w:r>
          </w:p>
          <w:p w14:paraId="28A7AA7E">
            <w:pPr>
              <w:tabs>
                <w:tab w:val="left" w:pos="312"/>
              </w:tabs>
              <w:snapToGrid w:val="0"/>
              <w:spacing w:line="300" w:lineRule="exact"/>
              <w:rPr>
                <w:rFonts w:ascii="宋体" w:hAnsi="宋体" w:cs="宋体"/>
                <w:sz w:val="24"/>
                <w:szCs w:val="24"/>
              </w:rPr>
            </w:pPr>
            <w:r>
              <w:rPr>
                <w:rFonts w:hint="eastAsia" w:ascii="宋体" w:hAnsi="宋体" w:cs="宋体"/>
                <w:sz w:val="24"/>
                <w:szCs w:val="24"/>
              </w:rPr>
              <w:t>（4）吸气压力设置范围：5-80 cmH</w:t>
            </w:r>
            <w:r>
              <w:rPr>
                <w:rFonts w:hint="eastAsia" w:ascii="宋体" w:hAnsi="宋体" w:cs="宋体"/>
                <w:sz w:val="24"/>
                <w:szCs w:val="24"/>
                <w:vertAlign w:val="subscript"/>
              </w:rPr>
              <w:t>2</w:t>
            </w:r>
            <w:r>
              <w:rPr>
                <w:rFonts w:hint="eastAsia" w:ascii="宋体" w:hAnsi="宋体" w:cs="宋体"/>
                <w:sz w:val="24"/>
                <w:szCs w:val="24"/>
              </w:rPr>
              <w:t>O （PEEP+）；</w:t>
            </w:r>
          </w:p>
          <w:p w14:paraId="40EC30F2">
            <w:pPr>
              <w:tabs>
                <w:tab w:val="left" w:pos="312"/>
              </w:tabs>
              <w:snapToGrid w:val="0"/>
              <w:spacing w:line="300" w:lineRule="exact"/>
              <w:rPr>
                <w:rFonts w:ascii="宋体" w:hAnsi="宋体" w:cs="宋体"/>
                <w:sz w:val="24"/>
                <w:szCs w:val="24"/>
              </w:rPr>
            </w:pPr>
            <w:r>
              <w:rPr>
                <w:rFonts w:hint="eastAsia" w:ascii="宋体" w:hAnsi="宋体" w:cs="宋体"/>
                <w:sz w:val="24"/>
                <w:szCs w:val="24"/>
              </w:rPr>
              <w:t>（5）吸呼比：4:1到1:8</w:t>
            </w:r>
          </w:p>
          <w:p w14:paraId="15F8F28E">
            <w:pPr>
              <w:tabs>
                <w:tab w:val="left" w:pos="312"/>
              </w:tabs>
              <w:snapToGrid w:val="0"/>
              <w:spacing w:line="300" w:lineRule="exact"/>
              <w:rPr>
                <w:rFonts w:ascii="宋体" w:hAnsi="宋体" w:cs="宋体"/>
                <w:sz w:val="24"/>
                <w:szCs w:val="24"/>
              </w:rPr>
            </w:pPr>
            <w:r>
              <w:rPr>
                <w:rFonts w:hint="eastAsia" w:ascii="宋体" w:hAnsi="宋体" w:cs="宋体"/>
                <w:sz w:val="24"/>
                <w:szCs w:val="24"/>
              </w:rPr>
              <w:t xml:space="preserve">（6）峰值流速：＞160 L/min  </w:t>
            </w:r>
          </w:p>
          <w:p w14:paraId="62A09AE0">
            <w:pPr>
              <w:tabs>
                <w:tab w:val="left" w:pos="312"/>
              </w:tabs>
              <w:snapToGrid w:val="0"/>
              <w:spacing w:line="300" w:lineRule="exact"/>
              <w:rPr>
                <w:rFonts w:ascii="宋体" w:hAnsi="宋体" w:cs="宋体"/>
                <w:sz w:val="24"/>
                <w:szCs w:val="24"/>
              </w:rPr>
            </w:pPr>
            <w:r>
              <w:rPr>
                <w:rFonts w:hint="eastAsia" w:ascii="宋体" w:hAnsi="宋体" w:cs="宋体"/>
                <w:sz w:val="24"/>
                <w:szCs w:val="24"/>
              </w:rPr>
              <w:t>（6）呼吸频率：2-100次/分钟</w:t>
            </w:r>
          </w:p>
          <w:p w14:paraId="75B007C9">
            <w:pPr>
              <w:tabs>
                <w:tab w:val="left" w:pos="312"/>
              </w:tabs>
              <w:snapToGrid w:val="0"/>
              <w:spacing w:line="300" w:lineRule="exact"/>
              <w:rPr>
                <w:rFonts w:ascii="宋体" w:hAnsi="宋体" w:cs="宋体"/>
                <w:sz w:val="24"/>
                <w:szCs w:val="24"/>
              </w:rPr>
            </w:pPr>
            <w:r>
              <w:rPr>
                <w:rFonts w:hint="eastAsia" w:ascii="宋体" w:hAnsi="宋体" w:cs="宋体"/>
                <w:sz w:val="24"/>
                <w:szCs w:val="24"/>
              </w:rPr>
              <w:t>18.具有肺保护工具：支持两种复张手法——单周期和多周期，支持定时膨肺功能</w:t>
            </w:r>
          </w:p>
          <w:p w14:paraId="740F87CD">
            <w:pPr>
              <w:tabs>
                <w:tab w:val="left" w:pos="312"/>
              </w:tabs>
              <w:snapToGrid w:val="0"/>
              <w:spacing w:line="300" w:lineRule="exact"/>
              <w:rPr>
                <w:rFonts w:ascii="宋体" w:hAnsi="宋体" w:cs="宋体"/>
                <w:sz w:val="24"/>
                <w:szCs w:val="24"/>
              </w:rPr>
            </w:pPr>
            <w:r>
              <w:rPr>
                <w:rFonts w:hint="eastAsia" w:ascii="宋体" w:hAnsi="宋体" w:cs="宋体"/>
                <w:sz w:val="24"/>
                <w:szCs w:val="24"/>
              </w:rPr>
              <w:t>19.支持升级吸气保持和呼气保持功能，自动计算静态顺应性，吸气阻力内源性呼气末正压等参数</w:t>
            </w:r>
          </w:p>
          <w:p w14:paraId="22DD3436">
            <w:pPr>
              <w:tabs>
                <w:tab w:val="left" w:pos="312"/>
              </w:tabs>
              <w:snapToGrid w:val="0"/>
              <w:spacing w:line="300" w:lineRule="exact"/>
              <w:rPr>
                <w:rFonts w:ascii="宋体" w:hAnsi="宋体" w:cs="宋体"/>
                <w:sz w:val="24"/>
                <w:szCs w:val="24"/>
              </w:rPr>
            </w:pPr>
            <w:r>
              <w:rPr>
                <w:rFonts w:hint="eastAsia" w:ascii="宋体" w:hAnsi="宋体" w:cs="宋体"/>
                <w:sz w:val="24"/>
                <w:szCs w:val="24"/>
              </w:rPr>
              <w:t>20.全自动使用前自检：图示化检测，检测失败时给于文字和图示提醒可能出错的原因。可预约定时自检</w:t>
            </w:r>
          </w:p>
          <w:p w14:paraId="1A31DE7A">
            <w:pPr>
              <w:tabs>
                <w:tab w:val="left" w:pos="312"/>
              </w:tabs>
              <w:snapToGrid w:val="0"/>
              <w:spacing w:line="300" w:lineRule="exact"/>
              <w:rPr>
                <w:rFonts w:ascii="宋体" w:hAnsi="宋体" w:cs="宋体"/>
                <w:sz w:val="24"/>
                <w:szCs w:val="24"/>
              </w:rPr>
            </w:pPr>
            <w:r>
              <w:rPr>
                <w:rFonts w:hint="eastAsia" w:ascii="宋体" w:hAnsi="宋体" w:cs="宋体"/>
                <w:sz w:val="24"/>
                <w:szCs w:val="24"/>
              </w:rPr>
              <w:t>21.具备麻醉趋势图功能，可显示未来20分钟内吸入呼出麻药浓度和氧浓度的趋势</w:t>
            </w:r>
          </w:p>
          <w:p w14:paraId="4E43BBAE">
            <w:pPr>
              <w:tabs>
                <w:tab w:val="left" w:pos="312"/>
              </w:tabs>
              <w:snapToGrid w:val="0"/>
              <w:spacing w:line="300" w:lineRule="exact"/>
              <w:rPr>
                <w:rFonts w:ascii="宋体" w:hAnsi="宋体" w:cs="宋体"/>
                <w:sz w:val="24"/>
                <w:szCs w:val="24"/>
              </w:rPr>
            </w:pPr>
            <w:r>
              <w:rPr>
                <w:rFonts w:hint="eastAsia" w:ascii="宋体" w:hAnsi="宋体" w:cs="宋体"/>
                <w:sz w:val="24"/>
                <w:szCs w:val="24"/>
              </w:rPr>
              <w:t>22.麻醉机可提供标准HL7协议，与院方信息系统实现实时通讯</w:t>
            </w:r>
          </w:p>
          <w:p w14:paraId="5A22FD22">
            <w:pPr>
              <w:tabs>
                <w:tab w:val="left" w:pos="312"/>
              </w:tabs>
              <w:snapToGrid w:val="0"/>
              <w:spacing w:line="300" w:lineRule="exact"/>
              <w:rPr>
                <w:rFonts w:ascii="宋体" w:hAnsi="宋体" w:cs="宋体"/>
                <w:sz w:val="24"/>
                <w:szCs w:val="24"/>
              </w:rPr>
            </w:pPr>
            <w:r>
              <w:rPr>
                <w:rFonts w:hint="eastAsia" w:ascii="宋体" w:hAnsi="宋体" w:cs="宋体"/>
                <w:sz w:val="24"/>
                <w:szCs w:val="24"/>
              </w:rPr>
              <w:t>23.麻醉机内置插件槽，可直接热插拔插件,插件可在同品牌监护仪和麻醉机之间通用, 可配备插件：AG麻醉气体模块、BIS、EtCO</w:t>
            </w:r>
            <w:r>
              <w:rPr>
                <w:rFonts w:hint="eastAsia" w:ascii="宋体" w:hAnsi="宋体" w:cs="宋体"/>
                <w:sz w:val="24"/>
                <w:szCs w:val="24"/>
                <w:vertAlign w:val="subscript"/>
              </w:rPr>
              <w:t>2</w:t>
            </w:r>
            <w:r>
              <w:rPr>
                <w:rFonts w:hint="eastAsia" w:ascii="宋体" w:hAnsi="宋体" w:cs="宋体"/>
                <w:sz w:val="24"/>
                <w:szCs w:val="24"/>
              </w:rPr>
              <w:t>、NMT，可单独升级EtCO</w:t>
            </w:r>
            <w:r>
              <w:rPr>
                <w:rFonts w:hint="eastAsia" w:ascii="宋体" w:hAnsi="宋体" w:cs="宋体"/>
                <w:sz w:val="24"/>
                <w:szCs w:val="24"/>
                <w:vertAlign w:val="subscript"/>
              </w:rPr>
              <w:t>2</w:t>
            </w:r>
            <w:r>
              <w:rPr>
                <w:rFonts w:hint="eastAsia" w:ascii="宋体" w:hAnsi="宋体" w:cs="宋体"/>
                <w:sz w:val="24"/>
                <w:szCs w:val="24"/>
              </w:rPr>
              <w:t>插件，以适应全凭静脉无需监测麻醉气体的需求</w:t>
            </w:r>
          </w:p>
          <w:p w14:paraId="3378B245">
            <w:pPr>
              <w:tabs>
                <w:tab w:val="left" w:pos="312"/>
              </w:tabs>
              <w:snapToGrid w:val="0"/>
              <w:spacing w:line="300" w:lineRule="exact"/>
              <w:rPr>
                <w:rFonts w:ascii="宋体" w:hAnsi="宋体" w:cs="宋体"/>
                <w:sz w:val="24"/>
                <w:szCs w:val="24"/>
              </w:rPr>
            </w:pPr>
            <w:r>
              <w:rPr>
                <w:rFonts w:hint="eastAsia" w:ascii="宋体" w:hAnsi="宋体" w:cs="宋体"/>
                <w:sz w:val="24"/>
                <w:szCs w:val="24"/>
              </w:rPr>
              <w:t>★24.麻醉监护仪采用模块化设计，具备转运模块，标配彩色电容触摸屏，屏幕尺寸≥18英寸，可同时显示≥10道波形，主机插槽数≥6个</w:t>
            </w:r>
          </w:p>
          <w:p w14:paraId="71DE204E">
            <w:pPr>
              <w:tabs>
                <w:tab w:val="left" w:pos="312"/>
              </w:tabs>
              <w:snapToGrid w:val="0"/>
              <w:spacing w:line="300" w:lineRule="exact"/>
              <w:rPr>
                <w:rFonts w:ascii="宋体" w:hAnsi="宋体" w:cs="宋体"/>
                <w:sz w:val="24"/>
                <w:szCs w:val="24"/>
              </w:rPr>
            </w:pPr>
            <w:r>
              <w:rPr>
                <w:rFonts w:hint="eastAsia" w:ascii="宋体" w:hAnsi="宋体" w:cs="宋体"/>
                <w:sz w:val="24"/>
                <w:szCs w:val="24"/>
              </w:rPr>
              <w:t>25.麻醉监护仪内置锂电池，续航时间≥2小时</w:t>
            </w:r>
          </w:p>
          <w:p w14:paraId="1AD7713F">
            <w:pPr>
              <w:tabs>
                <w:tab w:val="left" w:pos="312"/>
              </w:tabs>
              <w:snapToGrid w:val="0"/>
              <w:spacing w:line="300" w:lineRule="exact"/>
              <w:rPr>
                <w:rFonts w:ascii="宋体" w:hAnsi="宋体" w:cs="宋体"/>
                <w:sz w:val="24"/>
                <w:szCs w:val="24"/>
              </w:rPr>
            </w:pPr>
            <w:r>
              <w:rPr>
                <w:rFonts w:hint="eastAsia" w:ascii="宋体" w:hAnsi="宋体" w:cs="宋体"/>
                <w:sz w:val="24"/>
                <w:szCs w:val="24"/>
              </w:rPr>
              <w:t>★26.支持升级模块：BIS模块、NMT模块、AG麻醉气体模块、脑状态指数监测、脑氧监测、EtCO</w:t>
            </w:r>
            <w:r>
              <w:rPr>
                <w:rFonts w:hint="eastAsia" w:ascii="宋体" w:hAnsi="宋体" w:cs="宋体"/>
                <w:sz w:val="24"/>
                <w:szCs w:val="24"/>
                <w:vertAlign w:val="subscript"/>
              </w:rPr>
              <w:t>2</w:t>
            </w:r>
            <w:r>
              <w:rPr>
                <w:rFonts w:hint="eastAsia" w:ascii="宋体" w:hAnsi="宋体" w:cs="宋体"/>
                <w:sz w:val="24"/>
                <w:szCs w:val="24"/>
              </w:rPr>
              <w:t>模块、PICCO模块、脑氧模块，提升临床监测手段，支持热插拔</w:t>
            </w:r>
          </w:p>
          <w:p w14:paraId="56DB3B5E">
            <w:pPr>
              <w:tabs>
                <w:tab w:val="left" w:pos="312"/>
              </w:tabs>
              <w:snapToGrid w:val="0"/>
              <w:spacing w:line="300" w:lineRule="exact"/>
              <w:rPr>
                <w:rFonts w:ascii="宋体" w:hAnsi="宋体" w:cs="宋体"/>
                <w:sz w:val="24"/>
                <w:szCs w:val="24"/>
              </w:rPr>
            </w:pPr>
            <w:r>
              <w:rPr>
                <w:rFonts w:hint="eastAsia" w:ascii="宋体" w:hAnsi="宋体" w:cs="宋体"/>
                <w:sz w:val="24"/>
                <w:szCs w:val="24"/>
              </w:rPr>
              <w:t>27.支持升级功能：FloTrac监测功能模块或可实现FloTrac技术单机产品，非漂浮导管热稀释法或无创阻抗法，可通过监测桡动脉压力提供连续心排量（CCO），每搏量变异（SVV），实时外周血管阻力（SVR）等监测参数，满足临床监测需求</w:t>
            </w:r>
          </w:p>
          <w:p w14:paraId="39C1BBC9">
            <w:pPr>
              <w:tabs>
                <w:tab w:val="left" w:pos="312"/>
              </w:tabs>
              <w:snapToGrid w:val="0"/>
              <w:spacing w:line="300" w:lineRule="exact"/>
              <w:rPr>
                <w:rFonts w:ascii="宋体" w:hAnsi="宋体" w:cs="宋体"/>
                <w:sz w:val="24"/>
                <w:szCs w:val="24"/>
              </w:rPr>
            </w:pPr>
            <w:r>
              <w:rPr>
                <w:rFonts w:hint="eastAsia" w:ascii="宋体" w:hAnsi="宋体" w:cs="宋体"/>
                <w:sz w:val="24"/>
                <w:szCs w:val="24"/>
              </w:rPr>
              <w:t>28.麻醉监护仪支持监测参数：心电，呼吸，心率，脉率，无创血压，血氧饱和度，双通道体温和双通道有创血压，且双通道体温和有创血压可同时监测。基本功能模块支持升级从主体监护仪拔出后作为一个独立的监护仪支持病人的无缝转移，插入监护仪操作插槽作为主机模块，具有独立操作显示屏，屏幕尺寸≥5寸，内置锂电池供电≥6小时，采用无风扇设计</w:t>
            </w:r>
          </w:p>
          <w:p w14:paraId="6B91C33A">
            <w:pPr>
              <w:tabs>
                <w:tab w:val="left" w:pos="312"/>
              </w:tabs>
              <w:snapToGrid w:val="0"/>
              <w:spacing w:line="300" w:lineRule="exact"/>
              <w:rPr>
                <w:rFonts w:ascii="宋体" w:hAnsi="宋体" w:cs="宋体"/>
                <w:sz w:val="24"/>
                <w:szCs w:val="24"/>
              </w:rPr>
            </w:pPr>
            <w:r>
              <w:rPr>
                <w:rFonts w:hint="eastAsia" w:ascii="宋体" w:hAnsi="宋体" w:cs="宋体"/>
                <w:sz w:val="24"/>
                <w:szCs w:val="24"/>
              </w:rPr>
              <w:t>29.具备参数组合报警功能，可对患者同时多个参数变化给出统一报警提示，预示病人不同生理系统状态改变，提供≥10个预设组合报警，同时激活≥6个组合报警功能可选，支持根据病人的参数趋势变化，自动推送推荐报警限</w:t>
            </w:r>
          </w:p>
          <w:p w14:paraId="3FD2A134">
            <w:pPr>
              <w:tabs>
                <w:tab w:val="left" w:pos="312"/>
              </w:tabs>
              <w:snapToGrid w:val="0"/>
              <w:spacing w:line="300" w:lineRule="exact"/>
              <w:rPr>
                <w:rFonts w:ascii="宋体" w:hAnsi="宋体" w:cs="宋体"/>
                <w:sz w:val="24"/>
                <w:szCs w:val="24"/>
              </w:rPr>
            </w:pPr>
            <w:r>
              <w:rPr>
                <w:rFonts w:hint="eastAsia" w:ascii="宋体" w:hAnsi="宋体" w:cs="宋体"/>
                <w:sz w:val="24"/>
                <w:szCs w:val="24"/>
              </w:rPr>
              <w:t>30.麻醉监护仪的心电监测支持≥3个分析导联实时动态同步分析，并非多个导联波形同屏显示及12导联静息分析</w:t>
            </w:r>
          </w:p>
          <w:p w14:paraId="45CF68F0">
            <w:pPr>
              <w:tabs>
                <w:tab w:val="left" w:pos="312"/>
              </w:tabs>
              <w:snapToGrid w:val="0"/>
              <w:spacing w:line="300" w:lineRule="exact"/>
              <w:rPr>
                <w:rFonts w:hint="eastAsia" w:ascii="宋体" w:hAnsi="宋体" w:cs="宋体"/>
                <w:sz w:val="24"/>
                <w:szCs w:val="24"/>
                <w:highlight w:val="yellow"/>
              </w:rPr>
            </w:pPr>
            <w:r>
              <w:rPr>
                <w:rFonts w:hint="eastAsia" w:ascii="宋体" w:hAnsi="宋体" w:cs="宋体"/>
                <w:sz w:val="24"/>
                <w:szCs w:val="24"/>
                <w:highlight w:val="yellow"/>
              </w:rPr>
              <w:t>31.麻醉工作系统可连接输注管理系统，含有≥四通道注射泵，实现输注泵的联机控制</w:t>
            </w:r>
          </w:p>
          <w:p w14:paraId="18817776">
            <w:pPr>
              <w:tabs>
                <w:tab w:val="left" w:pos="312"/>
              </w:tabs>
              <w:snapToGrid w:val="0"/>
              <w:spacing w:line="300" w:lineRule="exact"/>
              <w:rPr>
                <w:rFonts w:ascii="宋体" w:hAnsi="宋体" w:cs="宋体"/>
                <w:sz w:val="24"/>
                <w:szCs w:val="24"/>
              </w:rPr>
            </w:pPr>
            <w:r>
              <w:rPr>
                <w:rFonts w:hint="eastAsia" w:ascii="宋体" w:hAnsi="宋体" w:cs="宋体"/>
                <w:sz w:val="24"/>
                <w:szCs w:val="24"/>
              </w:rPr>
              <w:t>32.输注管理系统中输注泵单机屏幕尺寸≥7寸彩色电容触摸屏，具有药物色彩标识</w:t>
            </w:r>
          </w:p>
          <w:p w14:paraId="6B234E52">
            <w:pPr>
              <w:tabs>
                <w:tab w:val="left" w:pos="312"/>
              </w:tabs>
              <w:snapToGrid w:val="0"/>
              <w:spacing w:line="300" w:lineRule="exact"/>
              <w:rPr>
                <w:rFonts w:ascii="宋体" w:hAnsi="宋体" w:cs="宋体"/>
                <w:sz w:val="24"/>
                <w:szCs w:val="24"/>
              </w:rPr>
            </w:pPr>
            <w:r>
              <w:rPr>
                <w:rFonts w:hint="eastAsia" w:ascii="宋体" w:hAnsi="宋体" w:cs="宋体"/>
                <w:sz w:val="24"/>
                <w:szCs w:val="24"/>
              </w:rPr>
              <w:t>33.麻醉输注管理系统支持输液泵和注射泵自由组合，集中供电，支持镇痛药、化疗药、胰岛素输注，支持TCI模式</w:t>
            </w:r>
          </w:p>
          <w:p w14:paraId="3ACAA48F">
            <w:pPr>
              <w:tabs>
                <w:tab w:val="left" w:pos="312"/>
              </w:tabs>
              <w:snapToGrid w:val="0"/>
              <w:spacing w:line="300" w:lineRule="exact"/>
              <w:rPr>
                <w:rFonts w:ascii="宋体" w:hAnsi="宋体" w:cs="宋体"/>
                <w:sz w:val="24"/>
                <w:szCs w:val="24"/>
                <w:highlight w:val="yellow"/>
              </w:rPr>
            </w:pPr>
            <w:r>
              <w:rPr>
                <w:rFonts w:hint="eastAsia" w:ascii="宋体" w:hAnsi="宋体" w:cs="宋体"/>
                <w:sz w:val="24"/>
                <w:szCs w:val="24"/>
                <w:highlight w:val="yellow"/>
              </w:rPr>
              <w:t>★34.麻醉输注管理系统内单泵主机自带多功能接口，无需外接辅助设备。</w:t>
            </w:r>
          </w:p>
          <w:p w14:paraId="60ABD911">
            <w:pPr>
              <w:tabs>
                <w:tab w:val="left" w:pos="312"/>
              </w:tabs>
              <w:snapToGrid w:val="0"/>
              <w:spacing w:line="300" w:lineRule="exact"/>
              <w:rPr>
                <w:rFonts w:ascii="宋体" w:hAnsi="宋体" w:cs="宋体"/>
                <w:sz w:val="24"/>
                <w:szCs w:val="24"/>
              </w:rPr>
            </w:pPr>
            <w:r>
              <w:rPr>
                <w:rFonts w:hint="eastAsia" w:ascii="宋体" w:hAnsi="宋体" w:cs="宋体"/>
                <w:sz w:val="24"/>
                <w:szCs w:val="24"/>
              </w:rPr>
              <w:t>35.麻醉输注管理系统支持输注射模式全面：需具备速度模式、时间模式、体重模式、梯度模式、序列模式、剂量时间模式、微量模式、间断给药模式、点滴模式（输液泵）；支持联机功能</w:t>
            </w:r>
          </w:p>
          <w:p w14:paraId="36FEADA2">
            <w:pPr>
              <w:tabs>
                <w:tab w:val="left" w:pos="312"/>
              </w:tabs>
              <w:snapToGrid w:val="0"/>
              <w:spacing w:line="300" w:lineRule="exact"/>
              <w:rPr>
                <w:rFonts w:ascii="宋体" w:hAnsi="宋体" w:cs="宋体"/>
                <w:sz w:val="24"/>
                <w:szCs w:val="24"/>
              </w:rPr>
            </w:pPr>
            <w:r>
              <w:rPr>
                <w:rFonts w:hint="eastAsia" w:ascii="宋体" w:hAnsi="宋体" w:cs="宋体"/>
                <w:sz w:val="24"/>
                <w:szCs w:val="24"/>
              </w:rPr>
              <w:t>36.麻醉工作系统可通过升级中央站集中连接实现远程控制麻醉机、监护仪、及输注管理系统（包含输液泵和注射泵），支持血压测量、输注速度、输注预置量、快进等参数远程设置及更改</w:t>
            </w:r>
          </w:p>
          <w:p w14:paraId="78DA7175">
            <w:pPr>
              <w:tabs>
                <w:tab w:val="left" w:pos="312"/>
              </w:tabs>
              <w:snapToGrid w:val="0"/>
              <w:spacing w:line="300" w:lineRule="exact"/>
              <w:rPr>
                <w:rFonts w:ascii="宋体" w:hAnsi="宋体" w:cs="宋体"/>
                <w:sz w:val="24"/>
                <w:szCs w:val="24"/>
              </w:rPr>
            </w:pPr>
            <w:r>
              <w:rPr>
                <w:rFonts w:hint="eastAsia" w:ascii="宋体" w:hAnsi="宋体" w:cs="宋体"/>
                <w:sz w:val="24"/>
                <w:szCs w:val="24"/>
              </w:rPr>
              <w:t>37.麻醉机、麻醉监护仪等设备可提供标准HL7协议，均可连入手麻等院内信息系统，与院方信息实现实时通讯。</w:t>
            </w:r>
          </w:p>
          <w:p w14:paraId="1B22FBB1">
            <w:pPr>
              <w:tabs>
                <w:tab w:val="left" w:pos="312"/>
              </w:tabs>
              <w:snapToGrid w:val="0"/>
              <w:spacing w:line="300" w:lineRule="exact"/>
              <w:rPr>
                <w:rFonts w:ascii="宋体" w:hAnsi="宋体" w:cs="宋体"/>
                <w:sz w:val="24"/>
                <w:szCs w:val="24"/>
              </w:rPr>
            </w:pPr>
            <w:r>
              <w:rPr>
                <w:rFonts w:hint="eastAsia" w:ascii="宋体" w:hAnsi="宋体" w:cs="宋体"/>
                <w:sz w:val="24"/>
                <w:szCs w:val="24"/>
              </w:rPr>
              <w:t>38.麻醉工作系统可通过升级中央站集中连接实现远程控制麻醉机、监护仪、及输注管理系统（包含输液泵和注射泵），支持血压测量、输注速度、输注预置量、快进等参数远程设置及更改</w:t>
            </w:r>
          </w:p>
          <w:p w14:paraId="1D4EE772">
            <w:pPr>
              <w:tabs>
                <w:tab w:val="left" w:pos="312"/>
              </w:tabs>
              <w:snapToGrid w:val="0"/>
              <w:spacing w:line="300" w:lineRule="exact"/>
              <w:rPr>
                <w:rFonts w:ascii="宋体" w:hAnsi="宋体" w:cs="宋体"/>
                <w:sz w:val="24"/>
                <w:szCs w:val="24"/>
              </w:rPr>
            </w:pPr>
            <w:r>
              <w:rPr>
                <w:rFonts w:hint="eastAsia" w:ascii="宋体" w:hAnsi="宋体" w:cs="宋体"/>
                <w:sz w:val="24"/>
                <w:szCs w:val="24"/>
              </w:rPr>
              <w:t>39.麻醉机、麻醉监护仪等设备可提供标准HL7协议，均可连入手麻等院内信息系统，与院方信息实现实时通讯</w:t>
            </w:r>
          </w:p>
          <w:p w14:paraId="5ABF1BB9">
            <w:pPr>
              <w:tabs>
                <w:tab w:val="left" w:pos="312"/>
              </w:tabs>
              <w:snapToGrid w:val="0"/>
              <w:spacing w:line="300" w:lineRule="exact"/>
              <w:rPr>
                <w:rFonts w:ascii="宋体" w:hAnsi="宋体" w:cs="宋体"/>
                <w:sz w:val="24"/>
                <w:szCs w:val="24"/>
              </w:rPr>
            </w:pPr>
            <w:r>
              <w:rPr>
                <w:rFonts w:hint="eastAsia" w:ascii="宋体" w:hAnsi="宋体" w:cs="宋体"/>
                <w:sz w:val="24"/>
                <w:szCs w:val="24"/>
              </w:rPr>
              <w:t>40.设备预计使用年限≥10年</w:t>
            </w:r>
          </w:p>
          <w:p w14:paraId="57FB5527">
            <w:pPr>
              <w:tabs>
                <w:tab w:val="left" w:pos="312"/>
              </w:tabs>
              <w:snapToGrid w:val="0"/>
              <w:spacing w:line="300" w:lineRule="exact"/>
              <w:rPr>
                <w:rFonts w:ascii="宋体" w:hAnsi="宋体" w:cs="宋体"/>
                <w:sz w:val="24"/>
                <w:szCs w:val="24"/>
              </w:rPr>
            </w:pPr>
            <w:r>
              <w:rPr>
                <w:rFonts w:hint="eastAsia" w:ascii="宋体" w:hAnsi="宋体" w:cs="宋体"/>
                <w:sz w:val="24"/>
                <w:szCs w:val="24"/>
              </w:rPr>
              <w:t>三、配置要求：</w:t>
            </w:r>
          </w:p>
          <w:p w14:paraId="397928A4">
            <w:pPr>
              <w:tabs>
                <w:tab w:val="left" w:pos="312"/>
              </w:tabs>
              <w:snapToGrid w:val="0"/>
              <w:spacing w:line="300" w:lineRule="exact"/>
              <w:rPr>
                <w:rFonts w:ascii="宋体" w:hAnsi="宋体" w:cs="宋体"/>
                <w:sz w:val="24"/>
                <w:szCs w:val="24"/>
              </w:rPr>
            </w:pPr>
            <w:r>
              <w:rPr>
                <w:rFonts w:hint="eastAsia" w:ascii="宋体" w:hAnsi="宋体" w:cs="宋体"/>
                <w:sz w:val="24"/>
                <w:szCs w:val="24"/>
              </w:rPr>
              <w:t>1.麻醉工作站(每套含麻醉机主机*1套+插件式麻醉监护仪*1套)</w:t>
            </w:r>
          </w:p>
          <w:p w14:paraId="690B118C">
            <w:pPr>
              <w:tabs>
                <w:tab w:val="left" w:pos="312"/>
              </w:tabs>
              <w:snapToGrid w:val="0"/>
              <w:spacing w:line="300" w:lineRule="exact"/>
              <w:rPr>
                <w:rFonts w:ascii="宋体" w:hAnsi="宋体" w:cs="宋体"/>
                <w:sz w:val="24"/>
                <w:szCs w:val="24"/>
              </w:rPr>
            </w:pPr>
            <w:r>
              <w:rPr>
                <w:rFonts w:hint="eastAsia" w:ascii="宋体" w:hAnsi="宋体" w:cs="宋体"/>
                <w:sz w:val="24"/>
                <w:szCs w:val="24"/>
              </w:rPr>
              <w:t>2.每套含七氟醚电子挥发罐*1套</w:t>
            </w:r>
          </w:p>
          <w:p w14:paraId="43891774">
            <w:pPr>
              <w:tabs>
                <w:tab w:val="left" w:pos="312"/>
              </w:tabs>
              <w:snapToGrid w:val="0"/>
              <w:spacing w:line="300" w:lineRule="exact"/>
              <w:rPr>
                <w:rFonts w:ascii="宋体" w:hAnsi="宋体" w:cs="宋体"/>
                <w:sz w:val="24"/>
                <w:szCs w:val="24"/>
              </w:rPr>
            </w:pPr>
            <w:r>
              <w:rPr>
                <w:rFonts w:hint="eastAsia" w:ascii="宋体" w:hAnsi="宋体" w:cs="宋体"/>
                <w:sz w:val="24"/>
                <w:szCs w:val="24"/>
              </w:rPr>
              <w:t>3.输液信息管理系统*1套（含4个TCI功能注射泵）</w:t>
            </w:r>
          </w:p>
          <w:p w14:paraId="24AA3274">
            <w:pPr>
              <w:tabs>
                <w:tab w:val="left" w:pos="312"/>
              </w:tabs>
              <w:snapToGrid w:val="0"/>
              <w:spacing w:line="300" w:lineRule="exact"/>
              <w:rPr>
                <w:rFonts w:ascii="宋体" w:hAnsi="宋体" w:cs="宋体"/>
                <w:sz w:val="24"/>
                <w:szCs w:val="24"/>
              </w:rPr>
            </w:pPr>
            <w:r>
              <w:rPr>
                <w:rFonts w:hint="eastAsia" w:ascii="宋体" w:hAnsi="宋体" w:cs="宋体"/>
                <w:sz w:val="24"/>
                <w:szCs w:val="24"/>
              </w:rPr>
              <w:t>4.每套含AG模块(氧浓度监测)*1套，B1S 模块*1套，NMT模块*1套</w:t>
            </w:r>
          </w:p>
          <w:p w14:paraId="600E2F06">
            <w:pPr>
              <w:tabs>
                <w:tab w:val="left" w:pos="312"/>
              </w:tabs>
              <w:snapToGrid w:val="0"/>
              <w:spacing w:line="300" w:lineRule="exact"/>
              <w:rPr>
                <w:rFonts w:ascii="宋体" w:hAnsi="宋体" w:cs="宋体"/>
                <w:b/>
                <w:bCs/>
                <w:sz w:val="24"/>
                <w:szCs w:val="24"/>
              </w:rPr>
            </w:pPr>
            <w:r>
              <w:rPr>
                <w:rFonts w:hint="eastAsia" w:ascii="宋体" w:hAnsi="宋体" w:cs="宋体"/>
                <w:sz w:val="24"/>
                <w:szCs w:val="24"/>
              </w:rPr>
              <w:t>5.每套配套附件（成人管路、氧疗鼻导管、皮囊各一个）*1套</w:t>
            </w:r>
          </w:p>
        </w:tc>
      </w:tr>
      <w:tr w14:paraId="6A2F0F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tcBorders>
              <w:top w:val="single" w:color="auto" w:sz="4" w:space="0"/>
              <w:left w:val="single" w:color="auto" w:sz="4" w:space="0"/>
              <w:bottom w:val="single" w:color="auto" w:sz="4" w:space="0"/>
              <w:right w:val="single" w:color="auto" w:sz="4" w:space="0"/>
            </w:tcBorders>
            <w:vAlign w:val="center"/>
          </w:tcPr>
          <w:p w14:paraId="56CC653D">
            <w:pPr>
              <w:snapToGrid w:val="0"/>
              <w:spacing w:line="360" w:lineRule="auto"/>
              <w:jc w:val="center"/>
              <w:rPr>
                <w:rFonts w:ascii="宋体" w:hAnsi="宋体" w:cs="宋体"/>
                <w:sz w:val="24"/>
                <w:szCs w:val="24"/>
              </w:rPr>
            </w:pPr>
            <w:r>
              <w:rPr>
                <w:rFonts w:hint="eastAsia" w:ascii="宋体" w:hAnsi="宋体" w:cs="宋体"/>
                <w:sz w:val="24"/>
                <w:szCs w:val="24"/>
              </w:rPr>
              <w:t>2</w:t>
            </w:r>
          </w:p>
        </w:tc>
        <w:tc>
          <w:tcPr>
            <w:tcW w:w="704" w:type="pct"/>
            <w:tcBorders>
              <w:top w:val="single" w:color="auto" w:sz="4" w:space="0"/>
              <w:left w:val="single" w:color="auto" w:sz="4" w:space="0"/>
              <w:bottom w:val="single" w:color="auto" w:sz="4" w:space="0"/>
              <w:right w:val="single" w:color="auto" w:sz="4" w:space="0"/>
            </w:tcBorders>
            <w:vAlign w:val="center"/>
          </w:tcPr>
          <w:p w14:paraId="572D2289">
            <w:pPr>
              <w:snapToGrid w:val="0"/>
              <w:spacing w:line="360" w:lineRule="auto"/>
              <w:jc w:val="center"/>
              <w:rPr>
                <w:rFonts w:ascii="宋体" w:hAnsi="宋体" w:cs="宋体"/>
                <w:sz w:val="24"/>
                <w:szCs w:val="24"/>
              </w:rPr>
            </w:pPr>
            <w:r>
              <w:rPr>
                <w:rFonts w:hint="eastAsia" w:ascii="宋体" w:hAnsi="宋体" w:cs="宋体"/>
                <w:sz w:val="24"/>
                <w:szCs w:val="24"/>
              </w:rPr>
              <w:t>麻醉机（2）</w:t>
            </w:r>
          </w:p>
        </w:tc>
        <w:tc>
          <w:tcPr>
            <w:tcW w:w="390" w:type="pct"/>
            <w:tcBorders>
              <w:top w:val="single" w:color="auto" w:sz="4" w:space="0"/>
              <w:left w:val="single" w:color="auto" w:sz="4" w:space="0"/>
              <w:bottom w:val="single" w:color="auto" w:sz="4" w:space="0"/>
              <w:right w:val="single" w:color="auto" w:sz="4" w:space="0"/>
            </w:tcBorders>
            <w:vAlign w:val="center"/>
          </w:tcPr>
          <w:p w14:paraId="40C142B1">
            <w:pPr>
              <w:jc w:val="center"/>
              <w:rPr>
                <w:rFonts w:cs="宋体"/>
                <w:color w:val="000000"/>
                <w:kern w:val="0"/>
                <w:sz w:val="24"/>
                <w:szCs w:val="21"/>
              </w:rPr>
            </w:pPr>
            <w:r>
              <w:rPr>
                <w:rFonts w:hint="eastAsia" w:ascii="宋体" w:hAnsi="宋体" w:cs="宋体"/>
                <w:sz w:val="24"/>
                <w:szCs w:val="24"/>
              </w:rPr>
              <w:t>台</w:t>
            </w:r>
          </w:p>
        </w:tc>
        <w:tc>
          <w:tcPr>
            <w:tcW w:w="439" w:type="pct"/>
            <w:tcBorders>
              <w:top w:val="single" w:color="auto" w:sz="4" w:space="0"/>
              <w:left w:val="single" w:color="auto" w:sz="4" w:space="0"/>
              <w:bottom w:val="single" w:color="auto" w:sz="4" w:space="0"/>
              <w:right w:val="single" w:color="auto" w:sz="4" w:space="0"/>
            </w:tcBorders>
            <w:vAlign w:val="center"/>
          </w:tcPr>
          <w:p w14:paraId="629B51F0">
            <w:pPr>
              <w:snapToGrid w:val="0"/>
              <w:spacing w:line="360" w:lineRule="auto"/>
              <w:jc w:val="center"/>
              <w:rPr>
                <w:rFonts w:ascii="宋体" w:hAnsi="宋体" w:cs="宋体"/>
                <w:sz w:val="24"/>
                <w:szCs w:val="24"/>
              </w:rPr>
            </w:pPr>
            <w:r>
              <w:rPr>
                <w:rFonts w:hint="eastAsia" w:ascii="宋体" w:hAnsi="宋体" w:cs="宋体"/>
                <w:sz w:val="24"/>
                <w:szCs w:val="24"/>
              </w:rPr>
              <w:t>1</w:t>
            </w:r>
          </w:p>
        </w:tc>
        <w:tc>
          <w:tcPr>
            <w:tcW w:w="3033" w:type="pct"/>
            <w:tcBorders>
              <w:top w:val="single" w:color="auto" w:sz="4" w:space="0"/>
              <w:left w:val="single" w:color="auto" w:sz="4" w:space="0"/>
              <w:bottom w:val="single" w:color="auto" w:sz="4" w:space="0"/>
              <w:right w:val="single" w:color="auto" w:sz="4" w:space="0"/>
            </w:tcBorders>
          </w:tcPr>
          <w:p w14:paraId="358691DD">
            <w:pPr>
              <w:tabs>
                <w:tab w:val="left" w:pos="312"/>
              </w:tabs>
              <w:snapToGrid w:val="0"/>
              <w:spacing w:line="300" w:lineRule="exact"/>
              <w:rPr>
                <w:rFonts w:ascii="宋体" w:hAnsi="宋体" w:cs="宋体"/>
                <w:sz w:val="24"/>
                <w:szCs w:val="24"/>
              </w:rPr>
            </w:pPr>
            <w:r>
              <w:rPr>
                <w:rFonts w:hint="eastAsia" w:ascii="宋体" w:hAnsi="宋体" w:cs="宋体"/>
                <w:sz w:val="24"/>
                <w:szCs w:val="24"/>
              </w:rPr>
              <w:t>一、产品用途：</w:t>
            </w:r>
          </w:p>
          <w:p w14:paraId="5E7DE412">
            <w:pPr>
              <w:tabs>
                <w:tab w:val="left" w:pos="312"/>
              </w:tabs>
              <w:snapToGrid w:val="0"/>
              <w:spacing w:line="300" w:lineRule="exact"/>
              <w:rPr>
                <w:rFonts w:ascii="宋体" w:hAnsi="宋体" w:cs="宋体"/>
                <w:sz w:val="24"/>
                <w:szCs w:val="24"/>
              </w:rPr>
            </w:pPr>
            <w:r>
              <w:rPr>
                <w:rFonts w:hint="eastAsia" w:ascii="宋体" w:hAnsi="宋体" w:cs="宋体"/>
                <w:sz w:val="24"/>
                <w:szCs w:val="24"/>
              </w:rPr>
              <w:t>1.用于围术期为患者提供全身麻醉及复苏过程通气支持，对患者生命体征进行实时监测，全面保障患者围术期安全，为临床提供辅助临床决策工具，提升临床工作效率</w:t>
            </w:r>
          </w:p>
          <w:p w14:paraId="2EDBA185">
            <w:pPr>
              <w:tabs>
                <w:tab w:val="left" w:pos="312"/>
              </w:tabs>
              <w:snapToGrid w:val="0"/>
              <w:spacing w:line="300" w:lineRule="exact"/>
              <w:rPr>
                <w:rFonts w:ascii="宋体" w:hAnsi="宋体" w:cs="宋体"/>
                <w:sz w:val="24"/>
                <w:szCs w:val="24"/>
              </w:rPr>
            </w:pPr>
            <w:r>
              <w:rPr>
                <w:rFonts w:hint="eastAsia" w:ascii="宋体" w:hAnsi="宋体" w:cs="宋体"/>
                <w:sz w:val="24"/>
                <w:szCs w:val="24"/>
              </w:rPr>
              <w:t>二、技术参数：</w:t>
            </w:r>
          </w:p>
          <w:p w14:paraId="4C4C0ABE">
            <w:pPr>
              <w:tabs>
                <w:tab w:val="left" w:pos="312"/>
              </w:tabs>
              <w:snapToGrid w:val="0"/>
              <w:spacing w:line="300" w:lineRule="exact"/>
              <w:rPr>
                <w:rFonts w:ascii="宋体" w:hAnsi="宋体" w:cs="宋体"/>
                <w:sz w:val="24"/>
                <w:szCs w:val="24"/>
              </w:rPr>
            </w:pPr>
            <w:r>
              <w:rPr>
                <w:rFonts w:hint="eastAsia" w:ascii="宋体" w:hAnsi="宋体" w:cs="宋体"/>
                <w:sz w:val="24"/>
                <w:szCs w:val="24"/>
              </w:rPr>
              <w:t>1.用于对成人、儿童和新生儿的吸入麻醉及呼吸管理，可完成紧闭、半紧闭、全开放麻醉，且在小儿麻醉时无需更换风箱的设备</w:t>
            </w:r>
          </w:p>
          <w:p w14:paraId="6FDB5726">
            <w:pPr>
              <w:tabs>
                <w:tab w:val="left" w:pos="312"/>
              </w:tabs>
              <w:snapToGrid w:val="0"/>
              <w:spacing w:line="300" w:lineRule="exact"/>
              <w:rPr>
                <w:rFonts w:ascii="宋体" w:hAnsi="宋体" w:cs="宋体"/>
                <w:sz w:val="24"/>
                <w:szCs w:val="24"/>
              </w:rPr>
            </w:pPr>
            <w:r>
              <w:rPr>
                <w:rFonts w:hint="eastAsia" w:ascii="宋体" w:hAnsi="宋体" w:cs="宋体"/>
                <w:sz w:val="24"/>
                <w:szCs w:val="24"/>
              </w:rPr>
              <w:t>2.采用气动电控或电动电控呼吸机，全中文操作和显示，屏幕尺寸≥15英寸，彩色电容触摸屏，显示屏可360度旋转，俯仰角度可调节，支持手势操作，可同屏显示波形和呼吸环图</w:t>
            </w:r>
          </w:p>
          <w:p w14:paraId="3DE9E341">
            <w:pPr>
              <w:tabs>
                <w:tab w:val="left" w:pos="312"/>
              </w:tabs>
              <w:snapToGrid w:val="0"/>
              <w:spacing w:line="300" w:lineRule="exact"/>
              <w:rPr>
                <w:rFonts w:ascii="宋体" w:hAnsi="宋体" w:cs="宋体"/>
                <w:sz w:val="24"/>
                <w:szCs w:val="24"/>
              </w:rPr>
            </w:pPr>
            <w:r>
              <w:rPr>
                <w:rFonts w:hint="eastAsia" w:ascii="宋体" w:hAnsi="宋体" w:cs="宋体"/>
                <w:sz w:val="24"/>
                <w:szCs w:val="24"/>
              </w:rPr>
              <w:t>3.同屏幕≥5通道波形显示（压力时间波形，流速时间波形，容量时间波形， CO</w:t>
            </w:r>
            <w:r>
              <w:rPr>
                <w:rFonts w:hint="eastAsia" w:ascii="宋体" w:hAnsi="宋体" w:cs="宋体"/>
                <w:sz w:val="24"/>
                <w:szCs w:val="24"/>
                <w:vertAlign w:val="subscript"/>
              </w:rPr>
              <w:t>2</w:t>
            </w:r>
            <w:r>
              <w:rPr>
                <w:rFonts w:hint="eastAsia" w:ascii="宋体" w:hAnsi="宋体" w:cs="宋体"/>
                <w:sz w:val="24"/>
                <w:szCs w:val="24"/>
              </w:rPr>
              <w:t>或麻醉气体浓度波形等）</w:t>
            </w:r>
          </w:p>
          <w:p w14:paraId="48143DFF">
            <w:pPr>
              <w:tabs>
                <w:tab w:val="left" w:pos="312"/>
              </w:tabs>
              <w:snapToGrid w:val="0"/>
              <w:spacing w:line="300" w:lineRule="exact"/>
              <w:rPr>
                <w:rFonts w:ascii="宋体" w:hAnsi="宋体" w:cs="宋体"/>
                <w:sz w:val="24"/>
                <w:szCs w:val="24"/>
              </w:rPr>
            </w:pPr>
            <w:r>
              <w:rPr>
                <w:rFonts w:hint="eastAsia" w:ascii="宋体" w:hAnsi="宋体" w:cs="宋体"/>
                <w:sz w:val="24"/>
                <w:szCs w:val="24"/>
              </w:rPr>
              <w:t>4.麻醉机内置≥3槽位插件槽，可直接热插拔插件，具备麻醉气体监测模块，具备氧浓度监测功能</w:t>
            </w:r>
          </w:p>
          <w:p w14:paraId="790A5C8F">
            <w:pPr>
              <w:tabs>
                <w:tab w:val="left" w:pos="312"/>
              </w:tabs>
              <w:snapToGrid w:val="0"/>
              <w:spacing w:line="300" w:lineRule="exact"/>
              <w:rPr>
                <w:rFonts w:ascii="宋体" w:hAnsi="宋体" w:cs="宋体"/>
                <w:sz w:val="24"/>
                <w:szCs w:val="24"/>
              </w:rPr>
            </w:pPr>
            <w:r>
              <w:rPr>
                <w:rFonts w:hint="eastAsia" w:ascii="宋体" w:hAnsi="宋体" w:cs="宋体"/>
                <w:sz w:val="24"/>
                <w:szCs w:val="24"/>
              </w:rPr>
              <w:t>5.标配氧气、空气两气源，具备氧笑联动系统，保证接入氧气和笑气时氧浓度不低于25%，快速充氧范围25-75 L/min</w:t>
            </w:r>
          </w:p>
          <w:p w14:paraId="5A9D0C39">
            <w:pPr>
              <w:tabs>
                <w:tab w:val="left" w:pos="312"/>
              </w:tabs>
              <w:snapToGrid w:val="0"/>
              <w:spacing w:line="300" w:lineRule="exact"/>
              <w:rPr>
                <w:rFonts w:ascii="宋体" w:hAnsi="宋体" w:cs="宋体"/>
                <w:sz w:val="24"/>
                <w:szCs w:val="24"/>
              </w:rPr>
            </w:pPr>
            <w:r>
              <w:rPr>
                <w:rFonts w:hint="eastAsia" w:ascii="宋体" w:hAnsi="宋体" w:cs="宋体"/>
                <w:sz w:val="24"/>
                <w:szCs w:val="24"/>
              </w:rPr>
              <w:t>★6.全电子流量计 (可直接设置氧浓度和总流量，总流量控制模式下总流量范围：0.2-20 L/min。O</w:t>
            </w:r>
            <w:r>
              <w:rPr>
                <w:rFonts w:hint="eastAsia" w:ascii="宋体" w:hAnsi="宋体" w:cs="宋体"/>
                <w:sz w:val="24"/>
                <w:szCs w:val="24"/>
                <w:vertAlign w:val="subscript"/>
              </w:rPr>
              <w:t>2</w:t>
            </w:r>
            <w:r>
              <w:rPr>
                <w:rFonts w:hint="eastAsia" w:ascii="宋体" w:hAnsi="宋体" w:cs="宋体"/>
                <w:sz w:val="24"/>
                <w:szCs w:val="24"/>
              </w:rPr>
              <w:t xml:space="preserve"> 浓度范围： 21%-100%)，全电子流量计可以设置成总流量模式，也可以设置成单管流量模式</w:t>
            </w:r>
          </w:p>
          <w:p w14:paraId="72434138">
            <w:pPr>
              <w:tabs>
                <w:tab w:val="left" w:pos="312"/>
              </w:tabs>
              <w:snapToGrid w:val="0"/>
              <w:spacing w:line="300" w:lineRule="exact"/>
              <w:rPr>
                <w:rFonts w:ascii="宋体" w:hAnsi="宋体" w:cs="宋体"/>
                <w:sz w:val="24"/>
                <w:szCs w:val="24"/>
              </w:rPr>
            </w:pPr>
            <w:r>
              <w:rPr>
                <w:rFonts w:hint="eastAsia" w:ascii="宋体" w:hAnsi="宋体" w:cs="宋体"/>
                <w:sz w:val="24"/>
                <w:szCs w:val="24"/>
              </w:rPr>
              <w:t>7.具备备用流量计，具备辅助吸氧流量计，具备直观的适宜低流量麻醉的新鲜气体流量指示工具，具备麻药消耗速度显示和总消耗量统计，具备新鲜气体流量暂停功能，方便吸痰等操作</w:t>
            </w:r>
          </w:p>
          <w:p w14:paraId="4AA9B16B">
            <w:pPr>
              <w:tabs>
                <w:tab w:val="left" w:pos="312"/>
              </w:tabs>
              <w:snapToGrid w:val="0"/>
              <w:spacing w:line="300" w:lineRule="exact"/>
              <w:rPr>
                <w:rFonts w:ascii="宋体" w:hAnsi="宋体" w:cs="宋体"/>
                <w:sz w:val="24"/>
                <w:szCs w:val="24"/>
              </w:rPr>
            </w:pPr>
            <w:r>
              <w:rPr>
                <w:rFonts w:hint="eastAsia" w:ascii="宋体" w:hAnsi="宋体" w:cs="宋体"/>
                <w:sz w:val="24"/>
                <w:szCs w:val="24"/>
              </w:rPr>
              <w:t>8.具备高流量给氧功能（HFNC功能)，流量范围 2-80 L/min，氧浓度设置范围21-100%</w:t>
            </w:r>
          </w:p>
          <w:p w14:paraId="5A3A0926">
            <w:pPr>
              <w:tabs>
                <w:tab w:val="left" w:pos="312"/>
              </w:tabs>
              <w:snapToGrid w:val="0"/>
              <w:spacing w:line="300" w:lineRule="exact"/>
              <w:rPr>
                <w:rFonts w:hint="eastAsia" w:ascii="宋体" w:hAnsi="宋体" w:cs="宋体"/>
                <w:sz w:val="24"/>
                <w:szCs w:val="24"/>
                <w:highlight w:val="yellow"/>
              </w:rPr>
            </w:pPr>
            <w:r>
              <w:rPr>
                <w:rFonts w:hint="eastAsia" w:ascii="宋体" w:hAnsi="宋体" w:cs="宋体"/>
                <w:sz w:val="24"/>
                <w:szCs w:val="24"/>
                <w:highlight w:val="yellow"/>
              </w:rPr>
              <w:t>★</w:t>
            </w:r>
            <w:r>
              <w:rPr>
                <w:rFonts w:hint="eastAsia" w:ascii="宋体" w:hAnsi="宋体" w:cs="宋体"/>
                <w:sz w:val="24"/>
                <w:szCs w:val="24"/>
                <w:highlight w:val="yellow"/>
                <w:lang w:val="en-US" w:eastAsia="zh-CN"/>
              </w:rPr>
              <w:t>9</w:t>
            </w:r>
            <w:r>
              <w:rPr>
                <w:rFonts w:hint="eastAsia" w:ascii="宋体" w:hAnsi="宋体" w:cs="宋体"/>
                <w:sz w:val="24"/>
                <w:szCs w:val="24"/>
                <w:highlight w:val="yellow"/>
              </w:rPr>
              <w:t>.具备双麻醉罐位</w:t>
            </w:r>
          </w:p>
          <w:p w14:paraId="1D574C3D">
            <w:pPr>
              <w:tabs>
                <w:tab w:val="left" w:pos="312"/>
              </w:tabs>
              <w:snapToGrid w:val="0"/>
              <w:spacing w:line="300" w:lineRule="exact"/>
              <w:rPr>
                <w:rFonts w:ascii="宋体" w:hAnsi="宋体" w:cs="宋体"/>
                <w:color w:val="auto"/>
                <w:sz w:val="24"/>
                <w:szCs w:val="24"/>
              </w:rPr>
            </w:pPr>
            <w:r>
              <w:rPr>
                <w:rFonts w:hint="eastAsia" w:ascii="宋体" w:hAnsi="宋体" w:cs="宋体"/>
                <w:color w:val="auto"/>
                <w:sz w:val="24"/>
                <w:szCs w:val="24"/>
              </w:rPr>
              <w:t>10.回路部件可以耐受≥134℃高温高压消毒以避免院内交叉感染(包括流量传感器)</w:t>
            </w:r>
          </w:p>
          <w:p w14:paraId="2FF6D9FF">
            <w:pPr>
              <w:tabs>
                <w:tab w:val="left" w:pos="312"/>
              </w:tabs>
              <w:snapToGrid w:val="0"/>
              <w:spacing w:line="300" w:lineRule="exact"/>
              <w:rPr>
                <w:rFonts w:ascii="宋体" w:hAnsi="宋体" w:cs="宋体"/>
                <w:sz w:val="24"/>
                <w:szCs w:val="24"/>
              </w:rPr>
            </w:pPr>
            <w:r>
              <w:rPr>
                <w:rFonts w:hint="eastAsia" w:ascii="宋体" w:hAnsi="宋体" w:cs="宋体"/>
                <w:sz w:val="24"/>
                <w:szCs w:val="24"/>
              </w:rPr>
              <w:t>11.具备吸入端与呼出端双流量传感器，实现动态潮气量实时自动补偿功能，补偿新鲜气体变化、气体压缩、回路顺应性变化以及小的回路泄漏造成的吸入潮气量和设置潮气量的误差。具备内置第三基准流量传感器，用户可自行校准吸入和呼出端流量传感器。</w:t>
            </w:r>
          </w:p>
          <w:p w14:paraId="22478F7A">
            <w:pPr>
              <w:tabs>
                <w:tab w:val="left" w:pos="312"/>
              </w:tabs>
              <w:snapToGrid w:val="0"/>
              <w:spacing w:line="300" w:lineRule="exact"/>
              <w:rPr>
                <w:rFonts w:ascii="宋体" w:hAnsi="宋体" w:cs="宋体"/>
                <w:sz w:val="24"/>
                <w:szCs w:val="24"/>
              </w:rPr>
            </w:pPr>
            <w:r>
              <w:rPr>
                <w:rFonts w:hint="eastAsia" w:ascii="宋体" w:hAnsi="宋体" w:cs="宋体"/>
                <w:sz w:val="24"/>
                <w:szCs w:val="24"/>
              </w:rPr>
              <w:t>★12.具有回路整体加温功能，保证回路不受积水影响，保证流量传感器精准及向病人提供温暖气体，避免对呼吸道的刺激</w:t>
            </w:r>
          </w:p>
          <w:p w14:paraId="080E3D2F">
            <w:pPr>
              <w:tabs>
                <w:tab w:val="left" w:pos="312"/>
              </w:tabs>
              <w:snapToGrid w:val="0"/>
              <w:spacing w:line="300" w:lineRule="exact"/>
              <w:rPr>
                <w:rFonts w:ascii="宋体" w:hAnsi="宋体" w:cs="宋体"/>
                <w:sz w:val="24"/>
                <w:szCs w:val="24"/>
              </w:rPr>
            </w:pPr>
            <w:r>
              <w:rPr>
                <w:rFonts w:hint="eastAsia" w:ascii="宋体" w:hAnsi="宋体" w:cs="宋体"/>
                <w:sz w:val="24"/>
                <w:szCs w:val="24"/>
              </w:rPr>
              <w:t>13.具备CO</w:t>
            </w:r>
            <w:r>
              <w:rPr>
                <w:rFonts w:hint="eastAsia" w:ascii="宋体" w:hAnsi="宋体" w:cs="宋体"/>
                <w:sz w:val="24"/>
                <w:szCs w:val="24"/>
                <w:vertAlign w:val="subscript"/>
              </w:rPr>
              <w:t>2</w:t>
            </w:r>
            <w:r>
              <w:rPr>
                <w:rFonts w:hint="eastAsia" w:ascii="宋体" w:hAnsi="宋体" w:cs="宋体"/>
                <w:sz w:val="24"/>
                <w:szCs w:val="24"/>
              </w:rPr>
              <w:t>旁路功能，在机械通气过程中，更换钠石灰罐无需关停机械通气，可方便直接更换</w:t>
            </w:r>
          </w:p>
          <w:p w14:paraId="5F5B3AD1">
            <w:pPr>
              <w:tabs>
                <w:tab w:val="left" w:pos="312"/>
              </w:tabs>
              <w:snapToGrid w:val="0"/>
              <w:spacing w:line="300" w:lineRule="exact"/>
              <w:rPr>
                <w:rFonts w:ascii="宋体" w:hAnsi="宋体" w:cs="宋体"/>
                <w:sz w:val="24"/>
                <w:szCs w:val="24"/>
              </w:rPr>
            </w:pPr>
            <w:r>
              <w:rPr>
                <w:rFonts w:hint="eastAsia" w:ascii="宋体" w:hAnsi="宋体" w:cs="宋体"/>
                <w:sz w:val="24"/>
                <w:szCs w:val="24"/>
              </w:rPr>
              <w:t>14.提供辅助/控制通气，支持VCV、PCV、压力控制容量保证通气（PCV-VG/AUTOFLOW）和SIMV（SIMV-VC、SIMV-PC）、CPAP/PS等通气模式</w:t>
            </w:r>
          </w:p>
          <w:p w14:paraId="1045DE87">
            <w:pPr>
              <w:tabs>
                <w:tab w:val="left" w:pos="312"/>
              </w:tabs>
              <w:snapToGrid w:val="0"/>
              <w:spacing w:line="300" w:lineRule="exact"/>
              <w:rPr>
                <w:rFonts w:ascii="宋体" w:hAnsi="宋体" w:cs="宋体"/>
                <w:sz w:val="24"/>
                <w:szCs w:val="24"/>
              </w:rPr>
            </w:pPr>
            <w:r>
              <w:rPr>
                <w:rFonts w:hint="eastAsia" w:ascii="宋体" w:hAnsi="宋体" w:cs="宋体"/>
                <w:sz w:val="24"/>
                <w:szCs w:val="24"/>
              </w:rPr>
              <w:t>15.具备心肺旁流模式CPB, 且心肺旁流模式可在手动通气模式和机控通气模式下启动</w:t>
            </w:r>
          </w:p>
          <w:p w14:paraId="0693AB25">
            <w:pPr>
              <w:tabs>
                <w:tab w:val="left" w:pos="312"/>
              </w:tabs>
              <w:snapToGrid w:val="0"/>
              <w:spacing w:line="300" w:lineRule="exact"/>
              <w:rPr>
                <w:rFonts w:ascii="宋体" w:hAnsi="宋体" w:cs="宋体"/>
                <w:sz w:val="24"/>
                <w:szCs w:val="24"/>
              </w:rPr>
            </w:pPr>
            <w:r>
              <w:rPr>
                <w:rFonts w:hint="eastAsia" w:ascii="宋体" w:hAnsi="宋体" w:cs="宋体"/>
                <w:sz w:val="24"/>
                <w:szCs w:val="24"/>
              </w:rPr>
              <w:t>16.潮气量设置范围：</w:t>
            </w:r>
          </w:p>
          <w:p w14:paraId="480EA2F6">
            <w:pPr>
              <w:tabs>
                <w:tab w:val="left" w:pos="312"/>
              </w:tabs>
              <w:snapToGrid w:val="0"/>
              <w:spacing w:line="300" w:lineRule="exact"/>
              <w:rPr>
                <w:rFonts w:ascii="宋体" w:hAnsi="宋体" w:cs="宋体"/>
                <w:sz w:val="24"/>
                <w:szCs w:val="24"/>
              </w:rPr>
            </w:pPr>
            <w:r>
              <w:rPr>
                <w:rFonts w:hint="eastAsia" w:ascii="宋体" w:hAnsi="宋体" w:cs="宋体"/>
                <w:sz w:val="24"/>
                <w:szCs w:val="24"/>
              </w:rPr>
              <w:t>★（1）潮气量设置范围：5ml-1500ml（PCV模式），10ml-1500ml（VCV模式）</w:t>
            </w:r>
          </w:p>
          <w:p w14:paraId="5084288E">
            <w:pPr>
              <w:tabs>
                <w:tab w:val="left" w:pos="312"/>
              </w:tabs>
              <w:snapToGrid w:val="0"/>
              <w:spacing w:line="300" w:lineRule="exact"/>
              <w:rPr>
                <w:rFonts w:ascii="宋体" w:hAnsi="宋体" w:cs="宋体"/>
                <w:sz w:val="24"/>
                <w:szCs w:val="24"/>
              </w:rPr>
            </w:pPr>
            <w:r>
              <w:rPr>
                <w:rFonts w:hint="eastAsia" w:ascii="宋体" w:hAnsi="宋体" w:cs="宋体"/>
                <w:sz w:val="24"/>
                <w:szCs w:val="24"/>
              </w:rPr>
              <w:t>（2）潮气量监测范围：0到3000ml</w:t>
            </w:r>
          </w:p>
          <w:p w14:paraId="21F95896">
            <w:pPr>
              <w:tabs>
                <w:tab w:val="left" w:pos="312"/>
              </w:tabs>
              <w:snapToGrid w:val="0"/>
              <w:spacing w:line="300" w:lineRule="exact"/>
              <w:rPr>
                <w:rFonts w:ascii="宋体" w:hAnsi="宋体" w:cs="宋体"/>
                <w:sz w:val="24"/>
                <w:szCs w:val="24"/>
              </w:rPr>
            </w:pPr>
            <w:r>
              <w:rPr>
                <w:rFonts w:hint="eastAsia" w:ascii="宋体" w:hAnsi="宋体" w:cs="宋体"/>
                <w:sz w:val="24"/>
                <w:szCs w:val="24"/>
              </w:rPr>
              <w:t>（3）呼吸机吸气阀峰值流速：≥180 L/min；</w:t>
            </w:r>
          </w:p>
          <w:p w14:paraId="1E8619AB">
            <w:pPr>
              <w:tabs>
                <w:tab w:val="left" w:pos="312"/>
              </w:tabs>
              <w:snapToGrid w:val="0"/>
              <w:spacing w:line="300" w:lineRule="exact"/>
              <w:rPr>
                <w:rFonts w:ascii="宋体" w:hAnsi="宋体" w:cs="宋体"/>
                <w:sz w:val="24"/>
                <w:szCs w:val="24"/>
              </w:rPr>
            </w:pPr>
            <w:r>
              <w:rPr>
                <w:rFonts w:hint="eastAsia" w:ascii="宋体" w:hAnsi="宋体" w:cs="宋体"/>
                <w:sz w:val="24"/>
                <w:szCs w:val="24"/>
              </w:rPr>
              <w:t>（4）吸气压力设置范围：5-80 cmH</w:t>
            </w:r>
            <w:r>
              <w:rPr>
                <w:rFonts w:hint="eastAsia" w:ascii="宋体" w:hAnsi="宋体" w:cs="宋体"/>
                <w:sz w:val="24"/>
                <w:szCs w:val="24"/>
                <w:vertAlign w:val="subscript"/>
              </w:rPr>
              <w:t>2</w:t>
            </w:r>
            <w:r>
              <w:rPr>
                <w:rFonts w:hint="eastAsia" w:ascii="宋体" w:hAnsi="宋体" w:cs="宋体"/>
                <w:sz w:val="24"/>
                <w:szCs w:val="24"/>
              </w:rPr>
              <w:t>O （PEEP+）；</w:t>
            </w:r>
          </w:p>
          <w:p w14:paraId="729BAD9B">
            <w:pPr>
              <w:tabs>
                <w:tab w:val="left" w:pos="312"/>
              </w:tabs>
              <w:snapToGrid w:val="0"/>
              <w:spacing w:line="300" w:lineRule="exact"/>
              <w:rPr>
                <w:rFonts w:ascii="宋体" w:hAnsi="宋体" w:cs="宋体"/>
                <w:sz w:val="24"/>
                <w:szCs w:val="24"/>
              </w:rPr>
            </w:pPr>
            <w:r>
              <w:rPr>
                <w:rFonts w:hint="eastAsia" w:ascii="宋体" w:hAnsi="宋体" w:cs="宋体"/>
                <w:sz w:val="24"/>
                <w:szCs w:val="24"/>
              </w:rPr>
              <w:t>（5）吸呼比：4:1到1:8</w:t>
            </w:r>
          </w:p>
          <w:p w14:paraId="5B12ECFC">
            <w:pPr>
              <w:tabs>
                <w:tab w:val="left" w:pos="312"/>
              </w:tabs>
              <w:snapToGrid w:val="0"/>
              <w:spacing w:line="300" w:lineRule="exact"/>
              <w:rPr>
                <w:rFonts w:ascii="宋体" w:hAnsi="宋体" w:cs="宋体"/>
                <w:sz w:val="24"/>
                <w:szCs w:val="24"/>
              </w:rPr>
            </w:pPr>
            <w:r>
              <w:rPr>
                <w:rFonts w:hint="eastAsia" w:ascii="宋体" w:hAnsi="宋体" w:cs="宋体"/>
                <w:sz w:val="24"/>
                <w:szCs w:val="24"/>
              </w:rPr>
              <w:t xml:space="preserve">（6）峰值流速：＞160 L/min  </w:t>
            </w:r>
          </w:p>
          <w:p w14:paraId="43C334A8">
            <w:pPr>
              <w:tabs>
                <w:tab w:val="left" w:pos="312"/>
              </w:tabs>
              <w:snapToGrid w:val="0"/>
              <w:spacing w:line="300" w:lineRule="exact"/>
              <w:rPr>
                <w:rFonts w:ascii="宋体" w:hAnsi="宋体" w:cs="宋体"/>
                <w:sz w:val="24"/>
                <w:szCs w:val="24"/>
              </w:rPr>
            </w:pPr>
            <w:r>
              <w:rPr>
                <w:rFonts w:hint="eastAsia" w:ascii="宋体" w:hAnsi="宋体" w:cs="宋体"/>
                <w:sz w:val="24"/>
                <w:szCs w:val="24"/>
              </w:rPr>
              <w:t>（7）呼吸频率：2-100次/分钟</w:t>
            </w:r>
          </w:p>
          <w:p w14:paraId="40F03B3A">
            <w:pPr>
              <w:tabs>
                <w:tab w:val="left" w:pos="312"/>
              </w:tabs>
              <w:snapToGrid w:val="0"/>
              <w:spacing w:line="300" w:lineRule="exact"/>
              <w:rPr>
                <w:rFonts w:ascii="宋体" w:hAnsi="宋体" w:cs="宋体"/>
                <w:sz w:val="24"/>
                <w:szCs w:val="24"/>
              </w:rPr>
            </w:pPr>
            <w:r>
              <w:rPr>
                <w:rFonts w:hint="eastAsia" w:ascii="宋体" w:hAnsi="宋体" w:cs="宋体"/>
                <w:sz w:val="24"/>
                <w:szCs w:val="24"/>
              </w:rPr>
              <w:t>17.具有肺保护工具：支持两种复张手法——单周期和多周期，支持定时膨肺功能</w:t>
            </w:r>
          </w:p>
          <w:p w14:paraId="1AC264B4">
            <w:pPr>
              <w:tabs>
                <w:tab w:val="left" w:pos="312"/>
              </w:tabs>
              <w:snapToGrid w:val="0"/>
              <w:spacing w:line="300" w:lineRule="exact"/>
              <w:rPr>
                <w:rFonts w:ascii="宋体" w:hAnsi="宋体" w:cs="宋体"/>
                <w:sz w:val="24"/>
                <w:szCs w:val="24"/>
              </w:rPr>
            </w:pPr>
            <w:r>
              <w:rPr>
                <w:rFonts w:hint="eastAsia" w:ascii="宋体" w:hAnsi="宋体" w:cs="宋体"/>
                <w:sz w:val="24"/>
                <w:szCs w:val="24"/>
              </w:rPr>
              <w:t>18.支持升级吸气保持和呼气保持功能，自动计算静态顺应性，吸气阻力内源性呼气末正压等参数</w:t>
            </w:r>
          </w:p>
          <w:p w14:paraId="497EEBB3">
            <w:pPr>
              <w:tabs>
                <w:tab w:val="left" w:pos="312"/>
              </w:tabs>
              <w:snapToGrid w:val="0"/>
              <w:spacing w:line="300" w:lineRule="exact"/>
              <w:rPr>
                <w:rFonts w:ascii="宋体" w:hAnsi="宋体" w:cs="宋体"/>
                <w:sz w:val="24"/>
                <w:szCs w:val="24"/>
              </w:rPr>
            </w:pPr>
            <w:r>
              <w:rPr>
                <w:rFonts w:hint="eastAsia" w:ascii="宋体" w:hAnsi="宋体" w:cs="宋体"/>
                <w:sz w:val="24"/>
                <w:szCs w:val="24"/>
              </w:rPr>
              <w:t>19.全自动使用前自检：图示化检测，检测失败时给于文字和图示提醒可能出错的原因。可预约定时自检。</w:t>
            </w:r>
          </w:p>
          <w:p w14:paraId="4E43D79B">
            <w:pPr>
              <w:tabs>
                <w:tab w:val="left" w:pos="312"/>
              </w:tabs>
              <w:snapToGrid w:val="0"/>
              <w:spacing w:line="300" w:lineRule="exact"/>
              <w:rPr>
                <w:rFonts w:ascii="宋体" w:hAnsi="宋体" w:cs="宋体"/>
                <w:sz w:val="24"/>
                <w:szCs w:val="24"/>
              </w:rPr>
            </w:pPr>
            <w:r>
              <w:rPr>
                <w:rFonts w:hint="eastAsia" w:ascii="宋体" w:hAnsi="宋体" w:cs="宋体"/>
                <w:sz w:val="24"/>
                <w:szCs w:val="24"/>
              </w:rPr>
              <w:t>20.具备麻醉趋势图功能，可显示未来20分钟内吸入呼出麻药浓度和氧浓度的趋势</w:t>
            </w:r>
          </w:p>
          <w:p w14:paraId="248EBA8C">
            <w:pPr>
              <w:tabs>
                <w:tab w:val="left" w:pos="312"/>
              </w:tabs>
              <w:snapToGrid w:val="0"/>
              <w:spacing w:line="300" w:lineRule="exact"/>
              <w:rPr>
                <w:rFonts w:ascii="宋体" w:hAnsi="宋体" w:cs="宋体"/>
                <w:sz w:val="24"/>
                <w:szCs w:val="24"/>
              </w:rPr>
            </w:pPr>
            <w:r>
              <w:rPr>
                <w:rFonts w:hint="eastAsia" w:ascii="宋体" w:hAnsi="宋体" w:cs="宋体"/>
                <w:sz w:val="24"/>
                <w:szCs w:val="24"/>
              </w:rPr>
              <w:t>21.麻醉机可提供标准HL7协议，与院方信息系统实现实时通讯</w:t>
            </w:r>
          </w:p>
          <w:p w14:paraId="1C84878D">
            <w:pPr>
              <w:tabs>
                <w:tab w:val="left" w:pos="312"/>
              </w:tabs>
              <w:snapToGrid w:val="0"/>
              <w:spacing w:line="300" w:lineRule="exact"/>
              <w:rPr>
                <w:rFonts w:ascii="宋体" w:hAnsi="宋体" w:cs="宋体"/>
                <w:sz w:val="24"/>
                <w:szCs w:val="24"/>
              </w:rPr>
            </w:pPr>
            <w:r>
              <w:rPr>
                <w:rFonts w:hint="eastAsia" w:ascii="宋体" w:hAnsi="宋体" w:cs="宋体"/>
                <w:sz w:val="24"/>
                <w:szCs w:val="24"/>
              </w:rPr>
              <w:t>22.麻醉机内置插件槽，可直接热插拔插件,插件可在同品牌监护仪和麻醉机之间通用, 可配备插件：AG麻醉气体模块、BIS、EtCO</w:t>
            </w:r>
            <w:r>
              <w:rPr>
                <w:rFonts w:hint="eastAsia" w:ascii="宋体" w:hAnsi="宋体" w:cs="宋体"/>
                <w:sz w:val="24"/>
                <w:szCs w:val="24"/>
                <w:vertAlign w:val="subscript"/>
              </w:rPr>
              <w:t>2</w:t>
            </w:r>
            <w:r>
              <w:rPr>
                <w:rFonts w:hint="eastAsia" w:ascii="宋体" w:hAnsi="宋体" w:cs="宋体"/>
                <w:sz w:val="24"/>
                <w:szCs w:val="24"/>
              </w:rPr>
              <w:t>、NMT，可单独升级EtCO</w:t>
            </w:r>
            <w:r>
              <w:rPr>
                <w:rFonts w:hint="eastAsia" w:ascii="宋体" w:hAnsi="宋体" w:cs="宋体"/>
                <w:sz w:val="24"/>
                <w:szCs w:val="24"/>
                <w:vertAlign w:val="subscript"/>
              </w:rPr>
              <w:t>2</w:t>
            </w:r>
            <w:r>
              <w:rPr>
                <w:rFonts w:hint="eastAsia" w:ascii="宋体" w:hAnsi="宋体" w:cs="宋体"/>
                <w:sz w:val="24"/>
                <w:szCs w:val="24"/>
              </w:rPr>
              <w:t>插件，以适应全凭静脉无需监测麻醉气体的需求</w:t>
            </w:r>
          </w:p>
          <w:p w14:paraId="52FCEE3E">
            <w:pPr>
              <w:tabs>
                <w:tab w:val="left" w:pos="312"/>
              </w:tabs>
              <w:snapToGrid w:val="0"/>
              <w:spacing w:line="300" w:lineRule="exact"/>
              <w:rPr>
                <w:rFonts w:ascii="宋体" w:hAnsi="宋体" w:cs="宋体"/>
                <w:sz w:val="24"/>
                <w:szCs w:val="24"/>
              </w:rPr>
            </w:pPr>
            <w:r>
              <w:rPr>
                <w:rFonts w:hint="eastAsia" w:ascii="宋体" w:hAnsi="宋体" w:cs="宋体"/>
                <w:sz w:val="24"/>
                <w:szCs w:val="24"/>
              </w:rPr>
              <w:t>★23.麻醉监护仪采用模块化设计，具备转运模块，标配彩色电容触摸屏，屏幕尺寸≥18英寸，可同时显示≥10道波形，主机插槽数≥6个</w:t>
            </w:r>
          </w:p>
          <w:p w14:paraId="0C1CB870">
            <w:pPr>
              <w:tabs>
                <w:tab w:val="left" w:pos="312"/>
              </w:tabs>
              <w:snapToGrid w:val="0"/>
              <w:spacing w:line="300" w:lineRule="exact"/>
              <w:rPr>
                <w:rFonts w:ascii="宋体" w:hAnsi="宋体" w:cs="宋体"/>
                <w:sz w:val="24"/>
                <w:szCs w:val="24"/>
              </w:rPr>
            </w:pPr>
            <w:r>
              <w:rPr>
                <w:rFonts w:hint="eastAsia" w:ascii="宋体" w:hAnsi="宋体" w:cs="宋体"/>
                <w:sz w:val="24"/>
                <w:szCs w:val="24"/>
              </w:rPr>
              <w:t>24.麻醉监护仪内置锂电池，续航时间≥2小时</w:t>
            </w:r>
          </w:p>
          <w:p w14:paraId="55B984AA">
            <w:pPr>
              <w:tabs>
                <w:tab w:val="left" w:pos="312"/>
              </w:tabs>
              <w:snapToGrid w:val="0"/>
              <w:spacing w:line="300" w:lineRule="exact"/>
              <w:rPr>
                <w:rFonts w:ascii="宋体" w:hAnsi="宋体" w:cs="宋体"/>
                <w:sz w:val="24"/>
                <w:szCs w:val="24"/>
              </w:rPr>
            </w:pPr>
            <w:r>
              <w:rPr>
                <w:rFonts w:hint="eastAsia" w:ascii="宋体" w:hAnsi="宋体" w:cs="宋体"/>
                <w:sz w:val="24"/>
                <w:szCs w:val="24"/>
              </w:rPr>
              <w:t>★25.支持升级模块：BIS模块、NMT模块、AG麻醉气体模块、脑状态指数监测、脑氧监测、EtCO2模块、PICCO模块、脑氧模块，提升临床监测手段，支持热插拔</w:t>
            </w:r>
          </w:p>
          <w:p w14:paraId="22AA89EE">
            <w:pPr>
              <w:tabs>
                <w:tab w:val="left" w:pos="312"/>
              </w:tabs>
              <w:snapToGrid w:val="0"/>
              <w:spacing w:line="300" w:lineRule="exact"/>
              <w:rPr>
                <w:rFonts w:ascii="宋体" w:hAnsi="宋体" w:cs="宋体"/>
                <w:sz w:val="24"/>
                <w:szCs w:val="24"/>
              </w:rPr>
            </w:pPr>
            <w:r>
              <w:rPr>
                <w:rFonts w:hint="eastAsia" w:ascii="宋体" w:hAnsi="宋体" w:cs="宋体"/>
                <w:sz w:val="24"/>
                <w:szCs w:val="24"/>
              </w:rPr>
              <w:t>26.支持升级功能：FloTrac监测功能模块或可实现FloTrac技术单机产品，非漂浮导管热稀释法或无创阻抗法，可通过监测桡动脉压力提供连续心排量（CCO），每搏量变异（SVV），实时外周血管阻力（SVR）等监测参数，满足临床监测需求</w:t>
            </w:r>
          </w:p>
          <w:p w14:paraId="7B924AC2">
            <w:pPr>
              <w:tabs>
                <w:tab w:val="left" w:pos="312"/>
              </w:tabs>
              <w:snapToGrid w:val="0"/>
              <w:spacing w:line="300" w:lineRule="exact"/>
              <w:rPr>
                <w:rFonts w:ascii="宋体" w:hAnsi="宋体" w:cs="宋体"/>
                <w:sz w:val="24"/>
                <w:szCs w:val="24"/>
              </w:rPr>
            </w:pPr>
            <w:r>
              <w:rPr>
                <w:rFonts w:hint="eastAsia" w:ascii="宋体" w:hAnsi="宋体" w:cs="宋体"/>
                <w:sz w:val="24"/>
                <w:szCs w:val="24"/>
              </w:rPr>
              <w:t>27.麻醉监护仪支持监测参数：心电，呼吸，心率，脉率，无创血压，血氧饱和度，双通道体温和双通道有创血压，且双通道体温和有创血压可同时监测。基本功能模块支持升级从主体监护仪拔出后作为一个独立的监护仪支持病人的无缝转移，插入监护仪操作插槽作为主机模块，具有独立操作显示屏，屏幕尺寸≥5寸，内置锂电池供电≥6小时，采用无风扇设计</w:t>
            </w:r>
          </w:p>
          <w:p w14:paraId="7AB87C4A">
            <w:pPr>
              <w:tabs>
                <w:tab w:val="left" w:pos="312"/>
              </w:tabs>
              <w:snapToGrid w:val="0"/>
              <w:spacing w:line="300" w:lineRule="exact"/>
              <w:rPr>
                <w:rFonts w:ascii="宋体" w:hAnsi="宋体" w:cs="宋体"/>
                <w:sz w:val="24"/>
                <w:szCs w:val="24"/>
              </w:rPr>
            </w:pPr>
            <w:r>
              <w:rPr>
                <w:rFonts w:hint="eastAsia" w:ascii="宋体" w:hAnsi="宋体" w:cs="宋体"/>
                <w:sz w:val="24"/>
                <w:szCs w:val="24"/>
              </w:rPr>
              <w:t>28.具备参数组合报警功能，可对患者同时多个参数变化给出统一报警提示，预示病人不同生理系统状态改变，提供≥10个预设组合报警，同时激活≥6个组合报警功能可选，支持根据病人的参数趋势变化，自动推送推荐报警限</w:t>
            </w:r>
          </w:p>
          <w:p w14:paraId="228E7545">
            <w:pPr>
              <w:tabs>
                <w:tab w:val="left" w:pos="312"/>
              </w:tabs>
              <w:snapToGrid w:val="0"/>
              <w:spacing w:line="300" w:lineRule="exact"/>
              <w:rPr>
                <w:rFonts w:ascii="宋体" w:hAnsi="宋体" w:cs="宋体"/>
                <w:sz w:val="24"/>
                <w:szCs w:val="24"/>
              </w:rPr>
            </w:pPr>
            <w:r>
              <w:rPr>
                <w:rFonts w:hint="eastAsia" w:ascii="宋体" w:hAnsi="宋体" w:cs="宋体"/>
                <w:sz w:val="24"/>
                <w:szCs w:val="24"/>
              </w:rPr>
              <w:t>29.麻醉监护仪的心电监测支持≥3个分析导联实时动态同步分析，并非多个导联波形同屏显示及12导联静息分析</w:t>
            </w:r>
          </w:p>
          <w:p w14:paraId="53F9B81F">
            <w:pPr>
              <w:tabs>
                <w:tab w:val="left" w:pos="312"/>
              </w:tabs>
              <w:snapToGrid w:val="0"/>
              <w:spacing w:line="300" w:lineRule="exact"/>
              <w:rPr>
                <w:rFonts w:hint="eastAsia" w:ascii="宋体" w:hAnsi="宋体" w:cs="宋体"/>
                <w:sz w:val="24"/>
                <w:szCs w:val="24"/>
                <w:highlight w:val="yellow"/>
              </w:rPr>
            </w:pPr>
            <w:r>
              <w:rPr>
                <w:rFonts w:hint="eastAsia" w:ascii="宋体" w:hAnsi="宋体" w:cs="宋体"/>
                <w:sz w:val="24"/>
                <w:szCs w:val="24"/>
                <w:highlight w:val="yellow"/>
              </w:rPr>
              <w:t>3</w:t>
            </w:r>
            <w:r>
              <w:rPr>
                <w:rFonts w:hint="eastAsia" w:ascii="宋体" w:hAnsi="宋体" w:cs="宋体"/>
                <w:sz w:val="24"/>
                <w:szCs w:val="24"/>
                <w:highlight w:val="yellow"/>
                <w:lang w:val="en-US" w:eastAsia="zh-CN"/>
              </w:rPr>
              <w:t>0</w:t>
            </w:r>
            <w:r>
              <w:rPr>
                <w:rFonts w:hint="eastAsia" w:ascii="宋体" w:hAnsi="宋体" w:cs="宋体"/>
                <w:sz w:val="24"/>
                <w:szCs w:val="24"/>
                <w:highlight w:val="yellow"/>
              </w:rPr>
              <w:t>.麻醉工作系统可连接输注管理系统，含有≥四通道注射泵，实现输注泵的联机控制</w:t>
            </w:r>
          </w:p>
          <w:p w14:paraId="1E33188F">
            <w:pPr>
              <w:tabs>
                <w:tab w:val="left" w:pos="312"/>
              </w:tabs>
              <w:snapToGrid w:val="0"/>
              <w:spacing w:line="300" w:lineRule="exact"/>
              <w:rPr>
                <w:rFonts w:ascii="宋体" w:hAnsi="宋体" w:cs="宋体"/>
                <w:color w:val="auto"/>
                <w:sz w:val="24"/>
                <w:szCs w:val="24"/>
              </w:rPr>
            </w:pPr>
            <w:r>
              <w:rPr>
                <w:rFonts w:hint="eastAsia" w:ascii="宋体" w:hAnsi="宋体" w:cs="宋体"/>
                <w:color w:val="auto"/>
                <w:sz w:val="24"/>
                <w:szCs w:val="24"/>
              </w:rPr>
              <w:t>31.输注管理系统中输注泵单机屏幕尺寸≥7寸彩色电容触摸屏，具有药物色彩标识</w:t>
            </w:r>
          </w:p>
          <w:p w14:paraId="5130F1AE">
            <w:pPr>
              <w:tabs>
                <w:tab w:val="left" w:pos="312"/>
              </w:tabs>
              <w:snapToGrid w:val="0"/>
              <w:spacing w:line="300" w:lineRule="exact"/>
              <w:rPr>
                <w:rFonts w:ascii="宋体" w:hAnsi="宋体" w:cs="宋体"/>
                <w:sz w:val="24"/>
                <w:szCs w:val="24"/>
              </w:rPr>
            </w:pPr>
            <w:r>
              <w:rPr>
                <w:rFonts w:hint="eastAsia" w:ascii="宋体" w:hAnsi="宋体" w:cs="宋体"/>
                <w:sz w:val="24"/>
                <w:szCs w:val="24"/>
              </w:rPr>
              <w:t>32.麻醉输注管理系统支持输液泵和注射泵自由组合，集中供电，支持镇痛药、化疗药、胰岛素输注，支持TCI模式</w:t>
            </w:r>
          </w:p>
          <w:p w14:paraId="49BE3F76">
            <w:pPr>
              <w:tabs>
                <w:tab w:val="left" w:pos="312"/>
              </w:tabs>
              <w:snapToGrid w:val="0"/>
              <w:spacing w:line="300" w:lineRule="exact"/>
              <w:rPr>
                <w:rFonts w:hint="eastAsia" w:ascii="宋体" w:hAnsi="宋体" w:cs="宋体"/>
                <w:sz w:val="24"/>
                <w:szCs w:val="24"/>
                <w:highlight w:val="yellow"/>
              </w:rPr>
            </w:pPr>
            <w:r>
              <w:rPr>
                <w:rFonts w:hint="eastAsia" w:ascii="宋体" w:hAnsi="宋体" w:cs="宋体"/>
                <w:sz w:val="24"/>
                <w:szCs w:val="24"/>
                <w:highlight w:val="yellow"/>
              </w:rPr>
              <w:t>★3</w:t>
            </w:r>
            <w:r>
              <w:rPr>
                <w:rFonts w:hint="eastAsia" w:ascii="宋体" w:hAnsi="宋体" w:cs="宋体"/>
                <w:sz w:val="24"/>
                <w:szCs w:val="24"/>
                <w:highlight w:val="yellow"/>
                <w:lang w:val="en-US" w:eastAsia="zh-CN"/>
              </w:rPr>
              <w:t>3</w:t>
            </w:r>
            <w:r>
              <w:rPr>
                <w:rFonts w:hint="eastAsia" w:ascii="宋体" w:hAnsi="宋体" w:cs="宋体"/>
                <w:sz w:val="24"/>
                <w:szCs w:val="24"/>
                <w:highlight w:val="yellow"/>
              </w:rPr>
              <w:t>.麻醉输注管理系统内单泵主机自带多功能接口，无需外接辅助设备。</w:t>
            </w:r>
          </w:p>
          <w:p w14:paraId="790D3195">
            <w:pPr>
              <w:tabs>
                <w:tab w:val="left" w:pos="312"/>
              </w:tabs>
              <w:snapToGrid w:val="0"/>
              <w:spacing w:line="300" w:lineRule="exact"/>
              <w:rPr>
                <w:rFonts w:ascii="宋体" w:hAnsi="宋体" w:cs="宋体"/>
                <w:color w:val="auto"/>
                <w:sz w:val="24"/>
                <w:szCs w:val="24"/>
              </w:rPr>
            </w:pPr>
            <w:r>
              <w:rPr>
                <w:rFonts w:hint="eastAsia" w:ascii="宋体" w:hAnsi="宋体" w:cs="宋体"/>
                <w:color w:val="auto"/>
                <w:sz w:val="24"/>
                <w:szCs w:val="24"/>
              </w:rPr>
              <w:t>34.麻醉输注管理系统支持输注射模式全面：需具备速度模式、时间模式、体重模式、梯度模式、序列模式、剂量时间模式、微量模式、间断给药模式、点滴模式（输液泵）；支持联机功能</w:t>
            </w:r>
          </w:p>
          <w:p w14:paraId="32F2AF60">
            <w:pPr>
              <w:tabs>
                <w:tab w:val="left" w:pos="312"/>
              </w:tabs>
              <w:snapToGrid w:val="0"/>
              <w:spacing w:line="300" w:lineRule="exact"/>
              <w:rPr>
                <w:rFonts w:ascii="宋体" w:hAnsi="宋体" w:cs="宋体"/>
                <w:sz w:val="24"/>
                <w:szCs w:val="24"/>
              </w:rPr>
            </w:pPr>
            <w:r>
              <w:rPr>
                <w:rFonts w:hint="eastAsia" w:ascii="宋体" w:hAnsi="宋体" w:cs="宋体"/>
                <w:sz w:val="24"/>
                <w:szCs w:val="24"/>
              </w:rPr>
              <w:t>35.麻醉工作系统可通过升级中央站集中连接实现远程控制麻醉机、监护仪、及输注管理系统（包含输液泵和注射泵），支持血压测量、输注速度、输注预置量、快进等参数远程设置及更改</w:t>
            </w:r>
          </w:p>
          <w:p w14:paraId="5149B1AF">
            <w:pPr>
              <w:tabs>
                <w:tab w:val="left" w:pos="312"/>
              </w:tabs>
              <w:snapToGrid w:val="0"/>
              <w:spacing w:line="300" w:lineRule="exact"/>
              <w:rPr>
                <w:rFonts w:ascii="宋体" w:hAnsi="宋体" w:cs="宋体"/>
                <w:sz w:val="24"/>
                <w:szCs w:val="24"/>
              </w:rPr>
            </w:pPr>
            <w:r>
              <w:rPr>
                <w:rFonts w:hint="eastAsia" w:ascii="宋体" w:hAnsi="宋体" w:cs="宋体"/>
                <w:sz w:val="24"/>
                <w:szCs w:val="24"/>
              </w:rPr>
              <w:t>36.麻醉机、麻醉监护仪等设备可提供标准HL7协议，均可连入手麻等院内信息系统，与院方信息实现实时通讯</w:t>
            </w:r>
          </w:p>
          <w:p w14:paraId="7F2E7B1E">
            <w:pPr>
              <w:tabs>
                <w:tab w:val="left" w:pos="312"/>
              </w:tabs>
              <w:snapToGrid w:val="0"/>
              <w:spacing w:line="300" w:lineRule="exact"/>
              <w:rPr>
                <w:rFonts w:ascii="宋体" w:hAnsi="宋体" w:cs="宋体"/>
                <w:sz w:val="24"/>
                <w:szCs w:val="24"/>
              </w:rPr>
            </w:pPr>
            <w:r>
              <w:rPr>
                <w:rFonts w:hint="eastAsia" w:ascii="宋体" w:hAnsi="宋体" w:cs="宋体"/>
                <w:sz w:val="24"/>
                <w:szCs w:val="24"/>
              </w:rPr>
              <w:t>37.麻醉工作系统可通过升级中央站集中连接实现远程控制麻醉机、监护仪、及输注管理系统（包含输液泵和注射泵），支持血压测量、输注速度、输注预置量、快进等参数远程设置及更改</w:t>
            </w:r>
          </w:p>
          <w:p w14:paraId="0B1E37F4">
            <w:pPr>
              <w:tabs>
                <w:tab w:val="left" w:pos="312"/>
              </w:tabs>
              <w:snapToGrid w:val="0"/>
              <w:spacing w:line="300" w:lineRule="exact"/>
              <w:rPr>
                <w:rFonts w:ascii="宋体" w:hAnsi="宋体" w:cs="宋体"/>
                <w:sz w:val="24"/>
                <w:szCs w:val="24"/>
              </w:rPr>
            </w:pPr>
            <w:r>
              <w:rPr>
                <w:rFonts w:hint="eastAsia" w:ascii="宋体" w:hAnsi="宋体" w:cs="宋体"/>
                <w:sz w:val="24"/>
                <w:szCs w:val="24"/>
              </w:rPr>
              <w:t>38.麻醉机、麻醉监护仪等设备可提供标准HL7协议，均可连入手麻等院内信息系统，与院方信息实现实时通讯</w:t>
            </w:r>
          </w:p>
          <w:p w14:paraId="11AE1029">
            <w:pPr>
              <w:tabs>
                <w:tab w:val="left" w:pos="312"/>
              </w:tabs>
              <w:snapToGrid w:val="0"/>
              <w:spacing w:line="300" w:lineRule="exact"/>
              <w:rPr>
                <w:rFonts w:ascii="宋体" w:hAnsi="宋体" w:cs="宋体"/>
                <w:sz w:val="24"/>
                <w:szCs w:val="24"/>
              </w:rPr>
            </w:pPr>
            <w:r>
              <w:rPr>
                <w:rFonts w:hint="eastAsia" w:ascii="宋体" w:hAnsi="宋体" w:cs="宋体"/>
                <w:sz w:val="24"/>
                <w:szCs w:val="24"/>
              </w:rPr>
              <w:t>39.设备预计使用年限≥10年。</w:t>
            </w:r>
          </w:p>
          <w:p w14:paraId="19DE08B1">
            <w:pPr>
              <w:tabs>
                <w:tab w:val="left" w:pos="312"/>
              </w:tabs>
              <w:snapToGrid w:val="0"/>
              <w:spacing w:line="300" w:lineRule="exact"/>
              <w:rPr>
                <w:rFonts w:ascii="宋体" w:hAnsi="宋体" w:cs="宋体"/>
                <w:sz w:val="24"/>
                <w:szCs w:val="24"/>
              </w:rPr>
            </w:pPr>
            <w:r>
              <w:rPr>
                <w:rFonts w:hint="eastAsia" w:ascii="宋体" w:hAnsi="宋体" w:cs="宋体"/>
                <w:sz w:val="24"/>
                <w:szCs w:val="24"/>
              </w:rPr>
              <w:t>三、配置要求：</w:t>
            </w:r>
          </w:p>
          <w:p w14:paraId="515DD9B3">
            <w:pPr>
              <w:tabs>
                <w:tab w:val="left" w:pos="312"/>
              </w:tabs>
              <w:snapToGrid w:val="0"/>
              <w:spacing w:line="300" w:lineRule="exact"/>
              <w:rPr>
                <w:rFonts w:ascii="宋体" w:hAnsi="宋体" w:cs="宋体"/>
                <w:sz w:val="24"/>
                <w:szCs w:val="24"/>
              </w:rPr>
            </w:pPr>
            <w:r>
              <w:rPr>
                <w:rFonts w:hint="eastAsia" w:ascii="宋体" w:hAnsi="宋体" w:cs="宋体"/>
                <w:sz w:val="24"/>
                <w:szCs w:val="24"/>
              </w:rPr>
              <w:t>1.麻醉工作站(每套含麻醉机主机*1套+插件式麻醉监护仪*1套)</w:t>
            </w:r>
          </w:p>
          <w:p w14:paraId="132DBC64">
            <w:pPr>
              <w:tabs>
                <w:tab w:val="left" w:pos="312"/>
              </w:tabs>
              <w:snapToGrid w:val="0"/>
              <w:spacing w:line="300" w:lineRule="exact"/>
              <w:rPr>
                <w:rFonts w:ascii="宋体" w:hAnsi="宋体" w:cs="宋体"/>
                <w:sz w:val="24"/>
                <w:szCs w:val="24"/>
              </w:rPr>
            </w:pPr>
            <w:r>
              <w:rPr>
                <w:rFonts w:hint="eastAsia" w:ascii="宋体" w:hAnsi="宋体" w:cs="宋体"/>
                <w:sz w:val="24"/>
                <w:szCs w:val="24"/>
              </w:rPr>
              <w:t>2.每套含七氟醚麻醉挥发罐*1套</w:t>
            </w:r>
          </w:p>
          <w:p w14:paraId="655FB82A">
            <w:pPr>
              <w:tabs>
                <w:tab w:val="left" w:pos="312"/>
              </w:tabs>
              <w:snapToGrid w:val="0"/>
              <w:spacing w:line="300" w:lineRule="exact"/>
              <w:rPr>
                <w:rFonts w:ascii="宋体" w:hAnsi="宋体" w:cs="宋体"/>
                <w:sz w:val="24"/>
                <w:szCs w:val="24"/>
              </w:rPr>
            </w:pPr>
            <w:r>
              <w:rPr>
                <w:rFonts w:hint="eastAsia" w:ascii="宋体" w:hAnsi="宋体" w:cs="宋体"/>
                <w:sz w:val="24"/>
                <w:szCs w:val="24"/>
              </w:rPr>
              <w:t>3.每套含输液信息管理系统*1套（含4个TCI功能注射泵）</w:t>
            </w:r>
          </w:p>
          <w:p w14:paraId="20826F87">
            <w:pPr>
              <w:tabs>
                <w:tab w:val="left" w:pos="312"/>
              </w:tabs>
              <w:snapToGrid w:val="0"/>
              <w:spacing w:line="300" w:lineRule="exact"/>
              <w:rPr>
                <w:rFonts w:ascii="宋体" w:hAnsi="宋体" w:cs="宋体"/>
                <w:sz w:val="24"/>
                <w:szCs w:val="24"/>
              </w:rPr>
            </w:pPr>
            <w:r>
              <w:rPr>
                <w:rFonts w:hint="eastAsia" w:ascii="宋体" w:hAnsi="宋体" w:cs="宋体"/>
                <w:sz w:val="24"/>
                <w:szCs w:val="24"/>
              </w:rPr>
              <w:t>4.每套含AG模块(氧浓度监测)*1套，B1S 模块*1套，NMT模块*1套</w:t>
            </w:r>
          </w:p>
          <w:p w14:paraId="3944A7AB">
            <w:pPr>
              <w:tabs>
                <w:tab w:val="left" w:pos="312"/>
              </w:tabs>
              <w:snapToGrid w:val="0"/>
              <w:spacing w:line="300" w:lineRule="exact"/>
              <w:rPr>
                <w:rFonts w:ascii="宋体" w:hAnsi="宋体" w:cs="宋体"/>
                <w:b/>
                <w:bCs/>
                <w:sz w:val="24"/>
                <w:szCs w:val="24"/>
              </w:rPr>
            </w:pPr>
            <w:r>
              <w:rPr>
                <w:rFonts w:hint="eastAsia" w:ascii="宋体" w:hAnsi="宋体" w:cs="宋体"/>
                <w:sz w:val="24"/>
                <w:szCs w:val="24"/>
              </w:rPr>
              <w:t>5.每套配套附件（成人管路、氧疗鼻导管、皮囊各一个）*1套</w:t>
            </w:r>
          </w:p>
        </w:tc>
      </w:tr>
      <w:tr w14:paraId="5AF041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tcBorders>
              <w:top w:val="single" w:color="auto" w:sz="4" w:space="0"/>
              <w:left w:val="single" w:color="auto" w:sz="4" w:space="0"/>
              <w:bottom w:val="single" w:color="auto" w:sz="4" w:space="0"/>
              <w:right w:val="single" w:color="auto" w:sz="4" w:space="0"/>
            </w:tcBorders>
            <w:vAlign w:val="center"/>
          </w:tcPr>
          <w:p w14:paraId="578D458C">
            <w:pPr>
              <w:snapToGrid w:val="0"/>
              <w:spacing w:line="360" w:lineRule="auto"/>
              <w:jc w:val="center"/>
              <w:rPr>
                <w:rFonts w:ascii="宋体" w:hAnsi="宋体" w:cs="宋体"/>
                <w:sz w:val="24"/>
                <w:szCs w:val="24"/>
              </w:rPr>
            </w:pPr>
            <w:r>
              <w:rPr>
                <w:rFonts w:hint="eastAsia" w:ascii="宋体" w:hAnsi="宋体" w:cs="宋体"/>
                <w:sz w:val="24"/>
                <w:szCs w:val="24"/>
              </w:rPr>
              <w:t>3</w:t>
            </w:r>
          </w:p>
        </w:tc>
        <w:tc>
          <w:tcPr>
            <w:tcW w:w="704" w:type="pct"/>
            <w:tcBorders>
              <w:top w:val="single" w:color="auto" w:sz="4" w:space="0"/>
              <w:left w:val="single" w:color="auto" w:sz="4" w:space="0"/>
              <w:bottom w:val="single" w:color="auto" w:sz="4" w:space="0"/>
              <w:right w:val="single" w:color="auto" w:sz="4" w:space="0"/>
            </w:tcBorders>
            <w:vAlign w:val="center"/>
          </w:tcPr>
          <w:p w14:paraId="0FC2FDF2">
            <w:pPr>
              <w:snapToGrid w:val="0"/>
              <w:spacing w:line="360" w:lineRule="auto"/>
              <w:jc w:val="center"/>
              <w:rPr>
                <w:rFonts w:ascii="宋体" w:hAnsi="宋体" w:cs="宋体"/>
                <w:sz w:val="24"/>
                <w:szCs w:val="24"/>
              </w:rPr>
            </w:pPr>
            <w:r>
              <w:rPr>
                <w:rFonts w:hint="eastAsia" w:ascii="宋体" w:hAnsi="宋体" w:cs="宋体"/>
                <w:sz w:val="24"/>
                <w:szCs w:val="24"/>
              </w:rPr>
              <w:t>麻醉机（3）</w:t>
            </w:r>
          </w:p>
        </w:tc>
        <w:tc>
          <w:tcPr>
            <w:tcW w:w="390" w:type="pct"/>
            <w:tcBorders>
              <w:top w:val="single" w:color="auto" w:sz="4" w:space="0"/>
              <w:left w:val="single" w:color="auto" w:sz="4" w:space="0"/>
              <w:bottom w:val="single" w:color="auto" w:sz="4" w:space="0"/>
              <w:right w:val="single" w:color="auto" w:sz="4" w:space="0"/>
            </w:tcBorders>
            <w:vAlign w:val="center"/>
          </w:tcPr>
          <w:p w14:paraId="7F693969">
            <w:pPr>
              <w:jc w:val="center"/>
              <w:rPr>
                <w:rFonts w:cs="宋体"/>
                <w:color w:val="000000"/>
                <w:kern w:val="0"/>
                <w:sz w:val="24"/>
                <w:szCs w:val="21"/>
              </w:rPr>
            </w:pPr>
            <w:r>
              <w:rPr>
                <w:rFonts w:hint="eastAsia" w:ascii="宋体" w:hAnsi="宋体" w:cs="宋体"/>
                <w:sz w:val="24"/>
                <w:szCs w:val="24"/>
              </w:rPr>
              <w:t>台</w:t>
            </w:r>
          </w:p>
        </w:tc>
        <w:tc>
          <w:tcPr>
            <w:tcW w:w="439" w:type="pct"/>
            <w:tcBorders>
              <w:top w:val="single" w:color="auto" w:sz="4" w:space="0"/>
              <w:left w:val="single" w:color="auto" w:sz="4" w:space="0"/>
              <w:bottom w:val="single" w:color="auto" w:sz="4" w:space="0"/>
              <w:right w:val="single" w:color="auto" w:sz="4" w:space="0"/>
            </w:tcBorders>
            <w:vAlign w:val="center"/>
          </w:tcPr>
          <w:p w14:paraId="77898807">
            <w:pPr>
              <w:snapToGrid w:val="0"/>
              <w:spacing w:line="360" w:lineRule="auto"/>
              <w:jc w:val="center"/>
              <w:rPr>
                <w:rFonts w:ascii="宋体" w:hAnsi="宋体" w:cs="宋体"/>
                <w:sz w:val="24"/>
                <w:szCs w:val="24"/>
              </w:rPr>
            </w:pPr>
            <w:r>
              <w:rPr>
                <w:rFonts w:hint="eastAsia" w:ascii="宋体" w:hAnsi="宋体" w:cs="宋体"/>
                <w:sz w:val="24"/>
                <w:szCs w:val="24"/>
              </w:rPr>
              <w:t>2</w:t>
            </w:r>
          </w:p>
        </w:tc>
        <w:tc>
          <w:tcPr>
            <w:tcW w:w="3033" w:type="pct"/>
            <w:tcBorders>
              <w:top w:val="single" w:color="auto" w:sz="4" w:space="0"/>
              <w:left w:val="single" w:color="auto" w:sz="4" w:space="0"/>
              <w:bottom w:val="single" w:color="auto" w:sz="4" w:space="0"/>
              <w:right w:val="single" w:color="auto" w:sz="4" w:space="0"/>
            </w:tcBorders>
          </w:tcPr>
          <w:p w14:paraId="7958CF8F">
            <w:pPr>
              <w:tabs>
                <w:tab w:val="left" w:pos="312"/>
              </w:tabs>
              <w:snapToGrid w:val="0"/>
              <w:spacing w:line="300" w:lineRule="exact"/>
              <w:rPr>
                <w:rFonts w:ascii="宋体" w:hAnsi="宋体" w:cs="宋体"/>
                <w:sz w:val="24"/>
                <w:szCs w:val="24"/>
              </w:rPr>
            </w:pPr>
            <w:r>
              <w:rPr>
                <w:rFonts w:hint="eastAsia" w:ascii="宋体" w:hAnsi="宋体" w:cs="宋体"/>
                <w:sz w:val="24"/>
                <w:szCs w:val="24"/>
              </w:rPr>
              <w:t>一、产品用途</w:t>
            </w:r>
            <w:r>
              <w:rPr>
                <w:rFonts w:hint="eastAsia" w:ascii="宋体" w:hAnsi="宋体" w:cs="宋体"/>
                <w:sz w:val="24"/>
                <w:szCs w:val="24"/>
              </w:rPr>
              <w:tab/>
            </w:r>
            <w:r>
              <w:rPr>
                <w:rFonts w:hint="eastAsia" w:ascii="宋体" w:hAnsi="宋体" w:cs="宋体"/>
                <w:sz w:val="24"/>
                <w:szCs w:val="24"/>
              </w:rPr>
              <w:t>用于对成人、儿童和新生儿的吸入麻醉及呼吸管理，可完成紧闭、半紧闭、全开放麻醉</w:t>
            </w:r>
            <w:r>
              <w:rPr>
                <w:rFonts w:hint="eastAsia" w:ascii="宋体" w:hAnsi="宋体" w:cs="宋体"/>
                <w:sz w:val="24"/>
                <w:szCs w:val="24"/>
              </w:rPr>
              <w:tab/>
            </w:r>
          </w:p>
          <w:p w14:paraId="76E13B20">
            <w:pPr>
              <w:tabs>
                <w:tab w:val="left" w:pos="312"/>
              </w:tabs>
              <w:snapToGrid w:val="0"/>
              <w:spacing w:line="300" w:lineRule="exact"/>
              <w:rPr>
                <w:rFonts w:ascii="宋体" w:hAnsi="宋体" w:cs="宋体"/>
                <w:sz w:val="24"/>
                <w:szCs w:val="24"/>
              </w:rPr>
            </w:pPr>
            <w:r>
              <w:rPr>
                <w:rFonts w:hint="eastAsia" w:ascii="宋体" w:hAnsi="宋体" w:cs="宋体"/>
                <w:sz w:val="24"/>
                <w:szCs w:val="24"/>
              </w:rPr>
              <w:t>二、技术参数</w:t>
            </w:r>
          </w:p>
          <w:p w14:paraId="47D13E78">
            <w:pPr>
              <w:tabs>
                <w:tab w:val="left" w:pos="312"/>
              </w:tabs>
              <w:snapToGrid w:val="0"/>
              <w:spacing w:line="300" w:lineRule="exact"/>
              <w:rPr>
                <w:rFonts w:ascii="宋体" w:hAnsi="宋体" w:cs="宋体"/>
                <w:sz w:val="24"/>
                <w:szCs w:val="24"/>
              </w:rPr>
            </w:pPr>
            <w:r>
              <w:rPr>
                <w:rFonts w:hint="eastAsia" w:ascii="宋体" w:hAnsi="宋体" w:cs="宋体"/>
                <w:sz w:val="24"/>
                <w:szCs w:val="24"/>
              </w:rPr>
              <w:t>1. 用于对成人、儿童和新生儿的吸入麻醉及呼吸管理，可完成紧闭、半紧闭、全开放麻醉；</w:t>
            </w:r>
          </w:p>
          <w:p w14:paraId="31783632">
            <w:pPr>
              <w:tabs>
                <w:tab w:val="left" w:pos="312"/>
              </w:tabs>
              <w:snapToGrid w:val="0"/>
              <w:spacing w:line="300" w:lineRule="exact"/>
              <w:rPr>
                <w:rFonts w:ascii="宋体" w:hAnsi="宋体" w:cs="宋体"/>
                <w:sz w:val="24"/>
                <w:szCs w:val="24"/>
              </w:rPr>
            </w:pPr>
            <w:r>
              <w:rPr>
                <w:rFonts w:hint="eastAsia" w:ascii="宋体" w:hAnsi="宋体" w:cs="宋体"/>
                <w:sz w:val="24"/>
                <w:szCs w:val="24"/>
              </w:rPr>
              <w:t>2.气动电控呼吸机，全中文操作和显示；</w:t>
            </w:r>
          </w:p>
          <w:p w14:paraId="0F6A3D6F">
            <w:pPr>
              <w:tabs>
                <w:tab w:val="left" w:pos="312"/>
              </w:tabs>
              <w:snapToGrid w:val="0"/>
              <w:spacing w:line="300" w:lineRule="exact"/>
              <w:rPr>
                <w:rFonts w:ascii="宋体" w:hAnsi="宋体" w:cs="宋体"/>
                <w:sz w:val="24"/>
                <w:szCs w:val="24"/>
              </w:rPr>
            </w:pPr>
            <w:r>
              <w:rPr>
                <w:rFonts w:hint="eastAsia" w:ascii="宋体" w:hAnsi="宋体" w:cs="宋体"/>
                <w:sz w:val="24"/>
                <w:szCs w:val="24"/>
              </w:rPr>
              <w:t>3.屏幕尺寸≥15英寸，彩色触摸屏，显示屏可360度旋转，俯仰角度可调节，支持手势操作，可同屏显示波形和呼吸环图，同屏幕≥4通道波形显示；</w:t>
            </w:r>
          </w:p>
          <w:p w14:paraId="1044E3BF">
            <w:pPr>
              <w:tabs>
                <w:tab w:val="left" w:pos="312"/>
              </w:tabs>
              <w:snapToGrid w:val="0"/>
              <w:spacing w:line="300" w:lineRule="exact"/>
              <w:rPr>
                <w:rFonts w:ascii="宋体" w:hAnsi="宋体" w:cs="宋体"/>
                <w:sz w:val="24"/>
                <w:szCs w:val="24"/>
              </w:rPr>
            </w:pPr>
            <w:r>
              <w:rPr>
                <w:rFonts w:hint="eastAsia" w:ascii="宋体" w:hAnsi="宋体" w:cs="宋体"/>
                <w:sz w:val="24"/>
                <w:szCs w:val="24"/>
              </w:rPr>
              <w:t>4.标配氧气、空气两气源，具备氧笑联动系统，保证接入氧气和笑气时氧浓度不低于25%，快速充氧范围25-75 L/min；</w:t>
            </w:r>
          </w:p>
          <w:p w14:paraId="7E2D2B94">
            <w:pPr>
              <w:tabs>
                <w:tab w:val="left" w:pos="312"/>
              </w:tabs>
              <w:snapToGrid w:val="0"/>
              <w:spacing w:line="300" w:lineRule="exact"/>
              <w:rPr>
                <w:rFonts w:ascii="宋体" w:hAnsi="宋体" w:cs="宋体"/>
                <w:sz w:val="24"/>
                <w:szCs w:val="24"/>
              </w:rPr>
            </w:pPr>
            <w:r>
              <w:rPr>
                <w:rFonts w:hint="eastAsia" w:ascii="宋体" w:hAnsi="宋体" w:cs="宋体"/>
                <w:sz w:val="24"/>
                <w:szCs w:val="24"/>
              </w:rPr>
              <w:t>5.全电子流量计可直接设置氧浓度和总流量；全电子流量计可以设置成总流量模式，也可以设置成单管流量模式；</w:t>
            </w:r>
          </w:p>
          <w:p w14:paraId="595F192C">
            <w:pPr>
              <w:tabs>
                <w:tab w:val="left" w:pos="312"/>
              </w:tabs>
              <w:snapToGrid w:val="0"/>
              <w:spacing w:line="300" w:lineRule="exact"/>
              <w:rPr>
                <w:rFonts w:ascii="宋体" w:hAnsi="宋体" w:cs="宋体"/>
                <w:sz w:val="24"/>
                <w:szCs w:val="24"/>
              </w:rPr>
            </w:pPr>
            <w:r>
              <w:rPr>
                <w:rFonts w:hint="eastAsia" w:ascii="宋体" w:hAnsi="宋体" w:cs="宋体"/>
                <w:sz w:val="24"/>
                <w:szCs w:val="24"/>
              </w:rPr>
              <w:t>6.具备备用流量计，具备辅助吸氧流量计，具备直观的适宜低流量麻醉的新鲜气体流量指示工具，具备麻药消耗速度显示和总消耗量统计，具备新鲜气体流量暂停功能，方便吸痰等操作；</w:t>
            </w:r>
          </w:p>
          <w:p w14:paraId="4773A67A">
            <w:pPr>
              <w:tabs>
                <w:tab w:val="left" w:pos="312"/>
              </w:tabs>
              <w:snapToGrid w:val="0"/>
              <w:spacing w:line="300" w:lineRule="exact"/>
              <w:rPr>
                <w:rFonts w:ascii="宋体" w:hAnsi="宋体" w:cs="宋体"/>
                <w:sz w:val="24"/>
                <w:szCs w:val="24"/>
              </w:rPr>
            </w:pPr>
            <w:r>
              <w:rPr>
                <w:rFonts w:hint="eastAsia" w:ascii="宋体" w:hAnsi="宋体" w:cs="宋体"/>
                <w:sz w:val="24"/>
                <w:szCs w:val="24"/>
              </w:rPr>
              <w:t>7. 具备高流量给氧功能，流量范围 2-80 L/min，氧浓度设置范围21-100%；</w:t>
            </w:r>
          </w:p>
          <w:p w14:paraId="3A49D827">
            <w:pPr>
              <w:tabs>
                <w:tab w:val="left" w:pos="312"/>
              </w:tabs>
              <w:snapToGrid w:val="0"/>
              <w:spacing w:line="300" w:lineRule="exact"/>
              <w:rPr>
                <w:rFonts w:ascii="宋体" w:hAnsi="宋体" w:cs="宋体"/>
                <w:sz w:val="24"/>
                <w:szCs w:val="24"/>
              </w:rPr>
            </w:pPr>
            <w:r>
              <w:rPr>
                <w:rFonts w:hint="eastAsia" w:ascii="宋体" w:hAnsi="宋体" w:cs="宋体"/>
                <w:sz w:val="24"/>
                <w:szCs w:val="24"/>
              </w:rPr>
              <w:t>8.标配双麻醉罐位，配置七氟醚和地氟醚挥发罐，具备压力、流速和温度补偿。；</w:t>
            </w:r>
          </w:p>
          <w:p w14:paraId="51DA8A94">
            <w:pPr>
              <w:tabs>
                <w:tab w:val="left" w:pos="312"/>
              </w:tabs>
              <w:snapToGrid w:val="0"/>
              <w:spacing w:line="300" w:lineRule="exact"/>
              <w:rPr>
                <w:rFonts w:ascii="宋体" w:hAnsi="宋体" w:cs="宋体"/>
                <w:sz w:val="24"/>
                <w:szCs w:val="24"/>
              </w:rPr>
            </w:pPr>
            <w:r>
              <w:rPr>
                <w:rFonts w:hint="eastAsia" w:ascii="宋体" w:hAnsi="宋体" w:cs="宋体"/>
                <w:sz w:val="24"/>
                <w:szCs w:val="24"/>
              </w:rPr>
              <w:t xml:space="preserve">9.回路部件可以耐受134℃高温高压消毒(包括流量传感器)； </w:t>
            </w:r>
          </w:p>
          <w:p w14:paraId="68A7EA34">
            <w:pPr>
              <w:tabs>
                <w:tab w:val="left" w:pos="312"/>
              </w:tabs>
              <w:snapToGrid w:val="0"/>
              <w:spacing w:line="300" w:lineRule="exact"/>
              <w:rPr>
                <w:rFonts w:ascii="宋体" w:hAnsi="宋体" w:cs="宋体"/>
                <w:sz w:val="24"/>
                <w:szCs w:val="24"/>
              </w:rPr>
            </w:pPr>
            <w:r>
              <w:rPr>
                <w:rFonts w:hint="eastAsia" w:ascii="宋体" w:hAnsi="宋体" w:cs="宋体"/>
                <w:sz w:val="24"/>
                <w:szCs w:val="24"/>
              </w:rPr>
              <w:t>10.具备吸入端与呼出端双流量传感器，实现动态潮气量实时自动补偿功能。具备内置第三基准流量传感器，可自行校准吸入和呼出端流量传感器。</w:t>
            </w:r>
          </w:p>
          <w:p w14:paraId="18EE488B">
            <w:pPr>
              <w:tabs>
                <w:tab w:val="left" w:pos="312"/>
              </w:tabs>
              <w:snapToGrid w:val="0"/>
              <w:spacing w:line="300" w:lineRule="exact"/>
              <w:rPr>
                <w:rFonts w:ascii="宋体" w:hAnsi="宋体" w:cs="宋体"/>
                <w:sz w:val="24"/>
                <w:szCs w:val="24"/>
              </w:rPr>
            </w:pPr>
            <w:r>
              <w:rPr>
                <w:rFonts w:hint="eastAsia" w:ascii="宋体" w:hAnsi="宋体" w:cs="宋体"/>
                <w:sz w:val="24"/>
                <w:szCs w:val="24"/>
              </w:rPr>
              <w:t>11.具有回路整体加温功能，保证回路无积水；</w:t>
            </w:r>
          </w:p>
          <w:p w14:paraId="388C5D66">
            <w:pPr>
              <w:tabs>
                <w:tab w:val="left" w:pos="312"/>
              </w:tabs>
              <w:snapToGrid w:val="0"/>
              <w:spacing w:line="300" w:lineRule="exact"/>
              <w:rPr>
                <w:rFonts w:ascii="宋体" w:hAnsi="宋体" w:cs="宋体"/>
                <w:sz w:val="24"/>
                <w:szCs w:val="24"/>
              </w:rPr>
            </w:pPr>
            <w:r>
              <w:rPr>
                <w:rFonts w:hint="eastAsia" w:ascii="宋体" w:hAnsi="宋体" w:cs="宋体"/>
                <w:sz w:val="24"/>
                <w:szCs w:val="24"/>
              </w:rPr>
              <w:t>12.标配CO</w:t>
            </w:r>
            <w:r>
              <w:rPr>
                <w:rFonts w:hint="eastAsia" w:ascii="宋体" w:hAnsi="宋体" w:cs="宋体"/>
                <w:sz w:val="24"/>
                <w:szCs w:val="24"/>
                <w:vertAlign w:val="subscript"/>
              </w:rPr>
              <w:t>2</w:t>
            </w:r>
            <w:r>
              <w:rPr>
                <w:rFonts w:hint="eastAsia" w:ascii="宋体" w:hAnsi="宋体" w:cs="宋体"/>
                <w:sz w:val="24"/>
                <w:szCs w:val="24"/>
              </w:rPr>
              <w:t>旁路功能，在机械通气过程中，更换钠石灰罐无需关停机械通气；</w:t>
            </w:r>
          </w:p>
          <w:p w14:paraId="015082A0">
            <w:pPr>
              <w:tabs>
                <w:tab w:val="left" w:pos="312"/>
              </w:tabs>
              <w:snapToGrid w:val="0"/>
              <w:spacing w:line="300" w:lineRule="exact"/>
              <w:rPr>
                <w:rFonts w:ascii="宋体" w:hAnsi="宋体" w:cs="宋体"/>
                <w:sz w:val="24"/>
                <w:szCs w:val="24"/>
              </w:rPr>
            </w:pPr>
            <w:r>
              <w:rPr>
                <w:rFonts w:hint="eastAsia" w:ascii="宋体" w:hAnsi="宋体" w:cs="宋体"/>
                <w:sz w:val="24"/>
                <w:szCs w:val="24"/>
              </w:rPr>
              <w:t>13.提供辅助/控制通气，标配通气模式：VCV、PCV、压力控制容量保证通气（PCV-VG/AUTOFLOW）和SIMV（SIMV-VC、SIMV-PC）、PS模式，和高端通气模式SIMV-VG、CPAP/PS、APRV、AMV/ASV模式；</w:t>
            </w:r>
          </w:p>
          <w:p w14:paraId="1B1C5102">
            <w:pPr>
              <w:tabs>
                <w:tab w:val="left" w:pos="312"/>
              </w:tabs>
              <w:snapToGrid w:val="0"/>
              <w:spacing w:line="300" w:lineRule="exact"/>
              <w:rPr>
                <w:rFonts w:ascii="宋体" w:hAnsi="宋体" w:cs="宋体"/>
                <w:sz w:val="24"/>
                <w:szCs w:val="24"/>
              </w:rPr>
            </w:pPr>
            <w:r>
              <w:rPr>
                <w:rFonts w:hint="eastAsia" w:ascii="宋体" w:hAnsi="宋体" w:cs="宋体"/>
                <w:sz w:val="24"/>
                <w:szCs w:val="24"/>
              </w:rPr>
              <w:t>14.具备心肺旁流模式CPB, 且心肺旁流模式可在手动通气模式和机控通气模式下启动；</w:t>
            </w:r>
          </w:p>
          <w:p w14:paraId="20682B6F">
            <w:pPr>
              <w:tabs>
                <w:tab w:val="left" w:pos="312"/>
              </w:tabs>
              <w:snapToGrid w:val="0"/>
              <w:spacing w:line="300" w:lineRule="exact"/>
              <w:rPr>
                <w:rFonts w:ascii="宋体" w:hAnsi="宋体" w:cs="宋体"/>
                <w:sz w:val="24"/>
                <w:szCs w:val="24"/>
              </w:rPr>
            </w:pPr>
            <w:r>
              <w:rPr>
                <w:rFonts w:hint="eastAsia" w:ascii="宋体" w:hAnsi="宋体" w:cs="宋体"/>
                <w:sz w:val="24"/>
                <w:szCs w:val="24"/>
              </w:rPr>
              <w:t>15.标配肺保护工具：支持两种复张手法——单周期和多周期，支持定时膨肺功能；</w:t>
            </w:r>
          </w:p>
          <w:p w14:paraId="61BFFD77">
            <w:pPr>
              <w:tabs>
                <w:tab w:val="left" w:pos="312"/>
              </w:tabs>
              <w:snapToGrid w:val="0"/>
              <w:spacing w:line="300" w:lineRule="exact"/>
              <w:rPr>
                <w:rFonts w:ascii="宋体" w:hAnsi="宋体" w:cs="宋体"/>
                <w:sz w:val="24"/>
                <w:szCs w:val="24"/>
              </w:rPr>
            </w:pPr>
            <w:r>
              <w:rPr>
                <w:rFonts w:hint="eastAsia" w:ascii="宋体" w:hAnsi="宋体" w:cs="宋体"/>
                <w:sz w:val="24"/>
                <w:szCs w:val="24"/>
              </w:rPr>
              <w:t>16.具备麻醉趋势图功能，可显示未来20分钟内吸入呼出麻药浓度和氧浓度的趋势；</w:t>
            </w:r>
          </w:p>
          <w:p w14:paraId="5246F4BC">
            <w:pPr>
              <w:tabs>
                <w:tab w:val="left" w:pos="312"/>
              </w:tabs>
              <w:snapToGrid w:val="0"/>
              <w:spacing w:line="300" w:lineRule="exact"/>
              <w:rPr>
                <w:rFonts w:ascii="宋体" w:hAnsi="宋体" w:cs="宋体"/>
                <w:sz w:val="24"/>
                <w:szCs w:val="24"/>
              </w:rPr>
            </w:pPr>
            <w:r>
              <w:rPr>
                <w:rFonts w:hint="eastAsia" w:ascii="宋体" w:hAnsi="宋体" w:cs="宋体"/>
                <w:sz w:val="24"/>
                <w:szCs w:val="24"/>
              </w:rPr>
              <w:t>17.潮气量设置范围：</w:t>
            </w:r>
          </w:p>
          <w:p w14:paraId="4AE602CC">
            <w:pPr>
              <w:tabs>
                <w:tab w:val="left" w:pos="312"/>
              </w:tabs>
              <w:snapToGrid w:val="0"/>
              <w:spacing w:line="300" w:lineRule="exact"/>
              <w:rPr>
                <w:rFonts w:ascii="宋体" w:hAnsi="宋体" w:cs="宋体"/>
                <w:sz w:val="24"/>
                <w:szCs w:val="24"/>
              </w:rPr>
            </w:pPr>
            <w:r>
              <w:rPr>
                <w:rFonts w:hint="eastAsia" w:ascii="宋体" w:hAnsi="宋体" w:cs="宋体"/>
                <w:sz w:val="24"/>
                <w:szCs w:val="24"/>
              </w:rPr>
              <w:t>（1）潮气量设置范围：5ml-1500ml（PCV模式），10ml-1500ml（VCV模式）；</w:t>
            </w:r>
          </w:p>
          <w:p w14:paraId="35EBA94E">
            <w:pPr>
              <w:tabs>
                <w:tab w:val="left" w:pos="312"/>
              </w:tabs>
              <w:snapToGrid w:val="0"/>
              <w:spacing w:line="300" w:lineRule="exact"/>
              <w:rPr>
                <w:rFonts w:ascii="宋体" w:hAnsi="宋体" w:cs="宋体"/>
                <w:sz w:val="24"/>
                <w:szCs w:val="24"/>
              </w:rPr>
            </w:pPr>
            <w:r>
              <w:rPr>
                <w:rFonts w:hint="eastAsia" w:ascii="宋体" w:hAnsi="宋体" w:cs="宋体"/>
                <w:sz w:val="24"/>
                <w:szCs w:val="24"/>
              </w:rPr>
              <w:t>（2）呼吸机吸气阀峰值流速：≥180 L/min；</w:t>
            </w:r>
          </w:p>
          <w:p w14:paraId="6FD5479A">
            <w:pPr>
              <w:tabs>
                <w:tab w:val="left" w:pos="312"/>
              </w:tabs>
              <w:snapToGrid w:val="0"/>
              <w:spacing w:line="300" w:lineRule="exact"/>
              <w:rPr>
                <w:rFonts w:ascii="宋体" w:hAnsi="宋体" w:cs="宋体"/>
                <w:sz w:val="24"/>
                <w:szCs w:val="24"/>
              </w:rPr>
            </w:pPr>
            <w:r>
              <w:rPr>
                <w:rFonts w:hint="eastAsia" w:ascii="宋体" w:hAnsi="宋体" w:cs="宋体"/>
                <w:sz w:val="24"/>
                <w:szCs w:val="24"/>
              </w:rPr>
              <w:t>（3）吸气压力设置范围：5-80 cmH</w:t>
            </w:r>
            <w:r>
              <w:rPr>
                <w:rFonts w:hint="eastAsia" w:ascii="宋体" w:hAnsi="宋体" w:cs="宋体"/>
                <w:sz w:val="24"/>
                <w:szCs w:val="24"/>
                <w:vertAlign w:val="subscript"/>
              </w:rPr>
              <w:t>2</w:t>
            </w:r>
            <w:r>
              <w:rPr>
                <w:rFonts w:hint="eastAsia" w:ascii="宋体" w:hAnsi="宋体" w:cs="宋体"/>
                <w:sz w:val="24"/>
                <w:szCs w:val="24"/>
              </w:rPr>
              <w:t>O （PEEP+）；</w:t>
            </w:r>
          </w:p>
          <w:p w14:paraId="2349FDE4">
            <w:pPr>
              <w:tabs>
                <w:tab w:val="left" w:pos="312"/>
              </w:tabs>
              <w:snapToGrid w:val="0"/>
              <w:spacing w:line="300" w:lineRule="exact"/>
              <w:rPr>
                <w:rFonts w:ascii="宋体" w:hAnsi="宋体" w:cs="宋体"/>
                <w:sz w:val="24"/>
                <w:szCs w:val="24"/>
              </w:rPr>
            </w:pPr>
            <w:r>
              <w:rPr>
                <w:rFonts w:hint="eastAsia" w:ascii="宋体" w:hAnsi="宋体" w:cs="宋体"/>
                <w:sz w:val="24"/>
                <w:szCs w:val="24"/>
              </w:rPr>
              <w:t>（4）峰值流速：&gt;160 L/min  ；</w:t>
            </w:r>
          </w:p>
          <w:p w14:paraId="3C6E9F05">
            <w:pPr>
              <w:tabs>
                <w:tab w:val="left" w:pos="312"/>
              </w:tabs>
              <w:snapToGrid w:val="0"/>
              <w:spacing w:line="300" w:lineRule="exact"/>
              <w:rPr>
                <w:rFonts w:ascii="宋体" w:hAnsi="宋体" w:cs="宋体"/>
                <w:sz w:val="24"/>
                <w:szCs w:val="24"/>
              </w:rPr>
            </w:pPr>
            <w:r>
              <w:rPr>
                <w:rFonts w:hint="eastAsia" w:ascii="宋体" w:hAnsi="宋体" w:cs="宋体"/>
                <w:sz w:val="24"/>
                <w:szCs w:val="24"/>
              </w:rPr>
              <w:t>（5）呼吸频率：4-100次/分钟；</w:t>
            </w:r>
          </w:p>
          <w:p w14:paraId="46354D9C">
            <w:pPr>
              <w:tabs>
                <w:tab w:val="left" w:pos="312"/>
              </w:tabs>
              <w:snapToGrid w:val="0"/>
              <w:spacing w:line="300" w:lineRule="exact"/>
              <w:rPr>
                <w:rFonts w:ascii="宋体" w:hAnsi="宋体" w:cs="宋体"/>
                <w:sz w:val="24"/>
                <w:szCs w:val="24"/>
              </w:rPr>
            </w:pPr>
            <w:r>
              <w:rPr>
                <w:rFonts w:hint="eastAsia" w:ascii="宋体" w:hAnsi="宋体" w:cs="宋体"/>
                <w:sz w:val="24"/>
                <w:szCs w:val="24"/>
              </w:rPr>
              <w:t>18.支持升级吸气保持和呼气保持功能，自动计算静态顺应性，吸气阻力内源性呼气末正压等参数；</w:t>
            </w:r>
          </w:p>
          <w:p w14:paraId="703DB1D0">
            <w:pPr>
              <w:tabs>
                <w:tab w:val="left" w:pos="312"/>
              </w:tabs>
              <w:snapToGrid w:val="0"/>
              <w:spacing w:line="300" w:lineRule="exact"/>
              <w:rPr>
                <w:rFonts w:ascii="宋体" w:hAnsi="宋体" w:cs="宋体"/>
                <w:sz w:val="24"/>
                <w:szCs w:val="24"/>
              </w:rPr>
            </w:pPr>
            <w:r>
              <w:rPr>
                <w:rFonts w:hint="eastAsia" w:ascii="宋体" w:hAnsi="宋体" w:cs="宋体"/>
                <w:sz w:val="24"/>
                <w:szCs w:val="24"/>
              </w:rPr>
              <w:t>19.麻醉机配备锂电池，支持续航≥90分钟；</w:t>
            </w:r>
          </w:p>
          <w:p w14:paraId="34291983">
            <w:pPr>
              <w:tabs>
                <w:tab w:val="left" w:pos="312"/>
              </w:tabs>
              <w:snapToGrid w:val="0"/>
              <w:spacing w:line="300" w:lineRule="exact"/>
              <w:rPr>
                <w:rFonts w:ascii="宋体" w:hAnsi="宋体" w:cs="宋体"/>
                <w:sz w:val="24"/>
                <w:szCs w:val="24"/>
              </w:rPr>
            </w:pPr>
            <w:r>
              <w:rPr>
                <w:rFonts w:hint="eastAsia" w:ascii="宋体" w:hAnsi="宋体" w:cs="宋体"/>
                <w:sz w:val="24"/>
                <w:szCs w:val="24"/>
              </w:rPr>
              <w:t>20.麻醉机内置≥3槽位插件槽，可直接热插拔插件，插件可在同品牌监护仪和麻醉机之间通用，配备插件：AG麻醉气体模块、 BIS、 EtCO</w:t>
            </w:r>
            <w:r>
              <w:rPr>
                <w:rFonts w:hint="eastAsia" w:ascii="宋体" w:hAnsi="宋体" w:cs="宋体"/>
                <w:sz w:val="24"/>
                <w:szCs w:val="24"/>
                <w:vertAlign w:val="subscript"/>
              </w:rPr>
              <w:t>2</w:t>
            </w:r>
            <w:r>
              <w:rPr>
                <w:rFonts w:hint="eastAsia" w:ascii="宋体" w:hAnsi="宋体" w:cs="宋体"/>
                <w:sz w:val="24"/>
                <w:szCs w:val="24"/>
              </w:rPr>
              <w:t>插件、NMT。；</w:t>
            </w:r>
          </w:p>
          <w:p w14:paraId="03143233">
            <w:pPr>
              <w:tabs>
                <w:tab w:val="left" w:pos="312"/>
              </w:tabs>
              <w:snapToGrid w:val="0"/>
              <w:spacing w:line="300" w:lineRule="exact"/>
              <w:rPr>
                <w:rFonts w:ascii="宋体" w:hAnsi="宋体" w:cs="宋体"/>
                <w:sz w:val="24"/>
                <w:szCs w:val="24"/>
              </w:rPr>
            </w:pPr>
            <w:r>
              <w:rPr>
                <w:rFonts w:hint="eastAsia" w:ascii="宋体" w:hAnsi="宋体" w:cs="宋体"/>
                <w:sz w:val="24"/>
                <w:szCs w:val="24"/>
              </w:rPr>
              <w:t>21.麻醉监护仪采用模块化设计，标配彩色触摸屏，屏幕尺寸≥12英寸，可同时显示≥8道波形，主机插槽数≥4个，支持拓展AG麻醉气体模块、 BIS、 EtCO</w:t>
            </w:r>
            <w:r>
              <w:rPr>
                <w:rFonts w:hint="eastAsia" w:ascii="宋体" w:hAnsi="宋体" w:cs="宋体"/>
                <w:sz w:val="24"/>
                <w:szCs w:val="24"/>
                <w:vertAlign w:val="subscript"/>
              </w:rPr>
              <w:t>2</w:t>
            </w:r>
            <w:r>
              <w:rPr>
                <w:rFonts w:hint="eastAsia" w:ascii="宋体" w:hAnsi="宋体" w:cs="宋体"/>
                <w:sz w:val="24"/>
                <w:szCs w:val="24"/>
              </w:rPr>
              <w:t>插件、NMT、监测模块，支持热插拔。</w:t>
            </w:r>
          </w:p>
          <w:p w14:paraId="651AC4D2">
            <w:pPr>
              <w:tabs>
                <w:tab w:val="left" w:pos="312"/>
              </w:tabs>
              <w:snapToGrid w:val="0"/>
              <w:spacing w:line="300" w:lineRule="exact"/>
              <w:rPr>
                <w:rFonts w:ascii="宋体" w:hAnsi="宋体" w:cs="宋体"/>
                <w:sz w:val="24"/>
                <w:szCs w:val="24"/>
              </w:rPr>
            </w:pPr>
            <w:r>
              <w:rPr>
                <w:rFonts w:hint="eastAsia" w:ascii="宋体" w:hAnsi="宋体" w:cs="宋体"/>
                <w:sz w:val="24"/>
                <w:szCs w:val="24"/>
              </w:rPr>
              <w:t>22.麻醉监护仪支持监测参数：心电，呼吸，心率，脉率，无创血压，血氧饱和度，双通道体温和双通道有创血压，且双通道体温和有创血压可同时监测，提供实现以上监测功能的所有附件。</w:t>
            </w:r>
          </w:p>
          <w:p w14:paraId="3777A19F">
            <w:pPr>
              <w:tabs>
                <w:tab w:val="left" w:pos="312"/>
              </w:tabs>
              <w:snapToGrid w:val="0"/>
              <w:spacing w:line="300" w:lineRule="exact"/>
              <w:rPr>
                <w:rFonts w:ascii="宋体" w:hAnsi="宋体" w:cs="宋体"/>
                <w:sz w:val="24"/>
                <w:szCs w:val="24"/>
              </w:rPr>
            </w:pPr>
            <w:r>
              <w:rPr>
                <w:rFonts w:hint="eastAsia" w:ascii="宋体" w:hAnsi="宋体" w:cs="宋体"/>
                <w:sz w:val="24"/>
                <w:szCs w:val="24"/>
              </w:rPr>
              <w:t>23.监护仪内置锂电池供电≥2小时。</w:t>
            </w:r>
          </w:p>
          <w:p w14:paraId="0BD27E18">
            <w:pPr>
              <w:tabs>
                <w:tab w:val="left" w:pos="312"/>
              </w:tabs>
              <w:snapToGrid w:val="0"/>
              <w:spacing w:line="300" w:lineRule="exact"/>
              <w:rPr>
                <w:rFonts w:ascii="宋体" w:hAnsi="宋体" w:cs="宋体"/>
                <w:sz w:val="24"/>
                <w:szCs w:val="24"/>
              </w:rPr>
            </w:pPr>
            <w:r>
              <w:rPr>
                <w:rFonts w:hint="eastAsia" w:ascii="宋体" w:hAnsi="宋体" w:cs="宋体"/>
                <w:sz w:val="24"/>
                <w:szCs w:val="24"/>
              </w:rPr>
              <w:t>24.监护仪基本功能模块可以从主体监护仪拔出后作为一个独立的监护仪支持病人的无缝转移，插入监护仪操作插槽作为主机模块，具有独立操作显示屏，屏幕尺寸≥5寸，内置锂电池供电≥6小时，采用无风扇设计。</w:t>
            </w:r>
          </w:p>
          <w:p w14:paraId="09BD6D86">
            <w:pPr>
              <w:tabs>
                <w:tab w:val="left" w:pos="312"/>
              </w:tabs>
              <w:snapToGrid w:val="0"/>
              <w:spacing w:line="300" w:lineRule="exact"/>
              <w:rPr>
                <w:rFonts w:ascii="宋体" w:hAnsi="宋体" w:cs="宋体"/>
                <w:sz w:val="24"/>
                <w:szCs w:val="24"/>
              </w:rPr>
            </w:pPr>
            <w:r>
              <w:rPr>
                <w:rFonts w:hint="eastAsia" w:ascii="宋体" w:hAnsi="宋体" w:cs="宋体"/>
                <w:sz w:val="24"/>
                <w:szCs w:val="24"/>
              </w:rPr>
              <w:t>25.具备参数组合报警功能，可对患者同时多个参数变化给出统一报警提示，预示病人不同生理系统状态改变，提供≥10个预设组合报警，同时激活≥6个组合报警功能可选，支持根据病人的参数趋势变化，自动推送推荐报警限。</w:t>
            </w:r>
          </w:p>
          <w:p w14:paraId="55D3794A">
            <w:pPr>
              <w:tabs>
                <w:tab w:val="left" w:pos="312"/>
              </w:tabs>
              <w:snapToGrid w:val="0"/>
              <w:spacing w:line="300" w:lineRule="exact"/>
              <w:rPr>
                <w:rFonts w:ascii="宋体" w:hAnsi="宋体" w:cs="宋体"/>
                <w:sz w:val="24"/>
                <w:szCs w:val="24"/>
              </w:rPr>
            </w:pPr>
            <w:r>
              <w:rPr>
                <w:rFonts w:hint="eastAsia" w:ascii="宋体" w:hAnsi="宋体" w:cs="宋体"/>
                <w:sz w:val="24"/>
                <w:szCs w:val="24"/>
              </w:rPr>
              <w:t>26.具备AG麻醉气体监测模块（含二氧化碳监测）、顺磁氧，模块支持热拔插，可在麻醉监护仪与麻醉机之间通用。</w:t>
            </w:r>
          </w:p>
          <w:p w14:paraId="02044218">
            <w:pPr>
              <w:tabs>
                <w:tab w:val="left" w:pos="312"/>
              </w:tabs>
              <w:snapToGrid w:val="0"/>
              <w:spacing w:line="300" w:lineRule="exact"/>
              <w:rPr>
                <w:rFonts w:ascii="宋体" w:hAnsi="宋体" w:cs="宋体"/>
                <w:sz w:val="24"/>
                <w:szCs w:val="24"/>
              </w:rPr>
            </w:pPr>
            <w:r>
              <w:rPr>
                <w:rFonts w:hint="eastAsia" w:ascii="宋体" w:hAnsi="宋体" w:cs="宋体"/>
                <w:sz w:val="24"/>
                <w:szCs w:val="24"/>
              </w:rPr>
              <w:t>27.支持融合输注泵信息，在麻醉机屏幕上集中显示；</w:t>
            </w:r>
          </w:p>
          <w:p w14:paraId="7E5835E1">
            <w:pPr>
              <w:tabs>
                <w:tab w:val="left" w:pos="312"/>
              </w:tabs>
              <w:snapToGrid w:val="0"/>
              <w:spacing w:line="300" w:lineRule="exact"/>
              <w:rPr>
                <w:rFonts w:ascii="宋体" w:hAnsi="宋体" w:cs="宋体"/>
                <w:sz w:val="24"/>
                <w:szCs w:val="24"/>
              </w:rPr>
            </w:pPr>
            <w:r>
              <w:rPr>
                <w:rFonts w:hint="eastAsia" w:ascii="宋体" w:hAnsi="宋体" w:cs="宋体"/>
                <w:sz w:val="24"/>
                <w:szCs w:val="24"/>
              </w:rPr>
              <w:t>28.麻醉工作站可提供标准HL7协议，与院方信息实现实时通讯，数据传输，数据抓取等功能。</w:t>
            </w:r>
          </w:p>
          <w:p w14:paraId="43A0BABA">
            <w:pPr>
              <w:tabs>
                <w:tab w:val="left" w:pos="312"/>
              </w:tabs>
              <w:snapToGrid w:val="0"/>
              <w:spacing w:line="300" w:lineRule="exact"/>
              <w:rPr>
                <w:rFonts w:ascii="宋体" w:hAnsi="宋体" w:cs="宋体"/>
                <w:sz w:val="24"/>
                <w:szCs w:val="24"/>
              </w:rPr>
            </w:pPr>
            <w:r>
              <w:rPr>
                <w:rFonts w:hint="eastAsia" w:ascii="宋体" w:hAnsi="宋体" w:cs="宋体"/>
                <w:sz w:val="24"/>
                <w:szCs w:val="24"/>
              </w:rPr>
              <w:t>29.具备废气排污装置；</w:t>
            </w:r>
          </w:p>
          <w:p w14:paraId="7FFE2BDF">
            <w:pPr>
              <w:tabs>
                <w:tab w:val="left" w:pos="312"/>
              </w:tabs>
              <w:snapToGrid w:val="0"/>
              <w:spacing w:line="300" w:lineRule="exact"/>
              <w:rPr>
                <w:rFonts w:ascii="宋体" w:hAnsi="宋体" w:cs="宋体"/>
                <w:sz w:val="24"/>
                <w:szCs w:val="24"/>
              </w:rPr>
            </w:pPr>
            <w:r>
              <w:rPr>
                <w:rFonts w:hint="eastAsia" w:ascii="宋体" w:hAnsi="宋体" w:cs="宋体"/>
                <w:sz w:val="24"/>
                <w:szCs w:val="24"/>
              </w:rPr>
              <w:t>30.设备使用年限≥10年；</w:t>
            </w:r>
          </w:p>
          <w:p w14:paraId="0B9F3214">
            <w:pPr>
              <w:tabs>
                <w:tab w:val="left" w:pos="312"/>
              </w:tabs>
              <w:snapToGrid w:val="0"/>
              <w:spacing w:line="300" w:lineRule="exact"/>
              <w:rPr>
                <w:rFonts w:ascii="宋体" w:hAnsi="宋体" w:cs="宋体"/>
                <w:sz w:val="24"/>
                <w:szCs w:val="24"/>
              </w:rPr>
            </w:pPr>
            <w:r>
              <w:rPr>
                <w:rFonts w:hint="eastAsia" w:ascii="宋体" w:hAnsi="宋体" w:cs="宋体"/>
                <w:sz w:val="24"/>
                <w:szCs w:val="24"/>
              </w:rPr>
              <w:t>31.原厂整机质保≥3年；</w:t>
            </w:r>
          </w:p>
          <w:p w14:paraId="2D8ACDBD">
            <w:pPr>
              <w:tabs>
                <w:tab w:val="left" w:pos="312"/>
              </w:tabs>
              <w:snapToGrid w:val="0"/>
              <w:spacing w:line="300" w:lineRule="exact"/>
              <w:rPr>
                <w:rFonts w:ascii="宋体" w:hAnsi="宋体" w:cs="宋体"/>
                <w:sz w:val="24"/>
                <w:szCs w:val="24"/>
              </w:rPr>
            </w:pPr>
            <w:r>
              <w:rPr>
                <w:rFonts w:hint="eastAsia" w:ascii="宋体" w:hAnsi="宋体" w:cs="宋体"/>
                <w:sz w:val="24"/>
                <w:szCs w:val="24"/>
              </w:rPr>
              <w:t>三、配置要求</w:t>
            </w:r>
            <w:r>
              <w:rPr>
                <w:rFonts w:hint="eastAsia" w:ascii="宋体" w:hAnsi="宋体" w:cs="宋体"/>
                <w:sz w:val="24"/>
                <w:szCs w:val="24"/>
              </w:rPr>
              <w:tab/>
            </w:r>
          </w:p>
          <w:p w14:paraId="613003EF">
            <w:pPr>
              <w:tabs>
                <w:tab w:val="left" w:pos="312"/>
              </w:tabs>
              <w:snapToGrid w:val="0"/>
              <w:spacing w:line="300" w:lineRule="exact"/>
              <w:rPr>
                <w:rFonts w:ascii="宋体" w:hAnsi="宋体" w:cs="宋体"/>
                <w:b/>
                <w:bCs/>
                <w:sz w:val="24"/>
                <w:szCs w:val="24"/>
              </w:rPr>
            </w:pPr>
            <w:r>
              <w:rPr>
                <w:rFonts w:hint="eastAsia" w:ascii="宋体" w:hAnsi="宋体" w:cs="宋体"/>
                <w:sz w:val="24"/>
                <w:szCs w:val="24"/>
              </w:rPr>
              <w:t>麻醉机主机1台、≥15英寸彩色触摸屏、全电子流量计、高流量给氧功能、七氟醚挥发罐1个、地氟醚挥发罐1个、AG麻醉气体模块（含二氧化碳监测）、顺磁氧、废气排污装置、锂电池1组、麻醉监护仪1台</w:t>
            </w:r>
            <w:r>
              <w:rPr>
                <w:rFonts w:hint="eastAsia" w:ascii="宋体" w:hAnsi="宋体" w:cs="宋体"/>
                <w:sz w:val="24"/>
                <w:szCs w:val="24"/>
              </w:rPr>
              <w:tab/>
            </w:r>
          </w:p>
        </w:tc>
      </w:tr>
      <w:tr w14:paraId="3FEC29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tcBorders>
              <w:top w:val="single" w:color="auto" w:sz="4" w:space="0"/>
              <w:left w:val="single" w:color="auto" w:sz="4" w:space="0"/>
              <w:bottom w:val="single" w:color="auto" w:sz="4" w:space="0"/>
              <w:right w:val="single" w:color="auto" w:sz="4" w:space="0"/>
            </w:tcBorders>
            <w:vAlign w:val="center"/>
          </w:tcPr>
          <w:p w14:paraId="5D1EE224">
            <w:pPr>
              <w:snapToGrid w:val="0"/>
              <w:spacing w:line="360" w:lineRule="auto"/>
              <w:jc w:val="center"/>
              <w:rPr>
                <w:rFonts w:ascii="宋体" w:hAnsi="宋体" w:cs="宋体"/>
                <w:sz w:val="24"/>
                <w:szCs w:val="24"/>
              </w:rPr>
            </w:pPr>
            <w:r>
              <w:rPr>
                <w:rFonts w:hint="eastAsia" w:ascii="宋体" w:hAnsi="宋体" w:cs="宋体"/>
                <w:sz w:val="24"/>
                <w:szCs w:val="24"/>
              </w:rPr>
              <w:t>4</w:t>
            </w:r>
          </w:p>
        </w:tc>
        <w:tc>
          <w:tcPr>
            <w:tcW w:w="704" w:type="pct"/>
            <w:tcBorders>
              <w:top w:val="single" w:color="auto" w:sz="4" w:space="0"/>
              <w:left w:val="single" w:color="auto" w:sz="4" w:space="0"/>
              <w:bottom w:val="single" w:color="auto" w:sz="4" w:space="0"/>
              <w:right w:val="single" w:color="auto" w:sz="4" w:space="0"/>
            </w:tcBorders>
            <w:vAlign w:val="center"/>
          </w:tcPr>
          <w:p w14:paraId="69A7E44D">
            <w:pPr>
              <w:snapToGrid w:val="0"/>
              <w:spacing w:line="360" w:lineRule="auto"/>
              <w:jc w:val="center"/>
              <w:rPr>
                <w:rFonts w:ascii="宋体" w:hAnsi="宋体" w:cs="宋体"/>
                <w:sz w:val="24"/>
                <w:szCs w:val="24"/>
              </w:rPr>
            </w:pPr>
            <w:r>
              <w:rPr>
                <w:rFonts w:hint="eastAsia" w:ascii="宋体" w:hAnsi="宋体" w:cs="宋体"/>
                <w:sz w:val="24"/>
                <w:szCs w:val="24"/>
              </w:rPr>
              <w:t>麻醉机（4）</w:t>
            </w:r>
          </w:p>
        </w:tc>
        <w:tc>
          <w:tcPr>
            <w:tcW w:w="390" w:type="pct"/>
            <w:tcBorders>
              <w:top w:val="single" w:color="auto" w:sz="4" w:space="0"/>
              <w:left w:val="single" w:color="auto" w:sz="4" w:space="0"/>
              <w:bottom w:val="single" w:color="auto" w:sz="4" w:space="0"/>
              <w:right w:val="single" w:color="auto" w:sz="4" w:space="0"/>
            </w:tcBorders>
            <w:vAlign w:val="center"/>
          </w:tcPr>
          <w:p w14:paraId="39B9E0B3">
            <w:pPr>
              <w:jc w:val="center"/>
              <w:rPr>
                <w:rFonts w:cs="宋体"/>
                <w:color w:val="000000"/>
                <w:kern w:val="0"/>
                <w:sz w:val="24"/>
                <w:szCs w:val="21"/>
              </w:rPr>
            </w:pPr>
            <w:r>
              <w:rPr>
                <w:rFonts w:hint="eastAsia" w:ascii="宋体" w:hAnsi="宋体" w:cs="宋体"/>
                <w:sz w:val="24"/>
                <w:szCs w:val="24"/>
              </w:rPr>
              <w:t>台</w:t>
            </w:r>
          </w:p>
        </w:tc>
        <w:tc>
          <w:tcPr>
            <w:tcW w:w="439" w:type="pct"/>
            <w:tcBorders>
              <w:top w:val="single" w:color="auto" w:sz="4" w:space="0"/>
              <w:left w:val="single" w:color="auto" w:sz="4" w:space="0"/>
              <w:bottom w:val="single" w:color="auto" w:sz="4" w:space="0"/>
              <w:right w:val="single" w:color="auto" w:sz="4" w:space="0"/>
            </w:tcBorders>
            <w:vAlign w:val="center"/>
          </w:tcPr>
          <w:p w14:paraId="62A94540">
            <w:pPr>
              <w:snapToGrid w:val="0"/>
              <w:spacing w:line="360" w:lineRule="auto"/>
              <w:jc w:val="center"/>
              <w:rPr>
                <w:rFonts w:ascii="宋体" w:hAnsi="宋体" w:cs="宋体"/>
                <w:sz w:val="24"/>
                <w:szCs w:val="24"/>
              </w:rPr>
            </w:pPr>
            <w:r>
              <w:rPr>
                <w:rFonts w:hint="eastAsia" w:ascii="宋体" w:hAnsi="宋体" w:cs="宋体"/>
                <w:sz w:val="24"/>
                <w:szCs w:val="24"/>
              </w:rPr>
              <w:t>2</w:t>
            </w:r>
          </w:p>
        </w:tc>
        <w:tc>
          <w:tcPr>
            <w:tcW w:w="3033" w:type="pct"/>
            <w:tcBorders>
              <w:top w:val="single" w:color="auto" w:sz="4" w:space="0"/>
              <w:left w:val="single" w:color="auto" w:sz="4" w:space="0"/>
              <w:bottom w:val="single" w:color="auto" w:sz="4" w:space="0"/>
              <w:right w:val="single" w:color="auto" w:sz="4" w:space="0"/>
            </w:tcBorders>
          </w:tcPr>
          <w:p w14:paraId="1D5F89D5">
            <w:pPr>
              <w:tabs>
                <w:tab w:val="left" w:pos="312"/>
              </w:tabs>
              <w:snapToGrid w:val="0"/>
              <w:spacing w:line="300" w:lineRule="exact"/>
              <w:rPr>
                <w:rFonts w:ascii="宋体" w:hAnsi="宋体" w:cs="宋体"/>
                <w:sz w:val="24"/>
                <w:szCs w:val="24"/>
              </w:rPr>
            </w:pPr>
            <w:r>
              <w:rPr>
                <w:rFonts w:hint="eastAsia" w:ascii="宋体" w:hAnsi="宋体" w:cs="宋体"/>
                <w:sz w:val="24"/>
                <w:szCs w:val="24"/>
              </w:rPr>
              <w:t>一、产品用途：用于手术麻醉过程中提供机器通气支持和控制呼吸管理，为吸入性麻醉调节药物浓度，具备‌精准的呼吸参数设置‌，支持容量模式下的潮气量调节及压力控制模式下的最小潮气量，压力范围覆盖广，适用于成人及小儿的临床吸入麻醉和呼吸管理。</w:t>
            </w:r>
          </w:p>
          <w:p w14:paraId="6C53AA81">
            <w:pPr>
              <w:tabs>
                <w:tab w:val="left" w:pos="312"/>
              </w:tabs>
              <w:snapToGrid w:val="0"/>
              <w:spacing w:line="300" w:lineRule="exact"/>
              <w:rPr>
                <w:rFonts w:ascii="宋体" w:hAnsi="宋体" w:cs="宋体"/>
                <w:sz w:val="24"/>
                <w:szCs w:val="24"/>
              </w:rPr>
            </w:pPr>
            <w:r>
              <w:rPr>
                <w:rFonts w:hint="eastAsia" w:ascii="宋体" w:hAnsi="宋体" w:cs="宋体"/>
                <w:sz w:val="24"/>
                <w:szCs w:val="24"/>
              </w:rPr>
              <w:t>技术参数</w:t>
            </w:r>
          </w:p>
          <w:p w14:paraId="0D2B19E7">
            <w:pPr>
              <w:tabs>
                <w:tab w:val="left" w:pos="312"/>
              </w:tabs>
              <w:snapToGrid w:val="0"/>
              <w:spacing w:line="300" w:lineRule="exact"/>
              <w:rPr>
                <w:rFonts w:ascii="宋体" w:hAnsi="宋体" w:cs="宋体"/>
                <w:sz w:val="24"/>
                <w:szCs w:val="24"/>
              </w:rPr>
            </w:pPr>
            <w:r>
              <w:rPr>
                <w:rFonts w:hint="eastAsia" w:ascii="宋体" w:hAnsi="宋体" w:cs="宋体"/>
                <w:sz w:val="24"/>
                <w:szCs w:val="24"/>
              </w:rPr>
              <w:t>一、麻醉机参数：</w:t>
            </w:r>
          </w:p>
          <w:p w14:paraId="547856E4">
            <w:pPr>
              <w:tabs>
                <w:tab w:val="left" w:pos="312"/>
              </w:tabs>
              <w:snapToGrid w:val="0"/>
              <w:spacing w:line="300" w:lineRule="exact"/>
              <w:rPr>
                <w:rFonts w:ascii="宋体" w:hAnsi="宋体" w:cs="宋体"/>
                <w:sz w:val="24"/>
                <w:szCs w:val="24"/>
              </w:rPr>
            </w:pPr>
            <w:r>
              <w:rPr>
                <w:rFonts w:hint="eastAsia" w:ascii="宋体" w:hAnsi="宋体" w:cs="宋体"/>
                <w:sz w:val="24"/>
                <w:szCs w:val="24"/>
              </w:rPr>
              <w:t>1．气动电控呼吸机，≥15寸全中文彩色触摸控制屏。</w:t>
            </w:r>
          </w:p>
          <w:p w14:paraId="37551E4D">
            <w:pPr>
              <w:tabs>
                <w:tab w:val="left" w:pos="312"/>
              </w:tabs>
              <w:snapToGrid w:val="0"/>
              <w:spacing w:line="300" w:lineRule="exact"/>
              <w:rPr>
                <w:rFonts w:ascii="宋体" w:hAnsi="宋体" w:cs="宋体"/>
                <w:sz w:val="24"/>
                <w:szCs w:val="24"/>
              </w:rPr>
            </w:pPr>
            <w:r>
              <w:rPr>
                <w:rFonts w:hint="eastAsia" w:ascii="宋体" w:hAnsi="宋体" w:cs="宋体"/>
                <w:sz w:val="24"/>
                <w:szCs w:val="24"/>
              </w:rPr>
              <w:t>2．提供辅助/控制通气，标配通气模式：VCV、PCV、PCV-VG、电子PEEP、SIMV-VC、SIMV-PC、带窒息后备保护通气的PSV、手动通气，</w:t>
            </w:r>
          </w:p>
          <w:p w14:paraId="450D244E">
            <w:pPr>
              <w:tabs>
                <w:tab w:val="left" w:pos="312"/>
              </w:tabs>
              <w:snapToGrid w:val="0"/>
              <w:spacing w:line="300" w:lineRule="exact"/>
              <w:rPr>
                <w:rFonts w:ascii="宋体" w:hAnsi="宋体" w:cs="宋体"/>
                <w:sz w:val="24"/>
                <w:szCs w:val="24"/>
              </w:rPr>
            </w:pPr>
            <w:r>
              <w:rPr>
                <w:rFonts w:hint="eastAsia" w:ascii="宋体" w:hAnsi="宋体" w:cs="宋体"/>
                <w:sz w:val="24"/>
                <w:szCs w:val="24"/>
              </w:rPr>
              <w:t>3．采用插件式模块化结构设计，≥2槽位插件槽，插件支持热插拔，同时可在同品牌监护仪和麻醉机之间通用</w:t>
            </w:r>
          </w:p>
          <w:p w14:paraId="7B1F38F1">
            <w:pPr>
              <w:tabs>
                <w:tab w:val="left" w:pos="312"/>
              </w:tabs>
              <w:snapToGrid w:val="0"/>
              <w:spacing w:line="300" w:lineRule="exact"/>
              <w:rPr>
                <w:rFonts w:ascii="宋体" w:hAnsi="宋体" w:cs="宋体"/>
                <w:sz w:val="24"/>
                <w:szCs w:val="24"/>
              </w:rPr>
            </w:pPr>
            <w:r>
              <w:rPr>
                <w:rFonts w:hint="eastAsia" w:ascii="宋体" w:hAnsi="宋体" w:cs="宋体"/>
                <w:sz w:val="24"/>
                <w:szCs w:val="24"/>
              </w:rPr>
              <w:t>4．配备锂电池，电池使用时间≥90分钟</w:t>
            </w:r>
          </w:p>
          <w:p w14:paraId="3FFC644F">
            <w:pPr>
              <w:tabs>
                <w:tab w:val="left" w:pos="312"/>
              </w:tabs>
              <w:snapToGrid w:val="0"/>
              <w:spacing w:line="300" w:lineRule="exact"/>
              <w:rPr>
                <w:rFonts w:ascii="宋体" w:hAnsi="宋体" w:cs="宋体"/>
                <w:sz w:val="24"/>
                <w:szCs w:val="24"/>
              </w:rPr>
            </w:pPr>
            <w:r>
              <w:rPr>
                <w:rFonts w:hint="eastAsia" w:ascii="宋体" w:hAnsi="宋体" w:cs="宋体"/>
                <w:sz w:val="24"/>
                <w:szCs w:val="24"/>
              </w:rPr>
              <w:t>5．全电子流量计(非机械调节电子显示流量计)，可直接对新鲜气体设置氧浓度和总流量，可以设置成总流量模式或单管流量模式。</w:t>
            </w:r>
          </w:p>
          <w:p w14:paraId="74E5B604">
            <w:pPr>
              <w:tabs>
                <w:tab w:val="left" w:pos="312"/>
              </w:tabs>
              <w:snapToGrid w:val="0"/>
              <w:spacing w:line="300" w:lineRule="exact"/>
              <w:rPr>
                <w:rFonts w:ascii="宋体" w:hAnsi="宋体" w:cs="宋体"/>
                <w:sz w:val="24"/>
                <w:szCs w:val="24"/>
              </w:rPr>
            </w:pPr>
            <w:r>
              <w:rPr>
                <w:rFonts w:hint="eastAsia" w:ascii="宋体" w:hAnsi="宋体" w:cs="宋体"/>
                <w:sz w:val="24"/>
                <w:szCs w:val="24"/>
              </w:rPr>
              <w:t>6．同屏幕至少3通道任意波形显示（压力时间波形，流速时间波形，容量时间波形，呼末CO</w:t>
            </w:r>
            <w:r>
              <w:rPr>
                <w:rFonts w:hint="eastAsia" w:ascii="宋体" w:hAnsi="宋体" w:cs="宋体"/>
                <w:sz w:val="24"/>
                <w:szCs w:val="24"/>
                <w:vertAlign w:val="subscript"/>
              </w:rPr>
              <w:t>2</w:t>
            </w:r>
            <w:r>
              <w:rPr>
                <w:rFonts w:hint="eastAsia" w:ascii="宋体" w:hAnsi="宋体" w:cs="宋体"/>
                <w:sz w:val="24"/>
                <w:szCs w:val="24"/>
              </w:rPr>
              <w:t>波形等可自选），波形和环图可以同屏显示。</w:t>
            </w:r>
          </w:p>
          <w:p w14:paraId="3A6B152B">
            <w:pPr>
              <w:tabs>
                <w:tab w:val="left" w:pos="312"/>
              </w:tabs>
              <w:snapToGrid w:val="0"/>
              <w:spacing w:line="300" w:lineRule="exact"/>
              <w:rPr>
                <w:rFonts w:ascii="宋体" w:hAnsi="宋体" w:cs="宋体"/>
                <w:sz w:val="24"/>
                <w:szCs w:val="24"/>
              </w:rPr>
            </w:pPr>
            <w:r>
              <w:rPr>
                <w:rFonts w:hint="eastAsia" w:ascii="宋体" w:hAnsi="宋体" w:cs="宋体"/>
                <w:sz w:val="24"/>
                <w:szCs w:val="24"/>
              </w:rPr>
              <w:t>7．具备吸入端，呼出端双流量传感器，实现动态潮气量实时自动补偿功能。</w:t>
            </w:r>
          </w:p>
          <w:p w14:paraId="3D56F78D">
            <w:pPr>
              <w:tabs>
                <w:tab w:val="left" w:pos="312"/>
              </w:tabs>
              <w:snapToGrid w:val="0"/>
              <w:spacing w:line="300" w:lineRule="exact"/>
              <w:rPr>
                <w:rFonts w:ascii="宋体" w:hAnsi="宋体" w:cs="宋体"/>
                <w:sz w:val="24"/>
                <w:szCs w:val="24"/>
              </w:rPr>
            </w:pPr>
            <w:r>
              <w:rPr>
                <w:rFonts w:hint="eastAsia" w:ascii="宋体" w:hAnsi="宋体" w:cs="宋体"/>
                <w:sz w:val="24"/>
                <w:szCs w:val="24"/>
              </w:rPr>
              <w:t>8．内置第三基准流量传感器，用户可自行校准吸入和呼出端流量传感器。</w:t>
            </w:r>
          </w:p>
          <w:p w14:paraId="45EF8AEF">
            <w:pPr>
              <w:tabs>
                <w:tab w:val="left" w:pos="312"/>
              </w:tabs>
              <w:snapToGrid w:val="0"/>
              <w:spacing w:line="300" w:lineRule="exact"/>
              <w:rPr>
                <w:rFonts w:ascii="宋体" w:hAnsi="宋体" w:cs="宋体"/>
                <w:sz w:val="24"/>
                <w:szCs w:val="24"/>
              </w:rPr>
            </w:pPr>
            <w:r>
              <w:rPr>
                <w:rFonts w:hint="eastAsia" w:ascii="宋体" w:hAnsi="宋体" w:cs="宋体"/>
                <w:sz w:val="24"/>
                <w:szCs w:val="24"/>
              </w:rPr>
              <w:t>9．配备监测插件：EtCO</w:t>
            </w:r>
            <w:r>
              <w:rPr>
                <w:rFonts w:hint="eastAsia" w:ascii="宋体" w:hAnsi="宋体" w:cs="宋体"/>
                <w:sz w:val="24"/>
                <w:szCs w:val="24"/>
                <w:vertAlign w:val="subscript"/>
              </w:rPr>
              <w:t>2</w:t>
            </w:r>
            <w:r>
              <w:rPr>
                <w:rFonts w:hint="eastAsia" w:ascii="宋体" w:hAnsi="宋体" w:cs="宋体"/>
                <w:sz w:val="24"/>
                <w:szCs w:val="24"/>
              </w:rPr>
              <w:t>模块、麻醉气体模块、BIS模块、NMT模块等,所有参数均可以显示在麻醉机主屏幕上。</w:t>
            </w:r>
          </w:p>
          <w:p w14:paraId="60C5A6E3">
            <w:pPr>
              <w:tabs>
                <w:tab w:val="left" w:pos="312"/>
              </w:tabs>
              <w:snapToGrid w:val="0"/>
              <w:spacing w:line="300" w:lineRule="exact"/>
              <w:rPr>
                <w:rFonts w:ascii="宋体" w:hAnsi="宋体" w:cs="宋体"/>
                <w:sz w:val="24"/>
                <w:szCs w:val="24"/>
              </w:rPr>
            </w:pPr>
            <w:r>
              <w:rPr>
                <w:rFonts w:hint="eastAsia" w:ascii="宋体" w:hAnsi="宋体" w:cs="宋体"/>
                <w:sz w:val="24"/>
                <w:szCs w:val="24"/>
              </w:rPr>
              <w:t>10．标配至少4个辅助输出电源接口。</w:t>
            </w:r>
          </w:p>
          <w:p w14:paraId="259B654B">
            <w:pPr>
              <w:tabs>
                <w:tab w:val="left" w:pos="312"/>
              </w:tabs>
              <w:snapToGrid w:val="0"/>
              <w:spacing w:line="300" w:lineRule="exact"/>
              <w:rPr>
                <w:rFonts w:ascii="宋体" w:hAnsi="宋体" w:cs="宋体"/>
                <w:sz w:val="24"/>
                <w:szCs w:val="24"/>
              </w:rPr>
            </w:pPr>
            <w:r>
              <w:rPr>
                <w:rFonts w:hint="eastAsia" w:ascii="宋体" w:hAnsi="宋体" w:cs="宋体"/>
                <w:sz w:val="24"/>
                <w:szCs w:val="24"/>
              </w:rPr>
              <w:t>11．具备直观的适宜低流量麻醉的新鲜气体流量指示工具标配双麻醉罐位。</w:t>
            </w:r>
          </w:p>
          <w:p w14:paraId="5F9D5F7D">
            <w:pPr>
              <w:tabs>
                <w:tab w:val="left" w:pos="312"/>
              </w:tabs>
              <w:snapToGrid w:val="0"/>
              <w:spacing w:line="300" w:lineRule="exact"/>
              <w:rPr>
                <w:rFonts w:ascii="宋体" w:hAnsi="宋体" w:cs="宋体"/>
                <w:sz w:val="24"/>
                <w:szCs w:val="24"/>
              </w:rPr>
            </w:pPr>
            <w:r>
              <w:rPr>
                <w:rFonts w:hint="eastAsia" w:ascii="宋体" w:hAnsi="宋体" w:cs="宋体"/>
                <w:sz w:val="24"/>
                <w:szCs w:val="24"/>
              </w:rPr>
              <w:t>12．麻醉罐，与主机兼容匹配，具备温度、空气压力和流量补偿功能。</w:t>
            </w:r>
          </w:p>
          <w:p w14:paraId="0DAF656D">
            <w:pPr>
              <w:tabs>
                <w:tab w:val="left" w:pos="312"/>
              </w:tabs>
              <w:snapToGrid w:val="0"/>
              <w:spacing w:line="300" w:lineRule="exact"/>
              <w:rPr>
                <w:rFonts w:ascii="宋体" w:hAnsi="宋体" w:cs="宋体"/>
                <w:sz w:val="24"/>
                <w:szCs w:val="24"/>
              </w:rPr>
            </w:pPr>
            <w:r>
              <w:rPr>
                <w:rFonts w:hint="eastAsia" w:ascii="宋体" w:hAnsi="宋体" w:cs="宋体"/>
                <w:sz w:val="24"/>
                <w:szCs w:val="24"/>
              </w:rPr>
              <w:t>13．回路整体可旋转≥30°，以满足不同手术无需移动麻醉机的要求。</w:t>
            </w:r>
          </w:p>
          <w:p w14:paraId="10F45F90">
            <w:pPr>
              <w:tabs>
                <w:tab w:val="left" w:pos="312"/>
              </w:tabs>
              <w:snapToGrid w:val="0"/>
              <w:spacing w:line="300" w:lineRule="exact"/>
              <w:rPr>
                <w:rFonts w:ascii="宋体" w:hAnsi="宋体" w:cs="宋体"/>
                <w:sz w:val="24"/>
                <w:szCs w:val="24"/>
              </w:rPr>
            </w:pPr>
            <w:r>
              <w:rPr>
                <w:rFonts w:hint="eastAsia" w:ascii="宋体" w:hAnsi="宋体" w:cs="宋体"/>
                <w:sz w:val="24"/>
                <w:szCs w:val="24"/>
              </w:rPr>
              <w:t>14．具有回路整体加温功能，无需冷凝器，保证回路不受积水影响，保证流量传感器精准及向病人提供温暖气体，避免对呼吸道的刺激。</w:t>
            </w:r>
          </w:p>
          <w:p w14:paraId="081B112F">
            <w:pPr>
              <w:tabs>
                <w:tab w:val="left" w:pos="312"/>
              </w:tabs>
              <w:snapToGrid w:val="0"/>
              <w:spacing w:line="300" w:lineRule="exact"/>
              <w:rPr>
                <w:rFonts w:ascii="宋体" w:hAnsi="宋体" w:cs="宋体"/>
                <w:sz w:val="24"/>
                <w:szCs w:val="24"/>
              </w:rPr>
            </w:pPr>
            <w:r>
              <w:rPr>
                <w:rFonts w:hint="eastAsia" w:ascii="宋体" w:hAnsi="宋体" w:cs="宋体"/>
                <w:sz w:val="24"/>
                <w:szCs w:val="24"/>
              </w:rPr>
              <w:t>15．标配CO</w:t>
            </w:r>
            <w:r>
              <w:rPr>
                <w:rFonts w:hint="eastAsia" w:ascii="宋体" w:hAnsi="宋体" w:cs="宋体"/>
                <w:sz w:val="24"/>
                <w:szCs w:val="24"/>
                <w:vertAlign w:val="subscript"/>
              </w:rPr>
              <w:t>2</w:t>
            </w:r>
            <w:r>
              <w:rPr>
                <w:rFonts w:hint="eastAsia" w:ascii="宋体" w:hAnsi="宋体" w:cs="宋体"/>
                <w:sz w:val="24"/>
                <w:szCs w:val="24"/>
              </w:rPr>
              <w:t>旁路(Bypass)功能，在机械通气过程中，更换钠石灰罐无需选择确认，无需关停机械通气，可方便直接更换。</w:t>
            </w:r>
          </w:p>
          <w:p w14:paraId="354B6869">
            <w:pPr>
              <w:tabs>
                <w:tab w:val="left" w:pos="312"/>
              </w:tabs>
              <w:snapToGrid w:val="0"/>
              <w:spacing w:line="300" w:lineRule="exact"/>
              <w:rPr>
                <w:rFonts w:ascii="宋体" w:hAnsi="宋体" w:cs="宋体"/>
                <w:sz w:val="24"/>
                <w:szCs w:val="24"/>
              </w:rPr>
            </w:pPr>
            <w:r>
              <w:rPr>
                <w:rFonts w:hint="eastAsia" w:ascii="宋体" w:hAnsi="宋体" w:cs="宋体"/>
                <w:sz w:val="24"/>
                <w:szCs w:val="24"/>
              </w:rPr>
              <w:t>16．潮气量监测范围：0-3000ml，吸气压力设置范围：5-70cmH</w:t>
            </w:r>
            <w:r>
              <w:rPr>
                <w:rFonts w:hint="eastAsia" w:ascii="宋体" w:hAnsi="宋体" w:cs="宋体"/>
                <w:sz w:val="24"/>
                <w:szCs w:val="24"/>
                <w:vertAlign w:val="subscript"/>
              </w:rPr>
              <w:t>2</w:t>
            </w:r>
            <w:r>
              <w:rPr>
                <w:rFonts w:hint="eastAsia" w:ascii="宋体" w:hAnsi="宋体" w:cs="宋体"/>
                <w:sz w:val="24"/>
                <w:szCs w:val="24"/>
              </w:rPr>
              <w:t>O（PEEP+），吸呼比：4:1-1:8。</w:t>
            </w:r>
          </w:p>
          <w:p w14:paraId="546C4AD4">
            <w:pPr>
              <w:tabs>
                <w:tab w:val="left" w:pos="312"/>
              </w:tabs>
              <w:snapToGrid w:val="0"/>
              <w:spacing w:line="300" w:lineRule="exact"/>
              <w:rPr>
                <w:rFonts w:ascii="宋体" w:hAnsi="宋体" w:cs="宋体"/>
                <w:sz w:val="24"/>
                <w:szCs w:val="24"/>
              </w:rPr>
            </w:pPr>
            <w:r>
              <w:rPr>
                <w:rFonts w:hint="eastAsia" w:ascii="宋体" w:hAnsi="宋体" w:cs="宋体"/>
                <w:sz w:val="24"/>
                <w:szCs w:val="24"/>
              </w:rPr>
              <w:t>17．可扩展连接监护仪，全面监测病人生命体征。</w:t>
            </w:r>
          </w:p>
          <w:p w14:paraId="45F29A00">
            <w:pPr>
              <w:tabs>
                <w:tab w:val="left" w:pos="312"/>
              </w:tabs>
              <w:snapToGrid w:val="0"/>
              <w:spacing w:line="300" w:lineRule="exact"/>
              <w:rPr>
                <w:rFonts w:ascii="宋体" w:hAnsi="宋体" w:cs="宋体"/>
                <w:sz w:val="24"/>
                <w:szCs w:val="24"/>
              </w:rPr>
            </w:pPr>
            <w:r>
              <w:rPr>
                <w:rFonts w:hint="eastAsia" w:ascii="宋体" w:hAnsi="宋体" w:cs="宋体"/>
                <w:sz w:val="24"/>
                <w:szCs w:val="24"/>
              </w:rPr>
              <w:t>18.具备高频喷射通气功能。</w:t>
            </w:r>
          </w:p>
          <w:p w14:paraId="22156DA0">
            <w:pPr>
              <w:tabs>
                <w:tab w:val="left" w:pos="312"/>
              </w:tabs>
              <w:snapToGrid w:val="0"/>
              <w:spacing w:line="300" w:lineRule="exact"/>
              <w:rPr>
                <w:rFonts w:ascii="宋体" w:hAnsi="宋体" w:cs="宋体"/>
                <w:sz w:val="24"/>
                <w:szCs w:val="24"/>
              </w:rPr>
            </w:pPr>
            <w:r>
              <w:rPr>
                <w:rFonts w:hint="eastAsia" w:ascii="宋体" w:hAnsi="宋体" w:cs="宋体"/>
                <w:sz w:val="24"/>
                <w:szCs w:val="24"/>
              </w:rPr>
              <w:t>二、配套监护仪参数：</w:t>
            </w:r>
          </w:p>
          <w:p w14:paraId="0E81DCF4">
            <w:pPr>
              <w:tabs>
                <w:tab w:val="left" w:pos="312"/>
              </w:tabs>
              <w:snapToGrid w:val="0"/>
              <w:spacing w:line="300" w:lineRule="exact"/>
              <w:rPr>
                <w:rFonts w:ascii="宋体" w:hAnsi="宋体" w:cs="宋体"/>
                <w:sz w:val="24"/>
                <w:szCs w:val="24"/>
              </w:rPr>
            </w:pPr>
            <w:r>
              <w:rPr>
                <w:rFonts w:hint="eastAsia" w:ascii="宋体" w:hAnsi="宋体" w:cs="宋体"/>
                <w:sz w:val="24"/>
                <w:szCs w:val="24"/>
              </w:rPr>
              <w:t>1.模块化插件式设计，配备触摸屏，屏幕尺寸≥18英寸，可同时显示≥10道波形，主机插槽数≥5个。</w:t>
            </w:r>
          </w:p>
          <w:p w14:paraId="6BAEF2BB">
            <w:pPr>
              <w:tabs>
                <w:tab w:val="left" w:pos="312"/>
              </w:tabs>
              <w:snapToGrid w:val="0"/>
              <w:spacing w:line="300" w:lineRule="exact"/>
              <w:rPr>
                <w:rFonts w:ascii="宋体" w:hAnsi="宋体" w:cs="宋体"/>
                <w:sz w:val="24"/>
                <w:szCs w:val="24"/>
              </w:rPr>
            </w:pPr>
            <w:r>
              <w:rPr>
                <w:rFonts w:hint="eastAsia" w:ascii="宋体" w:hAnsi="宋体" w:cs="宋体"/>
                <w:sz w:val="24"/>
                <w:szCs w:val="24"/>
              </w:rPr>
              <w:t>2.内置锂电池，供电时间≥2小时；标配4G内置存储卡</w:t>
            </w:r>
          </w:p>
          <w:p w14:paraId="4977B4C8">
            <w:pPr>
              <w:tabs>
                <w:tab w:val="left" w:pos="312"/>
              </w:tabs>
              <w:snapToGrid w:val="0"/>
              <w:spacing w:line="300" w:lineRule="exact"/>
              <w:rPr>
                <w:rFonts w:ascii="宋体" w:hAnsi="宋体" w:cs="宋体"/>
                <w:sz w:val="24"/>
                <w:szCs w:val="24"/>
              </w:rPr>
            </w:pPr>
            <w:r>
              <w:rPr>
                <w:rFonts w:hint="eastAsia" w:ascii="宋体" w:hAnsi="宋体" w:cs="宋体"/>
                <w:sz w:val="24"/>
                <w:szCs w:val="24"/>
              </w:rPr>
              <w:t>3.支持实时连续心律失常分析，心律失常分析种类≥20种，包含房颤</w:t>
            </w:r>
          </w:p>
          <w:p w14:paraId="4C996B50">
            <w:pPr>
              <w:tabs>
                <w:tab w:val="left" w:pos="312"/>
              </w:tabs>
              <w:snapToGrid w:val="0"/>
              <w:spacing w:line="300" w:lineRule="exact"/>
              <w:rPr>
                <w:rFonts w:hint="eastAsia" w:ascii="宋体" w:hAnsi="宋体" w:cs="宋体"/>
                <w:sz w:val="24"/>
                <w:szCs w:val="24"/>
                <w:highlight w:val="yellow"/>
              </w:rPr>
            </w:pPr>
            <w:r>
              <w:rPr>
                <w:rFonts w:hint="eastAsia" w:ascii="宋体" w:hAnsi="宋体" w:cs="宋体"/>
                <w:sz w:val="24"/>
                <w:szCs w:val="24"/>
                <w:highlight w:val="yellow"/>
              </w:rPr>
              <w:t>4.可通过模块升级：脑电双频指数BIS，麻醉气体AG，肌松NMT等高级参数</w:t>
            </w:r>
          </w:p>
          <w:p w14:paraId="6E509BCE">
            <w:pPr>
              <w:tabs>
                <w:tab w:val="left" w:pos="312"/>
              </w:tabs>
              <w:snapToGrid w:val="0"/>
              <w:spacing w:line="300" w:lineRule="exact"/>
              <w:rPr>
                <w:rFonts w:ascii="宋体" w:hAnsi="宋体" w:cs="宋体"/>
                <w:sz w:val="24"/>
                <w:szCs w:val="24"/>
              </w:rPr>
            </w:pPr>
            <w:r>
              <w:rPr>
                <w:rFonts w:hint="eastAsia" w:ascii="宋体" w:hAnsi="宋体" w:cs="宋体"/>
                <w:sz w:val="24"/>
                <w:szCs w:val="24"/>
              </w:rPr>
              <w:t>5.配有BIS、NMT模块</w:t>
            </w:r>
          </w:p>
          <w:p w14:paraId="511EEDD6">
            <w:pPr>
              <w:tabs>
                <w:tab w:val="left" w:pos="312"/>
              </w:tabs>
              <w:snapToGrid w:val="0"/>
              <w:spacing w:line="300" w:lineRule="exact"/>
              <w:rPr>
                <w:rFonts w:ascii="宋体" w:hAnsi="宋体" w:cs="宋体"/>
                <w:sz w:val="24"/>
                <w:szCs w:val="24"/>
              </w:rPr>
            </w:pPr>
            <w:r>
              <w:rPr>
                <w:rFonts w:hint="eastAsia" w:ascii="宋体" w:hAnsi="宋体" w:cs="宋体"/>
                <w:sz w:val="24"/>
                <w:szCs w:val="24"/>
              </w:rPr>
              <w:t>6.基本监测参数：心电，呼吸，心率，脉率，无创血压，血氧饱和度，双通道体温和双通道有创血压，且双通道体温和有创血压可同时监测.</w:t>
            </w:r>
          </w:p>
          <w:p w14:paraId="2803D6F4">
            <w:pPr>
              <w:tabs>
                <w:tab w:val="left" w:pos="312"/>
              </w:tabs>
              <w:snapToGrid w:val="0"/>
              <w:spacing w:line="300" w:lineRule="exact"/>
              <w:rPr>
                <w:rFonts w:ascii="宋体" w:hAnsi="宋体" w:cs="宋体"/>
                <w:sz w:val="24"/>
                <w:szCs w:val="24"/>
              </w:rPr>
            </w:pPr>
            <w:r>
              <w:rPr>
                <w:rFonts w:hint="eastAsia" w:ascii="宋体" w:hAnsi="宋体" w:cs="宋体"/>
                <w:sz w:val="24"/>
                <w:szCs w:val="24"/>
              </w:rPr>
              <w:t>7.可显示PI血氧灌注指数，有效反映血氧灌注情况。</w:t>
            </w:r>
          </w:p>
          <w:p w14:paraId="751CE54E">
            <w:pPr>
              <w:tabs>
                <w:tab w:val="left" w:pos="312"/>
              </w:tabs>
              <w:snapToGrid w:val="0"/>
              <w:spacing w:line="300" w:lineRule="exact"/>
              <w:rPr>
                <w:rFonts w:ascii="宋体" w:hAnsi="宋体" w:cs="宋体"/>
                <w:sz w:val="24"/>
                <w:szCs w:val="24"/>
              </w:rPr>
            </w:pPr>
            <w:r>
              <w:rPr>
                <w:rFonts w:hint="eastAsia" w:ascii="宋体" w:hAnsi="宋体" w:cs="宋体"/>
                <w:sz w:val="24"/>
                <w:szCs w:val="24"/>
              </w:rPr>
              <w:t>8.标配具备血液动力学，药物计算，氧合计算，通气计算和肾功能计算功能。</w:t>
            </w:r>
          </w:p>
          <w:p w14:paraId="04A16205">
            <w:pPr>
              <w:tabs>
                <w:tab w:val="left" w:pos="312"/>
              </w:tabs>
              <w:snapToGrid w:val="0"/>
              <w:spacing w:line="300" w:lineRule="exact"/>
              <w:rPr>
                <w:rFonts w:ascii="宋体" w:hAnsi="宋体" w:cs="宋体"/>
                <w:sz w:val="24"/>
                <w:szCs w:val="24"/>
              </w:rPr>
            </w:pPr>
            <w:r>
              <w:rPr>
                <w:rFonts w:hint="eastAsia" w:ascii="宋体" w:hAnsi="宋体" w:cs="宋体"/>
                <w:sz w:val="24"/>
                <w:szCs w:val="24"/>
              </w:rPr>
              <w:t>9.支持趋势表、趋势图回顾，</w:t>
            </w:r>
          </w:p>
          <w:p w14:paraId="46CDC08A">
            <w:pPr>
              <w:tabs>
                <w:tab w:val="left" w:pos="312"/>
              </w:tabs>
              <w:snapToGrid w:val="0"/>
              <w:spacing w:line="300" w:lineRule="exact"/>
              <w:rPr>
                <w:rFonts w:ascii="宋体" w:hAnsi="宋体" w:cs="宋体"/>
                <w:sz w:val="24"/>
                <w:szCs w:val="24"/>
              </w:rPr>
            </w:pPr>
            <w:r>
              <w:rPr>
                <w:rFonts w:hint="eastAsia" w:ascii="宋体" w:hAnsi="宋体" w:cs="宋体"/>
                <w:sz w:val="24"/>
                <w:szCs w:val="24"/>
              </w:rPr>
              <w:t>10.具备≥48小时全息波形的存储与回顾功能。</w:t>
            </w:r>
          </w:p>
          <w:p w14:paraId="1BB462B3">
            <w:pPr>
              <w:tabs>
                <w:tab w:val="left" w:pos="312"/>
              </w:tabs>
              <w:snapToGrid w:val="0"/>
              <w:spacing w:line="300" w:lineRule="exact"/>
              <w:rPr>
                <w:rFonts w:ascii="宋体" w:hAnsi="宋体" w:cs="宋体"/>
                <w:sz w:val="24"/>
                <w:szCs w:val="24"/>
              </w:rPr>
            </w:pPr>
            <w:r>
              <w:rPr>
                <w:rFonts w:hint="eastAsia" w:ascii="宋体" w:hAnsi="宋体" w:cs="宋体"/>
                <w:sz w:val="24"/>
                <w:szCs w:val="24"/>
              </w:rPr>
              <w:t>11.基本功能模块支持升级从监护仪拔出后作为一个独立的监护仪支持病人的无缝转移，具有显示屏，屏幕尺寸≥5英寸，内置锂电池供电不小于4小时。</w:t>
            </w:r>
          </w:p>
          <w:p w14:paraId="71E023CF">
            <w:pPr>
              <w:tabs>
                <w:tab w:val="left" w:pos="312"/>
              </w:tabs>
              <w:snapToGrid w:val="0"/>
              <w:spacing w:line="300" w:lineRule="exact"/>
              <w:rPr>
                <w:rFonts w:ascii="宋体" w:hAnsi="宋体" w:cs="宋体"/>
                <w:sz w:val="24"/>
                <w:szCs w:val="24"/>
              </w:rPr>
            </w:pPr>
            <w:r>
              <w:rPr>
                <w:rFonts w:hint="eastAsia" w:ascii="宋体" w:hAnsi="宋体" w:cs="宋体"/>
                <w:sz w:val="24"/>
                <w:szCs w:val="24"/>
              </w:rPr>
              <w:t>12.有创血压IBP模块，支持肺动脉楔压（PAWP）和脉搏血压变异（PPV）参数的监测。</w:t>
            </w:r>
          </w:p>
          <w:p w14:paraId="5BD536EE">
            <w:pPr>
              <w:tabs>
                <w:tab w:val="left" w:pos="312"/>
              </w:tabs>
              <w:snapToGrid w:val="0"/>
              <w:spacing w:line="300" w:lineRule="exact"/>
              <w:rPr>
                <w:rFonts w:ascii="宋体" w:hAnsi="宋体" w:cs="宋体"/>
                <w:sz w:val="24"/>
                <w:szCs w:val="24"/>
              </w:rPr>
            </w:pPr>
            <w:r>
              <w:rPr>
                <w:rFonts w:hint="eastAsia" w:ascii="宋体" w:hAnsi="宋体" w:cs="宋体"/>
                <w:sz w:val="24"/>
                <w:szCs w:val="24"/>
              </w:rPr>
              <w:t>13.可升级设备连接模块，能将外部设备的信息集中在监护仪上显示、存储、记录、打印。"</w:t>
            </w:r>
          </w:p>
          <w:p w14:paraId="2855E32E">
            <w:pPr>
              <w:tabs>
                <w:tab w:val="left" w:pos="312"/>
              </w:tabs>
              <w:snapToGrid w:val="0"/>
              <w:spacing w:line="300" w:lineRule="exact"/>
              <w:rPr>
                <w:rFonts w:ascii="宋体" w:hAnsi="宋体" w:cs="宋体"/>
                <w:sz w:val="24"/>
                <w:szCs w:val="24"/>
              </w:rPr>
            </w:pPr>
            <w:r>
              <w:rPr>
                <w:rFonts w:hint="eastAsia" w:ascii="宋体" w:hAnsi="宋体" w:cs="宋体"/>
                <w:sz w:val="24"/>
                <w:szCs w:val="24"/>
              </w:rPr>
              <w:t>三、配置要求</w:t>
            </w:r>
            <w:r>
              <w:rPr>
                <w:rFonts w:hint="eastAsia" w:ascii="宋体" w:hAnsi="宋体" w:cs="宋体"/>
                <w:sz w:val="24"/>
                <w:szCs w:val="24"/>
              </w:rPr>
              <w:tab/>
            </w:r>
            <w:r>
              <w:rPr>
                <w:rFonts w:hint="eastAsia" w:ascii="宋体" w:hAnsi="宋体" w:cs="宋体"/>
                <w:sz w:val="24"/>
                <w:szCs w:val="24"/>
              </w:rPr>
              <w:t>单台配置：</w:t>
            </w:r>
          </w:p>
          <w:p w14:paraId="0524B340">
            <w:pPr>
              <w:tabs>
                <w:tab w:val="left" w:pos="312"/>
              </w:tabs>
              <w:snapToGrid w:val="0"/>
              <w:spacing w:line="300" w:lineRule="exact"/>
              <w:rPr>
                <w:rFonts w:ascii="宋体" w:hAnsi="宋体" w:cs="宋体"/>
                <w:sz w:val="24"/>
                <w:szCs w:val="24"/>
              </w:rPr>
            </w:pPr>
            <w:r>
              <w:rPr>
                <w:rFonts w:hint="eastAsia" w:ascii="宋体" w:hAnsi="宋体" w:cs="宋体"/>
                <w:sz w:val="24"/>
                <w:szCs w:val="24"/>
              </w:rPr>
              <w:t>1.麻醉机1台</w:t>
            </w:r>
          </w:p>
          <w:p w14:paraId="16E1857A">
            <w:pPr>
              <w:tabs>
                <w:tab w:val="left" w:pos="312"/>
              </w:tabs>
              <w:snapToGrid w:val="0"/>
              <w:spacing w:line="300" w:lineRule="exact"/>
              <w:rPr>
                <w:rFonts w:ascii="宋体" w:hAnsi="宋体" w:cs="宋体"/>
                <w:sz w:val="24"/>
                <w:szCs w:val="24"/>
              </w:rPr>
            </w:pPr>
            <w:r>
              <w:rPr>
                <w:rFonts w:hint="eastAsia" w:ascii="宋体" w:hAnsi="宋体" w:cs="宋体"/>
                <w:sz w:val="24"/>
                <w:szCs w:val="24"/>
              </w:rPr>
              <w:t>2.一次性钠石灰罐10个</w:t>
            </w:r>
          </w:p>
          <w:p w14:paraId="5FA35653">
            <w:pPr>
              <w:tabs>
                <w:tab w:val="left" w:pos="312"/>
              </w:tabs>
              <w:snapToGrid w:val="0"/>
              <w:spacing w:line="300" w:lineRule="exact"/>
              <w:rPr>
                <w:rFonts w:ascii="宋体" w:hAnsi="宋体" w:cs="宋体"/>
                <w:sz w:val="24"/>
                <w:szCs w:val="24"/>
              </w:rPr>
            </w:pPr>
            <w:r>
              <w:rPr>
                <w:rFonts w:hint="eastAsia" w:ascii="宋体" w:hAnsi="宋体" w:cs="宋体"/>
                <w:sz w:val="24"/>
                <w:szCs w:val="24"/>
              </w:rPr>
              <w:t>3.挥发罐  1个</w:t>
            </w:r>
          </w:p>
          <w:p w14:paraId="366EBCE0">
            <w:pPr>
              <w:tabs>
                <w:tab w:val="left" w:pos="312"/>
              </w:tabs>
              <w:snapToGrid w:val="0"/>
              <w:spacing w:line="300" w:lineRule="exact"/>
              <w:rPr>
                <w:rFonts w:ascii="宋体" w:hAnsi="宋体" w:cs="宋体"/>
                <w:sz w:val="24"/>
                <w:szCs w:val="24"/>
              </w:rPr>
            </w:pPr>
            <w:r>
              <w:rPr>
                <w:rFonts w:hint="eastAsia" w:ascii="宋体" w:hAnsi="宋体" w:cs="宋体"/>
                <w:sz w:val="24"/>
                <w:szCs w:val="24"/>
              </w:rPr>
              <w:t>4.AG模块1套</w:t>
            </w:r>
          </w:p>
          <w:p w14:paraId="4D21D626">
            <w:pPr>
              <w:tabs>
                <w:tab w:val="left" w:pos="312"/>
              </w:tabs>
              <w:snapToGrid w:val="0"/>
              <w:spacing w:line="300" w:lineRule="exact"/>
              <w:rPr>
                <w:rFonts w:ascii="宋体" w:hAnsi="宋体" w:cs="宋体"/>
                <w:sz w:val="24"/>
                <w:szCs w:val="24"/>
              </w:rPr>
            </w:pPr>
            <w:r>
              <w:rPr>
                <w:rFonts w:hint="eastAsia" w:ascii="宋体" w:hAnsi="宋体" w:cs="宋体"/>
                <w:sz w:val="24"/>
                <w:szCs w:val="24"/>
              </w:rPr>
              <w:t>5.配套监护仪1台</w:t>
            </w:r>
          </w:p>
          <w:p w14:paraId="6CD2E0CC">
            <w:pPr>
              <w:tabs>
                <w:tab w:val="left" w:pos="312"/>
              </w:tabs>
              <w:snapToGrid w:val="0"/>
              <w:spacing w:line="300" w:lineRule="exact"/>
              <w:rPr>
                <w:rFonts w:ascii="宋体" w:hAnsi="宋体" w:cs="宋体"/>
                <w:sz w:val="24"/>
                <w:szCs w:val="24"/>
              </w:rPr>
            </w:pPr>
            <w:r>
              <w:rPr>
                <w:rFonts w:hint="eastAsia" w:ascii="宋体" w:hAnsi="宋体" w:cs="宋体"/>
                <w:sz w:val="24"/>
                <w:szCs w:val="24"/>
              </w:rPr>
              <w:t>6.BIS监测模块  1个</w:t>
            </w:r>
          </w:p>
          <w:p w14:paraId="5F008F99">
            <w:pPr>
              <w:tabs>
                <w:tab w:val="left" w:pos="312"/>
              </w:tabs>
              <w:snapToGrid w:val="0"/>
              <w:spacing w:line="300" w:lineRule="exact"/>
              <w:rPr>
                <w:rFonts w:ascii="宋体" w:hAnsi="宋体" w:cs="宋体"/>
                <w:sz w:val="24"/>
                <w:szCs w:val="24"/>
              </w:rPr>
            </w:pPr>
            <w:r>
              <w:rPr>
                <w:rFonts w:hint="eastAsia" w:ascii="宋体" w:hAnsi="宋体" w:cs="宋体"/>
                <w:sz w:val="24"/>
                <w:szCs w:val="24"/>
              </w:rPr>
              <w:t xml:space="preserve">7.NMT监测模块1个 </w:t>
            </w:r>
          </w:p>
          <w:p w14:paraId="783F3D34">
            <w:pPr>
              <w:tabs>
                <w:tab w:val="left" w:pos="312"/>
              </w:tabs>
              <w:snapToGrid w:val="0"/>
              <w:spacing w:line="300" w:lineRule="exact"/>
              <w:rPr>
                <w:rFonts w:ascii="宋体" w:hAnsi="宋体" w:cs="宋体"/>
                <w:sz w:val="24"/>
                <w:szCs w:val="24"/>
              </w:rPr>
            </w:pPr>
            <w:r>
              <w:rPr>
                <w:rFonts w:hint="eastAsia" w:ascii="宋体" w:hAnsi="宋体" w:cs="宋体"/>
                <w:sz w:val="24"/>
                <w:szCs w:val="24"/>
              </w:rPr>
              <w:t>8.高流量通气模块1个</w:t>
            </w:r>
          </w:p>
          <w:p w14:paraId="40F96805">
            <w:pPr>
              <w:tabs>
                <w:tab w:val="left" w:pos="312"/>
              </w:tabs>
              <w:snapToGrid w:val="0"/>
              <w:spacing w:line="300" w:lineRule="exact"/>
              <w:rPr>
                <w:rFonts w:ascii="宋体" w:hAnsi="宋体" w:cs="宋体"/>
                <w:sz w:val="24"/>
                <w:szCs w:val="24"/>
              </w:rPr>
            </w:pPr>
            <w:r>
              <w:rPr>
                <w:rFonts w:hint="eastAsia" w:ascii="宋体" w:hAnsi="宋体" w:cs="宋体"/>
                <w:sz w:val="24"/>
                <w:szCs w:val="24"/>
              </w:rPr>
              <w:t>9.心电导联线：4套</w:t>
            </w:r>
          </w:p>
          <w:p w14:paraId="401435D2">
            <w:pPr>
              <w:tabs>
                <w:tab w:val="left" w:pos="312"/>
              </w:tabs>
              <w:snapToGrid w:val="0"/>
              <w:spacing w:line="300" w:lineRule="exact"/>
              <w:rPr>
                <w:rFonts w:ascii="宋体" w:hAnsi="宋体" w:cs="宋体"/>
                <w:sz w:val="24"/>
                <w:szCs w:val="24"/>
              </w:rPr>
            </w:pPr>
            <w:r>
              <w:rPr>
                <w:rFonts w:hint="eastAsia" w:ascii="宋体" w:hAnsi="宋体" w:cs="宋体"/>
                <w:sz w:val="24"/>
                <w:szCs w:val="24"/>
              </w:rPr>
              <w:t>10.血压导联线及袖带:4套</w:t>
            </w:r>
          </w:p>
          <w:p w14:paraId="36B5B66E">
            <w:pPr>
              <w:tabs>
                <w:tab w:val="left" w:pos="312"/>
              </w:tabs>
              <w:snapToGrid w:val="0"/>
              <w:spacing w:line="300" w:lineRule="exact"/>
              <w:rPr>
                <w:rFonts w:ascii="宋体" w:hAnsi="宋体" w:cs="宋体"/>
                <w:sz w:val="24"/>
                <w:szCs w:val="24"/>
              </w:rPr>
            </w:pPr>
            <w:r>
              <w:rPr>
                <w:rFonts w:hint="eastAsia" w:ascii="宋体" w:hAnsi="宋体" w:cs="宋体"/>
                <w:sz w:val="24"/>
                <w:szCs w:val="24"/>
              </w:rPr>
              <w:t>11.血氧导联线：4套</w:t>
            </w:r>
          </w:p>
          <w:p w14:paraId="61AB0E09">
            <w:pPr>
              <w:tabs>
                <w:tab w:val="left" w:pos="312"/>
              </w:tabs>
              <w:snapToGrid w:val="0"/>
              <w:spacing w:line="300" w:lineRule="exact"/>
              <w:rPr>
                <w:rFonts w:ascii="宋体" w:hAnsi="宋体" w:cs="宋体"/>
                <w:sz w:val="24"/>
                <w:szCs w:val="24"/>
              </w:rPr>
            </w:pPr>
            <w:r>
              <w:rPr>
                <w:rFonts w:hint="eastAsia" w:ascii="宋体" w:hAnsi="宋体" w:cs="宋体"/>
                <w:sz w:val="24"/>
                <w:szCs w:val="24"/>
              </w:rPr>
              <w:t>12.BIS导联线及患者端4套</w:t>
            </w:r>
          </w:p>
          <w:p w14:paraId="4201F372">
            <w:pPr>
              <w:tabs>
                <w:tab w:val="left" w:pos="312"/>
              </w:tabs>
              <w:snapToGrid w:val="0"/>
              <w:spacing w:line="300" w:lineRule="exact"/>
              <w:rPr>
                <w:rFonts w:ascii="宋体" w:hAnsi="宋体" w:cs="宋体"/>
                <w:sz w:val="24"/>
                <w:szCs w:val="24"/>
              </w:rPr>
            </w:pPr>
            <w:r>
              <w:rPr>
                <w:rFonts w:hint="eastAsia" w:ascii="宋体" w:hAnsi="宋体" w:cs="宋体"/>
                <w:sz w:val="24"/>
                <w:szCs w:val="24"/>
              </w:rPr>
              <w:t>13.NMT导联线及患者端4套</w:t>
            </w:r>
          </w:p>
          <w:p w14:paraId="623DB011">
            <w:pPr>
              <w:tabs>
                <w:tab w:val="left" w:pos="312"/>
              </w:tabs>
              <w:snapToGrid w:val="0"/>
              <w:spacing w:line="300" w:lineRule="exact"/>
              <w:rPr>
                <w:rFonts w:ascii="宋体" w:hAnsi="宋体" w:cs="宋体"/>
                <w:b/>
                <w:bCs/>
                <w:sz w:val="24"/>
                <w:szCs w:val="24"/>
              </w:rPr>
            </w:pPr>
            <w:r>
              <w:rPr>
                <w:rFonts w:hint="eastAsia" w:ascii="宋体" w:hAnsi="宋体" w:cs="宋体"/>
                <w:sz w:val="24"/>
                <w:szCs w:val="24"/>
              </w:rPr>
              <w:t>14.体温导联线及患者端4套</w:t>
            </w:r>
          </w:p>
        </w:tc>
      </w:tr>
    </w:tbl>
    <w:p w14:paraId="538C3F7A">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第六包：</w:t>
      </w:r>
    </w:p>
    <w:p w14:paraId="6BFA5CFC">
      <w:pPr>
        <w:pStyle w:val="25"/>
        <w:spacing w:line="360" w:lineRule="auto"/>
        <w:ind w:firstLine="480" w:firstLineChars="200"/>
        <w:jc w:val="both"/>
        <w:rPr>
          <w:rFonts w:ascii="Times New Roman" w:hAnsi="Times New Roman" w:eastAsia="宋体" w:cs="Times New Roman"/>
          <w:color w:val="auto"/>
        </w:rPr>
      </w:pPr>
      <w:r>
        <w:rPr>
          <w:rFonts w:hint="eastAsia"/>
          <w:color w:val="auto"/>
        </w:rPr>
        <w:t>★</w:t>
      </w:r>
      <w:r>
        <w:rPr>
          <w:rFonts w:hint="eastAsia" w:ascii="Times New Roman" w:hAnsi="Times New Roman" w:eastAsia="宋体" w:cs="Times New Roman"/>
          <w:color w:val="auto"/>
        </w:rPr>
        <w:t>1. 投标产品实质性要求</w:t>
      </w:r>
    </w:p>
    <w:p w14:paraId="61018F8D">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所投全部产品须按照《医疗器械注册与备案管理办法》（国家市场监督管理总局令第47号）的规定，提供医疗器械备案证明材料或医疗器械注册证扫描件。</w:t>
      </w:r>
    </w:p>
    <w:p w14:paraId="37BCA8B1">
      <w:pPr>
        <w:spacing w:line="360" w:lineRule="auto"/>
        <w:ind w:firstLine="480" w:firstLineChars="200"/>
        <w:outlineLvl w:val="0"/>
        <w:rPr>
          <w:sz w:val="24"/>
        </w:rPr>
      </w:pPr>
      <w:r>
        <w:rPr>
          <w:rFonts w:hint="eastAsia"/>
          <w:sz w:val="24"/>
        </w:rPr>
        <w:t>2. 技术参数</w:t>
      </w:r>
    </w:p>
    <w:tbl>
      <w:tblPr>
        <w:tblStyle w:val="18"/>
        <w:tblW w:w="568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2"/>
        <w:gridCol w:w="1365"/>
        <w:gridCol w:w="756"/>
        <w:gridCol w:w="851"/>
        <w:gridCol w:w="5882"/>
      </w:tblGrid>
      <w:tr w14:paraId="234D5A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434" w:type="pct"/>
            <w:tcBorders>
              <w:top w:val="single" w:color="auto" w:sz="4" w:space="0"/>
              <w:left w:val="single" w:color="auto" w:sz="4" w:space="0"/>
              <w:bottom w:val="single" w:color="auto" w:sz="4" w:space="0"/>
              <w:right w:val="single" w:color="auto" w:sz="4" w:space="0"/>
            </w:tcBorders>
            <w:vAlign w:val="center"/>
          </w:tcPr>
          <w:p w14:paraId="358CA14C">
            <w:pPr>
              <w:widowControl/>
              <w:jc w:val="center"/>
              <w:rPr>
                <w:rFonts w:cs="宋体"/>
                <w:kern w:val="0"/>
                <w:sz w:val="24"/>
                <w:szCs w:val="24"/>
              </w:rPr>
            </w:pPr>
            <w:r>
              <w:rPr>
                <w:rFonts w:hint="eastAsia" w:cs="宋体"/>
                <w:kern w:val="0"/>
                <w:sz w:val="24"/>
              </w:rPr>
              <w:t>序号</w:t>
            </w:r>
          </w:p>
        </w:tc>
        <w:tc>
          <w:tcPr>
            <w:tcW w:w="704" w:type="pct"/>
            <w:tcBorders>
              <w:top w:val="single" w:color="auto" w:sz="4" w:space="0"/>
              <w:left w:val="single" w:color="auto" w:sz="4" w:space="0"/>
              <w:bottom w:val="single" w:color="auto" w:sz="4" w:space="0"/>
              <w:right w:val="single" w:color="auto" w:sz="4" w:space="0"/>
            </w:tcBorders>
            <w:vAlign w:val="center"/>
          </w:tcPr>
          <w:p w14:paraId="3E10BC70">
            <w:pPr>
              <w:widowControl/>
              <w:jc w:val="center"/>
              <w:rPr>
                <w:rFonts w:cs="宋体"/>
                <w:kern w:val="0"/>
                <w:sz w:val="24"/>
                <w:szCs w:val="24"/>
              </w:rPr>
            </w:pPr>
            <w:r>
              <w:rPr>
                <w:rFonts w:hint="eastAsia" w:cs="宋体"/>
                <w:kern w:val="0"/>
                <w:sz w:val="24"/>
              </w:rPr>
              <w:t>标的名称</w:t>
            </w:r>
          </w:p>
        </w:tc>
        <w:tc>
          <w:tcPr>
            <w:tcW w:w="390" w:type="pct"/>
            <w:tcBorders>
              <w:top w:val="single" w:color="auto" w:sz="4" w:space="0"/>
              <w:left w:val="single" w:color="auto" w:sz="4" w:space="0"/>
              <w:bottom w:val="single" w:color="auto" w:sz="4" w:space="0"/>
              <w:right w:val="single" w:color="auto" w:sz="4" w:space="0"/>
            </w:tcBorders>
            <w:vAlign w:val="center"/>
          </w:tcPr>
          <w:p w14:paraId="5A8B5011">
            <w:pPr>
              <w:widowControl/>
              <w:jc w:val="center"/>
              <w:rPr>
                <w:rFonts w:cs="宋体"/>
                <w:kern w:val="0"/>
                <w:sz w:val="24"/>
                <w:szCs w:val="24"/>
              </w:rPr>
            </w:pPr>
            <w:r>
              <w:rPr>
                <w:rFonts w:cs="宋体"/>
                <w:kern w:val="0"/>
                <w:sz w:val="24"/>
                <w:szCs w:val="24"/>
              </w:rPr>
              <w:t>单位</w:t>
            </w:r>
          </w:p>
        </w:tc>
        <w:tc>
          <w:tcPr>
            <w:tcW w:w="439" w:type="pct"/>
            <w:tcBorders>
              <w:top w:val="single" w:color="auto" w:sz="4" w:space="0"/>
              <w:left w:val="single" w:color="auto" w:sz="4" w:space="0"/>
              <w:bottom w:val="single" w:color="auto" w:sz="4" w:space="0"/>
              <w:right w:val="single" w:color="auto" w:sz="4" w:space="0"/>
            </w:tcBorders>
            <w:vAlign w:val="center"/>
          </w:tcPr>
          <w:p w14:paraId="76264056">
            <w:pPr>
              <w:widowControl/>
              <w:jc w:val="center"/>
              <w:rPr>
                <w:rFonts w:cs="宋体"/>
                <w:kern w:val="0"/>
                <w:sz w:val="24"/>
              </w:rPr>
            </w:pPr>
            <w:r>
              <w:rPr>
                <w:rFonts w:hint="eastAsia" w:cs="宋体"/>
                <w:kern w:val="0"/>
                <w:sz w:val="24"/>
              </w:rPr>
              <w:t>数量</w:t>
            </w:r>
          </w:p>
        </w:tc>
        <w:tc>
          <w:tcPr>
            <w:tcW w:w="3033" w:type="pct"/>
            <w:tcBorders>
              <w:top w:val="single" w:color="auto" w:sz="4" w:space="0"/>
              <w:left w:val="single" w:color="auto" w:sz="4" w:space="0"/>
              <w:bottom w:val="single" w:color="auto" w:sz="4" w:space="0"/>
              <w:right w:val="single" w:color="auto" w:sz="4" w:space="0"/>
            </w:tcBorders>
            <w:vAlign w:val="center"/>
          </w:tcPr>
          <w:p w14:paraId="6FDB28BF">
            <w:pPr>
              <w:widowControl/>
              <w:jc w:val="center"/>
              <w:rPr>
                <w:rFonts w:cs="宋体"/>
                <w:kern w:val="0"/>
                <w:sz w:val="24"/>
                <w:szCs w:val="24"/>
              </w:rPr>
            </w:pPr>
            <w:r>
              <w:rPr>
                <w:rFonts w:hint="eastAsia" w:cs="宋体"/>
                <w:kern w:val="0"/>
                <w:sz w:val="24"/>
              </w:rPr>
              <w:t>需求条款</w:t>
            </w:r>
          </w:p>
        </w:tc>
      </w:tr>
      <w:tr w14:paraId="2669B7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tcBorders>
              <w:top w:val="single" w:color="auto" w:sz="4" w:space="0"/>
              <w:left w:val="single" w:color="auto" w:sz="4" w:space="0"/>
              <w:bottom w:val="single" w:color="auto" w:sz="4" w:space="0"/>
              <w:right w:val="single" w:color="auto" w:sz="4" w:space="0"/>
            </w:tcBorders>
            <w:vAlign w:val="center"/>
          </w:tcPr>
          <w:p w14:paraId="0011898A">
            <w:pPr>
              <w:snapToGrid w:val="0"/>
              <w:spacing w:line="360" w:lineRule="auto"/>
              <w:jc w:val="center"/>
              <w:rPr>
                <w:rFonts w:ascii="宋体" w:hAnsi="宋体" w:cs="宋体"/>
                <w:sz w:val="24"/>
                <w:szCs w:val="24"/>
              </w:rPr>
            </w:pPr>
            <w:r>
              <w:rPr>
                <w:rFonts w:hint="eastAsia" w:ascii="宋体" w:hAnsi="宋体" w:cs="宋体"/>
                <w:sz w:val="24"/>
                <w:szCs w:val="24"/>
              </w:rPr>
              <w:t>1</w:t>
            </w:r>
          </w:p>
        </w:tc>
        <w:tc>
          <w:tcPr>
            <w:tcW w:w="704" w:type="pct"/>
            <w:tcBorders>
              <w:top w:val="single" w:color="auto" w:sz="4" w:space="0"/>
              <w:left w:val="single" w:color="auto" w:sz="4" w:space="0"/>
              <w:bottom w:val="single" w:color="auto" w:sz="4" w:space="0"/>
              <w:right w:val="single" w:color="auto" w:sz="4" w:space="0"/>
            </w:tcBorders>
            <w:vAlign w:val="center"/>
          </w:tcPr>
          <w:p w14:paraId="7CB5FEFE">
            <w:pPr>
              <w:snapToGrid w:val="0"/>
              <w:spacing w:line="360" w:lineRule="auto"/>
              <w:jc w:val="center"/>
              <w:rPr>
                <w:rFonts w:ascii="宋体" w:hAnsi="宋体" w:cs="宋体"/>
                <w:sz w:val="24"/>
                <w:szCs w:val="24"/>
              </w:rPr>
            </w:pPr>
            <w:r>
              <w:rPr>
                <w:rFonts w:hint="eastAsia"/>
                <w:sz w:val="24"/>
              </w:rPr>
              <w:t>▲</w:t>
            </w:r>
            <w:r>
              <w:rPr>
                <w:rFonts w:hint="eastAsia" w:ascii="宋体" w:hAnsi="宋体" w:cs="宋体"/>
                <w:sz w:val="24"/>
                <w:szCs w:val="24"/>
              </w:rPr>
              <w:t>无创呼吸机</w:t>
            </w:r>
          </w:p>
        </w:tc>
        <w:tc>
          <w:tcPr>
            <w:tcW w:w="390" w:type="pct"/>
            <w:tcBorders>
              <w:top w:val="single" w:color="auto" w:sz="4" w:space="0"/>
              <w:left w:val="single" w:color="auto" w:sz="4" w:space="0"/>
              <w:bottom w:val="single" w:color="auto" w:sz="4" w:space="0"/>
              <w:right w:val="single" w:color="auto" w:sz="4" w:space="0"/>
            </w:tcBorders>
            <w:vAlign w:val="center"/>
          </w:tcPr>
          <w:p w14:paraId="53235738">
            <w:pPr>
              <w:jc w:val="center"/>
              <w:rPr>
                <w:rFonts w:cs="宋体"/>
                <w:color w:val="000000"/>
                <w:kern w:val="0"/>
                <w:sz w:val="24"/>
                <w:szCs w:val="21"/>
              </w:rPr>
            </w:pPr>
            <w:r>
              <w:rPr>
                <w:rFonts w:cs="宋体"/>
                <w:color w:val="000000"/>
                <w:kern w:val="0"/>
                <w:sz w:val="24"/>
                <w:szCs w:val="21"/>
              </w:rPr>
              <w:t>台</w:t>
            </w:r>
          </w:p>
        </w:tc>
        <w:tc>
          <w:tcPr>
            <w:tcW w:w="439" w:type="pct"/>
            <w:tcBorders>
              <w:top w:val="single" w:color="auto" w:sz="4" w:space="0"/>
              <w:left w:val="single" w:color="auto" w:sz="4" w:space="0"/>
              <w:bottom w:val="single" w:color="auto" w:sz="4" w:space="0"/>
              <w:right w:val="single" w:color="auto" w:sz="4" w:space="0"/>
            </w:tcBorders>
            <w:vAlign w:val="center"/>
          </w:tcPr>
          <w:p w14:paraId="76BF7F7D">
            <w:pPr>
              <w:jc w:val="center"/>
              <w:rPr>
                <w:sz w:val="24"/>
                <w:szCs w:val="21"/>
              </w:rPr>
            </w:pPr>
            <w:r>
              <w:rPr>
                <w:rFonts w:hint="eastAsia"/>
                <w:sz w:val="24"/>
                <w:szCs w:val="21"/>
              </w:rPr>
              <w:t>1</w:t>
            </w:r>
          </w:p>
        </w:tc>
        <w:tc>
          <w:tcPr>
            <w:tcW w:w="3033" w:type="pct"/>
            <w:tcBorders>
              <w:top w:val="single" w:color="auto" w:sz="4" w:space="0"/>
              <w:left w:val="single" w:color="auto" w:sz="4" w:space="0"/>
              <w:bottom w:val="single" w:color="auto" w:sz="4" w:space="0"/>
              <w:right w:val="single" w:color="auto" w:sz="4" w:space="0"/>
            </w:tcBorders>
          </w:tcPr>
          <w:p w14:paraId="15DA26FD">
            <w:pPr>
              <w:snapToGrid w:val="0"/>
              <w:spacing w:line="300" w:lineRule="exact"/>
              <w:rPr>
                <w:rFonts w:ascii="宋体" w:hAnsi="宋体" w:cs="宋体"/>
                <w:sz w:val="24"/>
                <w:szCs w:val="24"/>
              </w:rPr>
            </w:pPr>
            <w:r>
              <w:rPr>
                <w:rFonts w:hint="eastAsia" w:ascii="宋体" w:hAnsi="宋体" w:cs="宋体"/>
                <w:sz w:val="24"/>
                <w:szCs w:val="24"/>
              </w:rPr>
              <w:t>一、产品用途：通用型、多模式、多功能、气动电控型呼吸机，可用于临床呼吸急救和呼吸治疗</w:t>
            </w:r>
          </w:p>
          <w:p w14:paraId="64023ECA">
            <w:pPr>
              <w:snapToGrid w:val="0"/>
              <w:spacing w:line="300" w:lineRule="exact"/>
              <w:rPr>
                <w:rFonts w:ascii="宋体" w:hAnsi="宋体" w:cs="宋体"/>
                <w:sz w:val="24"/>
                <w:szCs w:val="24"/>
              </w:rPr>
            </w:pPr>
            <w:r>
              <w:rPr>
                <w:rFonts w:hint="eastAsia" w:ascii="宋体" w:hAnsi="宋体" w:cs="宋体"/>
                <w:sz w:val="24"/>
                <w:szCs w:val="24"/>
              </w:rPr>
              <w:t>二、技术参数</w:t>
            </w:r>
          </w:p>
          <w:p w14:paraId="7B86D0C9">
            <w:pPr>
              <w:snapToGrid w:val="0"/>
              <w:spacing w:line="300" w:lineRule="exact"/>
              <w:rPr>
                <w:rFonts w:ascii="宋体" w:hAnsi="宋体" w:cs="宋体"/>
                <w:sz w:val="24"/>
                <w:szCs w:val="24"/>
              </w:rPr>
            </w:pPr>
            <w:r>
              <w:rPr>
                <w:rFonts w:hint="eastAsia" w:ascii="宋体" w:hAnsi="宋体" w:cs="宋体"/>
                <w:sz w:val="24"/>
                <w:szCs w:val="24"/>
              </w:rPr>
              <w:t>1、显示方式：宽视角LED数码显示数据，可及时反馈患者信息</w:t>
            </w:r>
          </w:p>
          <w:p w14:paraId="78B2CBE0">
            <w:pPr>
              <w:snapToGrid w:val="0"/>
              <w:spacing w:line="300" w:lineRule="exact"/>
              <w:rPr>
                <w:rFonts w:ascii="宋体" w:hAnsi="宋体" w:cs="宋体"/>
                <w:sz w:val="24"/>
                <w:szCs w:val="24"/>
              </w:rPr>
            </w:pPr>
            <w:r>
              <w:rPr>
                <w:rFonts w:hint="eastAsia" w:ascii="宋体" w:hAnsi="宋体" w:cs="宋体"/>
                <w:sz w:val="24"/>
                <w:szCs w:val="24"/>
              </w:rPr>
              <w:t>★2、气源要求：280-600kPa的医用氧气源。</w:t>
            </w:r>
          </w:p>
          <w:p w14:paraId="39756A67">
            <w:pPr>
              <w:snapToGrid w:val="0"/>
              <w:spacing w:line="300" w:lineRule="exact"/>
              <w:rPr>
                <w:rFonts w:ascii="宋体" w:hAnsi="宋体" w:cs="宋体"/>
                <w:sz w:val="24"/>
                <w:szCs w:val="24"/>
              </w:rPr>
            </w:pPr>
            <w:r>
              <w:rPr>
                <w:rFonts w:hint="eastAsia" w:ascii="宋体" w:hAnsi="宋体" w:cs="宋体"/>
                <w:sz w:val="24"/>
                <w:szCs w:val="24"/>
              </w:rPr>
              <w:t>3、潮气量范围：不小于50-1200ml</w:t>
            </w:r>
          </w:p>
          <w:p w14:paraId="795E0306">
            <w:pPr>
              <w:snapToGrid w:val="0"/>
              <w:spacing w:line="300" w:lineRule="exact"/>
              <w:rPr>
                <w:rFonts w:ascii="宋体" w:hAnsi="宋体" w:cs="宋体"/>
                <w:sz w:val="24"/>
                <w:szCs w:val="24"/>
              </w:rPr>
            </w:pPr>
            <w:r>
              <w:rPr>
                <w:rFonts w:hint="eastAsia" w:ascii="宋体" w:hAnsi="宋体" w:cs="宋体"/>
                <w:sz w:val="24"/>
                <w:szCs w:val="24"/>
              </w:rPr>
              <w:t>4、输出气体氧浓度：＜50%</w:t>
            </w:r>
          </w:p>
          <w:p w14:paraId="69ADB918">
            <w:pPr>
              <w:snapToGrid w:val="0"/>
              <w:spacing w:line="300" w:lineRule="exact"/>
              <w:rPr>
                <w:rFonts w:ascii="宋体" w:hAnsi="宋体" w:cs="宋体"/>
                <w:sz w:val="24"/>
                <w:szCs w:val="24"/>
              </w:rPr>
            </w:pPr>
            <w:r>
              <w:rPr>
                <w:rFonts w:hint="eastAsia" w:ascii="宋体" w:hAnsi="宋体" w:cs="宋体"/>
                <w:sz w:val="24"/>
                <w:szCs w:val="24"/>
              </w:rPr>
              <w:t>5、呼吸频率：6-60次/分钟。</w:t>
            </w:r>
          </w:p>
          <w:p w14:paraId="1E6ADDCD">
            <w:pPr>
              <w:snapToGrid w:val="0"/>
              <w:spacing w:line="300" w:lineRule="exact"/>
              <w:rPr>
                <w:rFonts w:ascii="宋体" w:hAnsi="宋体" w:cs="宋体"/>
                <w:sz w:val="24"/>
                <w:szCs w:val="24"/>
              </w:rPr>
            </w:pPr>
            <w:r>
              <w:rPr>
                <w:rFonts w:hint="eastAsia" w:ascii="宋体" w:hAnsi="宋体" w:cs="宋体"/>
                <w:sz w:val="24"/>
                <w:szCs w:val="24"/>
              </w:rPr>
              <w:t>6、通气模式：控制、辅助/控制、间歇指令、手动等多种模式</w:t>
            </w:r>
          </w:p>
          <w:p w14:paraId="6F12395B">
            <w:pPr>
              <w:snapToGrid w:val="0"/>
              <w:spacing w:line="300" w:lineRule="exact"/>
              <w:rPr>
                <w:rFonts w:ascii="宋体" w:hAnsi="宋体" w:cs="宋体"/>
                <w:sz w:val="24"/>
                <w:szCs w:val="24"/>
              </w:rPr>
            </w:pPr>
            <w:r>
              <w:rPr>
                <w:rFonts w:hint="eastAsia" w:ascii="宋体" w:hAnsi="宋体" w:cs="宋体"/>
                <w:sz w:val="24"/>
                <w:szCs w:val="24"/>
              </w:rPr>
              <w:t>三、配置要求</w:t>
            </w:r>
          </w:p>
          <w:p w14:paraId="70C942FE">
            <w:pPr>
              <w:snapToGrid w:val="0"/>
              <w:spacing w:line="300" w:lineRule="exact"/>
              <w:rPr>
                <w:rFonts w:ascii="宋体" w:hAnsi="宋体" w:cs="宋体"/>
                <w:sz w:val="24"/>
                <w:szCs w:val="24"/>
              </w:rPr>
            </w:pPr>
            <w:r>
              <w:rPr>
                <w:rFonts w:hint="eastAsia" w:ascii="宋体" w:hAnsi="宋体" w:cs="宋体"/>
                <w:sz w:val="24"/>
                <w:szCs w:val="24"/>
              </w:rPr>
              <w:t>1、满足功能及技术要求的主机1台；</w:t>
            </w:r>
          </w:p>
          <w:p w14:paraId="75975393">
            <w:pPr>
              <w:snapToGrid w:val="0"/>
              <w:spacing w:line="300" w:lineRule="exact"/>
              <w:rPr>
                <w:rFonts w:ascii="宋体" w:hAnsi="宋体" w:cs="宋体"/>
                <w:sz w:val="24"/>
                <w:szCs w:val="24"/>
              </w:rPr>
            </w:pPr>
            <w:r>
              <w:rPr>
                <w:rFonts w:hint="eastAsia" w:ascii="宋体" w:hAnsi="宋体" w:cs="宋体"/>
                <w:sz w:val="24"/>
                <w:szCs w:val="24"/>
              </w:rPr>
              <w:t xml:space="preserve">2、氧气输送管1根 </w:t>
            </w:r>
          </w:p>
          <w:p w14:paraId="325D4EAC">
            <w:pPr>
              <w:snapToGrid w:val="0"/>
              <w:spacing w:line="300" w:lineRule="exact"/>
              <w:rPr>
                <w:rFonts w:ascii="宋体" w:hAnsi="宋体" w:cs="宋体"/>
                <w:sz w:val="24"/>
                <w:szCs w:val="24"/>
              </w:rPr>
            </w:pPr>
            <w:r>
              <w:rPr>
                <w:rFonts w:hint="eastAsia" w:ascii="宋体" w:hAnsi="宋体" w:cs="宋体"/>
                <w:sz w:val="24"/>
                <w:szCs w:val="24"/>
              </w:rPr>
              <w:t>3、输氧呼吸面罩2只；</w:t>
            </w:r>
          </w:p>
          <w:p w14:paraId="27EBDFF1">
            <w:pPr>
              <w:snapToGrid w:val="0"/>
              <w:spacing w:line="300" w:lineRule="exact"/>
              <w:rPr>
                <w:rFonts w:ascii="宋体" w:hAnsi="宋体" w:cs="宋体"/>
                <w:sz w:val="24"/>
                <w:szCs w:val="24"/>
              </w:rPr>
            </w:pPr>
            <w:r>
              <w:rPr>
                <w:rFonts w:hint="eastAsia" w:ascii="宋体" w:hAnsi="宋体" w:cs="宋体"/>
                <w:sz w:val="24"/>
                <w:szCs w:val="24"/>
              </w:rPr>
              <w:t>4、电源线1根；</w:t>
            </w:r>
          </w:p>
          <w:p w14:paraId="447DEA03">
            <w:pPr>
              <w:snapToGrid w:val="0"/>
              <w:spacing w:line="300" w:lineRule="exact"/>
              <w:rPr>
                <w:rFonts w:ascii="宋体" w:hAnsi="宋体" w:cs="宋体"/>
                <w:sz w:val="24"/>
                <w:szCs w:val="24"/>
              </w:rPr>
            </w:pPr>
            <w:r>
              <w:rPr>
                <w:rFonts w:hint="eastAsia" w:ascii="宋体" w:hAnsi="宋体" w:cs="宋体"/>
                <w:sz w:val="24"/>
                <w:szCs w:val="24"/>
              </w:rPr>
              <w:t>5、呼吸回路2包 ；</w:t>
            </w:r>
          </w:p>
          <w:p w14:paraId="6A1C4A14">
            <w:pPr>
              <w:snapToGrid w:val="0"/>
              <w:spacing w:line="300" w:lineRule="exact"/>
              <w:rPr>
                <w:rFonts w:ascii="宋体" w:hAnsi="宋体" w:cs="宋体"/>
                <w:sz w:val="24"/>
                <w:szCs w:val="24"/>
              </w:rPr>
            </w:pPr>
            <w:r>
              <w:rPr>
                <w:rFonts w:hint="eastAsia" w:ascii="宋体" w:hAnsi="宋体" w:cs="宋体"/>
                <w:sz w:val="24"/>
                <w:szCs w:val="24"/>
              </w:rPr>
              <w:t>6、麻醉回路呼吸袋2只；</w:t>
            </w:r>
          </w:p>
          <w:p w14:paraId="17604F72">
            <w:pPr>
              <w:snapToGrid w:val="0"/>
              <w:spacing w:line="300" w:lineRule="exact"/>
              <w:rPr>
                <w:rFonts w:ascii="宋体" w:hAnsi="宋体" w:cs="宋体"/>
                <w:sz w:val="24"/>
                <w:szCs w:val="24"/>
              </w:rPr>
            </w:pPr>
            <w:r>
              <w:rPr>
                <w:rFonts w:hint="eastAsia" w:ascii="宋体" w:hAnsi="宋体" w:cs="宋体"/>
                <w:sz w:val="24"/>
                <w:szCs w:val="24"/>
              </w:rPr>
              <w:t>7、标准接管2只</w:t>
            </w:r>
          </w:p>
          <w:p w14:paraId="253DBB27">
            <w:pPr>
              <w:snapToGrid w:val="0"/>
              <w:spacing w:line="300" w:lineRule="exact"/>
              <w:rPr>
                <w:rFonts w:ascii="宋体" w:hAnsi="宋体" w:cs="宋体"/>
                <w:sz w:val="24"/>
                <w:szCs w:val="24"/>
              </w:rPr>
            </w:pPr>
            <w:r>
              <w:rPr>
                <w:rFonts w:hint="eastAsia" w:ascii="宋体" w:hAnsi="宋体" w:cs="宋体"/>
                <w:sz w:val="24"/>
                <w:szCs w:val="24"/>
              </w:rPr>
              <w:t>8、氧气减压器或中心供氧接头</w:t>
            </w:r>
          </w:p>
          <w:p w14:paraId="694FC960">
            <w:pPr>
              <w:snapToGrid w:val="0"/>
              <w:spacing w:line="300" w:lineRule="exact"/>
              <w:rPr>
                <w:rFonts w:ascii="宋体" w:hAnsi="宋体" w:cs="宋体"/>
                <w:sz w:val="24"/>
                <w:szCs w:val="24"/>
              </w:rPr>
            </w:pPr>
            <w:r>
              <w:rPr>
                <w:rFonts w:hint="eastAsia" w:ascii="宋体" w:hAnsi="宋体" w:cs="宋体"/>
                <w:sz w:val="24"/>
                <w:szCs w:val="24"/>
              </w:rPr>
              <w:t>9、湿化器1台；</w:t>
            </w:r>
          </w:p>
          <w:p w14:paraId="2E300679">
            <w:pPr>
              <w:snapToGrid w:val="0"/>
              <w:spacing w:line="300" w:lineRule="exact"/>
              <w:rPr>
                <w:rFonts w:ascii="宋体" w:hAnsi="宋体" w:cs="宋体"/>
                <w:sz w:val="24"/>
                <w:szCs w:val="24"/>
              </w:rPr>
            </w:pPr>
            <w:r>
              <w:rPr>
                <w:rFonts w:hint="eastAsia" w:ascii="宋体" w:hAnsi="宋体" w:cs="宋体"/>
                <w:sz w:val="24"/>
                <w:szCs w:val="24"/>
              </w:rPr>
              <w:t>10、流量传感器1套  ；</w:t>
            </w:r>
          </w:p>
          <w:p w14:paraId="5B6D71E1">
            <w:pPr>
              <w:snapToGrid w:val="0"/>
              <w:spacing w:line="300" w:lineRule="exact"/>
              <w:rPr>
                <w:rFonts w:ascii="宋体" w:hAnsi="宋体" w:cs="宋体"/>
                <w:sz w:val="24"/>
                <w:szCs w:val="24"/>
              </w:rPr>
            </w:pPr>
            <w:r>
              <w:rPr>
                <w:rFonts w:hint="eastAsia" w:ascii="宋体" w:hAnsi="宋体" w:cs="宋体"/>
                <w:sz w:val="24"/>
                <w:szCs w:val="24"/>
              </w:rPr>
              <w:t xml:space="preserve">11、保险丝2只； </w:t>
            </w:r>
          </w:p>
          <w:p w14:paraId="60A230BB">
            <w:pPr>
              <w:snapToGrid w:val="0"/>
              <w:spacing w:line="300" w:lineRule="exact"/>
              <w:rPr>
                <w:rFonts w:ascii="宋体" w:hAnsi="宋体" w:cs="宋体"/>
                <w:sz w:val="24"/>
                <w:szCs w:val="24"/>
              </w:rPr>
            </w:pPr>
            <w:r>
              <w:rPr>
                <w:rFonts w:hint="eastAsia" w:ascii="宋体" w:hAnsi="宋体" w:cs="宋体"/>
                <w:sz w:val="24"/>
                <w:szCs w:val="24"/>
              </w:rPr>
              <w:t xml:space="preserve">12、叶轮1只； </w:t>
            </w:r>
          </w:p>
          <w:p w14:paraId="2624A213">
            <w:pPr>
              <w:snapToGrid w:val="0"/>
              <w:spacing w:line="300" w:lineRule="exact"/>
              <w:rPr>
                <w:rFonts w:ascii="宋体" w:hAnsi="宋体" w:cs="宋体"/>
                <w:sz w:val="24"/>
                <w:szCs w:val="24"/>
              </w:rPr>
            </w:pPr>
            <w:r>
              <w:rPr>
                <w:rFonts w:hint="eastAsia" w:ascii="宋体" w:hAnsi="宋体" w:cs="宋体"/>
                <w:sz w:val="24"/>
                <w:szCs w:val="24"/>
              </w:rPr>
              <w:t>13、支架1只 ；</w:t>
            </w:r>
          </w:p>
        </w:tc>
      </w:tr>
    </w:tbl>
    <w:p w14:paraId="192591C7">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第七包：</w:t>
      </w:r>
    </w:p>
    <w:p w14:paraId="14A6E748">
      <w:pPr>
        <w:pStyle w:val="25"/>
        <w:spacing w:line="360" w:lineRule="auto"/>
        <w:ind w:firstLine="480" w:firstLineChars="200"/>
        <w:jc w:val="both"/>
        <w:rPr>
          <w:rFonts w:ascii="Times New Roman" w:hAnsi="Times New Roman" w:eastAsia="宋体" w:cs="Times New Roman"/>
          <w:color w:val="auto"/>
        </w:rPr>
      </w:pPr>
      <w:r>
        <w:rPr>
          <w:rFonts w:hint="eastAsia"/>
          <w:color w:val="auto"/>
        </w:rPr>
        <w:t>★</w:t>
      </w:r>
      <w:r>
        <w:rPr>
          <w:rFonts w:hint="eastAsia" w:ascii="Times New Roman" w:hAnsi="Times New Roman" w:eastAsia="宋体" w:cs="Times New Roman"/>
          <w:color w:val="auto"/>
        </w:rPr>
        <w:t>1. 投标产品实质性要求</w:t>
      </w:r>
    </w:p>
    <w:p w14:paraId="1BD80321">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所投全部产品须按照《医疗器械注册与备案管理办法》（国家市场监督管理总局令第47号）的规定，提供医疗器械备案证明材料或医疗器械注册证扫描件。</w:t>
      </w:r>
    </w:p>
    <w:p w14:paraId="3FF58ABE">
      <w:pPr>
        <w:spacing w:line="360" w:lineRule="auto"/>
        <w:ind w:firstLine="480" w:firstLineChars="200"/>
        <w:outlineLvl w:val="0"/>
        <w:rPr>
          <w:sz w:val="24"/>
        </w:rPr>
      </w:pPr>
      <w:r>
        <w:rPr>
          <w:rFonts w:hint="eastAsia"/>
          <w:sz w:val="24"/>
        </w:rPr>
        <w:t>2. 技术参数</w:t>
      </w:r>
    </w:p>
    <w:tbl>
      <w:tblPr>
        <w:tblStyle w:val="18"/>
        <w:tblW w:w="568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2"/>
        <w:gridCol w:w="1365"/>
        <w:gridCol w:w="756"/>
        <w:gridCol w:w="851"/>
        <w:gridCol w:w="5882"/>
      </w:tblGrid>
      <w:tr w14:paraId="21707C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434" w:type="pct"/>
            <w:tcBorders>
              <w:top w:val="single" w:color="auto" w:sz="4" w:space="0"/>
              <w:left w:val="single" w:color="auto" w:sz="4" w:space="0"/>
              <w:bottom w:val="single" w:color="auto" w:sz="4" w:space="0"/>
              <w:right w:val="single" w:color="auto" w:sz="4" w:space="0"/>
            </w:tcBorders>
            <w:vAlign w:val="center"/>
          </w:tcPr>
          <w:p w14:paraId="1AB7598F">
            <w:pPr>
              <w:widowControl/>
              <w:jc w:val="center"/>
              <w:rPr>
                <w:rFonts w:cs="宋体"/>
                <w:kern w:val="0"/>
                <w:sz w:val="24"/>
                <w:szCs w:val="24"/>
              </w:rPr>
            </w:pPr>
            <w:r>
              <w:rPr>
                <w:rFonts w:hint="eastAsia" w:cs="宋体"/>
                <w:kern w:val="0"/>
                <w:sz w:val="24"/>
              </w:rPr>
              <w:t>序号</w:t>
            </w:r>
          </w:p>
        </w:tc>
        <w:tc>
          <w:tcPr>
            <w:tcW w:w="704" w:type="pct"/>
            <w:tcBorders>
              <w:top w:val="single" w:color="auto" w:sz="4" w:space="0"/>
              <w:left w:val="single" w:color="auto" w:sz="4" w:space="0"/>
              <w:bottom w:val="single" w:color="auto" w:sz="4" w:space="0"/>
              <w:right w:val="single" w:color="auto" w:sz="4" w:space="0"/>
            </w:tcBorders>
            <w:vAlign w:val="center"/>
          </w:tcPr>
          <w:p w14:paraId="468F046F">
            <w:pPr>
              <w:widowControl/>
              <w:jc w:val="center"/>
              <w:rPr>
                <w:rFonts w:cs="宋体"/>
                <w:kern w:val="0"/>
                <w:sz w:val="24"/>
                <w:szCs w:val="24"/>
              </w:rPr>
            </w:pPr>
            <w:r>
              <w:rPr>
                <w:rFonts w:hint="eastAsia" w:cs="宋体"/>
                <w:kern w:val="0"/>
                <w:sz w:val="24"/>
              </w:rPr>
              <w:t>标的名称</w:t>
            </w:r>
          </w:p>
        </w:tc>
        <w:tc>
          <w:tcPr>
            <w:tcW w:w="390" w:type="pct"/>
            <w:tcBorders>
              <w:top w:val="single" w:color="auto" w:sz="4" w:space="0"/>
              <w:left w:val="single" w:color="auto" w:sz="4" w:space="0"/>
              <w:bottom w:val="single" w:color="auto" w:sz="4" w:space="0"/>
              <w:right w:val="single" w:color="auto" w:sz="4" w:space="0"/>
            </w:tcBorders>
            <w:vAlign w:val="center"/>
          </w:tcPr>
          <w:p w14:paraId="3C4FB45F">
            <w:pPr>
              <w:widowControl/>
              <w:jc w:val="center"/>
              <w:rPr>
                <w:rFonts w:cs="宋体"/>
                <w:kern w:val="0"/>
                <w:sz w:val="24"/>
                <w:szCs w:val="24"/>
              </w:rPr>
            </w:pPr>
            <w:r>
              <w:rPr>
                <w:rFonts w:cs="宋体"/>
                <w:kern w:val="0"/>
                <w:sz w:val="24"/>
                <w:szCs w:val="24"/>
              </w:rPr>
              <w:t>单位</w:t>
            </w:r>
          </w:p>
        </w:tc>
        <w:tc>
          <w:tcPr>
            <w:tcW w:w="439" w:type="pct"/>
            <w:tcBorders>
              <w:top w:val="single" w:color="auto" w:sz="4" w:space="0"/>
              <w:left w:val="single" w:color="auto" w:sz="4" w:space="0"/>
              <w:bottom w:val="single" w:color="auto" w:sz="4" w:space="0"/>
              <w:right w:val="single" w:color="auto" w:sz="4" w:space="0"/>
            </w:tcBorders>
            <w:vAlign w:val="center"/>
          </w:tcPr>
          <w:p w14:paraId="1B2A2B28">
            <w:pPr>
              <w:widowControl/>
              <w:jc w:val="center"/>
              <w:rPr>
                <w:rFonts w:cs="宋体"/>
                <w:kern w:val="0"/>
                <w:sz w:val="24"/>
              </w:rPr>
            </w:pPr>
            <w:r>
              <w:rPr>
                <w:rFonts w:hint="eastAsia" w:cs="宋体"/>
                <w:kern w:val="0"/>
                <w:sz w:val="24"/>
              </w:rPr>
              <w:t>数量</w:t>
            </w:r>
          </w:p>
        </w:tc>
        <w:tc>
          <w:tcPr>
            <w:tcW w:w="3033" w:type="pct"/>
            <w:tcBorders>
              <w:top w:val="single" w:color="auto" w:sz="4" w:space="0"/>
              <w:left w:val="single" w:color="auto" w:sz="4" w:space="0"/>
              <w:bottom w:val="single" w:color="auto" w:sz="4" w:space="0"/>
              <w:right w:val="single" w:color="auto" w:sz="4" w:space="0"/>
            </w:tcBorders>
            <w:vAlign w:val="center"/>
          </w:tcPr>
          <w:p w14:paraId="225537E2">
            <w:pPr>
              <w:widowControl/>
              <w:spacing w:line="300" w:lineRule="exact"/>
              <w:jc w:val="center"/>
              <w:rPr>
                <w:rFonts w:cs="宋体"/>
                <w:kern w:val="0"/>
                <w:sz w:val="24"/>
                <w:szCs w:val="24"/>
              </w:rPr>
            </w:pPr>
            <w:r>
              <w:rPr>
                <w:rFonts w:hint="eastAsia" w:cs="宋体"/>
                <w:kern w:val="0"/>
                <w:sz w:val="24"/>
              </w:rPr>
              <w:t>需求条款</w:t>
            </w:r>
          </w:p>
        </w:tc>
      </w:tr>
      <w:tr w14:paraId="6FA555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tcBorders>
              <w:top w:val="single" w:color="auto" w:sz="4" w:space="0"/>
              <w:left w:val="single" w:color="auto" w:sz="4" w:space="0"/>
              <w:bottom w:val="single" w:color="auto" w:sz="4" w:space="0"/>
              <w:right w:val="single" w:color="auto" w:sz="4" w:space="0"/>
            </w:tcBorders>
            <w:vAlign w:val="center"/>
          </w:tcPr>
          <w:p w14:paraId="532CA112">
            <w:pPr>
              <w:snapToGrid w:val="0"/>
              <w:spacing w:line="360" w:lineRule="auto"/>
              <w:jc w:val="center"/>
              <w:rPr>
                <w:rFonts w:ascii="宋体" w:hAnsi="宋体" w:cs="宋体"/>
                <w:sz w:val="24"/>
                <w:szCs w:val="24"/>
              </w:rPr>
            </w:pPr>
            <w:r>
              <w:rPr>
                <w:rFonts w:hint="eastAsia" w:ascii="宋体" w:hAnsi="宋体" w:cs="宋体"/>
                <w:sz w:val="24"/>
                <w:szCs w:val="24"/>
              </w:rPr>
              <w:t>1</w:t>
            </w:r>
          </w:p>
        </w:tc>
        <w:tc>
          <w:tcPr>
            <w:tcW w:w="704" w:type="pct"/>
            <w:tcBorders>
              <w:top w:val="single" w:color="auto" w:sz="4" w:space="0"/>
              <w:left w:val="single" w:color="auto" w:sz="4" w:space="0"/>
              <w:bottom w:val="single" w:color="auto" w:sz="4" w:space="0"/>
              <w:right w:val="single" w:color="auto" w:sz="4" w:space="0"/>
            </w:tcBorders>
            <w:vAlign w:val="center"/>
          </w:tcPr>
          <w:p w14:paraId="6429B55A">
            <w:pPr>
              <w:snapToGrid w:val="0"/>
              <w:spacing w:line="360" w:lineRule="auto"/>
              <w:jc w:val="center"/>
              <w:rPr>
                <w:rFonts w:ascii="宋体" w:hAnsi="宋体" w:cs="宋体"/>
                <w:sz w:val="24"/>
                <w:szCs w:val="24"/>
              </w:rPr>
            </w:pPr>
            <w:r>
              <w:rPr>
                <w:rFonts w:hint="eastAsia"/>
                <w:sz w:val="24"/>
              </w:rPr>
              <w:t>▲</w:t>
            </w:r>
            <w:r>
              <w:rPr>
                <w:rFonts w:hint="eastAsia" w:ascii="宋体" w:hAnsi="宋体" w:cs="宋体"/>
                <w:sz w:val="24"/>
                <w:szCs w:val="24"/>
              </w:rPr>
              <w:t>呼吸机（1）</w:t>
            </w:r>
          </w:p>
        </w:tc>
        <w:tc>
          <w:tcPr>
            <w:tcW w:w="390" w:type="pct"/>
            <w:tcBorders>
              <w:top w:val="single" w:color="auto" w:sz="4" w:space="0"/>
              <w:left w:val="single" w:color="auto" w:sz="4" w:space="0"/>
              <w:bottom w:val="single" w:color="auto" w:sz="4" w:space="0"/>
              <w:right w:val="single" w:color="auto" w:sz="4" w:space="0"/>
            </w:tcBorders>
            <w:vAlign w:val="center"/>
          </w:tcPr>
          <w:p w14:paraId="2DEE8A24">
            <w:pPr>
              <w:jc w:val="center"/>
              <w:rPr>
                <w:rFonts w:cs="宋体"/>
                <w:color w:val="000000"/>
                <w:kern w:val="0"/>
                <w:sz w:val="24"/>
                <w:szCs w:val="21"/>
              </w:rPr>
            </w:pPr>
            <w:r>
              <w:rPr>
                <w:rFonts w:hint="eastAsia" w:ascii="宋体" w:hAnsi="宋体" w:cs="宋体"/>
                <w:sz w:val="24"/>
                <w:szCs w:val="24"/>
              </w:rPr>
              <w:t>台</w:t>
            </w:r>
          </w:p>
        </w:tc>
        <w:tc>
          <w:tcPr>
            <w:tcW w:w="439" w:type="pct"/>
            <w:tcBorders>
              <w:top w:val="single" w:color="auto" w:sz="4" w:space="0"/>
              <w:left w:val="single" w:color="auto" w:sz="4" w:space="0"/>
              <w:bottom w:val="single" w:color="auto" w:sz="4" w:space="0"/>
              <w:right w:val="single" w:color="auto" w:sz="4" w:space="0"/>
            </w:tcBorders>
            <w:vAlign w:val="center"/>
          </w:tcPr>
          <w:p w14:paraId="78685D3E">
            <w:pPr>
              <w:snapToGrid w:val="0"/>
              <w:spacing w:line="360" w:lineRule="auto"/>
              <w:jc w:val="center"/>
              <w:rPr>
                <w:rFonts w:ascii="宋体" w:hAnsi="宋体" w:cs="宋体"/>
                <w:sz w:val="24"/>
                <w:szCs w:val="24"/>
              </w:rPr>
            </w:pPr>
            <w:r>
              <w:rPr>
                <w:rFonts w:hint="eastAsia" w:ascii="宋体" w:hAnsi="宋体" w:cs="宋体"/>
                <w:sz w:val="24"/>
                <w:szCs w:val="24"/>
              </w:rPr>
              <w:t>5</w:t>
            </w:r>
          </w:p>
        </w:tc>
        <w:tc>
          <w:tcPr>
            <w:tcW w:w="3033" w:type="pct"/>
            <w:tcBorders>
              <w:top w:val="single" w:color="auto" w:sz="4" w:space="0"/>
              <w:left w:val="single" w:color="auto" w:sz="4" w:space="0"/>
              <w:bottom w:val="single" w:color="auto" w:sz="4" w:space="0"/>
              <w:right w:val="single" w:color="auto" w:sz="4" w:space="0"/>
            </w:tcBorders>
          </w:tcPr>
          <w:p w14:paraId="032DECD3">
            <w:pPr>
              <w:snapToGrid w:val="0"/>
              <w:spacing w:line="300" w:lineRule="exact"/>
              <w:rPr>
                <w:rFonts w:ascii="宋体" w:hAnsi="宋体" w:cs="宋体"/>
                <w:color w:val="000000"/>
                <w:sz w:val="24"/>
                <w:szCs w:val="24"/>
              </w:rPr>
            </w:pPr>
            <w:r>
              <w:rPr>
                <w:rFonts w:hint="eastAsia" w:ascii="宋体" w:hAnsi="宋体" w:cs="宋体"/>
                <w:color w:val="000000"/>
                <w:sz w:val="24"/>
                <w:szCs w:val="24"/>
              </w:rPr>
              <w:t>一、整机要求</w:t>
            </w:r>
          </w:p>
          <w:p w14:paraId="787B328F">
            <w:pPr>
              <w:snapToGrid w:val="0"/>
              <w:spacing w:line="300" w:lineRule="exact"/>
              <w:rPr>
                <w:rFonts w:ascii="宋体" w:hAnsi="宋体" w:cs="宋体"/>
                <w:color w:val="000000"/>
                <w:sz w:val="24"/>
                <w:szCs w:val="24"/>
              </w:rPr>
            </w:pPr>
            <w:r>
              <w:rPr>
                <w:rFonts w:hint="eastAsia" w:ascii="宋体" w:hAnsi="宋体" w:cs="宋体"/>
                <w:color w:val="000000"/>
                <w:sz w:val="24"/>
                <w:szCs w:val="24"/>
              </w:rPr>
              <w:t>1.适用于成人、小儿、新生儿患者通气辅助及呼吸支持，支持升级新生儿通气辅助及呼吸支持功能。</w:t>
            </w:r>
          </w:p>
          <w:p w14:paraId="338F695E">
            <w:pPr>
              <w:snapToGrid w:val="0"/>
              <w:spacing w:line="300" w:lineRule="exact"/>
              <w:rPr>
                <w:rFonts w:ascii="宋体" w:hAnsi="宋体" w:cs="宋体"/>
                <w:color w:val="000000"/>
                <w:sz w:val="24"/>
                <w:szCs w:val="24"/>
              </w:rPr>
            </w:pPr>
            <w:r>
              <w:rPr>
                <w:rFonts w:hint="eastAsia" w:ascii="宋体" w:hAnsi="宋体" w:cs="宋体"/>
                <w:color w:val="000000"/>
                <w:sz w:val="24"/>
                <w:szCs w:val="24"/>
              </w:rPr>
              <w:t>2.整机为气动电控设计（空、氧双气源），支持中央供气和空气压缩机双方式驱动工作。</w:t>
            </w:r>
          </w:p>
          <w:p w14:paraId="41A73BAD">
            <w:pPr>
              <w:snapToGrid w:val="0"/>
              <w:spacing w:line="300" w:lineRule="exact"/>
              <w:rPr>
                <w:rFonts w:ascii="宋体" w:hAnsi="宋体" w:cs="宋体"/>
                <w:color w:val="000000"/>
                <w:sz w:val="24"/>
                <w:szCs w:val="24"/>
              </w:rPr>
            </w:pPr>
            <w:r>
              <w:rPr>
                <w:rFonts w:hint="eastAsia" w:ascii="宋体" w:hAnsi="宋体" w:cs="宋体"/>
                <w:color w:val="000000"/>
                <w:sz w:val="24"/>
                <w:szCs w:val="24"/>
              </w:rPr>
              <w:t>★3.配备备用气源，机器可实时了解气源压力大小，支持转运。</w:t>
            </w:r>
          </w:p>
          <w:p w14:paraId="3F56CDDB">
            <w:pPr>
              <w:snapToGrid w:val="0"/>
              <w:spacing w:line="300" w:lineRule="exact"/>
              <w:rPr>
                <w:rFonts w:ascii="宋体" w:hAnsi="宋体" w:cs="宋体"/>
                <w:color w:val="000000"/>
                <w:sz w:val="24"/>
                <w:szCs w:val="24"/>
              </w:rPr>
            </w:pPr>
            <w:r>
              <w:rPr>
                <w:rFonts w:hint="eastAsia" w:ascii="宋体" w:hAnsi="宋体" w:cs="宋体"/>
                <w:color w:val="000000"/>
                <w:sz w:val="24"/>
                <w:szCs w:val="24"/>
              </w:rPr>
              <w:t>4.具备维护氧气气源过滤芯的外置结构，便于更换氧气气源过滤器。</w:t>
            </w:r>
          </w:p>
          <w:p w14:paraId="3FE9C166">
            <w:pPr>
              <w:snapToGrid w:val="0"/>
              <w:spacing w:line="300" w:lineRule="exact"/>
              <w:rPr>
                <w:rFonts w:ascii="宋体" w:hAnsi="宋体" w:cs="宋体"/>
                <w:color w:val="000000"/>
                <w:sz w:val="24"/>
                <w:szCs w:val="24"/>
              </w:rPr>
            </w:pPr>
            <w:r>
              <w:rPr>
                <w:rFonts w:hint="eastAsia" w:ascii="宋体" w:hAnsi="宋体" w:cs="宋体"/>
                <w:color w:val="000000"/>
                <w:sz w:val="24"/>
                <w:szCs w:val="24"/>
              </w:rPr>
              <w:t>5.吸气阀与呼气阀外观不同，避免误装；吸气阀、呼气阀组件可拆卸，并能高温高压蒸汽消毒（≥134℃）。</w:t>
            </w:r>
          </w:p>
          <w:p w14:paraId="5EE53E2C">
            <w:pPr>
              <w:snapToGrid w:val="0"/>
              <w:spacing w:line="300" w:lineRule="exact"/>
              <w:rPr>
                <w:rFonts w:ascii="宋体" w:hAnsi="宋体" w:cs="宋体"/>
                <w:color w:val="000000"/>
                <w:sz w:val="24"/>
                <w:szCs w:val="24"/>
              </w:rPr>
            </w:pPr>
            <w:r>
              <w:rPr>
                <w:rFonts w:hint="eastAsia" w:ascii="宋体" w:hAnsi="宋体" w:cs="宋体"/>
                <w:color w:val="000000"/>
                <w:sz w:val="24"/>
                <w:szCs w:val="24"/>
              </w:rPr>
              <w:t>6.配备湿化器并支持适配，湿化器既支持非加热管路又支持加热管路。</w:t>
            </w:r>
          </w:p>
          <w:p w14:paraId="4D67FA71">
            <w:pPr>
              <w:snapToGrid w:val="0"/>
              <w:spacing w:line="300" w:lineRule="exact"/>
              <w:rPr>
                <w:rFonts w:ascii="宋体" w:hAnsi="宋体" w:cs="宋体"/>
                <w:color w:val="000000"/>
                <w:sz w:val="24"/>
                <w:szCs w:val="24"/>
              </w:rPr>
            </w:pPr>
            <w:r>
              <w:rPr>
                <w:rFonts w:hint="eastAsia" w:ascii="宋体" w:hAnsi="宋体" w:cs="宋体"/>
                <w:color w:val="000000"/>
                <w:sz w:val="24"/>
                <w:szCs w:val="24"/>
              </w:rPr>
              <w:t>二、显示要求</w:t>
            </w:r>
          </w:p>
          <w:p w14:paraId="3CA94431">
            <w:pPr>
              <w:snapToGrid w:val="0"/>
              <w:spacing w:line="300" w:lineRule="exact"/>
              <w:rPr>
                <w:rFonts w:ascii="宋体" w:hAnsi="宋体" w:cs="宋体"/>
                <w:color w:val="000000"/>
                <w:sz w:val="24"/>
                <w:szCs w:val="24"/>
              </w:rPr>
            </w:pPr>
            <w:r>
              <w:rPr>
                <w:rFonts w:hint="eastAsia" w:ascii="宋体" w:hAnsi="宋体" w:cs="宋体"/>
                <w:color w:val="000000"/>
                <w:sz w:val="24"/>
                <w:szCs w:val="24"/>
              </w:rPr>
              <w:t>1. 数据图像显示设备≥18.5英寸彩色电容触摸屏，分辨率≥1920*1080像素，支持手势滑动操作和戴无菌手套操作。</w:t>
            </w:r>
          </w:p>
          <w:p w14:paraId="5F5EE7C2">
            <w:pPr>
              <w:snapToGrid w:val="0"/>
              <w:spacing w:line="300" w:lineRule="exact"/>
              <w:rPr>
                <w:rFonts w:ascii="宋体" w:hAnsi="宋体" w:cs="宋体"/>
                <w:color w:val="000000"/>
                <w:sz w:val="24"/>
                <w:szCs w:val="24"/>
              </w:rPr>
            </w:pPr>
            <w:r>
              <w:rPr>
                <w:rFonts w:hint="eastAsia" w:ascii="宋体" w:hAnsi="宋体" w:cs="宋体"/>
                <w:color w:val="000000"/>
                <w:sz w:val="24"/>
                <w:szCs w:val="24"/>
              </w:rPr>
              <w:t>2.具备动态肺视图功能，能实时图形化动态显示患者气道阻抗、肺顺应性、通气量力学参数变化。</w:t>
            </w:r>
          </w:p>
          <w:p w14:paraId="7B2C91D1">
            <w:pPr>
              <w:snapToGrid w:val="0"/>
              <w:spacing w:line="300" w:lineRule="exact"/>
              <w:rPr>
                <w:rFonts w:ascii="宋体" w:hAnsi="宋体" w:cs="宋体"/>
                <w:color w:val="000000"/>
                <w:sz w:val="24"/>
                <w:szCs w:val="24"/>
              </w:rPr>
            </w:pPr>
            <w:r>
              <w:rPr>
                <w:rFonts w:hint="eastAsia" w:ascii="宋体" w:hAnsi="宋体" w:cs="宋体"/>
                <w:color w:val="000000"/>
                <w:sz w:val="24"/>
                <w:szCs w:val="24"/>
              </w:rPr>
              <w:t>3.动态肺视图具备肺损伤、肺塌陷对应参数柱状图风险提示。</w:t>
            </w:r>
          </w:p>
          <w:p w14:paraId="452D2133">
            <w:pPr>
              <w:snapToGrid w:val="0"/>
              <w:spacing w:line="300" w:lineRule="exact"/>
              <w:rPr>
                <w:rFonts w:ascii="宋体" w:hAnsi="宋体" w:cs="宋体"/>
                <w:color w:val="000000"/>
                <w:sz w:val="24"/>
                <w:szCs w:val="24"/>
              </w:rPr>
            </w:pPr>
            <w:r>
              <w:rPr>
                <w:rFonts w:hint="eastAsia" w:ascii="宋体" w:hAnsi="宋体" w:cs="宋体"/>
                <w:color w:val="000000"/>
                <w:sz w:val="24"/>
                <w:szCs w:val="24"/>
              </w:rPr>
              <w:t>三、呼吸模式及功能</w:t>
            </w:r>
          </w:p>
          <w:p w14:paraId="79535A0B">
            <w:pPr>
              <w:snapToGrid w:val="0"/>
              <w:spacing w:line="300" w:lineRule="exact"/>
              <w:rPr>
                <w:rFonts w:ascii="宋体" w:hAnsi="宋体" w:cs="宋体"/>
                <w:color w:val="000000"/>
                <w:sz w:val="24"/>
                <w:szCs w:val="24"/>
              </w:rPr>
            </w:pPr>
            <w:r>
              <w:rPr>
                <w:rFonts w:hint="eastAsia" w:ascii="宋体" w:hAnsi="宋体" w:cs="宋体"/>
                <w:color w:val="000000"/>
                <w:sz w:val="24"/>
                <w:szCs w:val="24"/>
              </w:rPr>
              <w:t>1.标配模式：容量控制/辅助通气模式和容量同步间歇指令通气模式（容量模式流速波形可调方波、50%和100%递减波）；压力控制/辅助通气模式和压力同步间歇指令通气模式；持续气道正压通气模式/压力支持通气模式、窒息通气模式。</w:t>
            </w:r>
          </w:p>
          <w:p w14:paraId="1E4E919E">
            <w:pPr>
              <w:snapToGrid w:val="0"/>
              <w:spacing w:line="300" w:lineRule="exact"/>
              <w:rPr>
                <w:rFonts w:ascii="宋体" w:hAnsi="宋体" w:cs="宋体"/>
                <w:color w:val="000000"/>
                <w:sz w:val="24"/>
                <w:szCs w:val="24"/>
              </w:rPr>
            </w:pPr>
            <w:r>
              <w:rPr>
                <w:rFonts w:hint="eastAsia" w:ascii="宋体" w:hAnsi="宋体" w:cs="宋体"/>
                <w:color w:val="000000"/>
                <w:sz w:val="24"/>
                <w:szCs w:val="24"/>
              </w:rPr>
              <w:t>2.高级模式：压力调节容量控制通气、压力调节容量控制-同步间歇指令通气模式；双水平气道正压通气模式（如BIPAP或DuoLevel或BiLevel）、气道压力释放通气；容量支持通气；自适应分钟通气AMV（或自适应支持通气ASV以Otis公式患者最小呼吸做功为通气目标的智能通气模式）。</w:t>
            </w:r>
          </w:p>
          <w:p w14:paraId="2FA2B9A7">
            <w:pPr>
              <w:snapToGrid w:val="0"/>
              <w:spacing w:line="300" w:lineRule="exact"/>
              <w:rPr>
                <w:rFonts w:ascii="宋体" w:hAnsi="宋体" w:cs="宋体"/>
                <w:color w:val="000000"/>
                <w:sz w:val="24"/>
                <w:szCs w:val="24"/>
              </w:rPr>
            </w:pPr>
            <w:r>
              <w:rPr>
                <w:rFonts w:hint="eastAsia" w:ascii="宋体" w:hAnsi="宋体" w:cs="宋体"/>
                <w:color w:val="000000"/>
                <w:sz w:val="24"/>
                <w:szCs w:val="24"/>
              </w:rPr>
              <w:t>3.无创通气模式，至少包含P-A/C、P-SIMV、CPAP/PSV、双水平气道正压通气模式、APRV 和 PSV-S/T模式。</w:t>
            </w:r>
          </w:p>
          <w:p w14:paraId="0A6B2069">
            <w:pPr>
              <w:snapToGrid w:val="0"/>
              <w:spacing w:line="300" w:lineRule="exact"/>
              <w:rPr>
                <w:rFonts w:ascii="宋体" w:hAnsi="宋体" w:cs="宋体"/>
                <w:color w:val="000000"/>
                <w:sz w:val="24"/>
                <w:szCs w:val="24"/>
              </w:rPr>
            </w:pPr>
            <w:r>
              <w:rPr>
                <w:rFonts w:hint="eastAsia" w:ascii="宋体" w:hAnsi="宋体" w:cs="宋体"/>
                <w:color w:val="000000"/>
                <w:sz w:val="24"/>
                <w:szCs w:val="24"/>
              </w:rPr>
              <w:t>4.氧疗模式：具备高流速氧疗功能，氧疗流速（≥80L/min）和氧浓度可调，并具有氧疗计时功能。</w:t>
            </w:r>
          </w:p>
          <w:p w14:paraId="57C72E4D">
            <w:pPr>
              <w:snapToGrid w:val="0"/>
              <w:spacing w:line="300" w:lineRule="exact"/>
              <w:rPr>
                <w:rFonts w:ascii="宋体" w:hAnsi="宋体" w:cs="宋体"/>
                <w:color w:val="000000"/>
                <w:sz w:val="24"/>
                <w:szCs w:val="24"/>
              </w:rPr>
            </w:pPr>
            <w:r>
              <w:rPr>
                <w:rFonts w:hint="eastAsia" w:ascii="宋体" w:hAnsi="宋体" w:cs="宋体"/>
                <w:color w:val="000000"/>
                <w:sz w:val="24"/>
                <w:szCs w:val="24"/>
              </w:rPr>
              <w:t>5.自适应通气模式AMV（或自适应支持通气ASV以Otis公式患者最小呼吸做功为通气目标的智能通气模式）具有≥3个参数调节目标指示表盘，可更直观进行通气提示。</w:t>
            </w:r>
          </w:p>
          <w:p w14:paraId="294A589E">
            <w:pPr>
              <w:snapToGrid w:val="0"/>
              <w:spacing w:line="300" w:lineRule="exact"/>
              <w:rPr>
                <w:rFonts w:ascii="宋体" w:hAnsi="宋体" w:cs="宋体"/>
                <w:color w:val="000000"/>
                <w:sz w:val="24"/>
                <w:szCs w:val="24"/>
              </w:rPr>
            </w:pPr>
            <w:r>
              <w:rPr>
                <w:rFonts w:hint="eastAsia" w:ascii="宋体" w:hAnsi="宋体" w:cs="宋体"/>
                <w:color w:val="000000"/>
                <w:sz w:val="24"/>
                <w:szCs w:val="24"/>
              </w:rPr>
              <w:t>6.呼吸同步技术，使用病人的呼吸系统特性包含时间常数自动调节吸气触发灵敏度和呼气触发灵敏度，自动调节压力上升时间。</w:t>
            </w:r>
          </w:p>
          <w:p w14:paraId="4558909F">
            <w:pPr>
              <w:snapToGrid w:val="0"/>
              <w:spacing w:line="300" w:lineRule="exact"/>
              <w:rPr>
                <w:rFonts w:ascii="宋体" w:hAnsi="宋体" w:cs="宋体"/>
                <w:color w:val="000000"/>
                <w:sz w:val="24"/>
                <w:szCs w:val="24"/>
              </w:rPr>
            </w:pPr>
            <w:r>
              <w:rPr>
                <w:rFonts w:hint="eastAsia" w:ascii="宋体" w:hAnsi="宋体" w:cs="宋体"/>
                <w:color w:val="000000"/>
                <w:sz w:val="24"/>
                <w:szCs w:val="24"/>
              </w:rPr>
              <w:t>7.具有自动插管阻力补偿和静态P-V环图（或P-V工具）。</w:t>
            </w:r>
          </w:p>
          <w:p w14:paraId="48A526FD">
            <w:pPr>
              <w:snapToGrid w:val="0"/>
              <w:spacing w:line="300" w:lineRule="exact"/>
              <w:rPr>
                <w:rFonts w:ascii="宋体" w:hAnsi="宋体" w:cs="宋体"/>
                <w:color w:val="000000"/>
                <w:sz w:val="24"/>
                <w:szCs w:val="24"/>
              </w:rPr>
            </w:pPr>
            <w:r>
              <w:rPr>
                <w:rFonts w:hint="eastAsia" w:ascii="宋体" w:hAnsi="宋体" w:cs="宋体"/>
                <w:color w:val="000000"/>
                <w:sz w:val="24"/>
                <w:szCs w:val="24"/>
              </w:rPr>
              <w:t>8.具有脱机辅助工具，用户可定制脱机指征参数并设定报警范围，提供全面的参数变化动态趋势和脱机看板，一键启动SBT（自主呼吸试验），规范脱机筛选流程。</w:t>
            </w:r>
          </w:p>
          <w:p w14:paraId="592F0A90">
            <w:pPr>
              <w:snapToGrid w:val="0"/>
              <w:spacing w:line="300" w:lineRule="exact"/>
              <w:rPr>
                <w:rFonts w:ascii="宋体" w:hAnsi="宋体" w:cs="宋体"/>
                <w:color w:val="000000"/>
                <w:sz w:val="24"/>
                <w:szCs w:val="24"/>
              </w:rPr>
            </w:pPr>
            <w:r>
              <w:rPr>
                <w:rFonts w:hint="eastAsia" w:ascii="宋体" w:hAnsi="宋体" w:cs="宋体"/>
                <w:color w:val="000000"/>
                <w:sz w:val="24"/>
                <w:szCs w:val="24"/>
              </w:rPr>
              <w:t>9.具有肺复张工具，提供控制性肺膨胀法（SI）进行肺复张。</w:t>
            </w:r>
          </w:p>
          <w:p w14:paraId="683C4F44">
            <w:pPr>
              <w:snapToGrid w:val="0"/>
              <w:spacing w:line="300" w:lineRule="exact"/>
              <w:rPr>
                <w:rFonts w:ascii="宋体" w:hAnsi="宋体" w:cs="宋体"/>
                <w:color w:val="000000"/>
                <w:sz w:val="24"/>
                <w:szCs w:val="24"/>
              </w:rPr>
            </w:pPr>
            <w:r>
              <w:rPr>
                <w:rFonts w:hint="eastAsia" w:ascii="宋体" w:hAnsi="宋体" w:cs="宋体"/>
                <w:color w:val="000000"/>
                <w:sz w:val="24"/>
                <w:szCs w:val="24"/>
              </w:rPr>
              <w:t>10.具有待机功能并可设定病人理想体重或身高，具有单位理想体重呼气潮气量（如TVe/IBW或VTe/PBW）参数监测功能。</w:t>
            </w:r>
          </w:p>
          <w:p w14:paraId="57A22B46">
            <w:pPr>
              <w:snapToGrid w:val="0"/>
              <w:spacing w:line="300" w:lineRule="exact"/>
              <w:rPr>
                <w:rFonts w:ascii="宋体" w:hAnsi="宋体" w:cs="宋体"/>
                <w:color w:val="000000"/>
                <w:sz w:val="24"/>
                <w:szCs w:val="24"/>
              </w:rPr>
            </w:pPr>
            <w:r>
              <w:rPr>
                <w:rFonts w:hint="eastAsia" w:ascii="宋体" w:hAnsi="宋体" w:cs="宋体"/>
                <w:color w:val="000000"/>
                <w:sz w:val="24"/>
                <w:szCs w:val="24"/>
              </w:rPr>
              <w:t>11.具有人机不同步事件自动识别可以实时自动识别并标注无效触发、双触发、反向触发、误触发和流速饥渴中的≥3种。并提供人机不同步事件统计看板，显示最近各种人机不同步事件的发生率。</w:t>
            </w:r>
          </w:p>
          <w:p w14:paraId="44D5FDA2">
            <w:pPr>
              <w:snapToGrid w:val="0"/>
              <w:spacing w:line="300" w:lineRule="exact"/>
              <w:rPr>
                <w:rFonts w:ascii="宋体" w:hAnsi="宋体" w:cs="宋体"/>
                <w:color w:val="000000"/>
                <w:sz w:val="24"/>
                <w:szCs w:val="24"/>
              </w:rPr>
            </w:pPr>
            <w:r>
              <w:rPr>
                <w:rFonts w:hint="eastAsia" w:ascii="宋体" w:hAnsi="宋体" w:cs="宋体"/>
                <w:color w:val="000000"/>
                <w:sz w:val="24"/>
                <w:szCs w:val="24"/>
              </w:rPr>
              <w:t>12. 支持升级模块化集成EIT到呼吸机上或者与通过设备集成模块实现EIT单机数据互联，实现EIT图像和通气波形同屏实时显示。</w:t>
            </w:r>
          </w:p>
          <w:p w14:paraId="0651A4B4">
            <w:pPr>
              <w:snapToGrid w:val="0"/>
              <w:spacing w:line="300" w:lineRule="exact"/>
              <w:rPr>
                <w:rFonts w:ascii="宋体" w:hAnsi="宋体" w:cs="宋体"/>
                <w:color w:val="000000"/>
                <w:sz w:val="24"/>
                <w:szCs w:val="24"/>
              </w:rPr>
            </w:pPr>
            <w:r>
              <w:rPr>
                <w:rFonts w:hint="eastAsia" w:ascii="宋体" w:hAnsi="宋体" w:cs="宋体"/>
                <w:color w:val="000000"/>
                <w:sz w:val="24"/>
                <w:szCs w:val="24"/>
              </w:rPr>
              <w:t>13. 自主呼吸努力Pmus监测功能或者FRC监测功能。</w:t>
            </w:r>
          </w:p>
          <w:p w14:paraId="4C768FB9">
            <w:pPr>
              <w:snapToGrid w:val="0"/>
              <w:spacing w:line="300" w:lineRule="exact"/>
              <w:rPr>
                <w:rFonts w:ascii="宋体" w:hAnsi="宋体" w:cs="宋体"/>
                <w:color w:val="000000"/>
                <w:sz w:val="24"/>
                <w:szCs w:val="24"/>
              </w:rPr>
            </w:pPr>
            <w:r>
              <w:rPr>
                <w:rFonts w:hint="eastAsia" w:ascii="宋体" w:hAnsi="宋体" w:cs="宋体"/>
                <w:color w:val="000000"/>
                <w:sz w:val="24"/>
                <w:szCs w:val="24"/>
              </w:rPr>
              <w:t>14. 具有辅助压置管工具，实时提示食道压气囊合适位置，一键阻塞实验确认气囊位置。</w:t>
            </w:r>
          </w:p>
          <w:p w14:paraId="1AAB1FA6">
            <w:pPr>
              <w:snapToGrid w:val="0"/>
              <w:spacing w:line="300" w:lineRule="exact"/>
              <w:rPr>
                <w:rFonts w:ascii="宋体" w:hAnsi="宋体" w:cs="宋体"/>
                <w:color w:val="000000"/>
                <w:sz w:val="24"/>
                <w:szCs w:val="24"/>
              </w:rPr>
            </w:pPr>
            <w:r>
              <w:rPr>
                <w:rFonts w:hint="eastAsia" w:ascii="宋体" w:hAnsi="宋体" w:cs="宋体"/>
                <w:color w:val="000000"/>
                <w:sz w:val="24"/>
                <w:szCs w:val="24"/>
              </w:rPr>
              <w:t>四、设置参数</w:t>
            </w:r>
          </w:p>
          <w:p w14:paraId="5129FCC2">
            <w:pPr>
              <w:snapToGrid w:val="0"/>
              <w:spacing w:line="300" w:lineRule="exact"/>
              <w:rPr>
                <w:rFonts w:ascii="宋体" w:hAnsi="宋体" w:cs="宋体"/>
                <w:color w:val="000000"/>
                <w:sz w:val="24"/>
                <w:szCs w:val="24"/>
              </w:rPr>
            </w:pPr>
            <w:r>
              <w:rPr>
                <w:rFonts w:hint="eastAsia" w:ascii="宋体" w:hAnsi="宋体" w:cs="宋体"/>
                <w:color w:val="000000"/>
                <w:sz w:val="24"/>
                <w:szCs w:val="24"/>
              </w:rPr>
              <w:t>1.潮气量：20ml—4000ml</w:t>
            </w:r>
          </w:p>
          <w:p w14:paraId="72059777">
            <w:pPr>
              <w:snapToGrid w:val="0"/>
              <w:spacing w:line="300" w:lineRule="exact"/>
              <w:rPr>
                <w:rFonts w:ascii="宋体" w:hAnsi="宋体" w:cs="宋体"/>
                <w:color w:val="000000"/>
                <w:sz w:val="24"/>
                <w:szCs w:val="24"/>
              </w:rPr>
            </w:pPr>
            <w:r>
              <w:rPr>
                <w:rFonts w:hint="eastAsia" w:ascii="宋体" w:hAnsi="宋体" w:cs="宋体"/>
                <w:color w:val="000000"/>
                <w:sz w:val="24"/>
                <w:szCs w:val="24"/>
              </w:rPr>
              <w:t>2.呼吸频率：1—100/min</w:t>
            </w:r>
          </w:p>
          <w:p w14:paraId="01801D73">
            <w:pPr>
              <w:snapToGrid w:val="0"/>
              <w:spacing w:line="300" w:lineRule="exact"/>
              <w:rPr>
                <w:rFonts w:ascii="宋体" w:hAnsi="宋体" w:cs="宋体"/>
                <w:color w:val="000000"/>
                <w:sz w:val="24"/>
                <w:szCs w:val="24"/>
              </w:rPr>
            </w:pPr>
            <w:r>
              <w:rPr>
                <w:rFonts w:hint="eastAsia" w:ascii="宋体" w:hAnsi="宋体" w:cs="宋体"/>
                <w:color w:val="000000"/>
                <w:sz w:val="24"/>
                <w:szCs w:val="24"/>
              </w:rPr>
              <w:t>3.吸呼比：4-1—1-10</w:t>
            </w:r>
          </w:p>
          <w:p w14:paraId="3DE59693">
            <w:pPr>
              <w:snapToGrid w:val="0"/>
              <w:spacing w:line="300" w:lineRule="exact"/>
              <w:rPr>
                <w:rFonts w:ascii="宋体" w:hAnsi="宋体" w:cs="宋体"/>
                <w:color w:val="000000"/>
                <w:sz w:val="24"/>
                <w:szCs w:val="24"/>
              </w:rPr>
            </w:pPr>
            <w:r>
              <w:rPr>
                <w:rFonts w:hint="eastAsia" w:ascii="宋体" w:hAnsi="宋体" w:cs="宋体"/>
                <w:color w:val="000000"/>
                <w:sz w:val="24"/>
                <w:szCs w:val="24"/>
              </w:rPr>
              <w:t>4.最大峰值流速：180L/min</w:t>
            </w:r>
          </w:p>
          <w:p w14:paraId="785ED079">
            <w:pPr>
              <w:snapToGrid w:val="0"/>
              <w:spacing w:line="300" w:lineRule="exact"/>
              <w:rPr>
                <w:rFonts w:ascii="宋体" w:hAnsi="宋体" w:cs="宋体"/>
                <w:color w:val="000000"/>
                <w:sz w:val="24"/>
                <w:szCs w:val="24"/>
              </w:rPr>
            </w:pPr>
            <w:r>
              <w:rPr>
                <w:rFonts w:hint="eastAsia" w:ascii="宋体" w:hAnsi="宋体" w:cs="宋体"/>
                <w:color w:val="000000"/>
                <w:sz w:val="24"/>
                <w:szCs w:val="24"/>
              </w:rPr>
              <w:t>5.吸气压力：1 cmH</w:t>
            </w:r>
            <w:r>
              <w:rPr>
                <w:rFonts w:hint="eastAsia" w:ascii="宋体" w:hAnsi="宋体" w:cs="宋体"/>
                <w:color w:val="000000"/>
                <w:sz w:val="24"/>
                <w:szCs w:val="24"/>
                <w:vertAlign w:val="subscript"/>
              </w:rPr>
              <w:t>2</w:t>
            </w:r>
            <w:r>
              <w:rPr>
                <w:rFonts w:hint="eastAsia" w:ascii="宋体" w:hAnsi="宋体" w:cs="宋体"/>
                <w:color w:val="000000"/>
                <w:sz w:val="24"/>
                <w:szCs w:val="24"/>
              </w:rPr>
              <w:t>O—100 cmH</w:t>
            </w:r>
            <w:r>
              <w:rPr>
                <w:rFonts w:hint="eastAsia" w:ascii="宋体" w:hAnsi="宋体" w:cs="宋体"/>
                <w:color w:val="000000"/>
                <w:sz w:val="24"/>
                <w:szCs w:val="24"/>
                <w:vertAlign w:val="subscript"/>
              </w:rPr>
              <w:t>2</w:t>
            </w:r>
            <w:r>
              <w:rPr>
                <w:rFonts w:hint="eastAsia" w:ascii="宋体" w:hAnsi="宋体" w:cs="宋体"/>
                <w:color w:val="000000"/>
                <w:sz w:val="24"/>
                <w:szCs w:val="24"/>
              </w:rPr>
              <w:t>O 。</w:t>
            </w:r>
          </w:p>
          <w:p w14:paraId="51C77E9F">
            <w:pPr>
              <w:snapToGrid w:val="0"/>
              <w:spacing w:line="300" w:lineRule="exact"/>
              <w:rPr>
                <w:rFonts w:ascii="宋体" w:hAnsi="宋体" w:cs="宋体"/>
                <w:color w:val="000000"/>
                <w:sz w:val="24"/>
                <w:szCs w:val="24"/>
              </w:rPr>
            </w:pPr>
            <w:r>
              <w:rPr>
                <w:rFonts w:hint="eastAsia" w:ascii="宋体" w:hAnsi="宋体" w:cs="宋体"/>
                <w:color w:val="000000"/>
                <w:sz w:val="24"/>
                <w:szCs w:val="24"/>
              </w:rPr>
              <w:t>6.PEEP：0 cmH</w:t>
            </w:r>
            <w:r>
              <w:rPr>
                <w:rFonts w:hint="eastAsia" w:ascii="宋体" w:hAnsi="宋体" w:cs="宋体"/>
                <w:color w:val="000000"/>
                <w:sz w:val="24"/>
                <w:szCs w:val="24"/>
                <w:vertAlign w:val="subscript"/>
              </w:rPr>
              <w:t>2</w:t>
            </w:r>
            <w:r>
              <w:rPr>
                <w:rFonts w:hint="eastAsia" w:ascii="宋体" w:hAnsi="宋体" w:cs="宋体"/>
                <w:color w:val="000000"/>
                <w:sz w:val="24"/>
                <w:szCs w:val="24"/>
              </w:rPr>
              <w:t>O—50 cmH</w:t>
            </w:r>
            <w:r>
              <w:rPr>
                <w:rFonts w:hint="eastAsia" w:ascii="宋体" w:hAnsi="宋体" w:cs="宋体"/>
                <w:color w:val="000000"/>
                <w:sz w:val="24"/>
                <w:szCs w:val="24"/>
                <w:vertAlign w:val="subscript"/>
              </w:rPr>
              <w:t>2</w:t>
            </w:r>
            <w:r>
              <w:rPr>
                <w:rFonts w:hint="eastAsia" w:ascii="宋体" w:hAnsi="宋体" w:cs="宋体"/>
                <w:color w:val="000000"/>
                <w:sz w:val="24"/>
                <w:szCs w:val="24"/>
              </w:rPr>
              <w:t>O 。</w:t>
            </w:r>
          </w:p>
          <w:p w14:paraId="633DB63E">
            <w:pPr>
              <w:snapToGrid w:val="0"/>
              <w:spacing w:line="300" w:lineRule="exact"/>
              <w:rPr>
                <w:rFonts w:ascii="宋体" w:hAnsi="宋体" w:cs="宋体"/>
                <w:color w:val="000000"/>
                <w:sz w:val="24"/>
                <w:szCs w:val="24"/>
              </w:rPr>
            </w:pPr>
            <w:r>
              <w:rPr>
                <w:rFonts w:hint="eastAsia" w:ascii="宋体" w:hAnsi="宋体" w:cs="宋体"/>
                <w:color w:val="000000"/>
                <w:sz w:val="24"/>
                <w:szCs w:val="24"/>
              </w:rPr>
              <w:t>7.吸气时间：0.1 s—10s 。</w:t>
            </w:r>
          </w:p>
          <w:p w14:paraId="0EFC7044">
            <w:pPr>
              <w:snapToGrid w:val="0"/>
              <w:spacing w:line="300" w:lineRule="exact"/>
              <w:rPr>
                <w:rFonts w:ascii="宋体" w:hAnsi="宋体" w:cs="宋体"/>
                <w:color w:val="000000"/>
                <w:sz w:val="24"/>
                <w:szCs w:val="24"/>
              </w:rPr>
            </w:pPr>
            <w:r>
              <w:rPr>
                <w:rFonts w:hint="eastAsia" w:ascii="宋体" w:hAnsi="宋体" w:cs="宋体"/>
                <w:color w:val="000000"/>
                <w:sz w:val="24"/>
                <w:szCs w:val="24"/>
              </w:rPr>
              <w:t>8.压力触发灵敏度：-20 cmH</w:t>
            </w:r>
            <w:r>
              <w:rPr>
                <w:rFonts w:hint="eastAsia" w:ascii="宋体" w:hAnsi="宋体" w:cs="宋体"/>
                <w:color w:val="000000"/>
                <w:sz w:val="24"/>
                <w:szCs w:val="24"/>
                <w:vertAlign w:val="subscript"/>
              </w:rPr>
              <w:t>2</w:t>
            </w:r>
            <w:r>
              <w:rPr>
                <w:rFonts w:hint="eastAsia" w:ascii="宋体" w:hAnsi="宋体" w:cs="宋体"/>
                <w:color w:val="000000"/>
                <w:sz w:val="24"/>
                <w:szCs w:val="24"/>
              </w:rPr>
              <w:t>O— -0.5cmH</w:t>
            </w:r>
            <w:r>
              <w:rPr>
                <w:rFonts w:hint="eastAsia" w:ascii="宋体" w:hAnsi="宋体" w:cs="宋体"/>
                <w:color w:val="000000"/>
                <w:sz w:val="24"/>
                <w:szCs w:val="24"/>
                <w:vertAlign w:val="subscript"/>
              </w:rPr>
              <w:t>2</w:t>
            </w:r>
            <w:r>
              <w:rPr>
                <w:rFonts w:hint="eastAsia" w:ascii="宋体" w:hAnsi="宋体" w:cs="宋体"/>
                <w:color w:val="000000"/>
                <w:sz w:val="24"/>
                <w:szCs w:val="24"/>
              </w:rPr>
              <w:t>O， OFF。</w:t>
            </w:r>
          </w:p>
          <w:p w14:paraId="58484A55">
            <w:pPr>
              <w:snapToGrid w:val="0"/>
              <w:spacing w:line="300" w:lineRule="exact"/>
              <w:rPr>
                <w:rFonts w:ascii="宋体" w:hAnsi="宋体" w:cs="宋体"/>
                <w:color w:val="000000"/>
                <w:sz w:val="24"/>
                <w:szCs w:val="24"/>
              </w:rPr>
            </w:pPr>
            <w:r>
              <w:rPr>
                <w:rFonts w:hint="eastAsia" w:ascii="宋体" w:hAnsi="宋体" w:cs="宋体"/>
                <w:color w:val="000000"/>
                <w:sz w:val="24"/>
                <w:szCs w:val="24"/>
              </w:rPr>
              <w:t>流速触发灵敏度：0.5—20L/ min， OFF。</w:t>
            </w:r>
          </w:p>
          <w:p w14:paraId="0629C9D4">
            <w:pPr>
              <w:snapToGrid w:val="0"/>
              <w:spacing w:line="300" w:lineRule="exact"/>
              <w:rPr>
                <w:rFonts w:ascii="宋体" w:hAnsi="宋体" w:cs="宋体"/>
                <w:color w:val="000000"/>
                <w:sz w:val="24"/>
                <w:szCs w:val="24"/>
              </w:rPr>
            </w:pPr>
            <w:r>
              <w:rPr>
                <w:rFonts w:hint="eastAsia" w:ascii="宋体" w:hAnsi="宋体" w:cs="宋体"/>
                <w:color w:val="000000"/>
                <w:sz w:val="24"/>
                <w:szCs w:val="24"/>
              </w:rPr>
              <w:t>9.呼气触发灵敏度：Auto, 1%—85% 。</w:t>
            </w:r>
          </w:p>
          <w:p w14:paraId="3991A254">
            <w:pPr>
              <w:snapToGrid w:val="0"/>
              <w:spacing w:line="300" w:lineRule="exact"/>
              <w:rPr>
                <w:rFonts w:ascii="宋体" w:hAnsi="宋体" w:cs="宋体"/>
                <w:color w:val="000000"/>
                <w:sz w:val="24"/>
                <w:szCs w:val="24"/>
              </w:rPr>
            </w:pPr>
            <w:r>
              <w:rPr>
                <w:rFonts w:hint="eastAsia" w:ascii="宋体" w:hAnsi="宋体" w:cs="宋体"/>
                <w:color w:val="000000"/>
                <w:sz w:val="24"/>
                <w:szCs w:val="24"/>
              </w:rPr>
              <w:t>五、监测参数</w:t>
            </w:r>
          </w:p>
          <w:p w14:paraId="545298A3">
            <w:pPr>
              <w:snapToGrid w:val="0"/>
              <w:spacing w:line="300" w:lineRule="exact"/>
              <w:rPr>
                <w:rFonts w:ascii="宋体" w:hAnsi="宋体" w:cs="宋体"/>
                <w:color w:val="000000"/>
                <w:sz w:val="24"/>
                <w:szCs w:val="24"/>
              </w:rPr>
            </w:pPr>
            <w:r>
              <w:rPr>
                <w:rFonts w:hint="eastAsia" w:ascii="宋体" w:hAnsi="宋体" w:cs="宋体"/>
                <w:color w:val="000000"/>
                <w:sz w:val="24"/>
                <w:szCs w:val="24"/>
              </w:rPr>
              <w:t>1.气道压力监测：气道峰压、平台压、平均压、呼气末正压、驱动压参数监测。</w:t>
            </w:r>
          </w:p>
          <w:p w14:paraId="5834827A">
            <w:pPr>
              <w:snapToGrid w:val="0"/>
              <w:spacing w:line="300" w:lineRule="exact"/>
              <w:rPr>
                <w:rFonts w:ascii="宋体" w:hAnsi="宋体" w:cs="宋体"/>
                <w:color w:val="000000"/>
                <w:sz w:val="24"/>
                <w:szCs w:val="24"/>
              </w:rPr>
            </w:pPr>
            <w:r>
              <w:rPr>
                <w:rFonts w:hint="eastAsia" w:ascii="宋体" w:hAnsi="宋体" w:cs="宋体"/>
                <w:color w:val="000000"/>
                <w:sz w:val="24"/>
                <w:szCs w:val="24"/>
              </w:rPr>
              <w:t>2.要求可以监测驱动压，定义为：在机械通气中作用在呼吸系统的驱动压力，是平台压与呼气末正压的差。范围：0 ～ 120cmH</w:t>
            </w:r>
            <w:r>
              <w:rPr>
                <w:rFonts w:hint="eastAsia" w:ascii="宋体" w:hAnsi="宋体" w:cs="宋体"/>
                <w:color w:val="000000"/>
                <w:sz w:val="24"/>
                <w:szCs w:val="24"/>
                <w:vertAlign w:val="subscript"/>
              </w:rPr>
              <w:t>2</w:t>
            </w:r>
            <w:r>
              <w:rPr>
                <w:rFonts w:hint="eastAsia" w:ascii="宋体" w:hAnsi="宋体" w:cs="宋体"/>
                <w:color w:val="000000"/>
                <w:sz w:val="24"/>
                <w:szCs w:val="24"/>
              </w:rPr>
              <w:t>O</w:t>
            </w:r>
          </w:p>
          <w:p w14:paraId="587EFE4E">
            <w:pPr>
              <w:snapToGrid w:val="0"/>
              <w:spacing w:line="300" w:lineRule="exact"/>
              <w:rPr>
                <w:rFonts w:ascii="宋体" w:hAnsi="宋体" w:cs="宋体"/>
                <w:color w:val="000000"/>
                <w:sz w:val="24"/>
                <w:szCs w:val="24"/>
              </w:rPr>
            </w:pPr>
            <w:r>
              <w:rPr>
                <w:rFonts w:hint="eastAsia" w:ascii="宋体" w:hAnsi="宋体" w:cs="宋体"/>
                <w:color w:val="000000"/>
                <w:sz w:val="24"/>
                <w:szCs w:val="24"/>
              </w:rPr>
              <w:t>3.分钟通气量监测：至少包含呼气分钟通气量、吸气分钟通气量、自主呼吸分钟通气量、分钟泄漏量、气体泄漏百分比参数监测。</w:t>
            </w:r>
          </w:p>
          <w:p w14:paraId="7A371437">
            <w:pPr>
              <w:snapToGrid w:val="0"/>
              <w:spacing w:line="300" w:lineRule="exact"/>
              <w:rPr>
                <w:rFonts w:ascii="宋体" w:hAnsi="宋体" w:cs="宋体"/>
                <w:color w:val="000000"/>
                <w:sz w:val="24"/>
                <w:szCs w:val="24"/>
              </w:rPr>
            </w:pPr>
            <w:r>
              <w:rPr>
                <w:rFonts w:hint="eastAsia" w:ascii="宋体" w:hAnsi="宋体" w:cs="宋体"/>
                <w:color w:val="000000"/>
                <w:sz w:val="24"/>
                <w:szCs w:val="24"/>
              </w:rPr>
              <w:t>4.潮气量监测：吸入潮气量、呼出潮气量、自主呼吸潮气量、单位理想体重呼出潮气量。</w:t>
            </w:r>
          </w:p>
          <w:p w14:paraId="3D0C2408">
            <w:pPr>
              <w:snapToGrid w:val="0"/>
              <w:spacing w:line="300" w:lineRule="exact"/>
              <w:rPr>
                <w:rFonts w:ascii="宋体" w:hAnsi="宋体" w:cs="宋体"/>
                <w:color w:val="000000"/>
                <w:sz w:val="24"/>
                <w:szCs w:val="24"/>
              </w:rPr>
            </w:pPr>
            <w:r>
              <w:rPr>
                <w:rFonts w:hint="eastAsia" w:ascii="宋体" w:hAnsi="宋体" w:cs="宋体"/>
                <w:color w:val="000000"/>
                <w:sz w:val="24"/>
                <w:szCs w:val="24"/>
              </w:rPr>
              <w:t>5.呼吸频率监测：总呼吸频率、自主呼吸频率、机控呼吸频率。</w:t>
            </w:r>
          </w:p>
          <w:p w14:paraId="0995049B">
            <w:pPr>
              <w:snapToGrid w:val="0"/>
              <w:spacing w:line="300" w:lineRule="exact"/>
              <w:rPr>
                <w:rFonts w:ascii="宋体" w:hAnsi="宋体" w:cs="宋体"/>
                <w:color w:val="000000"/>
                <w:sz w:val="24"/>
                <w:szCs w:val="24"/>
              </w:rPr>
            </w:pPr>
            <w:r>
              <w:rPr>
                <w:rFonts w:hint="eastAsia" w:ascii="宋体" w:hAnsi="宋体" w:cs="宋体"/>
                <w:color w:val="000000"/>
                <w:sz w:val="24"/>
                <w:szCs w:val="24"/>
              </w:rPr>
              <w:t>6.肺力学参数监测：吸气阻力、呼气阻力、静态顺应性、动态顺应性、时间常数、总呼吸功、病人呼吸功、机器呼吸功、附加功参数监测。</w:t>
            </w:r>
          </w:p>
          <w:p w14:paraId="28DB3C40">
            <w:pPr>
              <w:snapToGrid w:val="0"/>
              <w:spacing w:line="300" w:lineRule="exact"/>
              <w:rPr>
                <w:rFonts w:ascii="宋体" w:hAnsi="宋体" w:cs="宋体"/>
                <w:color w:val="000000"/>
                <w:sz w:val="24"/>
                <w:szCs w:val="24"/>
              </w:rPr>
            </w:pPr>
            <w:r>
              <w:rPr>
                <w:rFonts w:hint="eastAsia" w:ascii="宋体" w:hAnsi="宋体" w:cs="宋体"/>
                <w:color w:val="000000"/>
                <w:sz w:val="24"/>
                <w:szCs w:val="24"/>
              </w:rPr>
              <w:t>7.实时监测压力-时间曲线形态，并量化为牵张指数Stress Index辅助临床判断与决策。</w:t>
            </w:r>
          </w:p>
          <w:p w14:paraId="0536CF49">
            <w:pPr>
              <w:snapToGrid w:val="0"/>
              <w:spacing w:line="300" w:lineRule="exact"/>
              <w:rPr>
                <w:rFonts w:ascii="宋体" w:hAnsi="宋体" w:cs="宋体"/>
                <w:sz w:val="24"/>
                <w:szCs w:val="24"/>
              </w:rPr>
            </w:pPr>
            <w:r>
              <w:rPr>
                <w:rFonts w:hint="eastAsia" w:ascii="宋体" w:hAnsi="宋体" w:cs="宋体"/>
                <w:color w:val="000000"/>
                <w:sz w:val="24"/>
                <w:szCs w:val="24"/>
              </w:rPr>
              <w:t>8.实时监测压力/容积环形态，并量化为肺过度膨胀系</w:t>
            </w:r>
            <w:r>
              <w:rPr>
                <w:rFonts w:hint="eastAsia" w:ascii="宋体" w:hAnsi="宋体" w:cs="宋体"/>
                <w:sz w:val="24"/>
                <w:szCs w:val="24"/>
              </w:rPr>
              <w:t>数C20/C辅</w:t>
            </w:r>
            <w:r>
              <w:rPr>
                <w:rFonts w:hint="eastAsia" w:ascii="宋体" w:hAnsi="宋体" w:cs="宋体"/>
                <w:color w:val="000000"/>
                <w:sz w:val="24"/>
                <w:szCs w:val="24"/>
              </w:rPr>
              <w:t>助</w:t>
            </w:r>
            <w:r>
              <w:rPr>
                <w:rFonts w:hint="eastAsia" w:ascii="宋体" w:hAnsi="宋体" w:cs="宋体"/>
                <w:sz w:val="24"/>
                <w:szCs w:val="24"/>
              </w:rPr>
              <w:t>临床判断与决策。</w:t>
            </w:r>
          </w:p>
          <w:p w14:paraId="49DAEC2B">
            <w:pPr>
              <w:snapToGrid w:val="0"/>
              <w:spacing w:line="300" w:lineRule="exact"/>
              <w:rPr>
                <w:rFonts w:ascii="宋体" w:hAnsi="宋体" w:cs="宋体"/>
                <w:sz w:val="24"/>
                <w:szCs w:val="24"/>
              </w:rPr>
            </w:pPr>
            <w:r>
              <w:rPr>
                <w:rFonts w:hint="eastAsia" w:ascii="宋体" w:hAnsi="宋体" w:cs="宋体"/>
                <w:sz w:val="24"/>
                <w:szCs w:val="24"/>
              </w:rPr>
              <w:t>9.支持升级旁流CO</w:t>
            </w:r>
            <w:r>
              <w:rPr>
                <w:rFonts w:hint="eastAsia" w:ascii="宋体" w:hAnsi="宋体" w:cs="宋体"/>
                <w:sz w:val="24"/>
                <w:szCs w:val="24"/>
                <w:vertAlign w:val="subscript"/>
              </w:rPr>
              <w:t>2</w:t>
            </w:r>
            <w:r>
              <w:rPr>
                <w:rFonts w:hint="eastAsia" w:ascii="宋体" w:hAnsi="宋体" w:cs="宋体"/>
                <w:sz w:val="24"/>
                <w:szCs w:val="24"/>
              </w:rPr>
              <w:t>模块监测。</w:t>
            </w:r>
          </w:p>
          <w:p w14:paraId="4B8BB1A3">
            <w:pPr>
              <w:snapToGrid w:val="0"/>
              <w:spacing w:line="300" w:lineRule="exact"/>
              <w:rPr>
                <w:rFonts w:ascii="宋体" w:hAnsi="宋体" w:cs="宋体"/>
                <w:sz w:val="24"/>
                <w:szCs w:val="24"/>
              </w:rPr>
            </w:pPr>
            <w:r>
              <w:rPr>
                <w:rFonts w:hint="eastAsia" w:ascii="宋体" w:hAnsi="宋体" w:cs="宋体"/>
                <w:sz w:val="24"/>
                <w:szCs w:val="24"/>
              </w:rPr>
              <w:t>10.支持升级主流 CO</w:t>
            </w:r>
            <w:r>
              <w:rPr>
                <w:rFonts w:hint="eastAsia" w:ascii="宋体" w:hAnsi="宋体" w:cs="宋体"/>
                <w:sz w:val="24"/>
                <w:szCs w:val="24"/>
                <w:vertAlign w:val="subscript"/>
              </w:rPr>
              <w:t>2</w:t>
            </w:r>
            <w:r>
              <w:rPr>
                <w:rFonts w:hint="eastAsia" w:ascii="宋体" w:hAnsi="宋体" w:cs="宋体"/>
                <w:sz w:val="24"/>
                <w:szCs w:val="24"/>
              </w:rPr>
              <w:t>模块监测，可监测包含气道死腔VDaw 和肺泡通气量Vtalv的参数，支持监测容积-二氧化碳图；可进行氧合指数OI和P/F值的计算。支持升级SpO</w:t>
            </w:r>
            <w:r>
              <w:rPr>
                <w:rFonts w:hint="eastAsia" w:ascii="宋体" w:hAnsi="宋体" w:cs="宋体"/>
                <w:sz w:val="24"/>
                <w:szCs w:val="24"/>
                <w:vertAlign w:val="subscript"/>
              </w:rPr>
              <w:t>2</w:t>
            </w:r>
            <w:r>
              <w:rPr>
                <w:rFonts w:hint="eastAsia" w:ascii="宋体" w:hAnsi="宋体" w:cs="宋体"/>
                <w:sz w:val="24"/>
                <w:szCs w:val="24"/>
              </w:rPr>
              <w:t>模块监测，提供SpO</w:t>
            </w:r>
            <w:r>
              <w:rPr>
                <w:rFonts w:hint="eastAsia" w:ascii="宋体" w:hAnsi="宋体" w:cs="宋体"/>
                <w:sz w:val="24"/>
                <w:szCs w:val="24"/>
                <w:vertAlign w:val="subscript"/>
              </w:rPr>
              <w:t>2</w:t>
            </w:r>
            <w:r>
              <w:rPr>
                <w:rFonts w:hint="eastAsia" w:ascii="宋体" w:hAnsi="宋体" w:cs="宋体"/>
                <w:sz w:val="24"/>
                <w:szCs w:val="24"/>
              </w:rPr>
              <w:t>和PR监测值，提供脉搏波。</w:t>
            </w:r>
          </w:p>
          <w:p w14:paraId="0EA5CBBD">
            <w:pPr>
              <w:snapToGrid w:val="0"/>
              <w:spacing w:line="300" w:lineRule="exact"/>
              <w:rPr>
                <w:rFonts w:ascii="宋体" w:hAnsi="宋体" w:cs="宋体"/>
                <w:sz w:val="24"/>
                <w:szCs w:val="24"/>
              </w:rPr>
            </w:pPr>
            <w:r>
              <w:rPr>
                <w:rFonts w:hint="eastAsia" w:ascii="宋体" w:hAnsi="宋体" w:cs="宋体"/>
                <w:sz w:val="24"/>
                <w:szCs w:val="24"/>
              </w:rPr>
              <w:t>六、报警参数</w:t>
            </w:r>
          </w:p>
          <w:p w14:paraId="29B55EFF">
            <w:pPr>
              <w:snapToGrid w:val="0"/>
              <w:spacing w:line="300" w:lineRule="exact"/>
              <w:rPr>
                <w:rFonts w:ascii="宋体" w:hAnsi="宋体" w:cs="宋体"/>
                <w:sz w:val="24"/>
                <w:szCs w:val="24"/>
              </w:rPr>
            </w:pPr>
            <w:r>
              <w:rPr>
                <w:rFonts w:hint="eastAsia" w:ascii="宋体" w:hAnsi="宋体" w:cs="宋体"/>
                <w:sz w:val="24"/>
                <w:szCs w:val="24"/>
              </w:rPr>
              <w:t>1.气道压力：过高/过低报警。</w:t>
            </w:r>
          </w:p>
          <w:p w14:paraId="04E8B108">
            <w:pPr>
              <w:snapToGrid w:val="0"/>
              <w:spacing w:line="300" w:lineRule="exact"/>
              <w:rPr>
                <w:rFonts w:ascii="宋体" w:hAnsi="宋体" w:cs="宋体"/>
                <w:color w:val="000000"/>
                <w:sz w:val="24"/>
                <w:szCs w:val="24"/>
              </w:rPr>
            </w:pPr>
            <w:r>
              <w:rPr>
                <w:rFonts w:hint="eastAsia" w:ascii="宋体" w:hAnsi="宋体" w:cs="宋体"/>
                <w:sz w:val="24"/>
                <w:szCs w:val="24"/>
              </w:rPr>
              <w:t>2.分钟通气量：过高/过低报警</w:t>
            </w:r>
            <w:r>
              <w:rPr>
                <w:rFonts w:hint="eastAsia" w:ascii="宋体" w:hAnsi="宋体" w:cs="宋体"/>
                <w:color w:val="000000"/>
                <w:sz w:val="24"/>
                <w:szCs w:val="24"/>
              </w:rPr>
              <w:t>。</w:t>
            </w:r>
          </w:p>
          <w:p w14:paraId="0FB9D7A4">
            <w:pPr>
              <w:snapToGrid w:val="0"/>
              <w:spacing w:line="300" w:lineRule="exact"/>
              <w:rPr>
                <w:rFonts w:ascii="宋体" w:hAnsi="宋体" w:cs="宋体"/>
                <w:color w:val="000000"/>
                <w:sz w:val="24"/>
                <w:szCs w:val="24"/>
              </w:rPr>
            </w:pPr>
            <w:r>
              <w:rPr>
                <w:rFonts w:hint="eastAsia" w:ascii="宋体" w:hAnsi="宋体" w:cs="宋体"/>
                <w:color w:val="000000"/>
                <w:sz w:val="24"/>
                <w:szCs w:val="24"/>
              </w:rPr>
              <w:t>3.潮气量：过高/过低报警。</w:t>
            </w:r>
          </w:p>
          <w:p w14:paraId="09043063">
            <w:pPr>
              <w:snapToGrid w:val="0"/>
              <w:spacing w:line="300" w:lineRule="exact"/>
              <w:rPr>
                <w:rFonts w:ascii="宋体" w:hAnsi="宋体" w:cs="宋体"/>
                <w:color w:val="000000"/>
                <w:sz w:val="24"/>
                <w:szCs w:val="24"/>
              </w:rPr>
            </w:pPr>
            <w:r>
              <w:rPr>
                <w:rFonts w:hint="eastAsia" w:ascii="宋体" w:hAnsi="宋体" w:cs="宋体"/>
                <w:color w:val="000000"/>
                <w:sz w:val="24"/>
                <w:szCs w:val="24"/>
              </w:rPr>
              <w:t>七、系统功能要求</w:t>
            </w:r>
          </w:p>
          <w:p w14:paraId="45B32C5C">
            <w:pPr>
              <w:snapToGrid w:val="0"/>
              <w:spacing w:line="300" w:lineRule="exact"/>
              <w:rPr>
                <w:rFonts w:ascii="宋体" w:hAnsi="宋体" w:cs="宋体"/>
                <w:color w:val="000000"/>
                <w:sz w:val="24"/>
                <w:szCs w:val="24"/>
              </w:rPr>
            </w:pPr>
            <w:r>
              <w:rPr>
                <w:rFonts w:hint="eastAsia" w:ascii="宋体" w:hAnsi="宋体" w:cs="宋体"/>
                <w:color w:val="000000"/>
                <w:sz w:val="24"/>
                <w:szCs w:val="24"/>
              </w:rPr>
              <w:t>1.具备截屏U盘导出功能，可缓存≥50张屏幕文件。</w:t>
            </w:r>
          </w:p>
          <w:p w14:paraId="71C16F5D">
            <w:pPr>
              <w:snapToGrid w:val="0"/>
              <w:spacing w:line="300" w:lineRule="exact"/>
              <w:rPr>
                <w:rFonts w:ascii="宋体" w:hAnsi="宋体" w:cs="宋体"/>
                <w:color w:val="000000"/>
                <w:sz w:val="24"/>
                <w:szCs w:val="24"/>
              </w:rPr>
            </w:pPr>
            <w:r>
              <w:rPr>
                <w:rFonts w:hint="eastAsia" w:ascii="宋体" w:hAnsi="宋体" w:cs="宋体"/>
                <w:color w:val="000000"/>
                <w:sz w:val="24"/>
                <w:szCs w:val="24"/>
              </w:rPr>
              <w:t>2.实时气源压力电子显示。</w:t>
            </w:r>
          </w:p>
          <w:p w14:paraId="38563466">
            <w:pPr>
              <w:snapToGrid w:val="0"/>
              <w:spacing w:line="300" w:lineRule="exact"/>
              <w:rPr>
                <w:rFonts w:ascii="宋体" w:hAnsi="宋体" w:cs="宋体"/>
                <w:color w:val="000000"/>
                <w:sz w:val="24"/>
                <w:szCs w:val="24"/>
              </w:rPr>
            </w:pPr>
            <w:r>
              <w:rPr>
                <w:rFonts w:hint="eastAsia" w:ascii="宋体" w:hAnsi="宋体" w:cs="宋体"/>
                <w:color w:val="000000"/>
                <w:sz w:val="24"/>
                <w:szCs w:val="24"/>
              </w:rPr>
              <w:t>3.具备一体化模块插件箱，便于呼吸机功能升级和扩展；可兼容常用监护模块，支持升级旁</w:t>
            </w:r>
            <w:r>
              <w:rPr>
                <w:rFonts w:hint="eastAsia" w:ascii="宋体" w:hAnsi="宋体" w:cs="宋体"/>
                <w:sz w:val="24"/>
                <w:szCs w:val="24"/>
              </w:rPr>
              <w:t>流CO</w:t>
            </w:r>
            <w:r>
              <w:rPr>
                <w:rFonts w:hint="eastAsia" w:ascii="宋体" w:hAnsi="宋体" w:cs="宋体"/>
                <w:sz w:val="24"/>
                <w:szCs w:val="24"/>
                <w:vertAlign w:val="subscript"/>
              </w:rPr>
              <w:t>2</w:t>
            </w:r>
            <w:r>
              <w:rPr>
                <w:rFonts w:hint="eastAsia" w:ascii="宋体" w:hAnsi="宋体" w:cs="宋体"/>
                <w:sz w:val="24"/>
                <w:szCs w:val="24"/>
              </w:rPr>
              <w:t>模块和SpO</w:t>
            </w:r>
            <w:r>
              <w:rPr>
                <w:rFonts w:hint="eastAsia" w:ascii="宋体" w:hAnsi="宋体" w:cs="宋体"/>
                <w:sz w:val="24"/>
                <w:szCs w:val="24"/>
                <w:vertAlign w:val="subscript"/>
              </w:rPr>
              <w:t>2</w:t>
            </w:r>
            <w:r>
              <w:rPr>
                <w:rFonts w:hint="eastAsia" w:ascii="宋体" w:hAnsi="宋体" w:cs="宋体"/>
                <w:color w:val="000000"/>
                <w:sz w:val="24"/>
                <w:szCs w:val="24"/>
              </w:rPr>
              <w:t>模块监测，即插即用。</w:t>
            </w:r>
          </w:p>
          <w:p w14:paraId="381A0972">
            <w:pPr>
              <w:snapToGrid w:val="0"/>
              <w:spacing w:line="300" w:lineRule="exact"/>
              <w:rPr>
                <w:rFonts w:ascii="宋体" w:hAnsi="宋体" w:cs="宋体"/>
                <w:color w:val="000000"/>
                <w:sz w:val="24"/>
                <w:szCs w:val="24"/>
              </w:rPr>
            </w:pPr>
            <w:r>
              <w:rPr>
                <w:rFonts w:hint="eastAsia" w:ascii="宋体" w:hAnsi="宋体" w:cs="宋体"/>
                <w:color w:val="000000"/>
                <w:sz w:val="24"/>
                <w:szCs w:val="24"/>
              </w:rPr>
              <w:t>4.内置后备可充电锂电池，纯电池使用时间≥90分钟。</w:t>
            </w:r>
          </w:p>
          <w:p w14:paraId="288E5EB1">
            <w:pPr>
              <w:snapToGrid w:val="0"/>
              <w:spacing w:line="300" w:lineRule="exact"/>
              <w:rPr>
                <w:rFonts w:ascii="宋体" w:hAnsi="宋体" w:cs="宋体"/>
                <w:color w:val="000000"/>
                <w:sz w:val="24"/>
                <w:szCs w:val="24"/>
              </w:rPr>
            </w:pPr>
            <w:r>
              <w:rPr>
                <w:rFonts w:hint="eastAsia" w:ascii="宋体" w:hAnsi="宋体" w:cs="宋体"/>
                <w:color w:val="000000"/>
                <w:sz w:val="24"/>
                <w:szCs w:val="24"/>
              </w:rPr>
              <w:t>5.机器表面具有操作视频二维码，可随时扫码查看机器操作视频。</w:t>
            </w:r>
          </w:p>
          <w:p w14:paraId="44735043">
            <w:pPr>
              <w:snapToGrid w:val="0"/>
              <w:spacing w:line="300" w:lineRule="exact"/>
              <w:rPr>
                <w:rFonts w:ascii="宋体" w:hAnsi="宋体" w:cs="宋体"/>
                <w:color w:val="000000"/>
                <w:sz w:val="24"/>
                <w:szCs w:val="24"/>
              </w:rPr>
            </w:pPr>
            <w:r>
              <w:rPr>
                <w:rFonts w:hint="eastAsia" w:ascii="宋体" w:hAnsi="宋体" w:cs="宋体"/>
                <w:color w:val="000000"/>
                <w:sz w:val="24"/>
                <w:szCs w:val="24"/>
              </w:rPr>
              <w:t>八、信息化功能要求</w:t>
            </w:r>
          </w:p>
          <w:p w14:paraId="4B0B36DC">
            <w:pPr>
              <w:snapToGrid w:val="0"/>
              <w:spacing w:line="300" w:lineRule="exact"/>
              <w:rPr>
                <w:rFonts w:ascii="宋体" w:hAnsi="宋体" w:cs="宋体"/>
                <w:color w:val="000000"/>
                <w:sz w:val="24"/>
                <w:szCs w:val="24"/>
              </w:rPr>
            </w:pPr>
            <w:r>
              <w:rPr>
                <w:rFonts w:hint="eastAsia" w:ascii="宋体" w:hAnsi="宋体" w:cs="宋体"/>
                <w:color w:val="000000"/>
                <w:sz w:val="24"/>
                <w:szCs w:val="24"/>
              </w:rPr>
              <w:t>1.呼吸机可与监护仪以及输注泵通过无线方式融合显示在中央站界面（免费开放端口）。</w:t>
            </w:r>
          </w:p>
          <w:p w14:paraId="6B30260B">
            <w:pPr>
              <w:snapToGrid w:val="0"/>
              <w:spacing w:line="300" w:lineRule="exact"/>
              <w:rPr>
                <w:rFonts w:ascii="宋体" w:hAnsi="宋体" w:cs="宋体"/>
                <w:color w:val="000000"/>
                <w:sz w:val="24"/>
                <w:szCs w:val="24"/>
              </w:rPr>
            </w:pPr>
            <w:r>
              <w:rPr>
                <w:rFonts w:hint="eastAsia" w:ascii="宋体" w:hAnsi="宋体" w:cs="宋体"/>
                <w:color w:val="000000"/>
                <w:sz w:val="24"/>
                <w:szCs w:val="24"/>
              </w:rPr>
              <w:t>2.呼吸机与监护仪统一网络联网通信时，呼吸机支持显示来自监护设备的血氧和呼末二氧化碳参数，辅助临床团队高质量评估脱机。</w:t>
            </w:r>
          </w:p>
          <w:p w14:paraId="2EF2FA6F">
            <w:pPr>
              <w:snapToGrid w:val="0"/>
              <w:spacing w:line="300" w:lineRule="exact"/>
              <w:rPr>
                <w:rFonts w:ascii="宋体" w:hAnsi="宋体" w:cs="宋体"/>
                <w:color w:val="000000"/>
                <w:sz w:val="24"/>
                <w:szCs w:val="24"/>
              </w:rPr>
            </w:pPr>
            <w:r>
              <w:rPr>
                <w:rFonts w:hint="eastAsia" w:ascii="宋体" w:hAnsi="宋体" w:cs="宋体"/>
                <w:color w:val="000000"/>
                <w:sz w:val="24"/>
                <w:szCs w:val="24"/>
              </w:rPr>
              <w:t>3.具备VGA扩展显示（非HDMI接口），方便日常使用。</w:t>
            </w:r>
          </w:p>
          <w:p w14:paraId="15795ED4">
            <w:pPr>
              <w:snapToGrid w:val="0"/>
              <w:spacing w:line="300" w:lineRule="exact"/>
              <w:rPr>
                <w:rFonts w:ascii="宋体" w:hAnsi="宋体" w:cs="宋体"/>
                <w:color w:val="000000"/>
                <w:sz w:val="24"/>
                <w:szCs w:val="24"/>
              </w:rPr>
            </w:pPr>
            <w:r>
              <w:rPr>
                <w:rFonts w:hint="eastAsia" w:ascii="宋体" w:hAnsi="宋体" w:cs="宋体"/>
                <w:color w:val="000000"/>
                <w:sz w:val="24"/>
                <w:szCs w:val="24"/>
              </w:rPr>
              <w:t>九、呼吸机配置清单（单台）</w:t>
            </w:r>
          </w:p>
          <w:p w14:paraId="4F8CDB9C">
            <w:pPr>
              <w:snapToGrid w:val="0"/>
              <w:spacing w:line="300" w:lineRule="exact"/>
              <w:rPr>
                <w:rFonts w:ascii="宋体" w:hAnsi="宋体" w:cs="宋体"/>
                <w:color w:val="000000"/>
                <w:sz w:val="24"/>
                <w:szCs w:val="24"/>
              </w:rPr>
            </w:pPr>
            <w:r>
              <w:rPr>
                <w:rFonts w:hint="eastAsia" w:ascii="宋体" w:hAnsi="宋体" w:cs="宋体"/>
                <w:color w:val="000000"/>
                <w:sz w:val="24"/>
                <w:szCs w:val="24"/>
              </w:rPr>
              <w:t>标准配置</w:t>
            </w:r>
            <w:r>
              <w:rPr>
                <w:rFonts w:hint="eastAsia" w:ascii="宋体" w:hAnsi="宋体" w:cs="宋体"/>
                <w:color w:val="000000"/>
                <w:sz w:val="24"/>
                <w:szCs w:val="24"/>
              </w:rPr>
              <w:tab/>
            </w:r>
            <w:r>
              <w:rPr>
                <w:rFonts w:hint="eastAsia" w:ascii="宋体" w:hAnsi="宋体" w:cs="宋体"/>
                <w:color w:val="000000"/>
                <w:sz w:val="24"/>
                <w:szCs w:val="24"/>
              </w:rPr>
              <w:t>配置类型</w:t>
            </w:r>
          </w:p>
          <w:p w14:paraId="520D3031">
            <w:pPr>
              <w:snapToGrid w:val="0"/>
              <w:spacing w:line="300" w:lineRule="exact"/>
              <w:rPr>
                <w:rFonts w:ascii="宋体" w:hAnsi="宋体" w:cs="宋体"/>
                <w:color w:val="000000"/>
                <w:sz w:val="24"/>
                <w:szCs w:val="24"/>
              </w:rPr>
            </w:pPr>
            <w:r>
              <w:rPr>
                <w:rFonts w:hint="eastAsia" w:ascii="宋体" w:hAnsi="宋体" w:cs="宋体"/>
                <w:color w:val="000000"/>
                <w:sz w:val="24"/>
                <w:szCs w:val="24"/>
              </w:rPr>
              <w:t>1</w:t>
            </w:r>
            <w:r>
              <w:rPr>
                <w:rFonts w:hint="eastAsia" w:ascii="宋体" w:hAnsi="宋体" w:cs="宋体"/>
                <w:color w:val="000000"/>
                <w:sz w:val="24"/>
                <w:szCs w:val="24"/>
              </w:rPr>
              <w:tab/>
            </w:r>
            <w:r>
              <w:rPr>
                <w:rFonts w:hint="eastAsia" w:ascii="宋体" w:hAnsi="宋体" w:cs="宋体"/>
                <w:color w:val="000000"/>
                <w:sz w:val="24"/>
                <w:szCs w:val="24"/>
              </w:rPr>
              <w:t xml:space="preserve"> 主机（含备用气源）</w:t>
            </w:r>
            <w:r>
              <w:rPr>
                <w:rFonts w:hint="eastAsia" w:ascii="宋体" w:hAnsi="宋体" w:cs="宋体"/>
                <w:color w:val="000000"/>
                <w:sz w:val="24"/>
                <w:szCs w:val="24"/>
              </w:rPr>
              <w:tab/>
            </w:r>
            <w:r>
              <w:rPr>
                <w:rFonts w:hint="eastAsia" w:ascii="宋体" w:hAnsi="宋体" w:cs="宋体"/>
                <w:color w:val="000000"/>
                <w:sz w:val="24"/>
                <w:szCs w:val="24"/>
              </w:rPr>
              <w:t>1台</w:t>
            </w:r>
          </w:p>
          <w:p w14:paraId="395EB8AD">
            <w:pPr>
              <w:snapToGrid w:val="0"/>
              <w:spacing w:line="300" w:lineRule="exact"/>
              <w:rPr>
                <w:rFonts w:ascii="宋体" w:hAnsi="宋体" w:cs="宋体"/>
                <w:color w:val="000000"/>
                <w:sz w:val="24"/>
                <w:szCs w:val="24"/>
              </w:rPr>
            </w:pPr>
            <w:r>
              <w:rPr>
                <w:rFonts w:hint="eastAsia" w:ascii="宋体" w:hAnsi="宋体" w:cs="宋体"/>
                <w:color w:val="000000"/>
                <w:sz w:val="24"/>
                <w:szCs w:val="24"/>
              </w:rPr>
              <w:t>2</w:t>
            </w:r>
            <w:r>
              <w:rPr>
                <w:rFonts w:hint="eastAsia" w:ascii="宋体" w:hAnsi="宋体" w:cs="宋体"/>
                <w:color w:val="000000"/>
                <w:sz w:val="24"/>
                <w:szCs w:val="24"/>
              </w:rPr>
              <w:tab/>
            </w:r>
            <w:r>
              <w:rPr>
                <w:rFonts w:hint="eastAsia" w:ascii="宋体" w:hAnsi="宋体" w:cs="宋体"/>
                <w:color w:val="000000"/>
                <w:sz w:val="24"/>
                <w:szCs w:val="24"/>
              </w:rPr>
              <w:t xml:space="preserve"> 氧气气源软管（国标3M）</w:t>
            </w:r>
            <w:r>
              <w:rPr>
                <w:rFonts w:hint="eastAsia" w:ascii="宋体" w:hAnsi="宋体" w:cs="宋体"/>
                <w:color w:val="000000"/>
                <w:sz w:val="24"/>
                <w:szCs w:val="24"/>
              </w:rPr>
              <w:tab/>
            </w:r>
            <w:r>
              <w:rPr>
                <w:rFonts w:hint="eastAsia" w:ascii="宋体" w:hAnsi="宋体" w:cs="宋体"/>
                <w:color w:val="000000"/>
                <w:sz w:val="24"/>
                <w:szCs w:val="24"/>
              </w:rPr>
              <w:t>1根</w:t>
            </w:r>
          </w:p>
          <w:p w14:paraId="0FE8B4E0">
            <w:pPr>
              <w:snapToGrid w:val="0"/>
              <w:spacing w:line="300" w:lineRule="exact"/>
              <w:rPr>
                <w:rFonts w:ascii="宋体" w:hAnsi="宋体" w:cs="宋体"/>
                <w:color w:val="000000"/>
                <w:sz w:val="24"/>
                <w:szCs w:val="24"/>
              </w:rPr>
            </w:pPr>
            <w:r>
              <w:rPr>
                <w:rFonts w:hint="eastAsia" w:ascii="宋体" w:hAnsi="宋体" w:cs="宋体"/>
                <w:color w:val="000000"/>
                <w:sz w:val="24"/>
                <w:szCs w:val="24"/>
              </w:rPr>
              <w:t>3</w:t>
            </w:r>
            <w:r>
              <w:rPr>
                <w:rFonts w:hint="eastAsia" w:ascii="宋体" w:hAnsi="宋体" w:cs="宋体"/>
                <w:color w:val="000000"/>
                <w:sz w:val="24"/>
                <w:szCs w:val="24"/>
              </w:rPr>
              <w:tab/>
            </w:r>
            <w:r>
              <w:rPr>
                <w:rFonts w:hint="eastAsia" w:ascii="宋体" w:hAnsi="宋体" w:cs="宋体"/>
                <w:color w:val="000000"/>
                <w:sz w:val="24"/>
                <w:szCs w:val="24"/>
              </w:rPr>
              <w:t xml:space="preserve"> 空气气源软管（国标3M）</w:t>
            </w:r>
            <w:r>
              <w:rPr>
                <w:rFonts w:hint="eastAsia" w:ascii="宋体" w:hAnsi="宋体" w:cs="宋体"/>
                <w:color w:val="000000"/>
                <w:sz w:val="24"/>
                <w:szCs w:val="24"/>
              </w:rPr>
              <w:tab/>
            </w:r>
            <w:r>
              <w:rPr>
                <w:rFonts w:hint="eastAsia" w:ascii="宋体" w:hAnsi="宋体" w:cs="宋体"/>
                <w:color w:val="000000"/>
                <w:sz w:val="24"/>
                <w:szCs w:val="24"/>
              </w:rPr>
              <w:t>1根</w:t>
            </w:r>
          </w:p>
          <w:p w14:paraId="571298FC">
            <w:pPr>
              <w:snapToGrid w:val="0"/>
              <w:spacing w:line="300" w:lineRule="exact"/>
              <w:rPr>
                <w:rFonts w:ascii="宋体" w:hAnsi="宋体" w:cs="宋体"/>
                <w:color w:val="000000"/>
                <w:sz w:val="24"/>
                <w:szCs w:val="24"/>
              </w:rPr>
            </w:pPr>
            <w:r>
              <w:rPr>
                <w:rFonts w:hint="eastAsia" w:ascii="宋体" w:hAnsi="宋体" w:cs="宋体"/>
                <w:color w:val="000000"/>
                <w:sz w:val="24"/>
                <w:szCs w:val="24"/>
              </w:rPr>
              <w:t>4</w:t>
            </w:r>
            <w:r>
              <w:rPr>
                <w:rFonts w:hint="eastAsia" w:ascii="宋体" w:hAnsi="宋体" w:cs="宋体"/>
                <w:color w:val="000000"/>
                <w:sz w:val="24"/>
                <w:szCs w:val="24"/>
              </w:rPr>
              <w:tab/>
            </w:r>
            <w:r>
              <w:rPr>
                <w:rFonts w:hint="eastAsia" w:ascii="宋体" w:hAnsi="宋体" w:cs="宋体"/>
                <w:color w:val="000000"/>
                <w:sz w:val="24"/>
                <w:szCs w:val="24"/>
              </w:rPr>
              <w:t xml:space="preserve"> 国标电源线</w:t>
            </w:r>
            <w:r>
              <w:rPr>
                <w:rFonts w:hint="eastAsia" w:ascii="宋体" w:hAnsi="宋体" w:cs="宋体"/>
                <w:color w:val="000000"/>
                <w:sz w:val="24"/>
                <w:szCs w:val="24"/>
              </w:rPr>
              <w:tab/>
            </w:r>
            <w:r>
              <w:rPr>
                <w:rFonts w:hint="eastAsia" w:ascii="宋体" w:hAnsi="宋体" w:cs="宋体"/>
                <w:color w:val="000000"/>
                <w:sz w:val="24"/>
                <w:szCs w:val="24"/>
              </w:rPr>
              <w:t>1根</w:t>
            </w:r>
          </w:p>
          <w:p w14:paraId="26DD9121">
            <w:pPr>
              <w:snapToGrid w:val="0"/>
              <w:spacing w:line="300" w:lineRule="exact"/>
              <w:rPr>
                <w:rFonts w:ascii="宋体" w:hAnsi="宋体" w:cs="宋体"/>
                <w:color w:val="000000"/>
                <w:sz w:val="24"/>
                <w:szCs w:val="24"/>
              </w:rPr>
            </w:pPr>
            <w:r>
              <w:rPr>
                <w:rFonts w:hint="eastAsia" w:ascii="宋体" w:hAnsi="宋体" w:cs="宋体"/>
                <w:color w:val="000000"/>
                <w:sz w:val="24"/>
                <w:szCs w:val="24"/>
              </w:rPr>
              <w:t>5</w:t>
            </w:r>
            <w:r>
              <w:rPr>
                <w:rFonts w:hint="eastAsia" w:ascii="宋体" w:hAnsi="宋体" w:cs="宋体"/>
                <w:color w:val="000000"/>
                <w:sz w:val="24"/>
                <w:szCs w:val="24"/>
              </w:rPr>
              <w:tab/>
            </w:r>
            <w:r>
              <w:rPr>
                <w:rFonts w:hint="eastAsia" w:ascii="宋体" w:hAnsi="宋体" w:cs="宋体"/>
                <w:color w:val="000000"/>
                <w:sz w:val="24"/>
                <w:szCs w:val="24"/>
              </w:rPr>
              <w:t xml:space="preserve"> 成人模拟肺</w:t>
            </w:r>
            <w:r>
              <w:rPr>
                <w:rFonts w:hint="eastAsia" w:ascii="宋体" w:hAnsi="宋体" w:cs="宋体"/>
                <w:color w:val="000000"/>
                <w:sz w:val="24"/>
                <w:szCs w:val="24"/>
              </w:rPr>
              <w:tab/>
            </w:r>
            <w:r>
              <w:rPr>
                <w:rFonts w:hint="eastAsia" w:ascii="宋体" w:hAnsi="宋体" w:cs="宋体"/>
                <w:color w:val="000000"/>
                <w:sz w:val="24"/>
                <w:szCs w:val="24"/>
              </w:rPr>
              <w:t>1个</w:t>
            </w:r>
          </w:p>
          <w:p w14:paraId="0E515583">
            <w:pPr>
              <w:snapToGrid w:val="0"/>
              <w:spacing w:line="300" w:lineRule="exact"/>
              <w:rPr>
                <w:rFonts w:ascii="宋体" w:hAnsi="宋体" w:cs="宋体"/>
                <w:color w:val="000000"/>
                <w:sz w:val="24"/>
                <w:szCs w:val="24"/>
              </w:rPr>
            </w:pPr>
            <w:r>
              <w:rPr>
                <w:rFonts w:hint="eastAsia" w:ascii="宋体" w:hAnsi="宋体" w:cs="宋体"/>
                <w:color w:val="000000"/>
                <w:sz w:val="24"/>
                <w:szCs w:val="24"/>
              </w:rPr>
              <w:t>6</w:t>
            </w:r>
            <w:r>
              <w:rPr>
                <w:rFonts w:hint="eastAsia" w:ascii="宋体" w:hAnsi="宋体" w:cs="宋体"/>
                <w:color w:val="000000"/>
                <w:sz w:val="24"/>
                <w:szCs w:val="24"/>
              </w:rPr>
              <w:tab/>
            </w:r>
            <w:r>
              <w:rPr>
                <w:rFonts w:hint="eastAsia" w:ascii="宋体" w:hAnsi="宋体" w:cs="宋体"/>
                <w:color w:val="000000"/>
                <w:sz w:val="24"/>
                <w:szCs w:val="24"/>
              </w:rPr>
              <w:t xml:space="preserve"> 支撑臂  </w:t>
            </w:r>
            <w:r>
              <w:rPr>
                <w:rFonts w:hint="eastAsia" w:ascii="宋体" w:hAnsi="宋体" w:cs="宋体"/>
                <w:color w:val="000000"/>
                <w:sz w:val="24"/>
                <w:szCs w:val="24"/>
              </w:rPr>
              <w:tab/>
            </w:r>
            <w:r>
              <w:rPr>
                <w:rFonts w:hint="eastAsia" w:ascii="宋体" w:hAnsi="宋体" w:cs="宋体"/>
                <w:color w:val="000000"/>
                <w:sz w:val="24"/>
                <w:szCs w:val="24"/>
              </w:rPr>
              <w:t>1个</w:t>
            </w:r>
          </w:p>
          <w:p w14:paraId="72CC01FA">
            <w:pPr>
              <w:snapToGrid w:val="0"/>
              <w:spacing w:line="300" w:lineRule="exact"/>
              <w:rPr>
                <w:rFonts w:ascii="宋体" w:hAnsi="宋体" w:cs="宋体"/>
                <w:color w:val="000000"/>
                <w:sz w:val="24"/>
                <w:szCs w:val="24"/>
              </w:rPr>
            </w:pPr>
            <w:r>
              <w:rPr>
                <w:rFonts w:hint="eastAsia" w:ascii="宋体" w:hAnsi="宋体" w:cs="宋体"/>
                <w:color w:val="000000"/>
                <w:sz w:val="24"/>
                <w:szCs w:val="24"/>
              </w:rPr>
              <w:t>7</w:t>
            </w:r>
            <w:r>
              <w:rPr>
                <w:rFonts w:hint="eastAsia" w:ascii="宋体" w:hAnsi="宋体" w:cs="宋体"/>
                <w:color w:val="000000"/>
                <w:sz w:val="24"/>
                <w:szCs w:val="24"/>
              </w:rPr>
              <w:tab/>
            </w:r>
            <w:r>
              <w:rPr>
                <w:rFonts w:hint="eastAsia" w:ascii="宋体" w:hAnsi="宋体" w:cs="宋体"/>
                <w:color w:val="000000"/>
                <w:sz w:val="24"/>
                <w:szCs w:val="24"/>
              </w:rPr>
              <w:t xml:space="preserve"> 台车</w:t>
            </w:r>
            <w:r>
              <w:rPr>
                <w:rFonts w:hint="eastAsia" w:ascii="宋体" w:hAnsi="宋体" w:cs="宋体"/>
                <w:color w:val="000000"/>
                <w:sz w:val="24"/>
                <w:szCs w:val="24"/>
              </w:rPr>
              <w:tab/>
            </w:r>
            <w:r>
              <w:rPr>
                <w:rFonts w:hint="eastAsia" w:ascii="宋体" w:hAnsi="宋体" w:cs="宋体"/>
                <w:color w:val="000000"/>
                <w:sz w:val="24"/>
                <w:szCs w:val="24"/>
              </w:rPr>
              <w:t>1台</w:t>
            </w:r>
          </w:p>
          <w:p w14:paraId="47C55A08">
            <w:pPr>
              <w:snapToGrid w:val="0"/>
              <w:spacing w:line="300" w:lineRule="exact"/>
              <w:rPr>
                <w:rFonts w:ascii="宋体" w:hAnsi="宋体" w:cs="宋体"/>
                <w:color w:val="000000"/>
                <w:sz w:val="24"/>
                <w:szCs w:val="24"/>
              </w:rPr>
            </w:pPr>
            <w:r>
              <w:rPr>
                <w:rFonts w:hint="eastAsia" w:ascii="宋体" w:hAnsi="宋体" w:cs="宋体"/>
                <w:color w:val="000000"/>
                <w:sz w:val="24"/>
                <w:szCs w:val="24"/>
              </w:rPr>
              <w:t>8</w:t>
            </w:r>
            <w:r>
              <w:rPr>
                <w:rFonts w:hint="eastAsia" w:ascii="宋体" w:hAnsi="宋体" w:cs="宋体"/>
                <w:color w:val="000000"/>
                <w:sz w:val="24"/>
                <w:szCs w:val="24"/>
              </w:rPr>
              <w:tab/>
            </w:r>
            <w:r>
              <w:rPr>
                <w:rFonts w:hint="eastAsia" w:ascii="宋体" w:hAnsi="宋体" w:cs="宋体"/>
                <w:color w:val="000000"/>
                <w:sz w:val="24"/>
                <w:szCs w:val="24"/>
              </w:rPr>
              <w:t xml:space="preserve"> 插件箱</w:t>
            </w:r>
            <w:r>
              <w:rPr>
                <w:rFonts w:hint="eastAsia" w:ascii="宋体" w:hAnsi="宋体" w:cs="宋体"/>
                <w:color w:val="000000"/>
                <w:sz w:val="24"/>
                <w:szCs w:val="24"/>
              </w:rPr>
              <w:tab/>
            </w:r>
            <w:r>
              <w:rPr>
                <w:rFonts w:hint="eastAsia" w:ascii="宋体" w:hAnsi="宋体" w:cs="宋体"/>
                <w:color w:val="000000"/>
                <w:sz w:val="24"/>
                <w:szCs w:val="24"/>
              </w:rPr>
              <w:t>1个</w:t>
            </w:r>
          </w:p>
          <w:p w14:paraId="4E7EEE9D">
            <w:pPr>
              <w:snapToGrid w:val="0"/>
              <w:spacing w:line="300" w:lineRule="exact"/>
              <w:rPr>
                <w:rFonts w:ascii="宋体" w:hAnsi="宋体" w:cs="宋体"/>
                <w:color w:val="000000"/>
                <w:sz w:val="24"/>
                <w:szCs w:val="24"/>
              </w:rPr>
            </w:pPr>
            <w:r>
              <w:rPr>
                <w:rFonts w:hint="eastAsia" w:ascii="宋体" w:hAnsi="宋体" w:cs="宋体"/>
                <w:color w:val="000000"/>
                <w:sz w:val="24"/>
                <w:szCs w:val="24"/>
              </w:rPr>
              <w:t>9</w:t>
            </w:r>
            <w:r>
              <w:rPr>
                <w:rFonts w:hint="eastAsia" w:ascii="宋体" w:hAnsi="宋体" w:cs="宋体"/>
                <w:color w:val="000000"/>
                <w:sz w:val="24"/>
                <w:szCs w:val="24"/>
              </w:rPr>
              <w:tab/>
            </w:r>
            <w:r>
              <w:rPr>
                <w:rFonts w:hint="eastAsia" w:ascii="宋体" w:hAnsi="宋体" w:cs="宋体"/>
                <w:color w:val="000000"/>
                <w:sz w:val="24"/>
                <w:szCs w:val="24"/>
              </w:rPr>
              <w:t xml:space="preserve"> 顺磁氧传感器</w:t>
            </w:r>
            <w:r>
              <w:rPr>
                <w:rFonts w:hint="eastAsia" w:ascii="宋体" w:hAnsi="宋体" w:cs="宋体"/>
                <w:color w:val="000000"/>
                <w:sz w:val="24"/>
                <w:szCs w:val="24"/>
              </w:rPr>
              <w:tab/>
            </w:r>
            <w:r>
              <w:rPr>
                <w:rFonts w:hint="eastAsia" w:ascii="宋体" w:hAnsi="宋体" w:cs="宋体"/>
                <w:color w:val="000000"/>
                <w:sz w:val="24"/>
                <w:szCs w:val="24"/>
              </w:rPr>
              <w:t>1个</w:t>
            </w:r>
          </w:p>
          <w:p w14:paraId="0C1FBE61">
            <w:pPr>
              <w:snapToGrid w:val="0"/>
              <w:spacing w:line="300" w:lineRule="exact"/>
              <w:rPr>
                <w:rFonts w:ascii="宋体" w:hAnsi="宋体" w:cs="宋体"/>
                <w:color w:val="000000"/>
                <w:sz w:val="24"/>
                <w:szCs w:val="24"/>
              </w:rPr>
            </w:pPr>
            <w:r>
              <w:rPr>
                <w:rFonts w:hint="eastAsia" w:ascii="宋体" w:hAnsi="宋体" w:cs="宋体"/>
                <w:color w:val="000000"/>
                <w:sz w:val="24"/>
                <w:szCs w:val="24"/>
              </w:rPr>
              <w:t>10</w:t>
            </w:r>
            <w:r>
              <w:rPr>
                <w:rFonts w:hint="eastAsia" w:ascii="宋体" w:hAnsi="宋体" w:cs="宋体"/>
                <w:color w:val="000000"/>
                <w:sz w:val="24"/>
                <w:szCs w:val="24"/>
              </w:rPr>
              <w:tab/>
            </w:r>
            <w:r>
              <w:rPr>
                <w:rFonts w:hint="eastAsia" w:ascii="宋体" w:hAnsi="宋体" w:cs="宋体"/>
                <w:color w:val="000000"/>
                <w:sz w:val="24"/>
                <w:szCs w:val="24"/>
              </w:rPr>
              <w:t xml:space="preserve"> 湿化器</w:t>
            </w:r>
            <w:r>
              <w:rPr>
                <w:rFonts w:hint="eastAsia" w:ascii="宋体" w:hAnsi="宋体" w:cs="宋体"/>
                <w:color w:val="000000"/>
                <w:sz w:val="24"/>
                <w:szCs w:val="24"/>
              </w:rPr>
              <w:tab/>
            </w:r>
            <w:r>
              <w:rPr>
                <w:rFonts w:hint="eastAsia" w:ascii="宋体" w:hAnsi="宋体" w:cs="宋体"/>
                <w:color w:val="000000"/>
                <w:sz w:val="24"/>
                <w:szCs w:val="24"/>
              </w:rPr>
              <w:t>1个</w:t>
            </w:r>
          </w:p>
          <w:p w14:paraId="15EFD60F">
            <w:pPr>
              <w:snapToGrid w:val="0"/>
              <w:spacing w:line="300" w:lineRule="exact"/>
              <w:rPr>
                <w:rFonts w:ascii="宋体" w:hAnsi="宋体" w:cs="宋体"/>
                <w:color w:val="000000"/>
                <w:sz w:val="24"/>
                <w:szCs w:val="24"/>
              </w:rPr>
            </w:pPr>
            <w:r>
              <w:rPr>
                <w:rFonts w:hint="eastAsia" w:ascii="宋体" w:hAnsi="宋体" w:cs="宋体"/>
                <w:color w:val="000000"/>
                <w:sz w:val="24"/>
                <w:szCs w:val="24"/>
              </w:rPr>
              <w:t>11</w:t>
            </w:r>
            <w:r>
              <w:rPr>
                <w:rFonts w:hint="eastAsia" w:ascii="宋体" w:hAnsi="宋体" w:cs="宋体"/>
                <w:color w:val="000000"/>
                <w:sz w:val="24"/>
                <w:szCs w:val="24"/>
              </w:rPr>
              <w:tab/>
            </w:r>
            <w:r>
              <w:rPr>
                <w:rFonts w:hint="eastAsia" w:ascii="宋体" w:hAnsi="宋体" w:cs="宋体"/>
                <w:color w:val="000000"/>
                <w:sz w:val="24"/>
                <w:szCs w:val="24"/>
              </w:rPr>
              <w:t xml:space="preserve"> NIV面罩（中号）</w:t>
            </w:r>
            <w:r>
              <w:rPr>
                <w:rFonts w:hint="eastAsia" w:ascii="宋体" w:hAnsi="宋体" w:cs="宋体"/>
                <w:color w:val="000000"/>
                <w:sz w:val="24"/>
                <w:szCs w:val="24"/>
              </w:rPr>
              <w:tab/>
            </w:r>
            <w:r>
              <w:rPr>
                <w:rFonts w:hint="eastAsia" w:ascii="宋体" w:hAnsi="宋体" w:cs="宋体"/>
                <w:color w:val="000000"/>
                <w:sz w:val="24"/>
                <w:szCs w:val="24"/>
              </w:rPr>
              <w:t>1个</w:t>
            </w:r>
          </w:p>
          <w:p w14:paraId="2392D8ED">
            <w:pPr>
              <w:snapToGrid w:val="0"/>
              <w:spacing w:line="300" w:lineRule="exact"/>
              <w:rPr>
                <w:rFonts w:ascii="宋体" w:hAnsi="宋体" w:cs="宋体"/>
                <w:color w:val="000000"/>
                <w:sz w:val="24"/>
                <w:szCs w:val="24"/>
              </w:rPr>
            </w:pPr>
            <w:r>
              <w:rPr>
                <w:rFonts w:hint="eastAsia" w:ascii="宋体" w:hAnsi="宋体" w:cs="宋体"/>
                <w:color w:val="000000"/>
                <w:sz w:val="24"/>
                <w:szCs w:val="24"/>
              </w:rPr>
              <w:t>12</w:t>
            </w:r>
            <w:r>
              <w:rPr>
                <w:rFonts w:hint="eastAsia" w:ascii="宋体" w:hAnsi="宋体" w:cs="宋体"/>
                <w:color w:val="000000"/>
                <w:sz w:val="24"/>
                <w:szCs w:val="24"/>
              </w:rPr>
              <w:tab/>
            </w:r>
            <w:r>
              <w:rPr>
                <w:rFonts w:hint="eastAsia" w:ascii="宋体" w:hAnsi="宋体" w:cs="宋体"/>
                <w:color w:val="000000"/>
                <w:sz w:val="24"/>
                <w:szCs w:val="24"/>
              </w:rPr>
              <w:t xml:space="preserve"> 氧疗鼻塞导管(中)</w:t>
            </w:r>
            <w:r>
              <w:rPr>
                <w:rFonts w:hint="eastAsia" w:ascii="宋体" w:hAnsi="宋体" w:cs="宋体"/>
                <w:color w:val="000000"/>
                <w:sz w:val="24"/>
                <w:szCs w:val="24"/>
              </w:rPr>
              <w:tab/>
            </w:r>
            <w:r>
              <w:rPr>
                <w:rFonts w:hint="eastAsia" w:ascii="宋体" w:hAnsi="宋体" w:cs="宋体"/>
                <w:color w:val="000000"/>
                <w:sz w:val="24"/>
                <w:szCs w:val="24"/>
              </w:rPr>
              <w:t>1根</w:t>
            </w:r>
          </w:p>
          <w:p w14:paraId="2A8E5BCB">
            <w:pPr>
              <w:snapToGrid w:val="0"/>
              <w:spacing w:line="300" w:lineRule="exact"/>
              <w:rPr>
                <w:rFonts w:ascii="宋体" w:hAnsi="宋体" w:cs="宋体"/>
                <w:color w:val="000000"/>
                <w:sz w:val="24"/>
                <w:szCs w:val="24"/>
              </w:rPr>
            </w:pPr>
            <w:r>
              <w:rPr>
                <w:rFonts w:hint="eastAsia" w:ascii="宋体" w:hAnsi="宋体" w:cs="宋体"/>
                <w:color w:val="000000"/>
                <w:sz w:val="24"/>
                <w:szCs w:val="24"/>
              </w:rPr>
              <w:t>13</w:t>
            </w:r>
            <w:r>
              <w:rPr>
                <w:rFonts w:hint="eastAsia" w:ascii="宋体" w:hAnsi="宋体" w:cs="宋体"/>
                <w:color w:val="000000"/>
                <w:sz w:val="24"/>
                <w:szCs w:val="24"/>
              </w:rPr>
              <w:tab/>
            </w:r>
            <w:r>
              <w:rPr>
                <w:rFonts w:hint="eastAsia" w:ascii="宋体" w:hAnsi="宋体" w:cs="宋体"/>
                <w:color w:val="000000"/>
                <w:sz w:val="24"/>
                <w:szCs w:val="24"/>
              </w:rPr>
              <w:t xml:space="preserve"> 一次性细菌过滤器</w:t>
            </w:r>
            <w:r>
              <w:rPr>
                <w:rFonts w:hint="eastAsia" w:ascii="宋体" w:hAnsi="宋体" w:cs="宋体"/>
                <w:color w:val="000000"/>
                <w:sz w:val="24"/>
                <w:szCs w:val="24"/>
              </w:rPr>
              <w:tab/>
            </w:r>
            <w:r>
              <w:rPr>
                <w:rFonts w:hint="eastAsia" w:ascii="宋体" w:hAnsi="宋体" w:cs="宋体"/>
                <w:color w:val="000000"/>
                <w:sz w:val="24"/>
                <w:szCs w:val="24"/>
              </w:rPr>
              <w:t>1个</w:t>
            </w:r>
          </w:p>
        </w:tc>
      </w:tr>
      <w:tr w14:paraId="44A2AE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tcBorders>
              <w:top w:val="single" w:color="auto" w:sz="4" w:space="0"/>
              <w:left w:val="single" w:color="auto" w:sz="4" w:space="0"/>
              <w:bottom w:val="single" w:color="auto" w:sz="4" w:space="0"/>
              <w:right w:val="single" w:color="auto" w:sz="4" w:space="0"/>
            </w:tcBorders>
            <w:vAlign w:val="center"/>
          </w:tcPr>
          <w:p w14:paraId="0ADCB153">
            <w:pPr>
              <w:snapToGrid w:val="0"/>
              <w:spacing w:line="360" w:lineRule="auto"/>
              <w:jc w:val="center"/>
              <w:rPr>
                <w:rFonts w:ascii="宋体" w:hAnsi="宋体" w:cs="宋体"/>
                <w:sz w:val="24"/>
                <w:szCs w:val="24"/>
              </w:rPr>
            </w:pPr>
            <w:r>
              <w:rPr>
                <w:rFonts w:hint="eastAsia" w:ascii="宋体" w:hAnsi="宋体" w:cs="宋体"/>
                <w:sz w:val="24"/>
                <w:szCs w:val="24"/>
              </w:rPr>
              <w:t>2</w:t>
            </w:r>
          </w:p>
        </w:tc>
        <w:tc>
          <w:tcPr>
            <w:tcW w:w="704" w:type="pct"/>
            <w:tcBorders>
              <w:top w:val="single" w:color="auto" w:sz="4" w:space="0"/>
              <w:left w:val="single" w:color="auto" w:sz="4" w:space="0"/>
              <w:bottom w:val="single" w:color="auto" w:sz="4" w:space="0"/>
              <w:right w:val="single" w:color="auto" w:sz="4" w:space="0"/>
            </w:tcBorders>
            <w:vAlign w:val="center"/>
          </w:tcPr>
          <w:p w14:paraId="7DA88844">
            <w:pPr>
              <w:snapToGrid w:val="0"/>
              <w:spacing w:line="360" w:lineRule="auto"/>
              <w:jc w:val="center"/>
              <w:rPr>
                <w:rFonts w:ascii="宋体" w:hAnsi="宋体" w:cs="宋体"/>
                <w:sz w:val="24"/>
                <w:szCs w:val="24"/>
              </w:rPr>
            </w:pPr>
            <w:r>
              <w:rPr>
                <w:rFonts w:hint="eastAsia" w:ascii="宋体" w:hAnsi="宋体" w:cs="宋体"/>
                <w:sz w:val="24"/>
                <w:szCs w:val="24"/>
              </w:rPr>
              <w:t>呼吸机（2）</w:t>
            </w:r>
          </w:p>
        </w:tc>
        <w:tc>
          <w:tcPr>
            <w:tcW w:w="390" w:type="pct"/>
            <w:tcBorders>
              <w:top w:val="single" w:color="auto" w:sz="4" w:space="0"/>
              <w:left w:val="single" w:color="auto" w:sz="4" w:space="0"/>
              <w:bottom w:val="single" w:color="auto" w:sz="4" w:space="0"/>
              <w:right w:val="single" w:color="auto" w:sz="4" w:space="0"/>
            </w:tcBorders>
            <w:vAlign w:val="center"/>
          </w:tcPr>
          <w:p w14:paraId="6046E972">
            <w:pPr>
              <w:jc w:val="center"/>
              <w:rPr>
                <w:rFonts w:cs="宋体"/>
                <w:color w:val="000000"/>
                <w:kern w:val="0"/>
                <w:sz w:val="24"/>
                <w:szCs w:val="21"/>
              </w:rPr>
            </w:pPr>
            <w:r>
              <w:rPr>
                <w:rFonts w:hint="eastAsia" w:ascii="宋体" w:hAnsi="宋体" w:cs="宋体"/>
                <w:sz w:val="24"/>
                <w:szCs w:val="24"/>
              </w:rPr>
              <w:t>台</w:t>
            </w:r>
          </w:p>
        </w:tc>
        <w:tc>
          <w:tcPr>
            <w:tcW w:w="439" w:type="pct"/>
            <w:tcBorders>
              <w:top w:val="single" w:color="auto" w:sz="4" w:space="0"/>
              <w:left w:val="single" w:color="auto" w:sz="4" w:space="0"/>
              <w:bottom w:val="single" w:color="auto" w:sz="4" w:space="0"/>
              <w:right w:val="single" w:color="auto" w:sz="4" w:space="0"/>
            </w:tcBorders>
            <w:vAlign w:val="center"/>
          </w:tcPr>
          <w:p w14:paraId="7C8DD8CB">
            <w:pPr>
              <w:snapToGrid w:val="0"/>
              <w:spacing w:line="360" w:lineRule="auto"/>
              <w:jc w:val="center"/>
              <w:rPr>
                <w:rFonts w:ascii="宋体" w:hAnsi="宋体" w:cs="宋体"/>
                <w:sz w:val="24"/>
                <w:szCs w:val="24"/>
              </w:rPr>
            </w:pPr>
            <w:r>
              <w:rPr>
                <w:rFonts w:hint="eastAsia" w:ascii="宋体" w:hAnsi="宋体" w:cs="宋体"/>
                <w:sz w:val="24"/>
                <w:szCs w:val="24"/>
              </w:rPr>
              <w:t>4</w:t>
            </w:r>
          </w:p>
        </w:tc>
        <w:tc>
          <w:tcPr>
            <w:tcW w:w="3033" w:type="pct"/>
            <w:tcBorders>
              <w:top w:val="single" w:color="auto" w:sz="4" w:space="0"/>
              <w:left w:val="single" w:color="auto" w:sz="4" w:space="0"/>
              <w:bottom w:val="single" w:color="auto" w:sz="4" w:space="0"/>
              <w:right w:val="single" w:color="auto" w:sz="4" w:space="0"/>
            </w:tcBorders>
          </w:tcPr>
          <w:p w14:paraId="2AD19BB0">
            <w:pPr>
              <w:snapToGrid w:val="0"/>
              <w:spacing w:line="300" w:lineRule="exact"/>
              <w:ind w:left="63"/>
              <w:jc w:val="left"/>
              <w:rPr>
                <w:rFonts w:ascii="宋体" w:hAnsi="宋体" w:cs="宋体"/>
                <w:color w:val="000000"/>
                <w:sz w:val="24"/>
                <w:szCs w:val="24"/>
              </w:rPr>
            </w:pPr>
            <w:r>
              <w:rPr>
                <w:rFonts w:hint="eastAsia" w:ascii="宋体" w:hAnsi="宋体" w:cs="宋体"/>
                <w:color w:val="000000"/>
                <w:sz w:val="24"/>
                <w:szCs w:val="24"/>
              </w:rPr>
              <w:t>一、产品用途：具备高流速氧疗、无创通气、有创通气功能，适用于对成人、小儿和新生儿患者进行通气辅助及呼吸支持</w:t>
            </w:r>
          </w:p>
          <w:p w14:paraId="207C0E23">
            <w:pPr>
              <w:snapToGrid w:val="0"/>
              <w:spacing w:line="300" w:lineRule="exact"/>
              <w:ind w:left="63"/>
              <w:jc w:val="left"/>
              <w:rPr>
                <w:rFonts w:ascii="宋体" w:hAnsi="宋体" w:cs="宋体"/>
                <w:color w:val="000000"/>
                <w:sz w:val="24"/>
                <w:szCs w:val="24"/>
              </w:rPr>
            </w:pPr>
            <w:r>
              <w:rPr>
                <w:rFonts w:hint="eastAsia" w:ascii="宋体" w:hAnsi="宋体" w:cs="宋体"/>
                <w:color w:val="000000"/>
                <w:sz w:val="24"/>
                <w:szCs w:val="24"/>
              </w:rPr>
              <w:t>二、技术参数</w:t>
            </w:r>
          </w:p>
          <w:p w14:paraId="5462AA60">
            <w:pPr>
              <w:snapToGrid w:val="0"/>
              <w:spacing w:line="300" w:lineRule="exact"/>
              <w:ind w:left="63"/>
              <w:jc w:val="left"/>
              <w:rPr>
                <w:rFonts w:ascii="宋体" w:hAnsi="宋体" w:cs="宋体"/>
                <w:color w:val="000000"/>
                <w:sz w:val="24"/>
                <w:szCs w:val="24"/>
              </w:rPr>
            </w:pPr>
            <w:r>
              <w:rPr>
                <w:rFonts w:hint="eastAsia" w:ascii="宋体" w:hAnsi="宋体" w:cs="宋体"/>
                <w:color w:val="000000"/>
                <w:sz w:val="24"/>
                <w:szCs w:val="24"/>
              </w:rPr>
              <w:t>1.整机要求</w:t>
            </w:r>
          </w:p>
          <w:p w14:paraId="0D4566CD">
            <w:pPr>
              <w:snapToGrid w:val="0"/>
              <w:spacing w:line="300" w:lineRule="exact"/>
              <w:ind w:left="63"/>
              <w:jc w:val="left"/>
              <w:rPr>
                <w:rFonts w:ascii="宋体" w:hAnsi="宋体" w:cs="宋体"/>
                <w:color w:val="000000"/>
                <w:sz w:val="24"/>
                <w:szCs w:val="24"/>
              </w:rPr>
            </w:pPr>
            <w:r>
              <w:rPr>
                <w:rFonts w:hint="eastAsia" w:ascii="宋体" w:hAnsi="宋体" w:cs="宋体"/>
                <w:color w:val="000000"/>
                <w:sz w:val="24"/>
                <w:szCs w:val="24"/>
              </w:rPr>
              <w:t>1.1适用于对成人、小儿和新生儿患者进行通气辅助及呼吸支持；</w:t>
            </w:r>
          </w:p>
          <w:p w14:paraId="7F3FEECD">
            <w:pPr>
              <w:snapToGrid w:val="0"/>
              <w:spacing w:line="300" w:lineRule="exact"/>
              <w:ind w:left="63"/>
              <w:jc w:val="left"/>
              <w:rPr>
                <w:rFonts w:ascii="宋体" w:hAnsi="宋体" w:cs="宋体"/>
                <w:color w:val="000000"/>
                <w:sz w:val="24"/>
                <w:szCs w:val="24"/>
              </w:rPr>
            </w:pPr>
            <w:r>
              <w:rPr>
                <w:rFonts w:hint="eastAsia" w:ascii="宋体" w:hAnsi="宋体" w:cs="宋体"/>
                <w:color w:val="000000"/>
                <w:sz w:val="24"/>
                <w:szCs w:val="24"/>
              </w:rPr>
              <w:t>★1.2气动电控呼吸机，支持中央供气和空气压缩机双方式驱动，配备备用气源空气压缩机，实时气源压力电子显示，支持转运。；</w:t>
            </w:r>
          </w:p>
          <w:p w14:paraId="76A47392">
            <w:pPr>
              <w:snapToGrid w:val="0"/>
              <w:spacing w:line="300" w:lineRule="exact"/>
              <w:ind w:left="63"/>
              <w:jc w:val="left"/>
              <w:rPr>
                <w:rFonts w:ascii="宋体" w:hAnsi="宋体" w:cs="宋体"/>
                <w:color w:val="000000"/>
                <w:sz w:val="24"/>
                <w:szCs w:val="24"/>
              </w:rPr>
            </w:pPr>
            <w:r>
              <w:rPr>
                <w:rFonts w:hint="eastAsia" w:ascii="宋体" w:hAnsi="宋体" w:cs="宋体"/>
                <w:color w:val="000000"/>
                <w:sz w:val="24"/>
                <w:szCs w:val="24"/>
              </w:rPr>
              <w:t>★1.3中文操作界面，≥15英寸彩色触摸屏，分辨率≥1920×1080；</w:t>
            </w:r>
          </w:p>
          <w:p w14:paraId="6D24239E">
            <w:pPr>
              <w:snapToGrid w:val="0"/>
              <w:spacing w:line="300" w:lineRule="exact"/>
              <w:ind w:left="63"/>
              <w:jc w:val="left"/>
              <w:rPr>
                <w:rFonts w:ascii="宋体" w:hAnsi="宋体" w:cs="宋体"/>
                <w:color w:val="000000"/>
                <w:sz w:val="24"/>
                <w:szCs w:val="24"/>
              </w:rPr>
            </w:pPr>
            <w:r>
              <w:rPr>
                <w:rFonts w:hint="eastAsia" w:ascii="宋体" w:hAnsi="宋体" w:cs="宋体"/>
                <w:color w:val="000000"/>
                <w:sz w:val="24"/>
                <w:szCs w:val="24"/>
              </w:rPr>
              <w:t>1.4触摸屏支持无菌手套操作，支持≥170度广视角查看；</w:t>
            </w:r>
          </w:p>
          <w:p w14:paraId="1AC73984">
            <w:pPr>
              <w:snapToGrid w:val="0"/>
              <w:spacing w:line="300" w:lineRule="exact"/>
              <w:ind w:left="63"/>
              <w:jc w:val="left"/>
              <w:rPr>
                <w:rFonts w:ascii="宋体" w:hAnsi="宋体" w:cs="宋体"/>
                <w:color w:val="000000"/>
                <w:sz w:val="24"/>
                <w:szCs w:val="24"/>
              </w:rPr>
            </w:pPr>
            <w:r>
              <w:rPr>
                <w:rFonts w:hint="eastAsia" w:ascii="宋体" w:hAnsi="宋体" w:cs="宋体"/>
                <w:color w:val="000000"/>
                <w:sz w:val="24"/>
                <w:szCs w:val="24"/>
              </w:rPr>
              <w:t>1.5支持≥4道波形同屏显示；支持短趋势、动态肺图、波形、监测值同屏显示；可提供≥4种环图，支持呼吸环图、波形和监测参数同屏显示；</w:t>
            </w:r>
          </w:p>
          <w:p w14:paraId="7449BEBE">
            <w:pPr>
              <w:snapToGrid w:val="0"/>
              <w:spacing w:line="300" w:lineRule="exact"/>
              <w:ind w:left="63"/>
              <w:jc w:val="left"/>
              <w:rPr>
                <w:rFonts w:ascii="宋体" w:hAnsi="宋体" w:cs="宋体"/>
                <w:color w:val="000000"/>
                <w:sz w:val="24"/>
                <w:szCs w:val="24"/>
              </w:rPr>
            </w:pPr>
            <w:r>
              <w:rPr>
                <w:rFonts w:hint="eastAsia" w:ascii="宋体" w:hAnsi="宋体" w:cs="宋体"/>
                <w:color w:val="000000"/>
                <w:sz w:val="24"/>
                <w:szCs w:val="24"/>
              </w:rPr>
              <w:t>1.6具备图形化显示功能，能实时动态图形化显示患者气道阻力、肺顺应性、自主呼吸和分钟通气量等肺部力学参数；</w:t>
            </w:r>
          </w:p>
          <w:p w14:paraId="677F7AFC">
            <w:pPr>
              <w:snapToGrid w:val="0"/>
              <w:spacing w:line="300" w:lineRule="exact"/>
              <w:ind w:left="63"/>
              <w:jc w:val="left"/>
              <w:rPr>
                <w:rFonts w:ascii="宋体" w:hAnsi="宋体" w:cs="宋体"/>
                <w:color w:val="000000"/>
                <w:sz w:val="24"/>
                <w:szCs w:val="24"/>
              </w:rPr>
            </w:pPr>
            <w:r>
              <w:rPr>
                <w:rFonts w:hint="eastAsia" w:ascii="宋体" w:hAnsi="宋体" w:cs="宋体"/>
                <w:color w:val="000000"/>
                <w:sz w:val="24"/>
                <w:szCs w:val="24"/>
              </w:rPr>
              <w:t>★1.7内置后备可充电锂电池，使用时间≥120分钟，可在屏幕上显示剩余电量；</w:t>
            </w:r>
          </w:p>
          <w:p w14:paraId="2ADC5DFC">
            <w:pPr>
              <w:snapToGrid w:val="0"/>
              <w:spacing w:line="300" w:lineRule="exact"/>
              <w:ind w:left="63"/>
              <w:jc w:val="left"/>
              <w:rPr>
                <w:rFonts w:ascii="宋体" w:hAnsi="宋体" w:cs="宋体"/>
                <w:color w:val="000000"/>
                <w:sz w:val="24"/>
                <w:szCs w:val="24"/>
              </w:rPr>
            </w:pPr>
            <w:r>
              <w:rPr>
                <w:rFonts w:hint="eastAsia" w:ascii="宋体" w:hAnsi="宋体" w:cs="宋体"/>
                <w:color w:val="000000"/>
                <w:sz w:val="24"/>
                <w:szCs w:val="24"/>
              </w:rPr>
              <w:t>1.8具备自检功能，可测试流量传感器、呼气阀和安全阀等部件；</w:t>
            </w:r>
          </w:p>
          <w:p w14:paraId="4F12145E">
            <w:pPr>
              <w:snapToGrid w:val="0"/>
              <w:spacing w:line="300" w:lineRule="exact"/>
              <w:ind w:left="63"/>
              <w:jc w:val="left"/>
              <w:rPr>
                <w:rFonts w:ascii="宋体" w:hAnsi="宋体" w:cs="宋体"/>
                <w:color w:val="000000"/>
                <w:sz w:val="24"/>
                <w:szCs w:val="24"/>
              </w:rPr>
            </w:pPr>
            <w:r>
              <w:rPr>
                <w:rFonts w:hint="eastAsia" w:ascii="宋体" w:hAnsi="宋体" w:cs="宋体"/>
                <w:color w:val="000000"/>
                <w:sz w:val="24"/>
                <w:szCs w:val="24"/>
              </w:rPr>
              <w:t>1.9一体化模块插件箱，支持升级；</w:t>
            </w:r>
          </w:p>
          <w:p w14:paraId="2886B6C6">
            <w:pPr>
              <w:snapToGrid w:val="0"/>
              <w:spacing w:line="300" w:lineRule="exact"/>
              <w:ind w:left="63"/>
              <w:jc w:val="left"/>
              <w:rPr>
                <w:rFonts w:ascii="宋体" w:hAnsi="宋体" w:cs="宋体"/>
                <w:sz w:val="24"/>
                <w:szCs w:val="24"/>
              </w:rPr>
            </w:pPr>
            <w:r>
              <w:rPr>
                <w:rFonts w:hint="eastAsia" w:ascii="宋体" w:hAnsi="宋体" w:cs="宋体"/>
                <w:color w:val="000000"/>
                <w:sz w:val="24"/>
                <w:szCs w:val="24"/>
              </w:rPr>
              <w:t>1.9.1配</w:t>
            </w:r>
            <w:r>
              <w:rPr>
                <w:rFonts w:hint="eastAsia" w:ascii="宋体" w:hAnsi="宋体" w:cs="宋体"/>
                <w:sz w:val="24"/>
                <w:szCs w:val="24"/>
              </w:rPr>
              <w:t>备CO</w:t>
            </w:r>
            <w:r>
              <w:rPr>
                <w:rFonts w:hint="eastAsia" w:ascii="宋体" w:hAnsi="宋体" w:cs="宋体"/>
                <w:sz w:val="24"/>
                <w:szCs w:val="24"/>
                <w:vertAlign w:val="subscript"/>
              </w:rPr>
              <w:t>2</w:t>
            </w:r>
            <w:r>
              <w:rPr>
                <w:rFonts w:hint="eastAsia" w:ascii="宋体" w:hAnsi="宋体" w:cs="宋体"/>
                <w:sz w:val="24"/>
                <w:szCs w:val="24"/>
              </w:rPr>
              <w:t>监测，可监测二氧化碳分压-时间、容量-二氧化碳分压；；</w:t>
            </w:r>
          </w:p>
          <w:p w14:paraId="527E1AF2">
            <w:pPr>
              <w:snapToGrid w:val="0"/>
              <w:spacing w:line="300" w:lineRule="exact"/>
              <w:ind w:left="63"/>
              <w:jc w:val="left"/>
              <w:rPr>
                <w:rFonts w:ascii="宋体" w:hAnsi="宋体" w:cs="宋体"/>
                <w:sz w:val="24"/>
                <w:szCs w:val="24"/>
              </w:rPr>
            </w:pPr>
            <w:r>
              <w:rPr>
                <w:rFonts w:hint="eastAsia" w:ascii="宋体" w:hAnsi="宋体" w:cs="宋体"/>
                <w:sz w:val="24"/>
                <w:szCs w:val="24"/>
              </w:rPr>
              <w:t>1.9.2配备SpO</w:t>
            </w:r>
            <w:r>
              <w:rPr>
                <w:rFonts w:hint="eastAsia" w:ascii="宋体" w:hAnsi="宋体" w:cs="宋体"/>
                <w:sz w:val="24"/>
                <w:szCs w:val="24"/>
                <w:vertAlign w:val="subscript"/>
              </w:rPr>
              <w:t>2</w:t>
            </w:r>
            <w:r>
              <w:rPr>
                <w:rFonts w:hint="eastAsia" w:ascii="宋体" w:hAnsi="宋体" w:cs="宋体"/>
                <w:sz w:val="24"/>
                <w:szCs w:val="24"/>
              </w:rPr>
              <w:t>监测，可监测SpO</w:t>
            </w:r>
            <w:r>
              <w:rPr>
                <w:rFonts w:hint="eastAsia" w:ascii="宋体" w:hAnsi="宋体" w:cs="宋体"/>
                <w:sz w:val="24"/>
                <w:szCs w:val="24"/>
                <w:vertAlign w:val="subscript"/>
              </w:rPr>
              <w:t>2</w:t>
            </w:r>
            <w:r>
              <w:rPr>
                <w:rFonts w:hint="eastAsia" w:ascii="宋体" w:hAnsi="宋体" w:cs="宋体"/>
                <w:sz w:val="24"/>
                <w:szCs w:val="24"/>
              </w:rPr>
              <w:t>、PR以及显示脉搏氧-时间波形；</w:t>
            </w:r>
          </w:p>
          <w:p w14:paraId="6DE662DB">
            <w:pPr>
              <w:snapToGrid w:val="0"/>
              <w:spacing w:line="300" w:lineRule="exact"/>
              <w:ind w:left="63"/>
              <w:jc w:val="left"/>
              <w:rPr>
                <w:rFonts w:ascii="宋体" w:hAnsi="宋体" w:cs="宋体"/>
                <w:color w:val="000000"/>
                <w:sz w:val="24"/>
                <w:szCs w:val="24"/>
              </w:rPr>
            </w:pPr>
            <w:r>
              <w:rPr>
                <w:rFonts w:hint="eastAsia" w:ascii="宋体" w:hAnsi="宋体" w:cs="宋体"/>
                <w:color w:val="000000"/>
                <w:sz w:val="24"/>
                <w:szCs w:val="24"/>
              </w:rPr>
              <w:t>1.10吸气安全阀和呼气安全阀能高温高压蒸汽消毒（134℃）；呼气阀可自动加热；</w:t>
            </w:r>
          </w:p>
          <w:p w14:paraId="27437E5D">
            <w:pPr>
              <w:snapToGrid w:val="0"/>
              <w:spacing w:line="300" w:lineRule="exact"/>
              <w:ind w:left="63"/>
              <w:jc w:val="left"/>
              <w:rPr>
                <w:rFonts w:ascii="宋体" w:hAnsi="宋体" w:cs="宋体"/>
                <w:color w:val="000000"/>
                <w:sz w:val="24"/>
                <w:szCs w:val="24"/>
              </w:rPr>
            </w:pPr>
            <w:r>
              <w:rPr>
                <w:rFonts w:hint="eastAsia" w:ascii="宋体" w:hAnsi="宋体" w:cs="宋体"/>
                <w:color w:val="000000"/>
                <w:sz w:val="24"/>
                <w:szCs w:val="24"/>
              </w:rPr>
              <w:t>1.11具备截屏U盘导出功能，可缓存≥50张屏幕文件；</w:t>
            </w:r>
          </w:p>
          <w:p w14:paraId="2864D423">
            <w:pPr>
              <w:snapToGrid w:val="0"/>
              <w:spacing w:line="300" w:lineRule="exact"/>
              <w:ind w:left="63"/>
              <w:jc w:val="left"/>
              <w:rPr>
                <w:rFonts w:ascii="宋体" w:hAnsi="宋体" w:cs="宋体"/>
                <w:color w:val="000000"/>
                <w:sz w:val="24"/>
                <w:szCs w:val="24"/>
              </w:rPr>
            </w:pPr>
            <w:r>
              <w:rPr>
                <w:rFonts w:hint="eastAsia" w:ascii="宋体" w:hAnsi="宋体" w:cs="宋体"/>
                <w:color w:val="000000"/>
                <w:sz w:val="24"/>
                <w:szCs w:val="24"/>
              </w:rPr>
              <w:t>1.12本机自身可以提供≥160小时的趋势图、表分析；</w:t>
            </w:r>
          </w:p>
          <w:p w14:paraId="27E9199B">
            <w:pPr>
              <w:snapToGrid w:val="0"/>
              <w:spacing w:line="300" w:lineRule="exact"/>
              <w:ind w:left="63"/>
              <w:jc w:val="left"/>
              <w:rPr>
                <w:rFonts w:ascii="宋体" w:hAnsi="宋体" w:cs="宋体"/>
                <w:color w:val="000000"/>
                <w:sz w:val="24"/>
                <w:szCs w:val="24"/>
              </w:rPr>
            </w:pPr>
            <w:r>
              <w:rPr>
                <w:rFonts w:hint="eastAsia" w:ascii="宋体" w:hAnsi="宋体" w:cs="宋体"/>
                <w:color w:val="000000"/>
                <w:sz w:val="24"/>
                <w:szCs w:val="24"/>
              </w:rPr>
              <w:t>2.呼吸模式及功能</w:t>
            </w:r>
          </w:p>
          <w:p w14:paraId="4B970A56">
            <w:pPr>
              <w:snapToGrid w:val="0"/>
              <w:spacing w:line="300" w:lineRule="exact"/>
              <w:ind w:left="63"/>
              <w:jc w:val="left"/>
              <w:rPr>
                <w:rFonts w:ascii="宋体" w:hAnsi="宋体" w:cs="宋体"/>
                <w:color w:val="000000"/>
                <w:sz w:val="24"/>
                <w:szCs w:val="24"/>
              </w:rPr>
            </w:pPr>
            <w:r>
              <w:rPr>
                <w:rFonts w:hint="eastAsia" w:ascii="宋体" w:hAnsi="宋体" w:cs="宋体"/>
                <w:color w:val="000000"/>
                <w:sz w:val="24"/>
                <w:szCs w:val="24"/>
              </w:rPr>
              <w:t>2.1标配基础模式：容量控制通气模式V-A/C和容量同步间歇指令通气模式V-SIMV（容量模式流速波形可调方波、50%或100%递减波）；压力控制通气模式P-A/C和压力同步间歇指令通气模式P-SIMV；持续气道正压通气模式/压力支持通气模式CPAP/PSV、窒息通气模式；</w:t>
            </w:r>
          </w:p>
          <w:p w14:paraId="7A1A2094">
            <w:pPr>
              <w:snapToGrid w:val="0"/>
              <w:spacing w:line="300" w:lineRule="exact"/>
              <w:ind w:left="63"/>
              <w:jc w:val="left"/>
              <w:rPr>
                <w:rFonts w:ascii="宋体" w:hAnsi="宋体" w:cs="宋体"/>
                <w:color w:val="000000"/>
                <w:sz w:val="24"/>
                <w:szCs w:val="24"/>
              </w:rPr>
            </w:pPr>
            <w:r>
              <w:rPr>
                <w:rFonts w:hint="eastAsia" w:ascii="宋体" w:hAnsi="宋体" w:cs="宋体"/>
                <w:color w:val="000000"/>
                <w:sz w:val="24"/>
                <w:szCs w:val="24"/>
              </w:rPr>
              <w:t>2.2标配高级模式：压力调节容量控制通气（如AUTOFLOW或者PRVC等）、压力调节容量控制-同步间歇指令通气模式（PRVC-SIMV）；气道压力释放通气APRV、双水平气道正压通气模式DuoLevel；容量支持通气VS；智能通气模式（自适应分钟通气AMV，自适应支持通气ASV等），心肺复苏通气模式（如CPRV，CPR mode等）；</w:t>
            </w:r>
          </w:p>
          <w:p w14:paraId="1538ED65">
            <w:pPr>
              <w:snapToGrid w:val="0"/>
              <w:spacing w:line="300" w:lineRule="exact"/>
              <w:ind w:left="63"/>
              <w:jc w:val="left"/>
              <w:rPr>
                <w:rFonts w:ascii="宋体" w:hAnsi="宋体" w:cs="宋体"/>
                <w:color w:val="000000"/>
                <w:sz w:val="24"/>
                <w:szCs w:val="24"/>
              </w:rPr>
            </w:pPr>
            <w:r>
              <w:rPr>
                <w:rFonts w:hint="eastAsia" w:ascii="宋体" w:hAnsi="宋体" w:cs="宋体"/>
                <w:color w:val="000000"/>
                <w:sz w:val="24"/>
                <w:szCs w:val="24"/>
              </w:rPr>
              <w:t>2.3支持无创通气模式，包含P-A/C、P-SIMV、CPAP/PSV、DuoLevel、APRV 和 PSV-S/T等模式；</w:t>
            </w:r>
          </w:p>
          <w:p w14:paraId="1B8F3062">
            <w:pPr>
              <w:snapToGrid w:val="0"/>
              <w:spacing w:line="300" w:lineRule="exact"/>
              <w:ind w:left="63"/>
              <w:jc w:val="left"/>
              <w:rPr>
                <w:rFonts w:ascii="宋体" w:hAnsi="宋体" w:cs="宋体"/>
                <w:color w:val="000000"/>
                <w:sz w:val="24"/>
                <w:szCs w:val="24"/>
              </w:rPr>
            </w:pPr>
            <w:r>
              <w:rPr>
                <w:rFonts w:hint="eastAsia" w:ascii="宋体" w:hAnsi="宋体" w:cs="宋体"/>
                <w:color w:val="000000"/>
                <w:sz w:val="24"/>
                <w:szCs w:val="24"/>
              </w:rPr>
              <w:t>2.4.具备手动呼吸、吸气保持、呼气保持、雾化、增氧功能；</w:t>
            </w:r>
          </w:p>
          <w:p w14:paraId="69500925">
            <w:pPr>
              <w:snapToGrid w:val="0"/>
              <w:spacing w:line="300" w:lineRule="exact"/>
              <w:ind w:left="63"/>
              <w:jc w:val="left"/>
              <w:rPr>
                <w:rFonts w:ascii="宋体" w:hAnsi="宋体" w:cs="宋体"/>
                <w:color w:val="000000"/>
                <w:sz w:val="24"/>
                <w:szCs w:val="24"/>
              </w:rPr>
            </w:pPr>
            <w:r>
              <w:rPr>
                <w:rFonts w:hint="eastAsia" w:ascii="宋体" w:hAnsi="宋体" w:cs="宋体"/>
                <w:color w:val="000000"/>
                <w:sz w:val="24"/>
                <w:szCs w:val="24"/>
              </w:rPr>
              <w:t>2.5具备高流速氧疗功能，氧疗流速（最大氧疗流速≥80L/min）和氧浓度可设，并具有氧疗计时功能，配备湿化器；</w:t>
            </w:r>
          </w:p>
          <w:p w14:paraId="58BA475A">
            <w:pPr>
              <w:snapToGrid w:val="0"/>
              <w:spacing w:line="300" w:lineRule="exact"/>
              <w:ind w:left="63"/>
              <w:jc w:val="left"/>
              <w:rPr>
                <w:rFonts w:ascii="宋体" w:hAnsi="宋体" w:cs="宋体"/>
                <w:color w:val="000000"/>
                <w:sz w:val="24"/>
                <w:szCs w:val="24"/>
              </w:rPr>
            </w:pPr>
            <w:r>
              <w:rPr>
                <w:rFonts w:hint="eastAsia" w:ascii="宋体" w:hAnsi="宋体" w:cs="宋体"/>
                <w:color w:val="000000"/>
                <w:sz w:val="24"/>
                <w:szCs w:val="24"/>
              </w:rPr>
              <w:t>2.6具备智能同步技术，自动调节吸气触发/呼气触发灵敏度，自动调节压力上升时间；</w:t>
            </w:r>
          </w:p>
          <w:p w14:paraId="4FE96552">
            <w:pPr>
              <w:snapToGrid w:val="0"/>
              <w:spacing w:line="300" w:lineRule="exact"/>
              <w:ind w:left="63"/>
              <w:jc w:val="left"/>
              <w:rPr>
                <w:rFonts w:ascii="宋体" w:hAnsi="宋体" w:cs="宋体"/>
                <w:color w:val="000000"/>
                <w:sz w:val="24"/>
                <w:szCs w:val="24"/>
              </w:rPr>
            </w:pPr>
            <w:r>
              <w:rPr>
                <w:rFonts w:hint="eastAsia" w:ascii="宋体" w:hAnsi="宋体" w:cs="宋体"/>
                <w:color w:val="000000"/>
                <w:sz w:val="24"/>
                <w:szCs w:val="24"/>
              </w:rPr>
              <w:t>2.7具有自动插管阻力补偿（如ATRC，TRC）功能；</w:t>
            </w:r>
          </w:p>
          <w:p w14:paraId="539C563D">
            <w:pPr>
              <w:snapToGrid w:val="0"/>
              <w:spacing w:line="300" w:lineRule="exact"/>
              <w:ind w:left="63"/>
              <w:jc w:val="left"/>
              <w:rPr>
                <w:rFonts w:ascii="宋体" w:hAnsi="宋体" w:cs="宋体"/>
                <w:color w:val="000000"/>
                <w:sz w:val="24"/>
                <w:szCs w:val="24"/>
              </w:rPr>
            </w:pPr>
            <w:r>
              <w:rPr>
                <w:rFonts w:hint="eastAsia" w:ascii="宋体" w:hAnsi="宋体" w:cs="宋体"/>
                <w:color w:val="000000"/>
                <w:sz w:val="24"/>
                <w:szCs w:val="24"/>
              </w:rPr>
              <w:t>2.8具备脱机辅助工具，可定制脱机指征并设定报警范围，提供全面的脱机信息看板，一键启动SBT（自主呼吸实验），规范脱机流程；具有NIF、RSBi及P0.1等脱机参数监测和测量；</w:t>
            </w:r>
          </w:p>
          <w:p w14:paraId="49B9658E">
            <w:pPr>
              <w:snapToGrid w:val="0"/>
              <w:spacing w:line="300" w:lineRule="exact"/>
              <w:ind w:left="63"/>
              <w:jc w:val="left"/>
              <w:rPr>
                <w:rFonts w:ascii="宋体" w:hAnsi="宋体" w:cs="宋体"/>
                <w:color w:val="000000"/>
                <w:sz w:val="24"/>
                <w:szCs w:val="24"/>
              </w:rPr>
            </w:pPr>
            <w:r>
              <w:rPr>
                <w:rFonts w:hint="eastAsia" w:ascii="宋体" w:hAnsi="宋体" w:cs="宋体"/>
                <w:color w:val="000000"/>
                <w:sz w:val="24"/>
                <w:szCs w:val="24"/>
              </w:rPr>
              <w:t>2.9具备肺复张工具，提供控制性肺膨胀法（SI）进行肺复张，可设置压力和时间；标配低流速P-V工具，帮助确定最佳PEEP值；</w:t>
            </w:r>
          </w:p>
          <w:p w14:paraId="2E404896">
            <w:pPr>
              <w:snapToGrid w:val="0"/>
              <w:spacing w:line="300" w:lineRule="exact"/>
              <w:ind w:left="63"/>
              <w:jc w:val="left"/>
              <w:rPr>
                <w:rFonts w:ascii="宋体" w:hAnsi="宋体" w:cs="宋体"/>
                <w:color w:val="000000"/>
                <w:sz w:val="24"/>
                <w:szCs w:val="24"/>
              </w:rPr>
            </w:pPr>
            <w:r>
              <w:rPr>
                <w:rFonts w:hint="eastAsia" w:ascii="宋体" w:hAnsi="宋体" w:cs="宋体"/>
                <w:color w:val="000000"/>
                <w:sz w:val="24"/>
                <w:szCs w:val="24"/>
              </w:rPr>
              <w:t>2.10具有待机功能并可设定病人理想体重或身高，具有单位理想体重呼气潮气量（TVe/IBW）参数监测功能；</w:t>
            </w:r>
          </w:p>
          <w:p w14:paraId="41E28AFA">
            <w:pPr>
              <w:snapToGrid w:val="0"/>
              <w:spacing w:line="300" w:lineRule="exact"/>
              <w:ind w:left="63"/>
              <w:jc w:val="left"/>
              <w:rPr>
                <w:rFonts w:ascii="宋体" w:hAnsi="宋体" w:cs="宋体"/>
                <w:color w:val="000000"/>
                <w:sz w:val="24"/>
                <w:szCs w:val="24"/>
              </w:rPr>
            </w:pPr>
            <w:r>
              <w:rPr>
                <w:rFonts w:hint="eastAsia" w:ascii="宋体" w:hAnsi="宋体" w:cs="宋体"/>
                <w:color w:val="000000"/>
                <w:sz w:val="24"/>
                <w:szCs w:val="24"/>
              </w:rPr>
              <w:t>3.设置参数</w:t>
            </w:r>
          </w:p>
          <w:p w14:paraId="75241C91">
            <w:pPr>
              <w:snapToGrid w:val="0"/>
              <w:spacing w:line="300" w:lineRule="exact"/>
              <w:ind w:left="63"/>
              <w:jc w:val="left"/>
              <w:rPr>
                <w:rFonts w:ascii="宋体" w:hAnsi="宋体" w:cs="宋体"/>
                <w:color w:val="000000"/>
                <w:sz w:val="24"/>
                <w:szCs w:val="24"/>
              </w:rPr>
            </w:pPr>
            <w:r>
              <w:rPr>
                <w:rFonts w:hint="eastAsia" w:ascii="宋体" w:hAnsi="宋体" w:cs="宋体"/>
                <w:color w:val="000000"/>
                <w:sz w:val="24"/>
                <w:szCs w:val="24"/>
              </w:rPr>
              <w:t>3.1潮气量：20ml～4000ml；</w:t>
            </w:r>
          </w:p>
          <w:p w14:paraId="4BC4C865">
            <w:pPr>
              <w:snapToGrid w:val="0"/>
              <w:spacing w:line="300" w:lineRule="exact"/>
              <w:ind w:left="63"/>
              <w:jc w:val="left"/>
              <w:rPr>
                <w:rFonts w:ascii="宋体" w:hAnsi="宋体" w:cs="宋体"/>
                <w:color w:val="000000"/>
                <w:sz w:val="24"/>
                <w:szCs w:val="24"/>
              </w:rPr>
            </w:pPr>
            <w:r>
              <w:rPr>
                <w:rFonts w:hint="eastAsia" w:ascii="宋体" w:hAnsi="宋体" w:cs="宋体"/>
                <w:color w:val="000000"/>
                <w:sz w:val="24"/>
                <w:szCs w:val="24"/>
              </w:rPr>
              <w:t>3.2呼吸频率：1～100/min；</w:t>
            </w:r>
          </w:p>
          <w:p w14:paraId="0B1FBC99">
            <w:pPr>
              <w:snapToGrid w:val="0"/>
              <w:spacing w:line="300" w:lineRule="exact"/>
              <w:ind w:left="63"/>
              <w:jc w:val="left"/>
              <w:rPr>
                <w:rFonts w:ascii="宋体" w:hAnsi="宋体" w:cs="宋体"/>
                <w:color w:val="000000"/>
                <w:sz w:val="24"/>
                <w:szCs w:val="24"/>
              </w:rPr>
            </w:pPr>
            <w:r>
              <w:rPr>
                <w:rFonts w:hint="eastAsia" w:ascii="宋体" w:hAnsi="宋体" w:cs="宋体"/>
                <w:color w:val="000000"/>
                <w:sz w:val="24"/>
                <w:szCs w:val="24"/>
              </w:rPr>
              <w:t>3.3吸气流速：6～180L/min；</w:t>
            </w:r>
          </w:p>
          <w:p w14:paraId="54BBA014">
            <w:pPr>
              <w:snapToGrid w:val="0"/>
              <w:spacing w:line="300" w:lineRule="exact"/>
              <w:ind w:left="63"/>
              <w:jc w:val="left"/>
              <w:rPr>
                <w:rFonts w:ascii="宋体" w:hAnsi="宋体" w:cs="宋体"/>
                <w:color w:val="000000"/>
                <w:sz w:val="24"/>
                <w:szCs w:val="24"/>
              </w:rPr>
            </w:pPr>
            <w:r>
              <w:rPr>
                <w:rFonts w:hint="eastAsia" w:ascii="宋体" w:hAnsi="宋体" w:cs="宋体"/>
                <w:color w:val="000000"/>
                <w:sz w:val="24"/>
                <w:szCs w:val="24"/>
              </w:rPr>
              <w:t>3.4最大峰值流速：180L/min；</w:t>
            </w:r>
          </w:p>
          <w:p w14:paraId="50B6C07C">
            <w:pPr>
              <w:snapToGrid w:val="0"/>
              <w:spacing w:line="300" w:lineRule="exact"/>
              <w:ind w:left="63"/>
              <w:jc w:val="left"/>
              <w:rPr>
                <w:rFonts w:ascii="宋体" w:hAnsi="宋体" w:cs="宋体"/>
                <w:color w:val="000000"/>
                <w:sz w:val="24"/>
                <w:szCs w:val="24"/>
              </w:rPr>
            </w:pPr>
            <w:r>
              <w:rPr>
                <w:rFonts w:hint="eastAsia" w:ascii="宋体" w:hAnsi="宋体" w:cs="宋体"/>
                <w:color w:val="000000"/>
                <w:sz w:val="24"/>
                <w:szCs w:val="24"/>
              </w:rPr>
              <w:t>3.5 PEEP：0～50 cmH</w:t>
            </w:r>
            <w:r>
              <w:rPr>
                <w:rFonts w:hint="eastAsia" w:ascii="宋体" w:hAnsi="宋体" w:cs="宋体"/>
                <w:color w:val="000000"/>
                <w:sz w:val="24"/>
                <w:szCs w:val="24"/>
                <w:vertAlign w:val="subscript"/>
              </w:rPr>
              <w:t>2</w:t>
            </w:r>
            <w:r>
              <w:rPr>
                <w:rFonts w:hint="eastAsia" w:ascii="宋体" w:hAnsi="宋体" w:cs="宋体"/>
                <w:color w:val="000000"/>
                <w:sz w:val="24"/>
                <w:szCs w:val="24"/>
              </w:rPr>
              <w:t>O；</w:t>
            </w:r>
          </w:p>
          <w:p w14:paraId="08CAFEB8">
            <w:pPr>
              <w:snapToGrid w:val="0"/>
              <w:spacing w:line="300" w:lineRule="exact"/>
              <w:ind w:left="63"/>
              <w:jc w:val="left"/>
              <w:rPr>
                <w:rFonts w:ascii="宋体" w:hAnsi="宋体" w:cs="宋体"/>
                <w:color w:val="000000"/>
                <w:sz w:val="24"/>
                <w:szCs w:val="24"/>
              </w:rPr>
            </w:pPr>
            <w:r>
              <w:rPr>
                <w:rFonts w:hint="eastAsia" w:ascii="宋体" w:hAnsi="宋体" w:cs="宋体"/>
                <w:color w:val="000000"/>
                <w:sz w:val="24"/>
                <w:szCs w:val="24"/>
              </w:rPr>
              <w:t>3.6具有叹息功能；</w:t>
            </w:r>
          </w:p>
          <w:p w14:paraId="1418C326">
            <w:pPr>
              <w:snapToGrid w:val="0"/>
              <w:spacing w:line="300" w:lineRule="exact"/>
              <w:ind w:left="63"/>
              <w:jc w:val="left"/>
              <w:rPr>
                <w:rFonts w:ascii="宋体" w:hAnsi="宋体" w:cs="宋体"/>
                <w:color w:val="000000"/>
                <w:sz w:val="24"/>
                <w:szCs w:val="24"/>
              </w:rPr>
            </w:pPr>
            <w:r>
              <w:rPr>
                <w:rFonts w:hint="eastAsia" w:ascii="宋体" w:hAnsi="宋体" w:cs="宋体"/>
                <w:color w:val="000000"/>
                <w:sz w:val="24"/>
                <w:szCs w:val="24"/>
              </w:rPr>
              <w:t>4.监测参数</w:t>
            </w:r>
          </w:p>
          <w:p w14:paraId="75A3ACEB">
            <w:pPr>
              <w:snapToGrid w:val="0"/>
              <w:spacing w:line="300" w:lineRule="exact"/>
              <w:ind w:left="63"/>
              <w:jc w:val="left"/>
              <w:rPr>
                <w:rFonts w:ascii="宋体" w:hAnsi="宋体" w:cs="宋体"/>
                <w:color w:val="000000"/>
                <w:sz w:val="24"/>
                <w:szCs w:val="24"/>
              </w:rPr>
            </w:pPr>
            <w:r>
              <w:rPr>
                <w:rFonts w:hint="eastAsia" w:ascii="宋体" w:hAnsi="宋体" w:cs="宋体"/>
                <w:color w:val="000000"/>
                <w:sz w:val="24"/>
                <w:szCs w:val="24"/>
              </w:rPr>
              <w:t>4.1肺力学参数监测：吸气阻力、呼气阻力、静态顺应性、动态顺应性、时间常数、总呼吸功、病人呼吸功、机器呼吸功、附加功等参数监测；</w:t>
            </w:r>
          </w:p>
          <w:p w14:paraId="0836EAA1">
            <w:pPr>
              <w:snapToGrid w:val="0"/>
              <w:spacing w:line="300" w:lineRule="exact"/>
              <w:ind w:left="63"/>
              <w:jc w:val="left"/>
              <w:rPr>
                <w:rFonts w:ascii="宋体" w:hAnsi="宋体" w:cs="宋体"/>
                <w:color w:val="000000"/>
                <w:sz w:val="24"/>
                <w:szCs w:val="24"/>
              </w:rPr>
            </w:pPr>
            <w:r>
              <w:rPr>
                <w:rFonts w:hint="eastAsia" w:ascii="宋体" w:hAnsi="宋体" w:cs="宋体"/>
                <w:color w:val="000000"/>
                <w:sz w:val="24"/>
                <w:szCs w:val="24"/>
              </w:rPr>
              <w:t>4.2气道压力监测：气道峰压、平台压、平均压、呼气末正压、驱动压等参数监测；</w:t>
            </w:r>
          </w:p>
          <w:p w14:paraId="7606D0C0">
            <w:pPr>
              <w:snapToGrid w:val="0"/>
              <w:spacing w:line="300" w:lineRule="exact"/>
              <w:ind w:left="63"/>
              <w:jc w:val="left"/>
              <w:rPr>
                <w:rFonts w:ascii="宋体" w:hAnsi="宋体" w:cs="宋体"/>
                <w:color w:val="000000"/>
                <w:sz w:val="24"/>
                <w:szCs w:val="24"/>
              </w:rPr>
            </w:pPr>
            <w:r>
              <w:rPr>
                <w:rFonts w:hint="eastAsia" w:ascii="宋体" w:hAnsi="宋体" w:cs="宋体"/>
                <w:color w:val="000000"/>
                <w:sz w:val="24"/>
                <w:szCs w:val="24"/>
              </w:rPr>
              <w:t>4.3实时监测压力-时间曲线形态，并量化为牵张指数Stress Index；</w:t>
            </w:r>
          </w:p>
          <w:p w14:paraId="183C716D">
            <w:pPr>
              <w:snapToGrid w:val="0"/>
              <w:spacing w:line="300" w:lineRule="exact"/>
              <w:ind w:left="63"/>
              <w:jc w:val="left"/>
              <w:rPr>
                <w:rFonts w:ascii="宋体" w:hAnsi="宋体" w:cs="宋体"/>
                <w:color w:val="000000"/>
                <w:sz w:val="24"/>
                <w:szCs w:val="24"/>
              </w:rPr>
            </w:pPr>
            <w:r>
              <w:rPr>
                <w:rFonts w:hint="eastAsia" w:ascii="宋体" w:hAnsi="宋体" w:cs="宋体"/>
                <w:color w:val="000000"/>
                <w:sz w:val="24"/>
                <w:szCs w:val="24"/>
              </w:rPr>
              <w:t>4.4实时监测压力/容积环形态，并量化为肺过度膨胀系</w:t>
            </w:r>
            <w:r>
              <w:rPr>
                <w:rFonts w:hint="eastAsia" w:ascii="宋体" w:hAnsi="宋体" w:cs="宋体"/>
                <w:sz w:val="24"/>
                <w:szCs w:val="24"/>
              </w:rPr>
              <w:t>数C20/C；</w:t>
            </w:r>
          </w:p>
          <w:p w14:paraId="0DBA2C5B">
            <w:pPr>
              <w:snapToGrid w:val="0"/>
              <w:spacing w:line="300" w:lineRule="exact"/>
              <w:ind w:left="63"/>
              <w:jc w:val="left"/>
              <w:rPr>
                <w:rFonts w:ascii="宋体" w:hAnsi="宋体" w:cs="宋体"/>
                <w:color w:val="000000"/>
                <w:sz w:val="24"/>
                <w:szCs w:val="24"/>
              </w:rPr>
            </w:pPr>
            <w:r>
              <w:rPr>
                <w:rFonts w:hint="eastAsia" w:ascii="宋体" w:hAnsi="宋体" w:cs="宋体"/>
                <w:color w:val="000000"/>
                <w:sz w:val="24"/>
                <w:szCs w:val="24"/>
              </w:rPr>
              <w:t>4.5具备顺磁式氧浓度监测技术；</w:t>
            </w:r>
          </w:p>
          <w:p w14:paraId="47772354">
            <w:pPr>
              <w:snapToGrid w:val="0"/>
              <w:spacing w:line="300" w:lineRule="exact"/>
              <w:ind w:left="63"/>
              <w:jc w:val="left"/>
              <w:rPr>
                <w:rFonts w:ascii="宋体" w:hAnsi="宋体" w:cs="宋体"/>
                <w:color w:val="000000"/>
                <w:sz w:val="24"/>
                <w:szCs w:val="24"/>
              </w:rPr>
            </w:pPr>
            <w:r>
              <w:rPr>
                <w:rFonts w:hint="eastAsia" w:ascii="宋体" w:hAnsi="宋体" w:cs="宋体"/>
                <w:color w:val="000000"/>
                <w:sz w:val="24"/>
                <w:szCs w:val="24"/>
              </w:rPr>
              <w:t>5.设备使用年限≥10年。</w:t>
            </w:r>
          </w:p>
        </w:tc>
      </w:tr>
      <w:tr w14:paraId="335526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tcBorders>
              <w:top w:val="single" w:color="auto" w:sz="4" w:space="0"/>
              <w:left w:val="single" w:color="auto" w:sz="4" w:space="0"/>
              <w:bottom w:val="single" w:color="auto" w:sz="4" w:space="0"/>
              <w:right w:val="single" w:color="auto" w:sz="4" w:space="0"/>
            </w:tcBorders>
            <w:vAlign w:val="center"/>
          </w:tcPr>
          <w:p w14:paraId="7819A5D4">
            <w:pPr>
              <w:snapToGrid w:val="0"/>
              <w:spacing w:line="360" w:lineRule="auto"/>
              <w:jc w:val="center"/>
              <w:rPr>
                <w:rFonts w:ascii="宋体" w:hAnsi="宋体" w:cs="宋体"/>
                <w:sz w:val="24"/>
                <w:szCs w:val="24"/>
              </w:rPr>
            </w:pPr>
            <w:r>
              <w:rPr>
                <w:rFonts w:hint="eastAsia" w:ascii="宋体" w:hAnsi="宋体" w:cs="宋体"/>
                <w:sz w:val="24"/>
                <w:szCs w:val="24"/>
              </w:rPr>
              <w:t>3</w:t>
            </w:r>
          </w:p>
        </w:tc>
        <w:tc>
          <w:tcPr>
            <w:tcW w:w="704" w:type="pct"/>
            <w:tcBorders>
              <w:top w:val="single" w:color="auto" w:sz="4" w:space="0"/>
              <w:left w:val="single" w:color="auto" w:sz="4" w:space="0"/>
              <w:bottom w:val="single" w:color="auto" w:sz="4" w:space="0"/>
              <w:right w:val="single" w:color="auto" w:sz="4" w:space="0"/>
            </w:tcBorders>
            <w:vAlign w:val="center"/>
          </w:tcPr>
          <w:p w14:paraId="655AAC84">
            <w:pPr>
              <w:snapToGrid w:val="0"/>
              <w:spacing w:line="360" w:lineRule="auto"/>
              <w:jc w:val="center"/>
              <w:rPr>
                <w:rFonts w:ascii="宋体" w:hAnsi="宋体" w:cs="宋体"/>
                <w:sz w:val="24"/>
                <w:szCs w:val="24"/>
              </w:rPr>
            </w:pPr>
            <w:r>
              <w:rPr>
                <w:rFonts w:hint="eastAsia" w:ascii="宋体" w:hAnsi="宋体" w:cs="宋体"/>
                <w:sz w:val="24"/>
                <w:szCs w:val="24"/>
              </w:rPr>
              <w:t>呼吸机（3）</w:t>
            </w:r>
          </w:p>
        </w:tc>
        <w:tc>
          <w:tcPr>
            <w:tcW w:w="390" w:type="pct"/>
            <w:tcBorders>
              <w:top w:val="single" w:color="auto" w:sz="4" w:space="0"/>
              <w:left w:val="single" w:color="auto" w:sz="4" w:space="0"/>
              <w:bottom w:val="single" w:color="auto" w:sz="4" w:space="0"/>
              <w:right w:val="single" w:color="auto" w:sz="4" w:space="0"/>
            </w:tcBorders>
            <w:vAlign w:val="center"/>
          </w:tcPr>
          <w:p w14:paraId="255C3511">
            <w:pPr>
              <w:jc w:val="center"/>
              <w:rPr>
                <w:rFonts w:cs="宋体"/>
                <w:color w:val="000000"/>
                <w:kern w:val="0"/>
                <w:sz w:val="24"/>
                <w:szCs w:val="21"/>
              </w:rPr>
            </w:pPr>
            <w:r>
              <w:rPr>
                <w:rFonts w:hint="eastAsia" w:ascii="宋体" w:hAnsi="宋体" w:cs="宋体"/>
                <w:sz w:val="24"/>
                <w:szCs w:val="24"/>
              </w:rPr>
              <w:t>台</w:t>
            </w:r>
          </w:p>
        </w:tc>
        <w:tc>
          <w:tcPr>
            <w:tcW w:w="439" w:type="pct"/>
            <w:tcBorders>
              <w:top w:val="single" w:color="auto" w:sz="4" w:space="0"/>
              <w:left w:val="single" w:color="auto" w:sz="4" w:space="0"/>
              <w:bottom w:val="single" w:color="auto" w:sz="4" w:space="0"/>
              <w:right w:val="single" w:color="auto" w:sz="4" w:space="0"/>
            </w:tcBorders>
            <w:vAlign w:val="center"/>
          </w:tcPr>
          <w:p w14:paraId="2C2E0E62">
            <w:pPr>
              <w:snapToGrid w:val="0"/>
              <w:spacing w:line="360" w:lineRule="auto"/>
              <w:jc w:val="center"/>
              <w:rPr>
                <w:rFonts w:ascii="宋体" w:hAnsi="宋体" w:cs="宋体"/>
                <w:sz w:val="24"/>
                <w:szCs w:val="24"/>
              </w:rPr>
            </w:pPr>
            <w:r>
              <w:rPr>
                <w:rFonts w:hint="eastAsia" w:ascii="宋体" w:hAnsi="宋体" w:cs="宋体"/>
                <w:sz w:val="24"/>
                <w:szCs w:val="24"/>
              </w:rPr>
              <w:t>4</w:t>
            </w:r>
          </w:p>
        </w:tc>
        <w:tc>
          <w:tcPr>
            <w:tcW w:w="3033" w:type="pct"/>
            <w:tcBorders>
              <w:top w:val="single" w:color="auto" w:sz="4" w:space="0"/>
              <w:left w:val="single" w:color="auto" w:sz="4" w:space="0"/>
              <w:bottom w:val="single" w:color="auto" w:sz="4" w:space="0"/>
              <w:right w:val="single" w:color="auto" w:sz="4" w:space="0"/>
            </w:tcBorders>
          </w:tcPr>
          <w:p w14:paraId="16646F04">
            <w:pPr>
              <w:snapToGrid w:val="0"/>
              <w:spacing w:line="300" w:lineRule="exact"/>
              <w:rPr>
                <w:rFonts w:ascii="宋体" w:hAnsi="宋体" w:cs="宋体"/>
                <w:sz w:val="24"/>
                <w:szCs w:val="24"/>
              </w:rPr>
            </w:pPr>
            <w:r>
              <w:rPr>
                <w:rFonts w:hint="eastAsia" w:ascii="宋体" w:hAnsi="宋体" w:cs="宋体"/>
                <w:sz w:val="24"/>
                <w:szCs w:val="24"/>
              </w:rPr>
              <w:t>一、产品用途：具备高流速氧疗、无创通气、有创通气功能，适用于成人、儿童、婴幼儿患者通气辅助及呼吸支持</w:t>
            </w:r>
          </w:p>
          <w:p w14:paraId="347327BC">
            <w:pPr>
              <w:snapToGrid w:val="0"/>
              <w:spacing w:line="300" w:lineRule="exact"/>
              <w:rPr>
                <w:rFonts w:ascii="宋体" w:hAnsi="宋体" w:cs="宋体"/>
                <w:sz w:val="24"/>
                <w:szCs w:val="24"/>
              </w:rPr>
            </w:pPr>
            <w:r>
              <w:rPr>
                <w:rFonts w:hint="eastAsia" w:ascii="宋体" w:hAnsi="宋体" w:cs="宋体"/>
                <w:sz w:val="24"/>
                <w:szCs w:val="24"/>
              </w:rPr>
              <w:t>二、技术参数</w:t>
            </w:r>
          </w:p>
          <w:p w14:paraId="6A3E1936">
            <w:pPr>
              <w:snapToGrid w:val="0"/>
              <w:spacing w:line="300" w:lineRule="exact"/>
              <w:rPr>
                <w:rFonts w:ascii="宋体" w:hAnsi="宋体" w:cs="宋体"/>
                <w:sz w:val="24"/>
                <w:szCs w:val="24"/>
              </w:rPr>
            </w:pPr>
            <w:r>
              <w:rPr>
                <w:rFonts w:hint="eastAsia" w:ascii="宋体" w:hAnsi="宋体" w:cs="宋体"/>
                <w:sz w:val="24"/>
                <w:szCs w:val="24"/>
              </w:rPr>
              <w:t>1.整机要求</w:t>
            </w:r>
          </w:p>
          <w:p w14:paraId="192DA460">
            <w:pPr>
              <w:snapToGrid w:val="0"/>
              <w:spacing w:line="300" w:lineRule="exact"/>
              <w:rPr>
                <w:rFonts w:ascii="宋体" w:hAnsi="宋体" w:cs="宋体"/>
                <w:sz w:val="24"/>
                <w:szCs w:val="24"/>
              </w:rPr>
            </w:pPr>
            <w:r>
              <w:rPr>
                <w:rFonts w:hint="eastAsia" w:ascii="宋体" w:hAnsi="宋体" w:cs="宋体"/>
                <w:sz w:val="24"/>
                <w:szCs w:val="24"/>
              </w:rPr>
              <w:t>1.1电动电控呼吸机：具备高流速氧疗、无创通气、有创通气功能，适用于成人、儿童、婴幼儿患者通气辅助及呼吸支持；</w:t>
            </w:r>
          </w:p>
          <w:p w14:paraId="2C9E5339">
            <w:pPr>
              <w:snapToGrid w:val="0"/>
              <w:spacing w:line="300" w:lineRule="exact"/>
              <w:rPr>
                <w:rFonts w:ascii="宋体" w:hAnsi="宋体" w:cs="宋体"/>
                <w:sz w:val="24"/>
                <w:szCs w:val="24"/>
              </w:rPr>
            </w:pPr>
            <w:r>
              <w:rPr>
                <w:rFonts w:hint="eastAsia" w:ascii="宋体" w:hAnsi="宋体" w:cs="宋体"/>
                <w:sz w:val="24"/>
                <w:szCs w:val="24"/>
              </w:rPr>
              <w:t>★1.2涡轮驱动产生空气气源，适用于院内转运：屏幕与机器一体化设计，主机屏幕不需要线缆连接，主机可从台车上无工具拆卸，方便移动，主机重量＜12kg（不含台车）；</w:t>
            </w:r>
          </w:p>
          <w:p w14:paraId="320F2393">
            <w:pPr>
              <w:snapToGrid w:val="0"/>
              <w:spacing w:line="300" w:lineRule="exact"/>
              <w:rPr>
                <w:rFonts w:ascii="宋体" w:hAnsi="宋体" w:cs="宋体"/>
                <w:sz w:val="24"/>
                <w:szCs w:val="24"/>
              </w:rPr>
            </w:pPr>
            <w:r>
              <w:rPr>
                <w:rFonts w:hint="eastAsia" w:ascii="宋体" w:hAnsi="宋体" w:cs="宋体"/>
                <w:sz w:val="24"/>
                <w:szCs w:val="24"/>
              </w:rPr>
              <w:t>★1.3中文操作界面，≥12英寸彩色触摸屏，分辨率≥1280*800；</w:t>
            </w:r>
          </w:p>
          <w:p w14:paraId="3BFD9DEE">
            <w:pPr>
              <w:snapToGrid w:val="0"/>
              <w:spacing w:line="300" w:lineRule="exact"/>
              <w:rPr>
                <w:rFonts w:ascii="宋体" w:hAnsi="宋体" w:cs="宋体"/>
                <w:sz w:val="24"/>
                <w:szCs w:val="24"/>
              </w:rPr>
            </w:pPr>
            <w:r>
              <w:rPr>
                <w:rFonts w:hint="eastAsia" w:ascii="宋体" w:hAnsi="宋体" w:cs="宋体"/>
                <w:sz w:val="24"/>
                <w:szCs w:val="24"/>
              </w:rPr>
              <w:t>1.4支持≥3道波形同屏显示；支持短趋势、波形、监测值同屏显示；可提供≥3种环图，支持呼吸环图、波形和监测参数同屏显示；支持全参数显示界面和大字体界面；</w:t>
            </w:r>
          </w:p>
          <w:p w14:paraId="6D378D3F">
            <w:pPr>
              <w:snapToGrid w:val="0"/>
              <w:spacing w:line="300" w:lineRule="exact"/>
              <w:rPr>
                <w:rFonts w:ascii="宋体" w:hAnsi="宋体" w:cs="宋体"/>
                <w:sz w:val="24"/>
                <w:szCs w:val="24"/>
              </w:rPr>
            </w:pPr>
            <w:r>
              <w:rPr>
                <w:rFonts w:hint="eastAsia" w:ascii="宋体" w:hAnsi="宋体" w:cs="宋体"/>
                <w:sz w:val="24"/>
                <w:szCs w:val="24"/>
              </w:rPr>
              <w:t>1.5具备动态肺视图；</w:t>
            </w:r>
          </w:p>
          <w:p w14:paraId="14D9D101">
            <w:pPr>
              <w:snapToGrid w:val="0"/>
              <w:spacing w:line="300" w:lineRule="exact"/>
              <w:rPr>
                <w:rFonts w:ascii="宋体" w:hAnsi="宋体" w:cs="宋体"/>
                <w:sz w:val="24"/>
                <w:szCs w:val="24"/>
              </w:rPr>
            </w:pPr>
            <w:r>
              <w:rPr>
                <w:rFonts w:hint="eastAsia" w:ascii="宋体" w:hAnsi="宋体" w:cs="宋体"/>
                <w:sz w:val="24"/>
                <w:szCs w:val="24"/>
              </w:rPr>
              <w:t>1.6内置后备可充电锂电池，使用时间≥120分钟；</w:t>
            </w:r>
          </w:p>
          <w:p w14:paraId="7CF627E7">
            <w:pPr>
              <w:snapToGrid w:val="0"/>
              <w:spacing w:line="300" w:lineRule="exact"/>
              <w:rPr>
                <w:rFonts w:ascii="宋体" w:hAnsi="宋体" w:cs="宋体"/>
                <w:sz w:val="24"/>
                <w:szCs w:val="24"/>
              </w:rPr>
            </w:pPr>
            <w:r>
              <w:rPr>
                <w:rFonts w:hint="eastAsia" w:ascii="宋体" w:hAnsi="宋体" w:cs="宋体"/>
                <w:sz w:val="24"/>
                <w:szCs w:val="24"/>
              </w:rPr>
              <w:t>1.7具备自检功能，可测试流量传感器、呼气阀和安全阀等部件。</w:t>
            </w:r>
          </w:p>
          <w:p w14:paraId="208086C7">
            <w:pPr>
              <w:snapToGrid w:val="0"/>
              <w:spacing w:line="300" w:lineRule="exact"/>
              <w:rPr>
                <w:rFonts w:ascii="宋体" w:hAnsi="宋体" w:cs="宋体"/>
                <w:sz w:val="24"/>
                <w:szCs w:val="24"/>
              </w:rPr>
            </w:pPr>
            <w:r>
              <w:rPr>
                <w:rFonts w:hint="eastAsia" w:ascii="宋体" w:hAnsi="宋体" w:cs="宋体"/>
                <w:sz w:val="24"/>
                <w:szCs w:val="24"/>
              </w:rPr>
              <w:t>★1.8吸气阀、呼气阀组件可拆卸，能高温高压蒸汽消毒（134℃）；呼气阀具备自动加热。</w:t>
            </w:r>
          </w:p>
          <w:p w14:paraId="324F5F5C">
            <w:pPr>
              <w:snapToGrid w:val="0"/>
              <w:spacing w:line="300" w:lineRule="exact"/>
              <w:rPr>
                <w:rFonts w:ascii="宋体" w:hAnsi="宋体" w:cs="宋体"/>
                <w:sz w:val="24"/>
                <w:szCs w:val="24"/>
              </w:rPr>
            </w:pPr>
            <w:r>
              <w:rPr>
                <w:rFonts w:hint="eastAsia" w:ascii="宋体" w:hAnsi="宋体" w:cs="宋体"/>
                <w:sz w:val="24"/>
                <w:szCs w:val="24"/>
              </w:rPr>
              <w:t>2.呼吸模式及功能</w:t>
            </w:r>
          </w:p>
          <w:p w14:paraId="366694DE">
            <w:pPr>
              <w:snapToGrid w:val="0"/>
              <w:spacing w:line="300" w:lineRule="exact"/>
              <w:rPr>
                <w:rFonts w:ascii="宋体" w:hAnsi="宋体" w:cs="宋体"/>
                <w:sz w:val="24"/>
                <w:szCs w:val="24"/>
              </w:rPr>
            </w:pPr>
            <w:r>
              <w:rPr>
                <w:rFonts w:hint="eastAsia" w:ascii="宋体" w:hAnsi="宋体" w:cs="宋体"/>
                <w:sz w:val="24"/>
                <w:szCs w:val="24"/>
              </w:rPr>
              <w:t>2.1标配基础模式：容量控制通气模式V-A/C和容量同步间歇指令通气模式V-SIMV（容量模式流速波形可调方波、50%或100%递减波）；压力控制通气模式P-A/C和压力同步间歇指令通气模式P-SIMV；持续气道正压通气模式/压力支持通气模式CPAP/PSV、窒息通气模式；</w:t>
            </w:r>
          </w:p>
          <w:p w14:paraId="20078560">
            <w:pPr>
              <w:snapToGrid w:val="0"/>
              <w:spacing w:line="300" w:lineRule="exact"/>
              <w:rPr>
                <w:rFonts w:ascii="宋体" w:hAnsi="宋体" w:cs="宋体"/>
                <w:sz w:val="24"/>
                <w:szCs w:val="24"/>
              </w:rPr>
            </w:pPr>
            <w:r>
              <w:rPr>
                <w:rFonts w:hint="eastAsia" w:ascii="宋体" w:hAnsi="宋体" w:cs="宋体"/>
                <w:sz w:val="24"/>
                <w:szCs w:val="24"/>
              </w:rPr>
              <w:t>2.2标配高级模式：压力调节容量控制通气（如AUTOFLOW或者PRVC等）、压力调节容量控制-同步间歇指令通气模式（PRVC-SIMV）；气道压力释放通气APRV、双水平气道正压通气模式（DuoLevel、DuoPAP、DuoVent等）；智能通气模式（自适应分钟通气AMV或自适应支持通气ASV等）；</w:t>
            </w:r>
          </w:p>
          <w:p w14:paraId="719CC729">
            <w:pPr>
              <w:snapToGrid w:val="0"/>
              <w:spacing w:line="300" w:lineRule="exact"/>
              <w:rPr>
                <w:rFonts w:ascii="宋体" w:hAnsi="宋体" w:cs="宋体"/>
                <w:sz w:val="24"/>
                <w:szCs w:val="24"/>
              </w:rPr>
            </w:pPr>
            <w:r>
              <w:rPr>
                <w:rFonts w:hint="eastAsia" w:ascii="宋体" w:hAnsi="宋体" w:cs="宋体"/>
                <w:sz w:val="24"/>
                <w:szCs w:val="24"/>
              </w:rPr>
              <w:t>2.3具有心肺复苏通气模式（如CPRV，CPRmode等），在呼气阶段停止送气帮助排出患者肺内气体，使患者胸腔回弹时产生胸腔负压；</w:t>
            </w:r>
          </w:p>
          <w:p w14:paraId="5A9DC10B">
            <w:pPr>
              <w:snapToGrid w:val="0"/>
              <w:spacing w:line="300" w:lineRule="exact"/>
              <w:rPr>
                <w:rFonts w:ascii="宋体" w:hAnsi="宋体" w:cs="宋体"/>
                <w:sz w:val="24"/>
                <w:szCs w:val="24"/>
              </w:rPr>
            </w:pPr>
            <w:r>
              <w:rPr>
                <w:rFonts w:hint="eastAsia" w:ascii="宋体" w:hAnsi="宋体" w:cs="宋体"/>
                <w:sz w:val="24"/>
                <w:szCs w:val="24"/>
              </w:rPr>
              <w:t>2.4支持无创通气模式，包含P-A/C、P-SIMV、CPAP/PSV、DuoLevel、APRV 和 PSV-S/T等模式；</w:t>
            </w:r>
          </w:p>
          <w:p w14:paraId="11C55B3B">
            <w:pPr>
              <w:snapToGrid w:val="0"/>
              <w:spacing w:line="300" w:lineRule="exact"/>
              <w:rPr>
                <w:rFonts w:ascii="宋体" w:hAnsi="宋体" w:cs="宋体"/>
                <w:sz w:val="24"/>
                <w:szCs w:val="24"/>
              </w:rPr>
            </w:pPr>
            <w:r>
              <w:rPr>
                <w:rFonts w:hint="eastAsia" w:ascii="宋体" w:hAnsi="宋体" w:cs="宋体"/>
                <w:sz w:val="24"/>
                <w:szCs w:val="24"/>
              </w:rPr>
              <w:t>2.5具备高流速氧疗功能，氧疗流速（最大氧疗流速≥80L/min）和氧浓度可设，并具有氧疗计时功能，配备湿化器；</w:t>
            </w:r>
          </w:p>
          <w:p w14:paraId="22C1B61A">
            <w:pPr>
              <w:snapToGrid w:val="0"/>
              <w:spacing w:line="300" w:lineRule="exact"/>
              <w:rPr>
                <w:rFonts w:ascii="宋体" w:hAnsi="宋体" w:cs="宋体"/>
                <w:sz w:val="24"/>
                <w:szCs w:val="24"/>
              </w:rPr>
            </w:pPr>
            <w:r>
              <w:rPr>
                <w:rFonts w:hint="eastAsia" w:ascii="宋体" w:hAnsi="宋体" w:cs="宋体"/>
                <w:sz w:val="24"/>
                <w:szCs w:val="24"/>
              </w:rPr>
              <w:t>2.6具备呼吸同步技术，自动调节吸气触发/呼气触发灵敏度，自动调节压力上升时间；</w:t>
            </w:r>
          </w:p>
          <w:p w14:paraId="4CEFBC1F">
            <w:pPr>
              <w:snapToGrid w:val="0"/>
              <w:spacing w:line="300" w:lineRule="exact"/>
              <w:rPr>
                <w:rFonts w:ascii="宋体" w:hAnsi="宋体" w:cs="宋体"/>
                <w:sz w:val="24"/>
                <w:szCs w:val="24"/>
              </w:rPr>
            </w:pPr>
            <w:r>
              <w:rPr>
                <w:rFonts w:hint="eastAsia" w:ascii="宋体" w:hAnsi="宋体" w:cs="宋体"/>
                <w:sz w:val="24"/>
                <w:szCs w:val="24"/>
              </w:rPr>
              <w:t>2.7具有漏气补偿能力，漏气补偿≥60L/min；</w:t>
            </w:r>
          </w:p>
          <w:p w14:paraId="58A74B03">
            <w:pPr>
              <w:snapToGrid w:val="0"/>
              <w:spacing w:line="300" w:lineRule="exact"/>
              <w:rPr>
                <w:rFonts w:ascii="宋体" w:hAnsi="宋体" w:cs="宋体"/>
                <w:sz w:val="24"/>
                <w:szCs w:val="24"/>
              </w:rPr>
            </w:pPr>
            <w:r>
              <w:rPr>
                <w:rFonts w:hint="eastAsia" w:ascii="宋体" w:hAnsi="宋体" w:cs="宋体"/>
                <w:sz w:val="24"/>
                <w:szCs w:val="24"/>
              </w:rPr>
              <w:t>★2.8配备CO</w:t>
            </w:r>
            <w:r>
              <w:rPr>
                <w:rFonts w:hint="eastAsia" w:ascii="宋体" w:hAnsi="宋体" w:cs="宋体"/>
                <w:sz w:val="24"/>
                <w:szCs w:val="24"/>
                <w:vertAlign w:val="subscript"/>
              </w:rPr>
              <w:t>2</w:t>
            </w:r>
            <w:r>
              <w:rPr>
                <w:rFonts w:hint="eastAsia" w:ascii="宋体" w:hAnsi="宋体" w:cs="宋体"/>
                <w:sz w:val="24"/>
                <w:szCs w:val="24"/>
              </w:rPr>
              <w:t>监测功能，支持容量-二氧化碳分压环；</w:t>
            </w:r>
          </w:p>
          <w:p w14:paraId="02A6B99E">
            <w:pPr>
              <w:snapToGrid w:val="0"/>
              <w:spacing w:line="300" w:lineRule="exact"/>
              <w:rPr>
                <w:rFonts w:ascii="宋体" w:hAnsi="宋体" w:cs="宋体"/>
                <w:sz w:val="24"/>
                <w:szCs w:val="24"/>
              </w:rPr>
            </w:pPr>
            <w:r>
              <w:rPr>
                <w:rFonts w:hint="eastAsia" w:ascii="宋体" w:hAnsi="宋体" w:cs="宋体"/>
                <w:sz w:val="24"/>
                <w:szCs w:val="24"/>
              </w:rPr>
              <w:t>★2.9具有自动插管补偿（ATRC或TRC）功能；</w:t>
            </w:r>
          </w:p>
          <w:p w14:paraId="72912BA9">
            <w:pPr>
              <w:snapToGrid w:val="0"/>
              <w:spacing w:line="300" w:lineRule="exact"/>
              <w:rPr>
                <w:rFonts w:ascii="宋体" w:hAnsi="宋体" w:cs="宋体"/>
                <w:sz w:val="24"/>
                <w:szCs w:val="24"/>
              </w:rPr>
            </w:pPr>
            <w:r>
              <w:rPr>
                <w:rFonts w:hint="eastAsia" w:ascii="宋体" w:hAnsi="宋体" w:cs="宋体"/>
                <w:sz w:val="24"/>
                <w:szCs w:val="24"/>
              </w:rPr>
              <w:t>2.10具有吸气保持，呼气保持，手动呼吸等功能；</w:t>
            </w:r>
          </w:p>
          <w:p w14:paraId="63415353">
            <w:pPr>
              <w:snapToGrid w:val="0"/>
              <w:spacing w:line="300" w:lineRule="exact"/>
              <w:rPr>
                <w:rFonts w:ascii="宋体" w:hAnsi="宋体" w:cs="宋体"/>
                <w:sz w:val="24"/>
                <w:szCs w:val="24"/>
              </w:rPr>
            </w:pPr>
            <w:r>
              <w:rPr>
                <w:rFonts w:hint="eastAsia" w:ascii="宋体" w:hAnsi="宋体" w:cs="宋体"/>
                <w:sz w:val="24"/>
                <w:szCs w:val="24"/>
              </w:rPr>
              <w:t>2.11具有肺功能测量功能，可测量顺应性，弹性阻力，时间常数，内源性PEEP，口腔闭合压P0.1和最大吸气负压NIF；</w:t>
            </w:r>
          </w:p>
          <w:p w14:paraId="49B0FDB3">
            <w:pPr>
              <w:snapToGrid w:val="0"/>
              <w:spacing w:line="300" w:lineRule="exact"/>
              <w:rPr>
                <w:rFonts w:ascii="宋体" w:hAnsi="宋体" w:cs="宋体"/>
                <w:sz w:val="24"/>
                <w:szCs w:val="24"/>
              </w:rPr>
            </w:pPr>
            <w:r>
              <w:rPr>
                <w:rFonts w:hint="eastAsia" w:ascii="宋体" w:hAnsi="宋体" w:cs="宋体"/>
                <w:sz w:val="24"/>
                <w:szCs w:val="24"/>
              </w:rPr>
              <w:t>2.12具备肺复张功能；</w:t>
            </w:r>
          </w:p>
          <w:p w14:paraId="10E4BACC">
            <w:pPr>
              <w:snapToGrid w:val="0"/>
              <w:spacing w:line="300" w:lineRule="exact"/>
              <w:rPr>
                <w:rFonts w:ascii="宋体" w:hAnsi="宋体" w:cs="宋体"/>
                <w:sz w:val="24"/>
                <w:szCs w:val="24"/>
              </w:rPr>
            </w:pPr>
            <w:r>
              <w:rPr>
                <w:rFonts w:hint="eastAsia" w:ascii="宋体" w:hAnsi="宋体" w:cs="宋体"/>
                <w:sz w:val="24"/>
                <w:szCs w:val="24"/>
              </w:rPr>
              <w:t>2.13具有待机功能并可设定病人理想体重或身高，具有单位理想体重呼气潮气量 （TVe/IBW）参数监测功能；</w:t>
            </w:r>
          </w:p>
          <w:p w14:paraId="31E1B147">
            <w:pPr>
              <w:snapToGrid w:val="0"/>
              <w:spacing w:line="300" w:lineRule="exact"/>
              <w:rPr>
                <w:rFonts w:ascii="宋体" w:hAnsi="宋体" w:cs="宋体"/>
                <w:sz w:val="24"/>
                <w:szCs w:val="24"/>
              </w:rPr>
            </w:pPr>
            <w:r>
              <w:rPr>
                <w:rFonts w:hint="eastAsia" w:ascii="宋体" w:hAnsi="宋体" w:cs="宋体"/>
                <w:sz w:val="24"/>
                <w:szCs w:val="24"/>
              </w:rPr>
              <w:t>3.设置参数</w:t>
            </w:r>
          </w:p>
          <w:p w14:paraId="37A4A0BD">
            <w:pPr>
              <w:snapToGrid w:val="0"/>
              <w:spacing w:line="300" w:lineRule="exact"/>
              <w:rPr>
                <w:rFonts w:ascii="宋体" w:hAnsi="宋体" w:cs="宋体"/>
                <w:sz w:val="24"/>
                <w:szCs w:val="24"/>
              </w:rPr>
            </w:pPr>
            <w:r>
              <w:rPr>
                <w:rFonts w:hint="eastAsia" w:ascii="宋体" w:hAnsi="宋体" w:cs="宋体"/>
                <w:sz w:val="24"/>
                <w:szCs w:val="24"/>
              </w:rPr>
              <w:t>3.1潮气量：20ml～2000ml；</w:t>
            </w:r>
          </w:p>
          <w:p w14:paraId="01A9114A">
            <w:pPr>
              <w:snapToGrid w:val="0"/>
              <w:spacing w:line="300" w:lineRule="exact"/>
              <w:rPr>
                <w:rFonts w:ascii="宋体" w:hAnsi="宋体" w:cs="宋体"/>
                <w:sz w:val="24"/>
                <w:szCs w:val="24"/>
              </w:rPr>
            </w:pPr>
            <w:r>
              <w:rPr>
                <w:rFonts w:hint="eastAsia" w:ascii="宋体" w:hAnsi="宋体" w:cs="宋体"/>
                <w:sz w:val="24"/>
                <w:szCs w:val="24"/>
              </w:rPr>
              <w:t>3.2呼吸频率：1～100/min；</w:t>
            </w:r>
          </w:p>
          <w:p w14:paraId="3BDEFC1B">
            <w:pPr>
              <w:snapToGrid w:val="0"/>
              <w:spacing w:line="300" w:lineRule="exact"/>
              <w:rPr>
                <w:rFonts w:ascii="宋体" w:hAnsi="宋体" w:cs="宋体"/>
                <w:sz w:val="24"/>
                <w:szCs w:val="24"/>
              </w:rPr>
            </w:pPr>
            <w:r>
              <w:rPr>
                <w:rFonts w:hint="eastAsia" w:ascii="宋体" w:hAnsi="宋体" w:cs="宋体"/>
                <w:sz w:val="24"/>
                <w:szCs w:val="24"/>
              </w:rPr>
              <w:t>3.3最大峰值流速：≥180L/min；</w:t>
            </w:r>
          </w:p>
          <w:p w14:paraId="5C5A5C1B">
            <w:pPr>
              <w:snapToGrid w:val="0"/>
              <w:spacing w:line="300" w:lineRule="exact"/>
              <w:rPr>
                <w:rFonts w:ascii="宋体" w:hAnsi="宋体" w:cs="宋体"/>
                <w:sz w:val="24"/>
                <w:szCs w:val="24"/>
              </w:rPr>
            </w:pPr>
            <w:r>
              <w:rPr>
                <w:rFonts w:hint="eastAsia" w:ascii="宋体" w:hAnsi="宋体" w:cs="宋体"/>
                <w:sz w:val="24"/>
                <w:szCs w:val="24"/>
              </w:rPr>
              <w:t>3.4吸气压力：5—80 cmH</w:t>
            </w:r>
            <w:r>
              <w:rPr>
                <w:rFonts w:hint="eastAsia" w:ascii="宋体" w:hAnsi="宋体" w:cs="宋体"/>
                <w:sz w:val="24"/>
                <w:szCs w:val="24"/>
                <w:vertAlign w:val="subscript"/>
              </w:rPr>
              <w:t>2</w:t>
            </w:r>
            <w:r>
              <w:rPr>
                <w:rFonts w:hint="eastAsia" w:ascii="宋体" w:hAnsi="宋体" w:cs="宋体"/>
                <w:sz w:val="24"/>
                <w:szCs w:val="24"/>
              </w:rPr>
              <w:t>O；</w:t>
            </w:r>
          </w:p>
          <w:p w14:paraId="32E3A2BB">
            <w:pPr>
              <w:snapToGrid w:val="0"/>
              <w:spacing w:line="300" w:lineRule="exact"/>
              <w:rPr>
                <w:rFonts w:ascii="宋体" w:hAnsi="宋体" w:cs="宋体"/>
                <w:sz w:val="24"/>
                <w:szCs w:val="24"/>
              </w:rPr>
            </w:pPr>
            <w:r>
              <w:rPr>
                <w:rFonts w:hint="eastAsia" w:ascii="宋体" w:hAnsi="宋体" w:cs="宋体"/>
                <w:sz w:val="24"/>
                <w:szCs w:val="24"/>
              </w:rPr>
              <w:t>3.5吸气时间：0.1—10s；</w:t>
            </w:r>
          </w:p>
          <w:p w14:paraId="7842E50F">
            <w:pPr>
              <w:snapToGrid w:val="0"/>
              <w:spacing w:line="300" w:lineRule="exact"/>
              <w:rPr>
                <w:rFonts w:ascii="宋体" w:hAnsi="宋体" w:cs="宋体"/>
                <w:sz w:val="24"/>
                <w:szCs w:val="24"/>
              </w:rPr>
            </w:pPr>
            <w:r>
              <w:rPr>
                <w:rFonts w:hint="eastAsia" w:ascii="宋体" w:hAnsi="宋体" w:cs="宋体"/>
                <w:sz w:val="24"/>
                <w:szCs w:val="24"/>
              </w:rPr>
              <w:t>4.监测参数</w:t>
            </w:r>
          </w:p>
          <w:p w14:paraId="330D0E61">
            <w:pPr>
              <w:snapToGrid w:val="0"/>
              <w:spacing w:line="300" w:lineRule="exact"/>
              <w:rPr>
                <w:rFonts w:ascii="宋体" w:hAnsi="宋体" w:cs="宋体"/>
                <w:sz w:val="24"/>
                <w:szCs w:val="24"/>
              </w:rPr>
            </w:pPr>
            <w:r>
              <w:rPr>
                <w:rFonts w:hint="eastAsia" w:ascii="宋体" w:hAnsi="宋体" w:cs="宋体"/>
                <w:sz w:val="24"/>
                <w:szCs w:val="24"/>
              </w:rPr>
              <w:t>4.1气道压力监测：气道峰压、平台压、平均压、呼气末正压；</w:t>
            </w:r>
          </w:p>
          <w:p w14:paraId="0388462D">
            <w:pPr>
              <w:snapToGrid w:val="0"/>
              <w:spacing w:line="300" w:lineRule="exact"/>
              <w:rPr>
                <w:rFonts w:ascii="宋体" w:hAnsi="宋体" w:cs="宋体"/>
                <w:sz w:val="24"/>
                <w:szCs w:val="24"/>
              </w:rPr>
            </w:pPr>
            <w:r>
              <w:rPr>
                <w:rFonts w:hint="eastAsia" w:ascii="宋体" w:hAnsi="宋体" w:cs="宋体"/>
                <w:sz w:val="24"/>
                <w:szCs w:val="24"/>
              </w:rPr>
              <w:t>4.2分钟通气量监测：呼气分钟通气量、吸气分钟通气量、自主呼吸分钟通气量、分钟泄漏量、泄漏率;；</w:t>
            </w:r>
          </w:p>
          <w:p w14:paraId="64FD8DEC">
            <w:pPr>
              <w:snapToGrid w:val="0"/>
              <w:spacing w:line="300" w:lineRule="exact"/>
              <w:rPr>
                <w:rFonts w:ascii="宋体" w:hAnsi="宋体" w:cs="宋体"/>
                <w:sz w:val="24"/>
                <w:szCs w:val="24"/>
              </w:rPr>
            </w:pPr>
            <w:r>
              <w:rPr>
                <w:rFonts w:hint="eastAsia" w:ascii="宋体" w:hAnsi="宋体" w:cs="宋体"/>
                <w:sz w:val="24"/>
                <w:szCs w:val="24"/>
              </w:rPr>
              <w:t>4.3肺力学参数监测：吸气阻力、呼气阻力、顺应性、呼气时间常数，呼吸功；</w:t>
            </w:r>
          </w:p>
          <w:p w14:paraId="07180F29">
            <w:pPr>
              <w:snapToGrid w:val="0"/>
              <w:spacing w:line="300" w:lineRule="exact"/>
              <w:rPr>
                <w:rFonts w:ascii="宋体" w:hAnsi="宋体" w:cs="宋体"/>
                <w:sz w:val="24"/>
                <w:szCs w:val="24"/>
              </w:rPr>
            </w:pPr>
            <w:r>
              <w:rPr>
                <w:rFonts w:hint="eastAsia" w:ascii="宋体" w:hAnsi="宋体" w:cs="宋体"/>
                <w:sz w:val="24"/>
                <w:szCs w:val="24"/>
              </w:rPr>
              <w:t>5.报警功能：分钟通气量高，分钟通气量低，气道压力高，气道压力低，持续气道压力高，呼气末正压低，管路脱落报警，呼气潮气量低，自主后续频率高，窒息时间，吸入氧浓度高，吸入氧浓度低，交流电故障，电池电压低，电池耗尽，空气源不足，氧气源不足等报警功能；</w:t>
            </w:r>
          </w:p>
          <w:p w14:paraId="0F2A5950">
            <w:pPr>
              <w:snapToGrid w:val="0"/>
              <w:spacing w:line="300" w:lineRule="exact"/>
              <w:rPr>
                <w:rFonts w:ascii="宋体" w:hAnsi="宋体" w:cs="宋体"/>
                <w:sz w:val="24"/>
                <w:szCs w:val="24"/>
              </w:rPr>
            </w:pPr>
            <w:r>
              <w:rPr>
                <w:rFonts w:hint="eastAsia" w:ascii="宋体" w:hAnsi="宋体" w:cs="宋体"/>
                <w:sz w:val="24"/>
                <w:szCs w:val="24"/>
              </w:rPr>
              <w:t>6.设备使用年限≥10年。</w:t>
            </w:r>
          </w:p>
        </w:tc>
      </w:tr>
      <w:tr w14:paraId="662FD7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tcBorders>
              <w:top w:val="single" w:color="auto" w:sz="4" w:space="0"/>
              <w:left w:val="single" w:color="auto" w:sz="4" w:space="0"/>
              <w:bottom w:val="single" w:color="auto" w:sz="4" w:space="0"/>
              <w:right w:val="single" w:color="auto" w:sz="4" w:space="0"/>
            </w:tcBorders>
            <w:vAlign w:val="center"/>
          </w:tcPr>
          <w:p w14:paraId="4A6850B4">
            <w:pPr>
              <w:snapToGrid w:val="0"/>
              <w:spacing w:line="360" w:lineRule="auto"/>
              <w:jc w:val="center"/>
              <w:rPr>
                <w:rFonts w:ascii="宋体" w:hAnsi="宋体" w:cs="宋体"/>
                <w:sz w:val="24"/>
                <w:szCs w:val="24"/>
              </w:rPr>
            </w:pPr>
            <w:r>
              <w:rPr>
                <w:rFonts w:hint="eastAsia" w:ascii="宋体" w:hAnsi="宋体" w:cs="宋体"/>
                <w:sz w:val="24"/>
                <w:szCs w:val="24"/>
              </w:rPr>
              <w:t>4</w:t>
            </w:r>
          </w:p>
        </w:tc>
        <w:tc>
          <w:tcPr>
            <w:tcW w:w="704" w:type="pct"/>
            <w:tcBorders>
              <w:top w:val="single" w:color="auto" w:sz="4" w:space="0"/>
              <w:left w:val="single" w:color="auto" w:sz="4" w:space="0"/>
              <w:bottom w:val="single" w:color="auto" w:sz="4" w:space="0"/>
              <w:right w:val="single" w:color="auto" w:sz="4" w:space="0"/>
            </w:tcBorders>
            <w:vAlign w:val="center"/>
          </w:tcPr>
          <w:p w14:paraId="30F974D9">
            <w:pPr>
              <w:snapToGrid w:val="0"/>
              <w:spacing w:line="360" w:lineRule="auto"/>
              <w:jc w:val="center"/>
              <w:rPr>
                <w:rFonts w:ascii="宋体" w:hAnsi="宋体" w:cs="宋体"/>
                <w:sz w:val="24"/>
                <w:szCs w:val="24"/>
              </w:rPr>
            </w:pPr>
            <w:r>
              <w:rPr>
                <w:rFonts w:hint="eastAsia" w:ascii="宋体" w:hAnsi="宋体" w:cs="宋体"/>
                <w:sz w:val="24"/>
                <w:szCs w:val="24"/>
              </w:rPr>
              <w:t>呼吸机（4）</w:t>
            </w:r>
          </w:p>
        </w:tc>
        <w:tc>
          <w:tcPr>
            <w:tcW w:w="390" w:type="pct"/>
            <w:tcBorders>
              <w:top w:val="single" w:color="auto" w:sz="4" w:space="0"/>
              <w:left w:val="single" w:color="auto" w:sz="4" w:space="0"/>
              <w:bottom w:val="single" w:color="auto" w:sz="4" w:space="0"/>
              <w:right w:val="single" w:color="auto" w:sz="4" w:space="0"/>
            </w:tcBorders>
            <w:vAlign w:val="center"/>
          </w:tcPr>
          <w:p w14:paraId="48D7ED3B">
            <w:pPr>
              <w:jc w:val="center"/>
              <w:rPr>
                <w:rFonts w:cs="宋体"/>
                <w:color w:val="000000"/>
                <w:kern w:val="0"/>
                <w:sz w:val="24"/>
                <w:szCs w:val="21"/>
              </w:rPr>
            </w:pPr>
            <w:r>
              <w:rPr>
                <w:rFonts w:hint="eastAsia" w:ascii="宋体" w:hAnsi="宋体" w:cs="宋体"/>
                <w:sz w:val="24"/>
                <w:szCs w:val="24"/>
              </w:rPr>
              <w:t>台</w:t>
            </w:r>
          </w:p>
        </w:tc>
        <w:tc>
          <w:tcPr>
            <w:tcW w:w="439" w:type="pct"/>
            <w:tcBorders>
              <w:top w:val="single" w:color="auto" w:sz="4" w:space="0"/>
              <w:left w:val="single" w:color="auto" w:sz="4" w:space="0"/>
              <w:bottom w:val="single" w:color="auto" w:sz="4" w:space="0"/>
              <w:right w:val="single" w:color="auto" w:sz="4" w:space="0"/>
            </w:tcBorders>
            <w:vAlign w:val="center"/>
          </w:tcPr>
          <w:p w14:paraId="5C87E511">
            <w:pPr>
              <w:snapToGrid w:val="0"/>
              <w:spacing w:line="360" w:lineRule="auto"/>
              <w:jc w:val="center"/>
              <w:rPr>
                <w:rFonts w:ascii="宋体" w:hAnsi="宋体" w:cs="宋体"/>
                <w:sz w:val="24"/>
                <w:szCs w:val="24"/>
              </w:rPr>
            </w:pPr>
            <w:r>
              <w:rPr>
                <w:rFonts w:hint="eastAsia" w:ascii="宋体" w:hAnsi="宋体" w:cs="宋体"/>
                <w:sz w:val="24"/>
                <w:szCs w:val="24"/>
              </w:rPr>
              <w:t>4</w:t>
            </w:r>
          </w:p>
        </w:tc>
        <w:tc>
          <w:tcPr>
            <w:tcW w:w="3033" w:type="pct"/>
            <w:tcBorders>
              <w:top w:val="single" w:color="auto" w:sz="4" w:space="0"/>
              <w:left w:val="single" w:color="auto" w:sz="4" w:space="0"/>
              <w:bottom w:val="single" w:color="auto" w:sz="4" w:space="0"/>
              <w:right w:val="single" w:color="auto" w:sz="4" w:space="0"/>
            </w:tcBorders>
          </w:tcPr>
          <w:p w14:paraId="30A9F5BD">
            <w:pPr>
              <w:snapToGrid w:val="0"/>
              <w:spacing w:line="300" w:lineRule="exact"/>
              <w:rPr>
                <w:rFonts w:ascii="宋体" w:hAnsi="宋体" w:cs="宋体"/>
                <w:sz w:val="24"/>
                <w:szCs w:val="24"/>
              </w:rPr>
            </w:pPr>
            <w:r>
              <w:rPr>
                <w:rFonts w:hint="eastAsia" w:ascii="宋体" w:hAnsi="宋体" w:cs="宋体"/>
                <w:sz w:val="24"/>
                <w:szCs w:val="24"/>
              </w:rPr>
              <w:t>一、产品用途：设备用途说明：用于成人、儿童的机械通气治疗</w:t>
            </w:r>
          </w:p>
          <w:p w14:paraId="38DBD478">
            <w:pPr>
              <w:snapToGrid w:val="0"/>
              <w:spacing w:line="300" w:lineRule="exact"/>
              <w:rPr>
                <w:rFonts w:ascii="宋体" w:hAnsi="宋体" w:cs="宋体"/>
                <w:sz w:val="24"/>
                <w:szCs w:val="24"/>
              </w:rPr>
            </w:pPr>
            <w:r>
              <w:rPr>
                <w:rFonts w:hint="eastAsia" w:ascii="宋体" w:hAnsi="宋体" w:cs="宋体"/>
                <w:sz w:val="24"/>
                <w:szCs w:val="24"/>
              </w:rPr>
              <w:t>二、技术参数</w:t>
            </w:r>
          </w:p>
          <w:p w14:paraId="2105DAD6">
            <w:pPr>
              <w:snapToGrid w:val="0"/>
              <w:spacing w:line="300" w:lineRule="exact"/>
              <w:rPr>
                <w:rFonts w:ascii="宋体" w:hAnsi="宋体" w:cs="宋体"/>
                <w:sz w:val="24"/>
                <w:szCs w:val="24"/>
              </w:rPr>
            </w:pPr>
            <w:r>
              <w:rPr>
                <w:rFonts w:hint="eastAsia" w:ascii="宋体" w:hAnsi="宋体" w:cs="宋体"/>
                <w:sz w:val="24"/>
                <w:szCs w:val="24"/>
              </w:rPr>
              <w:t>1.气动电控呼吸机，支持中央供气和空气压缩机双方式驱动工作，适用于对成人、小儿和新生儿患者进行通气辅助及呼吸支持的呼吸机，中文操作界面。</w:t>
            </w:r>
          </w:p>
          <w:p w14:paraId="7E4B1DE2">
            <w:pPr>
              <w:snapToGrid w:val="0"/>
              <w:spacing w:line="300" w:lineRule="exact"/>
              <w:rPr>
                <w:rFonts w:ascii="宋体" w:hAnsi="宋体" w:cs="宋体"/>
                <w:sz w:val="24"/>
                <w:szCs w:val="24"/>
              </w:rPr>
            </w:pPr>
            <w:r>
              <w:rPr>
                <w:rFonts w:hint="eastAsia" w:ascii="宋体" w:hAnsi="宋体" w:cs="宋体"/>
                <w:sz w:val="24"/>
                <w:szCs w:val="24"/>
              </w:rPr>
              <w:t>★2.采用≥15.5英寸彩色触摸屏，分辨率≥1920*1080，支持手势滑动操作，支持无菌手套操作，≥5道波形同屏显示，支持短趋势、动态肺图、波形、监测值同屏显示；可提供≥4种环图，支持呼吸环图、波形和监测参数同屏显示。</w:t>
            </w:r>
          </w:p>
          <w:p w14:paraId="7FBC694B">
            <w:pPr>
              <w:snapToGrid w:val="0"/>
              <w:spacing w:line="300" w:lineRule="exact"/>
              <w:rPr>
                <w:rFonts w:ascii="宋体" w:hAnsi="宋体" w:cs="宋体"/>
                <w:sz w:val="24"/>
                <w:szCs w:val="24"/>
              </w:rPr>
            </w:pPr>
            <w:r>
              <w:rPr>
                <w:rFonts w:hint="eastAsia" w:ascii="宋体" w:hAnsi="宋体" w:cs="宋体"/>
                <w:sz w:val="24"/>
                <w:szCs w:val="24"/>
              </w:rPr>
              <w:t>3.≥90分钟内置后备可充电锂电池，电池总剩余电量能显示在屏幕上。</w:t>
            </w:r>
          </w:p>
          <w:p w14:paraId="55B8D8A9">
            <w:pPr>
              <w:snapToGrid w:val="0"/>
              <w:spacing w:line="300" w:lineRule="exact"/>
              <w:rPr>
                <w:rFonts w:hint="eastAsia" w:ascii="宋体" w:hAnsi="宋体" w:cs="宋体"/>
                <w:sz w:val="24"/>
                <w:szCs w:val="24"/>
                <w:highlight w:val="yellow"/>
              </w:rPr>
            </w:pPr>
            <w:r>
              <w:rPr>
                <w:rFonts w:hint="eastAsia" w:ascii="宋体" w:hAnsi="宋体" w:cs="宋体"/>
                <w:sz w:val="24"/>
                <w:szCs w:val="24"/>
                <w:highlight w:val="yellow"/>
              </w:rPr>
              <w:t>★4.配备双槽位插件箱/两个功能接口，支持拓展与监护仪通用的血氧及呼末二氧化碳模块。</w:t>
            </w:r>
          </w:p>
          <w:p w14:paraId="4A64CF85">
            <w:pPr>
              <w:snapToGrid w:val="0"/>
              <w:spacing w:line="300" w:lineRule="exact"/>
              <w:rPr>
                <w:rFonts w:ascii="宋体" w:hAnsi="宋体" w:cs="宋体"/>
                <w:sz w:val="24"/>
                <w:szCs w:val="24"/>
              </w:rPr>
            </w:pPr>
            <w:r>
              <w:rPr>
                <w:rFonts w:hint="eastAsia" w:ascii="宋体" w:hAnsi="宋体" w:cs="宋体"/>
                <w:sz w:val="24"/>
                <w:szCs w:val="24"/>
              </w:rPr>
              <w:t>★5.配备备用气源，机器可实时了解气源压力大小，支持转运。</w:t>
            </w:r>
          </w:p>
          <w:p w14:paraId="11F95815">
            <w:pPr>
              <w:snapToGrid w:val="0"/>
              <w:spacing w:line="300" w:lineRule="exact"/>
              <w:rPr>
                <w:rFonts w:ascii="宋体" w:hAnsi="宋体" w:cs="宋体"/>
                <w:sz w:val="24"/>
                <w:szCs w:val="24"/>
              </w:rPr>
            </w:pPr>
            <w:r>
              <w:rPr>
                <w:rFonts w:hint="eastAsia" w:ascii="宋体" w:hAnsi="宋体" w:cs="宋体"/>
                <w:sz w:val="24"/>
                <w:szCs w:val="24"/>
              </w:rPr>
              <w:t>6.吸气安全阀组件可拆卸，并能高温高压蒸汽消毒（134℃），以防止院内交叉感染,呼气阀组件一体化设计，内置金属膜片流量传感器，精度高，寿命长，并能高温高压蒸汽消毒（134℃）。</w:t>
            </w:r>
          </w:p>
          <w:p w14:paraId="2E10D8AB">
            <w:pPr>
              <w:snapToGrid w:val="0"/>
              <w:spacing w:line="300" w:lineRule="exact"/>
              <w:rPr>
                <w:rFonts w:ascii="宋体" w:hAnsi="宋体" w:cs="宋体"/>
                <w:sz w:val="24"/>
                <w:szCs w:val="24"/>
              </w:rPr>
            </w:pPr>
            <w:r>
              <w:rPr>
                <w:rFonts w:hint="eastAsia" w:ascii="宋体" w:hAnsi="宋体" w:cs="宋体"/>
                <w:sz w:val="24"/>
                <w:szCs w:val="24"/>
              </w:rPr>
              <w:t>7.具备图形化显示功能，能实时动态图形化显示患者气道阻力、肺顺应性、自主呼吸和分钟通气量等肺部力学参数。</w:t>
            </w:r>
          </w:p>
          <w:p w14:paraId="196B144B">
            <w:pPr>
              <w:snapToGrid w:val="0"/>
              <w:spacing w:line="300" w:lineRule="exact"/>
              <w:rPr>
                <w:rFonts w:ascii="宋体" w:hAnsi="宋体" w:cs="宋体"/>
                <w:sz w:val="24"/>
                <w:szCs w:val="24"/>
              </w:rPr>
            </w:pPr>
            <w:r>
              <w:rPr>
                <w:rFonts w:hint="eastAsia" w:ascii="宋体" w:hAnsi="宋体" w:cs="宋体"/>
                <w:sz w:val="24"/>
                <w:szCs w:val="24"/>
              </w:rPr>
              <w:t>8.标配模式：容量控制/辅助通气模式V-A/C和容量同步间歇指令通气模式V-SIMV（容量模式流速波形可调方波、50%或100%递减波）；压力控制/辅助通气模式P-A/C和压力同步间歇指令通气模式P-SIMV；持续气道正压通气模式/压力支持通气模式CPAP/PSV、窒息通气模式。</w:t>
            </w:r>
          </w:p>
          <w:p w14:paraId="5F9E44B1">
            <w:pPr>
              <w:snapToGrid w:val="0"/>
              <w:spacing w:line="300" w:lineRule="exact"/>
              <w:rPr>
                <w:rFonts w:ascii="宋体" w:hAnsi="宋体" w:cs="宋体"/>
                <w:sz w:val="24"/>
                <w:szCs w:val="24"/>
              </w:rPr>
            </w:pPr>
            <w:r>
              <w:rPr>
                <w:rFonts w:hint="eastAsia" w:ascii="宋体" w:hAnsi="宋体" w:cs="宋体"/>
                <w:sz w:val="24"/>
                <w:szCs w:val="24"/>
              </w:rPr>
              <w:t>9.支持升级高级模式：压力调节容量控制通气（如AUTOFLOW或者PRVC等）、压力调节容量控制-同步间歇指令通气模式（PRVC-SIMV）；气道压力释放通气APRV、双水平气道正压通气模式DuoLevel；容量支持通气VS；智能通气模式（如自适应分钟通气AMV，自适应支持通气ASV等），心肺复苏通气模式（如CPRV，CPR mode等）。</w:t>
            </w:r>
          </w:p>
          <w:p w14:paraId="773B7A70">
            <w:pPr>
              <w:snapToGrid w:val="0"/>
              <w:spacing w:line="300" w:lineRule="exact"/>
              <w:rPr>
                <w:rFonts w:ascii="宋体" w:hAnsi="宋体" w:cs="宋体"/>
                <w:sz w:val="24"/>
                <w:szCs w:val="24"/>
              </w:rPr>
            </w:pPr>
            <w:r>
              <w:rPr>
                <w:rFonts w:hint="eastAsia" w:ascii="宋体" w:hAnsi="宋体" w:cs="宋体"/>
                <w:sz w:val="24"/>
                <w:szCs w:val="24"/>
              </w:rPr>
              <w:t>10.支持智能AMV通气模式，具有≥3个调节表盘，更直观进行通气提示。</w:t>
            </w:r>
          </w:p>
          <w:p w14:paraId="67989ABF">
            <w:pPr>
              <w:snapToGrid w:val="0"/>
              <w:spacing w:line="300" w:lineRule="exact"/>
              <w:rPr>
                <w:rFonts w:ascii="宋体" w:hAnsi="宋体" w:cs="宋体"/>
                <w:sz w:val="24"/>
                <w:szCs w:val="24"/>
              </w:rPr>
            </w:pPr>
            <w:r>
              <w:rPr>
                <w:rFonts w:hint="eastAsia" w:ascii="宋体" w:hAnsi="宋体" w:cs="宋体"/>
                <w:sz w:val="24"/>
                <w:szCs w:val="24"/>
              </w:rPr>
              <w:t>11.支持无创通气模式，包含P-A/C、P-SIMV、CPAP/PSV、DuoLevel、APRV 和 PSV-S/T等模式。</w:t>
            </w:r>
          </w:p>
          <w:p w14:paraId="6BC71D50">
            <w:pPr>
              <w:snapToGrid w:val="0"/>
              <w:spacing w:line="300" w:lineRule="exact"/>
              <w:rPr>
                <w:rFonts w:ascii="宋体" w:hAnsi="宋体" w:cs="宋体"/>
                <w:sz w:val="24"/>
                <w:szCs w:val="24"/>
              </w:rPr>
            </w:pPr>
            <w:r>
              <w:rPr>
                <w:rFonts w:hint="eastAsia" w:ascii="宋体" w:hAnsi="宋体" w:cs="宋体"/>
                <w:sz w:val="24"/>
                <w:szCs w:val="24"/>
              </w:rPr>
              <w:t>★12.支持氧疗模式 ：具备高流速氧疗功能，氧疗流速（≥80L/min）和氧浓度可设，并具有氧疗计时功能。</w:t>
            </w:r>
          </w:p>
          <w:p w14:paraId="689E3F55">
            <w:pPr>
              <w:snapToGrid w:val="0"/>
              <w:spacing w:line="300" w:lineRule="exact"/>
              <w:rPr>
                <w:rFonts w:ascii="宋体" w:hAnsi="宋体" w:cs="宋体"/>
                <w:sz w:val="24"/>
                <w:szCs w:val="24"/>
              </w:rPr>
            </w:pPr>
            <w:r>
              <w:rPr>
                <w:rFonts w:hint="eastAsia" w:ascii="宋体" w:hAnsi="宋体" w:cs="宋体"/>
                <w:sz w:val="24"/>
                <w:szCs w:val="24"/>
              </w:rPr>
              <w:t>13.具有智能同步技术（如IntelliCycle，IntelliSync），自动调节吸气触发/呼气触发灵敏度，自动调节压力上升时间，提高病人自主呼吸时的舒适度和人机同步性。</w:t>
            </w:r>
          </w:p>
          <w:p w14:paraId="1A096CA1">
            <w:pPr>
              <w:snapToGrid w:val="0"/>
              <w:spacing w:line="300" w:lineRule="exact"/>
              <w:rPr>
                <w:rFonts w:ascii="宋体" w:hAnsi="宋体" w:cs="宋体"/>
                <w:sz w:val="24"/>
                <w:szCs w:val="24"/>
              </w:rPr>
            </w:pPr>
            <w:r>
              <w:rPr>
                <w:rFonts w:hint="eastAsia" w:ascii="宋体" w:hAnsi="宋体" w:cs="宋体"/>
                <w:sz w:val="24"/>
                <w:szCs w:val="24"/>
              </w:rPr>
              <w:t>14.设置参数</w:t>
            </w:r>
          </w:p>
          <w:p w14:paraId="500ADE62">
            <w:pPr>
              <w:snapToGrid w:val="0"/>
              <w:spacing w:line="300" w:lineRule="exact"/>
              <w:rPr>
                <w:rFonts w:ascii="宋体" w:hAnsi="宋体" w:cs="宋体"/>
                <w:sz w:val="24"/>
                <w:szCs w:val="24"/>
              </w:rPr>
            </w:pPr>
            <w:r>
              <w:rPr>
                <w:rFonts w:hint="eastAsia" w:ascii="宋体" w:hAnsi="宋体" w:cs="宋体"/>
                <w:sz w:val="24"/>
                <w:szCs w:val="24"/>
              </w:rPr>
              <w:t>潮气量：20ml—4000ml</w:t>
            </w:r>
          </w:p>
          <w:p w14:paraId="28DA8128">
            <w:pPr>
              <w:snapToGrid w:val="0"/>
              <w:spacing w:line="300" w:lineRule="exact"/>
              <w:rPr>
                <w:rFonts w:ascii="宋体" w:hAnsi="宋体" w:cs="宋体"/>
                <w:sz w:val="24"/>
                <w:szCs w:val="24"/>
              </w:rPr>
            </w:pPr>
            <w:r>
              <w:rPr>
                <w:rFonts w:hint="eastAsia" w:ascii="宋体" w:hAnsi="宋体" w:cs="宋体"/>
                <w:sz w:val="24"/>
                <w:szCs w:val="24"/>
              </w:rPr>
              <w:t>呼吸频率：1-100/min</w:t>
            </w:r>
          </w:p>
          <w:p w14:paraId="43F6F97A">
            <w:pPr>
              <w:snapToGrid w:val="0"/>
              <w:spacing w:line="300" w:lineRule="exact"/>
              <w:rPr>
                <w:rFonts w:ascii="宋体" w:hAnsi="宋体" w:cs="宋体"/>
                <w:sz w:val="24"/>
                <w:szCs w:val="24"/>
              </w:rPr>
            </w:pPr>
            <w:r>
              <w:rPr>
                <w:rFonts w:hint="eastAsia" w:ascii="宋体" w:hAnsi="宋体" w:cs="宋体"/>
                <w:sz w:val="24"/>
                <w:szCs w:val="24"/>
              </w:rPr>
              <w:t>吸气流速：6-180L/min</w:t>
            </w:r>
          </w:p>
          <w:p w14:paraId="35B686FD">
            <w:pPr>
              <w:snapToGrid w:val="0"/>
              <w:spacing w:line="300" w:lineRule="exact"/>
              <w:rPr>
                <w:rFonts w:ascii="宋体" w:hAnsi="宋体" w:cs="宋体"/>
                <w:sz w:val="24"/>
                <w:szCs w:val="24"/>
              </w:rPr>
            </w:pPr>
            <w:r>
              <w:rPr>
                <w:rFonts w:hint="eastAsia" w:ascii="宋体" w:hAnsi="宋体" w:cs="宋体"/>
                <w:sz w:val="24"/>
                <w:szCs w:val="24"/>
              </w:rPr>
              <w:t>最大峰值流速：180L/min</w:t>
            </w:r>
          </w:p>
          <w:p w14:paraId="66148731">
            <w:pPr>
              <w:snapToGrid w:val="0"/>
              <w:spacing w:line="300" w:lineRule="exact"/>
              <w:rPr>
                <w:rFonts w:ascii="宋体" w:hAnsi="宋体" w:cs="宋体"/>
                <w:sz w:val="24"/>
                <w:szCs w:val="24"/>
              </w:rPr>
            </w:pPr>
            <w:r>
              <w:rPr>
                <w:rFonts w:hint="eastAsia" w:ascii="宋体" w:hAnsi="宋体" w:cs="宋体"/>
                <w:sz w:val="24"/>
                <w:szCs w:val="24"/>
              </w:rPr>
              <w:t>PEEP：0~50 cmH</w:t>
            </w:r>
            <w:r>
              <w:rPr>
                <w:rFonts w:hint="eastAsia" w:ascii="宋体" w:hAnsi="宋体" w:cs="宋体"/>
                <w:sz w:val="24"/>
                <w:szCs w:val="24"/>
                <w:vertAlign w:val="subscript"/>
              </w:rPr>
              <w:t>2</w:t>
            </w:r>
            <w:r>
              <w:rPr>
                <w:rFonts w:hint="eastAsia" w:ascii="宋体" w:hAnsi="宋体" w:cs="宋体"/>
                <w:sz w:val="24"/>
                <w:szCs w:val="24"/>
              </w:rPr>
              <w:t>O</w:t>
            </w:r>
          </w:p>
          <w:p w14:paraId="7720AFA9">
            <w:pPr>
              <w:snapToGrid w:val="0"/>
              <w:spacing w:line="300" w:lineRule="exact"/>
              <w:rPr>
                <w:rFonts w:ascii="宋体" w:hAnsi="宋体" w:cs="宋体"/>
                <w:sz w:val="24"/>
                <w:szCs w:val="24"/>
              </w:rPr>
            </w:pPr>
            <w:r>
              <w:rPr>
                <w:rFonts w:hint="eastAsia" w:ascii="宋体" w:hAnsi="宋体" w:cs="宋体"/>
                <w:sz w:val="24"/>
                <w:szCs w:val="24"/>
              </w:rPr>
              <w:t>呼气触发灵敏度：Auto,1-85%</w:t>
            </w:r>
          </w:p>
          <w:p w14:paraId="04EB555C">
            <w:pPr>
              <w:snapToGrid w:val="0"/>
              <w:spacing w:line="300" w:lineRule="exact"/>
              <w:rPr>
                <w:rFonts w:ascii="宋体" w:hAnsi="宋体" w:cs="宋体"/>
                <w:sz w:val="24"/>
                <w:szCs w:val="24"/>
              </w:rPr>
            </w:pPr>
            <w:r>
              <w:rPr>
                <w:rFonts w:hint="eastAsia" w:ascii="宋体" w:hAnsi="宋体" w:cs="宋体"/>
                <w:sz w:val="24"/>
                <w:szCs w:val="24"/>
              </w:rPr>
              <w:t>具备叹息功能：</w:t>
            </w:r>
          </w:p>
          <w:p w14:paraId="34657D49">
            <w:pPr>
              <w:snapToGrid w:val="0"/>
              <w:spacing w:line="300" w:lineRule="exact"/>
              <w:rPr>
                <w:rFonts w:ascii="宋体" w:hAnsi="宋体" w:cs="宋体"/>
                <w:sz w:val="24"/>
                <w:szCs w:val="24"/>
              </w:rPr>
            </w:pPr>
            <w:r>
              <w:rPr>
                <w:rFonts w:hint="eastAsia" w:ascii="宋体" w:hAnsi="宋体" w:cs="宋体"/>
                <w:sz w:val="24"/>
                <w:szCs w:val="24"/>
              </w:rPr>
              <w:t>15.具有自动插管阻力补偿（如ATRC，TRC）功能。</w:t>
            </w:r>
          </w:p>
          <w:p w14:paraId="363BCFB0">
            <w:pPr>
              <w:snapToGrid w:val="0"/>
              <w:spacing w:line="300" w:lineRule="exact"/>
              <w:rPr>
                <w:rFonts w:ascii="宋体" w:hAnsi="宋体" w:cs="宋体"/>
                <w:sz w:val="24"/>
                <w:szCs w:val="24"/>
              </w:rPr>
            </w:pPr>
            <w:r>
              <w:rPr>
                <w:rFonts w:hint="eastAsia" w:ascii="宋体" w:hAnsi="宋体" w:cs="宋体"/>
                <w:sz w:val="24"/>
                <w:szCs w:val="24"/>
              </w:rPr>
              <w:t>16.具备脱机辅助工具，用户可定制脱机指征并设定报警范围，提供全面的脱机信息，一键启动SBT（自主呼吸实验），规范脱机流程；具有NIF、RSBi及P0. 1等脱机参数监测和测量。</w:t>
            </w:r>
          </w:p>
          <w:p w14:paraId="068DB1AD">
            <w:pPr>
              <w:snapToGrid w:val="0"/>
              <w:spacing w:line="300" w:lineRule="exact"/>
              <w:rPr>
                <w:rFonts w:ascii="宋体" w:hAnsi="宋体" w:cs="宋体"/>
                <w:sz w:val="24"/>
                <w:szCs w:val="24"/>
              </w:rPr>
            </w:pPr>
            <w:r>
              <w:rPr>
                <w:rFonts w:hint="eastAsia" w:ascii="宋体" w:hAnsi="宋体" w:cs="宋体"/>
                <w:sz w:val="24"/>
                <w:szCs w:val="24"/>
              </w:rPr>
              <w:t>★17.支持复张工具，提供控制性肺膨胀法（SI）进行肺复张，可一键启动并能提供历史数据回顾；标配低流速P-V工具，帮助确定最佳PEEP值。</w:t>
            </w:r>
          </w:p>
          <w:p w14:paraId="60443450">
            <w:pPr>
              <w:snapToGrid w:val="0"/>
              <w:spacing w:line="300" w:lineRule="exact"/>
              <w:rPr>
                <w:rFonts w:ascii="宋体" w:hAnsi="宋体" w:cs="宋体"/>
                <w:sz w:val="24"/>
                <w:szCs w:val="24"/>
              </w:rPr>
            </w:pPr>
            <w:r>
              <w:rPr>
                <w:rFonts w:hint="eastAsia" w:ascii="宋体" w:hAnsi="宋体" w:cs="宋体"/>
                <w:sz w:val="24"/>
                <w:szCs w:val="24"/>
              </w:rPr>
              <w:t>18.具有人机不同步事件自动识别可以实时自动识别并标注无效触发、双触发、反向触发、误触发和流速饥渴中的≥3种。并提供人机不同步事件统计看板，显示最近各种人机不同步事件的发生率。</w:t>
            </w:r>
          </w:p>
          <w:p w14:paraId="67B8018E">
            <w:pPr>
              <w:snapToGrid w:val="0"/>
              <w:spacing w:line="300" w:lineRule="exact"/>
              <w:rPr>
                <w:rFonts w:ascii="宋体" w:hAnsi="宋体" w:cs="宋体"/>
                <w:sz w:val="24"/>
                <w:szCs w:val="24"/>
              </w:rPr>
            </w:pPr>
            <w:r>
              <w:rPr>
                <w:rFonts w:hint="eastAsia" w:ascii="宋体" w:hAnsi="宋体" w:cs="宋体"/>
                <w:sz w:val="24"/>
                <w:szCs w:val="24"/>
              </w:rPr>
              <w:t>19.支持升级模块化集成EIT到呼吸机上或者与通过设备集成模块实现EIT单机数据互联，实现EIT图像和通气波形同屏实时显示。</w:t>
            </w:r>
          </w:p>
          <w:p w14:paraId="7B7031A9">
            <w:pPr>
              <w:snapToGrid w:val="0"/>
              <w:spacing w:line="300" w:lineRule="exact"/>
              <w:rPr>
                <w:rFonts w:ascii="宋体" w:hAnsi="宋体" w:cs="宋体"/>
                <w:sz w:val="24"/>
                <w:szCs w:val="24"/>
              </w:rPr>
            </w:pPr>
            <w:r>
              <w:rPr>
                <w:rFonts w:hint="eastAsia" w:ascii="宋体" w:hAnsi="宋体" w:cs="宋体"/>
                <w:sz w:val="24"/>
                <w:szCs w:val="24"/>
              </w:rPr>
              <w:t>20.自主呼吸努力Pmus监测功能或者FRC监测功能。</w:t>
            </w:r>
          </w:p>
          <w:p w14:paraId="3EAA7951">
            <w:pPr>
              <w:snapToGrid w:val="0"/>
              <w:spacing w:line="300" w:lineRule="exact"/>
              <w:rPr>
                <w:rFonts w:ascii="宋体" w:hAnsi="宋体" w:cs="宋体"/>
                <w:sz w:val="24"/>
                <w:szCs w:val="24"/>
              </w:rPr>
            </w:pPr>
            <w:r>
              <w:rPr>
                <w:rFonts w:hint="eastAsia" w:ascii="宋体" w:hAnsi="宋体" w:cs="宋体"/>
                <w:sz w:val="24"/>
                <w:szCs w:val="24"/>
              </w:rPr>
              <w:t>21.具有待机功能并可设定病人理想体重或身高，具有单位理想体重呼气潮气量 （TVe/IBW）参数监测功能。</w:t>
            </w:r>
          </w:p>
          <w:p w14:paraId="0379FEC9">
            <w:pPr>
              <w:snapToGrid w:val="0"/>
              <w:spacing w:line="300" w:lineRule="exact"/>
              <w:rPr>
                <w:rFonts w:ascii="宋体" w:hAnsi="宋体" w:cs="宋体"/>
                <w:sz w:val="24"/>
                <w:szCs w:val="24"/>
              </w:rPr>
            </w:pPr>
            <w:r>
              <w:rPr>
                <w:rFonts w:hint="eastAsia" w:ascii="宋体" w:hAnsi="宋体" w:cs="宋体"/>
                <w:sz w:val="24"/>
                <w:szCs w:val="24"/>
              </w:rPr>
              <w:t>22.肺力学参数监测：吸气阻力、呼气阻力、静态顺应性、动态顺应性、时间常数、总呼吸功、病人呼吸功、机器呼吸功、附加功等参数监测。</w:t>
            </w:r>
          </w:p>
          <w:p w14:paraId="73CFAFCD">
            <w:pPr>
              <w:snapToGrid w:val="0"/>
              <w:spacing w:line="300" w:lineRule="exact"/>
              <w:rPr>
                <w:rFonts w:ascii="宋体" w:hAnsi="宋体" w:cs="宋体"/>
                <w:sz w:val="24"/>
                <w:szCs w:val="24"/>
              </w:rPr>
            </w:pPr>
            <w:r>
              <w:rPr>
                <w:rFonts w:hint="eastAsia" w:ascii="宋体" w:hAnsi="宋体" w:cs="宋体"/>
                <w:sz w:val="24"/>
                <w:szCs w:val="24"/>
              </w:rPr>
              <w:t>23.气道压力监测：气道峰压、平台压、平均压、呼气末正压、驱动压等参数监测。</w:t>
            </w:r>
          </w:p>
          <w:p w14:paraId="23AE6CEB">
            <w:pPr>
              <w:snapToGrid w:val="0"/>
              <w:spacing w:line="300" w:lineRule="exact"/>
              <w:rPr>
                <w:rFonts w:ascii="宋体" w:hAnsi="宋体" w:cs="宋体"/>
                <w:sz w:val="24"/>
                <w:szCs w:val="24"/>
              </w:rPr>
            </w:pPr>
            <w:r>
              <w:rPr>
                <w:rFonts w:hint="eastAsia" w:ascii="宋体" w:hAnsi="宋体" w:cs="宋体"/>
                <w:sz w:val="24"/>
                <w:szCs w:val="24"/>
              </w:rPr>
              <w:t>24.实时监测压力-时间曲线形态，并量化为牵张指数Stress Index辅助临床判断与决策。</w:t>
            </w:r>
          </w:p>
          <w:p w14:paraId="0E92F067">
            <w:pPr>
              <w:snapToGrid w:val="0"/>
              <w:spacing w:line="300" w:lineRule="exact"/>
              <w:rPr>
                <w:rFonts w:ascii="宋体" w:hAnsi="宋体" w:cs="宋体"/>
                <w:sz w:val="24"/>
                <w:szCs w:val="24"/>
              </w:rPr>
            </w:pPr>
            <w:r>
              <w:rPr>
                <w:rFonts w:hint="eastAsia" w:ascii="宋体" w:hAnsi="宋体" w:cs="宋体"/>
                <w:sz w:val="24"/>
                <w:szCs w:val="24"/>
              </w:rPr>
              <w:t>25.实时监测压力/容积环形态，并量化为肺过度膨胀系数C20/C辅助临床判断与决策。</w:t>
            </w:r>
          </w:p>
          <w:p w14:paraId="53AE856A">
            <w:pPr>
              <w:snapToGrid w:val="0"/>
              <w:spacing w:line="300" w:lineRule="exact"/>
              <w:rPr>
                <w:rFonts w:ascii="宋体" w:hAnsi="宋体" w:cs="宋体"/>
                <w:sz w:val="24"/>
                <w:szCs w:val="24"/>
              </w:rPr>
            </w:pPr>
            <w:r>
              <w:rPr>
                <w:rFonts w:hint="eastAsia" w:ascii="宋体" w:hAnsi="宋体" w:cs="宋体"/>
                <w:sz w:val="24"/>
                <w:szCs w:val="24"/>
              </w:rPr>
              <w:t>26.配置湿化器，湿化器有电容触摸屏，便于观察和操作，湿化器标配蓝牙。</w:t>
            </w:r>
          </w:p>
          <w:p w14:paraId="7D9C4FB4">
            <w:pPr>
              <w:snapToGrid w:val="0"/>
              <w:spacing w:line="300" w:lineRule="exact"/>
              <w:rPr>
                <w:rFonts w:ascii="宋体" w:hAnsi="宋体" w:cs="宋体"/>
                <w:sz w:val="24"/>
                <w:szCs w:val="24"/>
              </w:rPr>
            </w:pPr>
            <w:r>
              <w:rPr>
                <w:rFonts w:hint="eastAsia" w:ascii="宋体" w:hAnsi="宋体" w:cs="宋体"/>
                <w:sz w:val="24"/>
                <w:szCs w:val="24"/>
                <w:highlight w:val="yellow"/>
              </w:rPr>
              <w:t>27.信息互连：支持升级连接中央站，可通过有线.无线方式直接与监护仪和中央监护系统互联，把呼吸机的监测信息参数和波形实时显示到监护仪和中央监护系统上，满足科室信息化的需求，呼吸机可与监护仪以及非同品牌输注泵通过无线方式融合显示在中央站界面。</w:t>
            </w:r>
          </w:p>
          <w:p w14:paraId="4936796A">
            <w:pPr>
              <w:snapToGrid w:val="0"/>
              <w:spacing w:line="300" w:lineRule="exact"/>
              <w:rPr>
                <w:rFonts w:ascii="宋体" w:hAnsi="宋体" w:cs="宋体"/>
                <w:sz w:val="24"/>
                <w:szCs w:val="24"/>
              </w:rPr>
            </w:pPr>
            <w:r>
              <w:rPr>
                <w:rFonts w:hint="eastAsia" w:ascii="宋体" w:hAnsi="宋体" w:cs="宋体"/>
                <w:sz w:val="24"/>
                <w:szCs w:val="24"/>
              </w:rPr>
              <w:t>二、配置要求：</w:t>
            </w:r>
          </w:p>
          <w:p w14:paraId="662B42E0">
            <w:pPr>
              <w:snapToGrid w:val="0"/>
              <w:spacing w:line="300" w:lineRule="exact"/>
              <w:rPr>
                <w:rFonts w:ascii="宋体" w:hAnsi="宋体" w:cs="宋体"/>
                <w:sz w:val="24"/>
                <w:szCs w:val="24"/>
              </w:rPr>
            </w:pPr>
            <w:r>
              <w:rPr>
                <w:rFonts w:hint="eastAsia" w:ascii="宋体" w:hAnsi="宋体" w:cs="宋体"/>
                <w:sz w:val="24"/>
                <w:szCs w:val="24"/>
              </w:rPr>
              <w:t>1、呼吸机主机（含备用气源）*1</w:t>
            </w:r>
          </w:p>
          <w:p w14:paraId="5F30608F">
            <w:pPr>
              <w:snapToGrid w:val="0"/>
              <w:spacing w:line="300" w:lineRule="exact"/>
              <w:rPr>
                <w:rFonts w:ascii="宋体" w:hAnsi="宋体" w:cs="宋体"/>
                <w:sz w:val="24"/>
                <w:szCs w:val="24"/>
              </w:rPr>
            </w:pPr>
            <w:r>
              <w:rPr>
                <w:rFonts w:hint="eastAsia" w:ascii="宋体" w:hAnsi="宋体" w:cs="宋体"/>
                <w:sz w:val="24"/>
                <w:szCs w:val="24"/>
              </w:rPr>
              <w:t>2、国标电源线*1</w:t>
            </w:r>
          </w:p>
          <w:p w14:paraId="417B9CB4">
            <w:pPr>
              <w:snapToGrid w:val="0"/>
              <w:spacing w:line="300" w:lineRule="exact"/>
              <w:rPr>
                <w:rFonts w:ascii="宋体" w:hAnsi="宋体" w:cs="宋体"/>
                <w:sz w:val="24"/>
                <w:szCs w:val="24"/>
              </w:rPr>
            </w:pPr>
            <w:r>
              <w:rPr>
                <w:rFonts w:hint="eastAsia" w:ascii="宋体" w:hAnsi="宋体" w:cs="宋体"/>
                <w:sz w:val="24"/>
                <w:szCs w:val="24"/>
              </w:rPr>
              <w:t>3、台车*1</w:t>
            </w:r>
          </w:p>
          <w:p w14:paraId="55C2EF4D">
            <w:pPr>
              <w:snapToGrid w:val="0"/>
              <w:spacing w:line="300" w:lineRule="exact"/>
              <w:rPr>
                <w:rFonts w:ascii="宋体" w:hAnsi="宋体" w:cs="宋体"/>
                <w:sz w:val="24"/>
                <w:szCs w:val="24"/>
              </w:rPr>
            </w:pPr>
            <w:r>
              <w:rPr>
                <w:rFonts w:hint="eastAsia" w:ascii="宋体" w:hAnsi="宋体" w:cs="宋体"/>
                <w:sz w:val="24"/>
                <w:szCs w:val="24"/>
              </w:rPr>
              <w:t>4、湿化器1个</w:t>
            </w:r>
          </w:p>
          <w:p w14:paraId="4A8B845D">
            <w:pPr>
              <w:snapToGrid w:val="0"/>
              <w:spacing w:line="300" w:lineRule="exact"/>
              <w:rPr>
                <w:rFonts w:ascii="宋体" w:hAnsi="宋体" w:cs="宋体"/>
                <w:sz w:val="24"/>
                <w:szCs w:val="24"/>
              </w:rPr>
            </w:pPr>
            <w:r>
              <w:rPr>
                <w:rFonts w:hint="eastAsia" w:ascii="宋体" w:hAnsi="宋体" w:cs="宋体"/>
                <w:sz w:val="24"/>
                <w:szCs w:val="24"/>
              </w:rPr>
              <w:t>5、支臂1个</w:t>
            </w:r>
          </w:p>
          <w:p w14:paraId="4D65B22C">
            <w:pPr>
              <w:snapToGrid w:val="0"/>
              <w:spacing w:line="300" w:lineRule="exact"/>
              <w:rPr>
                <w:rFonts w:ascii="宋体" w:hAnsi="宋体" w:cs="宋体"/>
                <w:sz w:val="24"/>
                <w:szCs w:val="24"/>
              </w:rPr>
            </w:pPr>
            <w:r>
              <w:rPr>
                <w:rFonts w:hint="eastAsia" w:ascii="宋体" w:hAnsi="宋体" w:cs="宋体"/>
                <w:sz w:val="24"/>
                <w:szCs w:val="24"/>
              </w:rPr>
              <w:t>6、模拟肺1个</w:t>
            </w:r>
          </w:p>
          <w:p w14:paraId="0CF91C0C">
            <w:pPr>
              <w:snapToGrid w:val="0"/>
              <w:spacing w:line="300" w:lineRule="exact"/>
              <w:rPr>
                <w:rFonts w:ascii="宋体" w:hAnsi="宋体" w:cs="宋体"/>
                <w:sz w:val="24"/>
                <w:szCs w:val="24"/>
              </w:rPr>
            </w:pPr>
            <w:r>
              <w:rPr>
                <w:rFonts w:hint="eastAsia" w:ascii="宋体" w:hAnsi="宋体" w:cs="宋体"/>
                <w:sz w:val="24"/>
                <w:szCs w:val="24"/>
              </w:rPr>
              <w:t>7、呼吸管路1套</w:t>
            </w:r>
          </w:p>
        </w:tc>
      </w:tr>
    </w:tbl>
    <w:p w14:paraId="3F62EA98">
      <w:pPr>
        <w:spacing w:line="360" w:lineRule="auto"/>
        <w:ind w:firstLine="480" w:firstLineChars="200"/>
        <w:outlineLvl w:val="0"/>
        <w:rPr>
          <w:sz w:val="24"/>
        </w:rPr>
      </w:pPr>
      <w:r>
        <w:rPr>
          <w:rFonts w:hint="eastAsia"/>
          <w:sz w:val="24"/>
        </w:rPr>
        <w:t>加注“▲”号的产品为核心产品（如未明确核心产品，则视为全部产品均为核心产品），任意一种核心产品为同一品牌时，按照第三部分第32.4条款执行。</w:t>
      </w:r>
    </w:p>
    <w:p w14:paraId="1990BF47">
      <w:pPr>
        <w:tabs>
          <w:tab w:val="left" w:pos="210"/>
        </w:tabs>
        <w:autoSpaceDE w:val="0"/>
        <w:autoSpaceDN w:val="0"/>
        <w:adjustRightInd w:val="0"/>
        <w:spacing w:line="360" w:lineRule="auto"/>
        <w:ind w:firstLine="480" w:firstLineChars="200"/>
        <w:outlineLvl w:val="0"/>
        <w:rPr>
          <w:color w:val="000000"/>
          <w:sz w:val="24"/>
          <w:szCs w:val="24"/>
        </w:rPr>
      </w:pPr>
      <w:r>
        <w:rPr>
          <w:rFonts w:hint="eastAsia"/>
          <w:color w:val="000000"/>
          <w:sz w:val="24"/>
          <w:szCs w:val="24"/>
        </w:rPr>
        <w:t>三</w:t>
      </w:r>
      <w:r>
        <w:rPr>
          <w:color w:val="000000"/>
          <w:sz w:val="24"/>
          <w:szCs w:val="24"/>
        </w:rPr>
        <w:t>、</w:t>
      </w:r>
      <w:r>
        <w:rPr>
          <w:rFonts w:hint="eastAsia"/>
          <w:sz w:val="24"/>
          <w:szCs w:val="24"/>
        </w:rPr>
        <w:t>商务要求</w:t>
      </w:r>
    </w:p>
    <w:p w14:paraId="6CD67E6E">
      <w:pPr>
        <w:autoSpaceDE w:val="0"/>
        <w:autoSpaceDN w:val="0"/>
        <w:adjustRightInd w:val="0"/>
        <w:spacing w:line="360" w:lineRule="auto"/>
        <w:ind w:firstLine="480" w:firstLineChars="200"/>
        <w:rPr>
          <w:color w:val="000000"/>
          <w:sz w:val="24"/>
        </w:rPr>
      </w:pPr>
      <w:r>
        <w:rPr>
          <w:rFonts w:hint="eastAsia" w:cs="宋体"/>
          <w:kern w:val="0"/>
          <w:sz w:val="24"/>
          <w:szCs w:val="24"/>
        </w:rPr>
        <w:t>★</w:t>
      </w:r>
      <w:r>
        <w:rPr>
          <w:rFonts w:hint="eastAsia"/>
          <w:color w:val="000000"/>
          <w:sz w:val="24"/>
        </w:rPr>
        <w:t>（一）报价要求</w:t>
      </w:r>
    </w:p>
    <w:p w14:paraId="675FD03E">
      <w:pPr>
        <w:autoSpaceDE w:val="0"/>
        <w:autoSpaceDN w:val="0"/>
        <w:adjustRightInd w:val="0"/>
        <w:spacing w:line="360" w:lineRule="auto"/>
        <w:ind w:firstLine="480" w:firstLineChars="200"/>
        <w:rPr>
          <w:color w:val="000000"/>
          <w:sz w:val="24"/>
        </w:rPr>
      </w:pPr>
      <w:r>
        <w:rPr>
          <w:rFonts w:hint="eastAsia"/>
          <w:color w:val="000000"/>
          <w:sz w:val="24"/>
        </w:rPr>
        <w:t>1. 投标报价以人民币填列。</w:t>
      </w:r>
    </w:p>
    <w:p w14:paraId="5E7A7EF1">
      <w:pPr>
        <w:autoSpaceDE w:val="0"/>
        <w:autoSpaceDN w:val="0"/>
        <w:adjustRightInd w:val="0"/>
        <w:spacing w:line="360" w:lineRule="auto"/>
        <w:ind w:firstLine="480" w:firstLineChars="200"/>
        <w:rPr>
          <w:color w:val="000000"/>
          <w:sz w:val="24"/>
        </w:rPr>
      </w:pPr>
      <w:r>
        <w:rPr>
          <w:rFonts w:hint="eastAsia"/>
          <w:color w:val="000000"/>
          <w:sz w:val="24"/>
        </w:rPr>
        <w:t>2. 投标人的报价应包括：设备主机及附件货款、运输费、运输保险费、装卸费、安装调试费及利润税金等为完成招标文件规定的全部要求所需的一切费用。投标人所报价格为货到现场安装调试完成的最终优惠价格。</w:t>
      </w:r>
    </w:p>
    <w:p w14:paraId="6F790448">
      <w:pPr>
        <w:autoSpaceDE w:val="0"/>
        <w:autoSpaceDN w:val="0"/>
        <w:adjustRightInd w:val="0"/>
        <w:spacing w:line="360" w:lineRule="auto"/>
        <w:ind w:firstLine="480" w:firstLineChars="200"/>
        <w:rPr>
          <w:color w:val="000000"/>
          <w:sz w:val="24"/>
        </w:rPr>
      </w:pPr>
      <w:r>
        <w:rPr>
          <w:rFonts w:hint="eastAsia"/>
          <w:color w:val="000000"/>
          <w:sz w:val="24"/>
        </w:rPr>
        <w:t>3. 验收及相关费用由投标人负责。</w:t>
      </w:r>
    </w:p>
    <w:p w14:paraId="32BF2B68">
      <w:pPr>
        <w:autoSpaceDE w:val="0"/>
        <w:autoSpaceDN w:val="0"/>
        <w:adjustRightInd w:val="0"/>
        <w:spacing w:line="360" w:lineRule="auto"/>
        <w:ind w:firstLine="480" w:firstLineChars="200"/>
        <w:rPr>
          <w:sz w:val="24"/>
        </w:rPr>
      </w:pPr>
      <w:r>
        <w:rPr>
          <w:rFonts w:hint="eastAsia"/>
          <w:sz w:val="24"/>
        </w:rPr>
        <w:t>（二）服务要求</w:t>
      </w:r>
    </w:p>
    <w:p w14:paraId="56DB560A">
      <w:pPr>
        <w:autoSpaceDE w:val="0"/>
        <w:autoSpaceDN w:val="0"/>
        <w:adjustRightInd w:val="0"/>
        <w:spacing w:line="360" w:lineRule="auto"/>
        <w:ind w:firstLine="480" w:firstLineChars="200"/>
        <w:rPr>
          <w:sz w:val="24"/>
        </w:rPr>
      </w:pPr>
      <w:r>
        <w:rPr>
          <w:rFonts w:hint="eastAsia"/>
          <w:sz w:val="24"/>
        </w:rPr>
        <w:t>1. 第一至第三包提供所投全部产品5年原厂整机质保；</w:t>
      </w:r>
    </w:p>
    <w:p w14:paraId="10E80EC9">
      <w:pPr>
        <w:autoSpaceDE w:val="0"/>
        <w:autoSpaceDN w:val="0"/>
        <w:adjustRightInd w:val="0"/>
        <w:spacing w:line="360" w:lineRule="auto"/>
        <w:ind w:firstLine="480" w:firstLineChars="200"/>
        <w:rPr>
          <w:sz w:val="24"/>
        </w:rPr>
      </w:pPr>
      <w:r>
        <w:rPr>
          <w:rFonts w:hint="eastAsia"/>
          <w:sz w:val="24"/>
        </w:rPr>
        <w:t>第四包麻醉机（5）提供所投产品10年原厂整机质保，其余产品提供所投产品5年原厂整机质保；</w:t>
      </w:r>
    </w:p>
    <w:p w14:paraId="1A0D0888">
      <w:pPr>
        <w:autoSpaceDE w:val="0"/>
        <w:autoSpaceDN w:val="0"/>
        <w:adjustRightInd w:val="0"/>
        <w:spacing w:line="360" w:lineRule="auto"/>
        <w:ind w:firstLine="480" w:firstLineChars="200"/>
        <w:rPr>
          <w:sz w:val="24"/>
        </w:rPr>
      </w:pPr>
      <w:r>
        <w:rPr>
          <w:rFonts w:hint="eastAsia"/>
          <w:sz w:val="24"/>
        </w:rPr>
        <w:t>第五包提供所投全部产品5年原厂整机质保；</w:t>
      </w:r>
    </w:p>
    <w:p w14:paraId="45DFBEBB">
      <w:pPr>
        <w:autoSpaceDE w:val="0"/>
        <w:autoSpaceDN w:val="0"/>
        <w:adjustRightInd w:val="0"/>
        <w:spacing w:line="360" w:lineRule="auto"/>
        <w:ind w:firstLine="480" w:firstLineChars="200"/>
        <w:rPr>
          <w:sz w:val="24"/>
        </w:rPr>
      </w:pPr>
      <w:r>
        <w:rPr>
          <w:rFonts w:hint="eastAsia"/>
          <w:sz w:val="24"/>
        </w:rPr>
        <w:t>第六包提供所投全部产品10年原厂整机质保；</w:t>
      </w:r>
    </w:p>
    <w:p w14:paraId="01C01A62">
      <w:pPr>
        <w:autoSpaceDE w:val="0"/>
        <w:autoSpaceDN w:val="0"/>
        <w:adjustRightInd w:val="0"/>
        <w:spacing w:line="360" w:lineRule="auto"/>
        <w:ind w:firstLine="480" w:firstLineChars="200"/>
        <w:rPr>
          <w:sz w:val="24"/>
        </w:rPr>
      </w:pPr>
      <w:r>
        <w:rPr>
          <w:rFonts w:hint="eastAsia"/>
          <w:sz w:val="24"/>
        </w:rPr>
        <w:t>第七包呼吸机（1）和</w:t>
      </w:r>
      <w:r>
        <w:rPr>
          <w:rFonts w:hint="eastAsia" w:ascii="宋体" w:hAnsi="宋体" w:cs="宋体"/>
          <w:sz w:val="24"/>
        </w:rPr>
        <w:t>呼吸机（4）</w:t>
      </w:r>
      <w:r>
        <w:rPr>
          <w:rFonts w:hint="eastAsia"/>
          <w:sz w:val="24"/>
        </w:rPr>
        <w:t>提供10年原厂整机质保，呼吸机（2）和</w:t>
      </w:r>
      <w:r>
        <w:rPr>
          <w:rFonts w:hint="eastAsia" w:ascii="宋体" w:hAnsi="宋体" w:cs="宋体"/>
          <w:sz w:val="24"/>
        </w:rPr>
        <w:t>呼吸机（3）</w:t>
      </w:r>
      <w:r>
        <w:rPr>
          <w:rFonts w:hint="eastAsia"/>
          <w:sz w:val="24"/>
        </w:rPr>
        <w:t>提供5年原厂整机质保。</w:t>
      </w:r>
    </w:p>
    <w:p w14:paraId="0997CF02">
      <w:pPr>
        <w:autoSpaceDE w:val="0"/>
        <w:autoSpaceDN w:val="0"/>
        <w:adjustRightInd w:val="0"/>
        <w:spacing w:line="360" w:lineRule="auto"/>
        <w:ind w:firstLine="480" w:firstLineChars="200"/>
        <w:rPr>
          <w:sz w:val="24"/>
        </w:rPr>
      </w:pPr>
      <w:r>
        <w:rPr>
          <w:rFonts w:hint="eastAsia"/>
          <w:sz w:val="24"/>
        </w:rPr>
        <w:t>2.保修期内免费更换零配件，7×24小时技术响应，48小时内维修工程师到达维修现场。保修期自验收合格之日起计算。</w:t>
      </w:r>
    </w:p>
    <w:p w14:paraId="7A02D24D">
      <w:pPr>
        <w:autoSpaceDE w:val="0"/>
        <w:autoSpaceDN w:val="0"/>
        <w:adjustRightInd w:val="0"/>
        <w:spacing w:line="360" w:lineRule="auto"/>
        <w:ind w:firstLine="480" w:firstLineChars="200"/>
        <w:rPr>
          <w:sz w:val="24"/>
        </w:rPr>
      </w:pPr>
      <w:r>
        <w:rPr>
          <w:rFonts w:hint="eastAsia"/>
          <w:sz w:val="24"/>
        </w:rPr>
        <w:t>3. 提供所投产品制造商服务机构情况，包括地址、联系方式及技术人员数量等。</w:t>
      </w:r>
    </w:p>
    <w:p w14:paraId="0B079271">
      <w:pPr>
        <w:autoSpaceDE w:val="0"/>
        <w:autoSpaceDN w:val="0"/>
        <w:adjustRightInd w:val="0"/>
        <w:spacing w:line="360" w:lineRule="auto"/>
        <w:ind w:firstLine="480" w:firstLineChars="200"/>
        <w:rPr>
          <w:sz w:val="24"/>
        </w:rPr>
      </w:pPr>
      <w:r>
        <w:rPr>
          <w:rFonts w:hint="eastAsia"/>
          <w:sz w:val="24"/>
        </w:rPr>
        <w:t>4. 提供原厂标准的易耗品、消耗材料价格清单及折扣率，保修期后设备维修的价格清单及折扣率。</w:t>
      </w:r>
    </w:p>
    <w:p w14:paraId="2EBEB71C">
      <w:pPr>
        <w:autoSpaceDE w:val="0"/>
        <w:autoSpaceDN w:val="0"/>
        <w:adjustRightInd w:val="0"/>
        <w:spacing w:line="360" w:lineRule="auto"/>
        <w:ind w:firstLine="480" w:firstLineChars="200"/>
        <w:rPr>
          <w:sz w:val="24"/>
        </w:rPr>
      </w:pPr>
      <w:r>
        <w:rPr>
          <w:rFonts w:hint="eastAsia"/>
          <w:sz w:val="24"/>
        </w:rPr>
        <w:t>5. 提供现场技术培训。</w:t>
      </w:r>
    </w:p>
    <w:p w14:paraId="3452C87D">
      <w:pPr>
        <w:autoSpaceDE w:val="0"/>
        <w:autoSpaceDN w:val="0"/>
        <w:adjustRightInd w:val="0"/>
        <w:spacing w:line="360" w:lineRule="auto"/>
        <w:ind w:firstLine="480" w:firstLineChars="200"/>
        <w:rPr>
          <w:color w:val="000000"/>
          <w:sz w:val="24"/>
        </w:rPr>
      </w:pPr>
      <w:r>
        <w:rPr>
          <w:rFonts w:hint="eastAsia" w:cs="宋体"/>
          <w:kern w:val="0"/>
          <w:sz w:val="24"/>
          <w:szCs w:val="24"/>
        </w:rPr>
        <w:t>★</w:t>
      </w:r>
      <w:r>
        <w:rPr>
          <w:rFonts w:hint="eastAsia"/>
          <w:color w:val="000000"/>
          <w:sz w:val="24"/>
        </w:rPr>
        <w:t>（三）交货要求</w:t>
      </w:r>
    </w:p>
    <w:p w14:paraId="51B86B42">
      <w:pPr>
        <w:autoSpaceDE w:val="0"/>
        <w:autoSpaceDN w:val="0"/>
        <w:adjustRightInd w:val="0"/>
        <w:spacing w:line="360" w:lineRule="auto"/>
        <w:ind w:firstLine="480" w:firstLineChars="200"/>
        <w:rPr>
          <w:sz w:val="24"/>
        </w:rPr>
      </w:pPr>
      <w:r>
        <w:rPr>
          <w:rFonts w:hint="eastAsia"/>
          <w:sz w:val="24"/>
        </w:rPr>
        <w:t>1. 交货期：签订合同之日起30日内到货并安装调试完毕（特殊情况以合同为准）。</w:t>
      </w:r>
    </w:p>
    <w:p w14:paraId="3EE8C1FF">
      <w:pPr>
        <w:autoSpaceDE w:val="0"/>
        <w:autoSpaceDN w:val="0"/>
        <w:adjustRightInd w:val="0"/>
        <w:spacing w:line="360" w:lineRule="auto"/>
        <w:ind w:firstLine="480" w:firstLineChars="200"/>
        <w:rPr>
          <w:sz w:val="24"/>
        </w:rPr>
      </w:pPr>
      <w:r>
        <w:rPr>
          <w:rFonts w:hint="eastAsia"/>
          <w:sz w:val="24"/>
        </w:rPr>
        <w:t>2. 交货地点：天津市行政区域内（特殊情况以合同为准）。</w:t>
      </w:r>
    </w:p>
    <w:p w14:paraId="3D73EC21">
      <w:pPr>
        <w:autoSpaceDE w:val="0"/>
        <w:autoSpaceDN w:val="0"/>
        <w:adjustRightInd w:val="0"/>
        <w:spacing w:line="360" w:lineRule="auto"/>
        <w:ind w:firstLine="480" w:firstLineChars="200"/>
        <w:rPr>
          <w:color w:val="000000"/>
          <w:sz w:val="24"/>
        </w:rPr>
      </w:pPr>
      <w:r>
        <w:rPr>
          <w:rFonts w:hint="eastAsia"/>
          <w:color w:val="000000"/>
          <w:sz w:val="24"/>
        </w:rPr>
        <w:t>3. 提供制造商完整的随机资料，包括完整的使用和维修手册等。</w:t>
      </w:r>
    </w:p>
    <w:p w14:paraId="4C95F7B4">
      <w:pPr>
        <w:autoSpaceDE w:val="0"/>
        <w:autoSpaceDN w:val="0"/>
        <w:adjustRightInd w:val="0"/>
        <w:spacing w:line="360" w:lineRule="auto"/>
        <w:ind w:firstLine="480" w:firstLineChars="200"/>
        <w:rPr>
          <w:color w:val="000000"/>
          <w:sz w:val="24"/>
        </w:rPr>
      </w:pPr>
      <w:r>
        <w:rPr>
          <w:rFonts w:hint="eastAsia"/>
          <w:color w:val="000000"/>
          <w:sz w:val="24"/>
        </w:rPr>
        <w:t>4. 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14:paraId="7E1A86BC">
      <w:pPr>
        <w:autoSpaceDE w:val="0"/>
        <w:autoSpaceDN w:val="0"/>
        <w:adjustRightInd w:val="0"/>
        <w:spacing w:line="360" w:lineRule="auto"/>
        <w:ind w:firstLine="480" w:firstLineChars="200"/>
        <w:rPr>
          <w:sz w:val="24"/>
        </w:rPr>
      </w:pPr>
      <w:r>
        <w:rPr>
          <w:rFonts w:hint="eastAsia"/>
          <w:sz w:val="24"/>
        </w:rPr>
        <w:t>5.</w:t>
      </w:r>
      <w:r>
        <w:rPr>
          <w:rFonts w:hint="eastAsia"/>
        </w:rPr>
        <w:t xml:space="preserve"> </w:t>
      </w:r>
      <w:r>
        <w:rPr>
          <w:rFonts w:hint="eastAsia"/>
          <w:sz w:val="24"/>
        </w:rPr>
        <w:t>本项目为天津市卫生健康委员会综合服务中心及部分县域医共体通过统招分签的方式进行采购，合同签订单位、送货地址、采购数量如下表所示：</w:t>
      </w:r>
    </w:p>
    <w:tbl>
      <w:tblPr>
        <w:tblStyle w:val="18"/>
        <w:tblW w:w="8500" w:type="dxa"/>
        <w:tblInd w:w="9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80"/>
        <w:gridCol w:w="1640"/>
        <w:gridCol w:w="4466"/>
        <w:gridCol w:w="1114"/>
      </w:tblGrid>
      <w:tr w14:paraId="238B48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0" w:hRule="atLeast"/>
        </w:trPr>
        <w:tc>
          <w:tcPr>
            <w:tcW w:w="1280" w:type="dxa"/>
            <w:shd w:val="clear" w:color="auto" w:fill="auto"/>
            <w:vAlign w:val="center"/>
          </w:tcPr>
          <w:p w14:paraId="2E31DA7A">
            <w:pPr>
              <w:widowControl/>
              <w:jc w:val="center"/>
              <w:rPr>
                <w:rFonts w:ascii="宋体" w:hAnsi="宋体" w:cs="宋体"/>
                <w:color w:val="000000"/>
                <w:kern w:val="0"/>
                <w:sz w:val="22"/>
                <w:szCs w:val="22"/>
              </w:rPr>
            </w:pPr>
            <w:r>
              <w:rPr>
                <w:rFonts w:hint="eastAsia" w:ascii="宋体" w:hAnsi="宋体" w:cs="宋体"/>
                <w:color w:val="000000"/>
                <w:kern w:val="0"/>
                <w:sz w:val="22"/>
                <w:szCs w:val="22"/>
              </w:rPr>
              <w:t>包号</w:t>
            </w:r>
          </w:p>
        </w:tc>
        <w:tc>
          <w:tcPr>
            <w:tcW w:w="1640" w:type="dxa"/>
            <w:shd w:val="clear" w:color="auto" w:fill="auto"/>
            <w:vAlign w:val="center"/>
          </w:tcPr>
          <w:p w14:paraId="2A0891DB">
            <w:pPr>
              <w:widowControl/>
              <w:jc w:val="center"/>
              <w:rPr>
                <w:rFonts w:ascii="宋体" w:hAnsi="宋体" w:cs="宋体"/>
                <w:color w:val="000000"/>
                <w:kern w:val="0"/>
                <w:sz w:val="22"/>
                <w:szCs w:val="22"/>
              </w:rPr>
            </w:pPr>
            <w:r>
              <w:rPr>
                <w:rFonts w:hint="eastAsia" w:ascii="宋体" w:hAnsi="宋体" w:cs="宋体"/>
                <w:color w:val="000000"/>
                <w:kern w:val="0"/>
                <w:sz w:val="22"/>
                <w:szCs w:val="22"/>
              </w:rPr>
              <w:t>标的名称</w:t>
            </w:r>
          </w:p>
        </w:tc>
        <w:tc>
          <w:tcPr>
            <w:tcW w:w="4466" w:type="dxa"/>
            <w:shd w:val="clear" w:color="auto" w:fill="auto"/>
            <w:vAlign w:val="center"/>
          </w:tcPr>
          <w:p w14:paraId="78D83778">
            <w:pPr>
              <w:widowControl/>
              <w:jc w:val="center"/>
              <w:rPr>
                <w:rFonts w:ascii="宋体" w:hAnsi="宋体" w:cs="宋体"/>
                <w:color w:val="000000"/>
                <w:kern w:val="0"/>
                <w:sz w:val="22"/>
                <w:szCs w:val="22"/>
              </w:rPr>
            </w:pPr>
            <w:r>
              <w:rPr>
                <w:rFonts w:hint="eastAsia" w:ascii="宋体" w:hAnsi="宋体" w:cs="宋体"/>
                <w:color w:val="000000"/>
                <w:kern w:val="0"/>
                <w:sz w:val="22"/>
                <w:szCs w:val="22"/>
              </w:rPr>
              <w:t>合同签订单位及送货地址</w:t>
            </w:r>
          </w:p>
        </w:tc>
        <w:tc>
          <w:tcPr>
            <w:tcW w:w="1114" w:type="dxa"/>
            <w:shd w:val="clear" w:color="auto" w:fill="auto"/>
            <w:vAlign w:val="center"/>
          </w:tcPr>
          <w:p w14:paraId="02D1BFDF">
            <w:pPr>
              <w:widowControl/>
              <w:jc w:val="center"/>
              <w:rPr>
                <w:rFonts w:ascii="宋体" w:hAnsi="宋体" w:cs="宋体"/>
                <w:color w:val="000000"/>
                <w:kern w:val="0"/>
                <w:sz w:val="22"/>
                <w:szCs w:val="22"/>
              </w:rPr>
            </w:pPr>
            <w:r>
              <w:rPr>
                <w:rFonts w:hint="eastAsia" w:ascii="宋体" w:hAnsi="宋体" w:cs="宋体"/>
                <w:color w:val="000000"/>
                <w:kern w:val="0"/>
                <w:sz w:val="22"/>
                <w:szCs w:val="22"/>
              </w:rPr>
              <w:t>台数</w:t>
            </w:r>
          </w:p>
        </w:tc>
      </w:tr>
      <w:tr w14:paraId="646CEB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280" w:type="dxa"/>
            <w:vMerge w:val="restart"/>
            <w:shd w:val="clear" w:color="auto" w:fill="auto"/>
            <w:vAlign w:val="center"/>
          </w:tcPr>
          <w:p w14:paraId="598302FC">
            <w:pPr>
              <w:widowControl/>
              <w:jc w:val="center"/>
              <w:rPr>
                <w:rFonts w:ascii="宋体" w:hAnsi="宋体" w:cs="宋体"/>
                <w:color w:val="000000"/>
                <w:kern w:val="0"/>
                <w:sz w:val="22"/>
                <w:szCs w:val="22"/>
              </w:rPr>
            </w:pPr>
            <w:r>
              <w:rPr>
                <w:rFonts w:hint="eastAsia" w:ascii="宋体" w:hAnsi="宋体" w:cs="宋体"/>
                <w:color w:val="000000"/>
                <w:kern w:val="0"/>
                <w:sz w:val="22"/>
                <w:szCs w:val="22"/>
              </w:rPr>
              <w:t>第一包</w:t>
            </w:r>
          </w:p>
        </w:tc>
        <w:tc>
          <w:tcPr>
            <w:tcW w:w="1640" w:type="dxa"/>
            <w:shd w:val="clear" w:color="auto" w:fill="auto"/>
            <w:vAlign w:val="center"/>
          </w:tcPr>
          <w:p w14:paraId="5F5B4BF9">
            <w:pPr>
              <w:widowControl/>
              <w:jc w:val="center"/>
              <w:rPr>
                <w:rFonts w:ascii="宋体" w:hAnsi="宋体" w:cs="宋体"/>
                <w:color w:val="000000"/>
                <w:kern w:val="0"/>
                <w:sz w:val="22"/>
                <w:szCs w:val="22"/>
              </w:rPr>
            </w:pPr>
            <w:r>
              <w:rPr>
                <w:rFonts w:hint="eastAsia" w:ascii="宋体" w:hAnsi="宋体" w:cs="宋体"/>
                <w:color w:val="000000"/>
                <w:kern w:val="0"/>
                <w:sz w:val="22"/>
                <w:szCs w:val="22"/>
              </w:rPr>
              <w:t>监护仪（1）</w:t>
            </w:r>
          </w:p>
        </w:tc>
        <w:tc>
          <w:tcPr>
            <w:tcW w:w="4466" w:type="dxa"/>
            <w:shd w:val="clear" w:color="auto" w:fill="auto"/>
            <w:vAlign w:val="center"/>
          </w:tcPr>
          <w:p w14:paraId="71BCD5CA">
            <w:pPr>
              <w:widowControl/>
              <w:jc w:val="left"/>
              <w:rPr>
                <w:rFonts w:ascii="宋体" w:hAnsi="宋体" w:cs="宋体"/>
                <w:color w:val="000000"/>
                <w:kern w:val="0"/>
                <w:sz w:val="22"/>
                <w:szCs w:val="22"/>
              </w:rPr>
            </w:pPr>
            <w:r>
              <w:rPr>
                <w:rFonts w:hint="eastAsia" w:ascii="宋体" w:hAnsi="宋体" w:cs="宋体"/>
                <w:color w:val="000000"/>
                <w:kern w:val="0"/>
                <w:sz w:val="22"/>
                <w:szCs w:val="22"/>
              </w:rPr>
              <w:t>宝坻区中医医院</w:t>
            </w:r>
          </w:p>
        </w:tc>
        <w:tc>
          <w:tcPr>
            <w:tcW w:w="1114" w:type="dxa"/>
            <w:shd w:val="clear" w:color="auto" w:fill="auto"/>
            <w:vAlign w:val="center"/>
          </w:tcPr>
          <w:p w14:paraId="1E0979AD">
            <w:pPr>
              <w:widowControl/>
              <w:jc w:val="center"/>
              <w:rPr>
                <w:rFonts w:ascii="宋体" w:hAnsi="宋体" w:cs="宋体"/>
                <w:color w:val="000000"/>
                <w:kern w:val="0"/>
                <w:sz w:val="22"/>
                <w:szCs w:val="22"/>
              </w:rPr>
            </w:pPr>
            <w:r>
              <w:rPr>
                <w:rFonts w:hint="eastAsia" w:ascii="宋体" w:hAnsi="宋体" w:cs="宋体"/>
                <w:color w:val="000000"/>
                <w:kern w:val="0"/>
                <w:sz w:val="22"/>
                <w:szCs w:val="22"/>
              </w:rPr>
              <w:t>40台</w:t>
            </w:r>
          </w:p>
        </w:tc>
      </w:tr>
      <w:tr w14:paraId="68ABD8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280" w:type="dxa"/>
            <w:vMerge w:val="continue"/>
            <w:vAlign w:val="center"/>
          </w:tcPr>
          <w:p w14:paraId="7AEEE948">
            <w:pPr>
              <w:widowControl/>
              <w:jc w:val="left"/>
              <w:rPr>
                <w:rFonts w:ascii="宋体" w:hAnsi="宋体" w:cs="宋体"/>
                <w:color w:val="000000"/>
                <w:kern w:val="0"/>
                <w:sz w:val="22"/>
                <w:szCs w:val="22"/>
              </w:rPr>
            </w:pPr>
          </w:p>
        </w:tc>
        <w:tc>
          <w:tcPr>
            <w:tcW w:w="1640" w:type="dxa"/>
            <w:vMerge w:val="restart"/>
            <w:shd w:val="clear" w:color="auto" w:fill="auto"/>
            <w:vAlign w:val="center"/>
          </w:tcPr>
          <w:p w14:paraId="7C06D926">
            <w:pPr>
              <w:widowControl/>
              <w:jc w:val="center"/>
              <w:rPr>
                <w:rFonts w:ascii="宋体" w:hAnsi="宋体" w:cs="宋体"/>
                <w:color w:val="000000"/>
                <w:kern w:val="0"/>
                <w:sz w:val="22"/>
                <w:szCs w:val="22"/>
              </w:rPr>
            </w:pPr>
            <w:r>
              <w:rPr>
                <w:rFonts w:hint="eastAsia" w:ascii="宋体" w:hAnsi="宋体" w:cs="宋体"/>
                <w:color w:val="000000"/>
                <w:kern w:val="0"/>
                <w:sz w:val="22"/>
                <w:szCs w:val="22"/>
              </w:rPr>
              <w:t>监护仪（2）</w:t>
            </w:r>
          </w:p>
        </w:tc>
        <w:tc>
          <w:tcPr>
            <w:tcW w:w="4466" w:type="dxa"/>
            <w:shd w:val="clear" w:color="auto" w:fill="auto"/>
            <w:vAlign w:val="center"/>
          </w:tcPr>
          <w:p w14:paraId="7995DF31">
            <w:pPr>
              <w:widowControl/>
              <w:jc w:val="left"/>
              <w:rPr>
                <w:rFonts w:ascii="宋体" w:hAnsi="宋体" w:cs="宋体"/>
                <w:color w:val="000000"/>
                <w:kern w:val="0"/>
                <w:sz w:val="22"/>
                <w:szCs w:val="22"/>
              </w:rPr>
            </w:pPr>
            <w:r>
              <w:rPr>
                <w:rFonts w:hint="eastAsia" w:ascii="宋体" w:hAnsi="宋体" w:cs="宋体"/>
                <w:color w:val="000000"/>
                <w:kern w:val="0"/>
                <w:sz w:val="22"/>
                <w:szCs w:val="22"/>
              </w:rPr>
              <w:t>宝坻区中医医院</w:t>
            </w:r>
          </w:p>
        </w:tc>
        <w:tc>
          <w:tcPr>
            <w:tcW w:w="1114" w:type="dxa"/>
            <w:shd w:val="clear" w:color="auto" w:fill="auto"/>
            <w:vAlign w:val="center"/>
          </w:tcPr>
          <w:p w14:paraId="5972FB2F">
            <w:pPr>
              <w:widowControl/>
              <w:jc w:val="center"/>
              <w:rPr>
                <w:rFonts w:ascii="宋体" w:hAnsi="宋体" w:cs="宋体"/>
                <w:color w:val="000000"/>
                <w:kern w:val="0"/>
                <w:sz w:val="22"/>
                <w:szCs w:val="22"/>
              </w:rPr>
            </w:pPr>
            <w:r>
              <w:rPr>
                <w:rFonts w:hint="eastAsia" w:ascii="宋体" w:hAnsi="宋体" w:cs="宋体"/>
                <w:color w:val="000000"/>
                <w:kern w:val="0"/>
                <w:sz w:val="22"/>
                <w:szCs w:val="22"/>
              </w:rPr>
              <w:t>2台</w:t>
            </w:r>
          </w:p>
        </w:tc>
      </w:tr>
      <w:tr w14:paraId="241084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280" w:type="dxa"/>
            <w:vMerge w:val="continue"/>
            <w:vAlign w:val="center"/>
          </w:tcPr>
          <w:p w14:paraId="3F39CC58">
            <w:pPr>
              <w:widowControl/>
              <w:jc w:val="left"/>
              <w:rPr>
                <w:rFonts w:ascii="宋体" w:hAnsi="宋体" w:cs="宋体"/>
                <w:color w:val="000000"/>
                <w:kern w:val="0"/>
                <w:sz w:val="22"/>
                <w:szCs w:val="22"/>
              </w:rPr>
            </w:pPr>
          </w:p>
        </w:tc>
        <w:tc>
          <w:tcPr>
            <w:tcW w:w="1640" w:type="dxa"/>
            <w:vMerge w:val="continue"/>
            <w:vAlign w:val="center"/>
          </w:tcPr>
          <w:p w14:paraId="1FBAAF9D">
            <w:pPr>
              <w:widowControl/>
              <w:jc w:val="left"/>
              <w:rPr>
                <w:rFonts w:ascii="宋体" w:hAnsi="宋体" w:cs="宋体"/>
                <w:color w:val="000000"/>
                <w:kern w:val="0"/>
                <w:sz w:val="22"/>
                <w:szCs w:val="22"/>
              </w:rPr>
            </w:pPr>
          </w:p>
        </w:tc>
        <w:tc>
          <w:tcPr>
            <w:tcW w:w="4466" w:type="dxa"/>
            <w:shd w:val="clear" w:color="auto" w:fill="auto"/>
            <w:vAlign w:val="center"/>
          </w:tcPr>
          <w:p w14:paraId="26174CA5">
            <w:pPr>
              <w:widowControl/>
              <w:jc w:val="left"/>
              <w:rPr>
                <w:rFonts w:ascii="宋体" w:hAnsi="宋体" w:cs="宋体"/>
                <w:color w:val="000000"/>
                <w:kern w:val="0"/>
                <w:sz w:val="22"/>
                <w:szCs w:val="22"/>
              </w:rPr>
            </w:pPr>
            <w:r>
              <w:rPr>
                <w:rFonts w:hint="eastAsia" w:ascii="宋体" w:hAnsi="宋体" w:cs="宋体"/>
                <w:color w:val="000000"/>
                <w:kern w:val="0"/>
                <w:sz w:val="22"/>
                <w:szCs w:val="22"/>
              </w:rPr>
              <w:t>宝坻区海滨医院</w:t>
            </w:r>
          </w:p>
        </w:tc>
        <w:tc>
          <w:tcPr>
            <w:tcW w:w="1114" w:type="dxa"/>
            <w:shd w:val="clear" w:color="auto" w:fill="auto"/>
            <w:vAlign w:val="center"/>
          </w:tcPr>
          <w:p w14:paraId="018FAE2A">
            <w:pPr>
              <w:widowControl/>
              <w:jc w:val="center"/>
              <w:rPr>
                <w:rFonts w:ascii="宋体" w:hAnsi="宋体" w:cs="宋体"/>
                <w:color w:val="000000"/>
                <w:kern w:val="0"/>
                <w:sz w:val="22"/>
                <w:szCs w:val="22"/>
              </w:rPr>
            </w:pPr>
            <w:r>
              <w:rPr>
                <w:rFonts w:hint="eastAsia" w:ascii="宋体" w:hAnsi="宋体" w:cs="宋体"/>
                <w:color w:val="000000"/>
                <w:kern w:val="0"/>
                <w:sz w:val="22"/>
                <w:szCs w:val="22"/>
              </w:rPr>
              <w:t>8台</w:t>
            </w:r>
          </w:p>
        </w:tc>
      </w:tr>
      <w:tr w14:paraId="415C6B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280" w:type="dxa"/>
            <w:vMerge w:val="continue"/>
            <w:vAlign w:val="center"/>
          </w:tcPr>
          <w:p w14:paraId="30F30ABB">
            <w:pPr>
              <w:widowControl/>
              <w:jc w:val="left"/>
              <w:rPr>
                <w:rFonts w:ascii="宋体" w:hAnsi="宋体" w:cs="宋体"/>
                <w:color w:val="000000"/>
                <w:kern w:val="0"/>
                <w:sz w:val="22"/>
                <w:szCs w:val="22"/>
              </w:rPr>
            </w:pPr>
          </w:p>
        </w:tc>
        <w:tc>
          <w:tcPr>
            <w:tcW w:w="1640" w:type="dxa"/>
            <w:vMerge w:val="restart"/>
            <w:shd w:val="clear" w:color="auto" w:fill="auto"/>
            <w:vAlign w:val="center"/>
          </w:tcPr>
          <w:p w14:paraId="6CF4C76E">
            <w:pPr>
              <w:widowControl/>
              <w:jc w:val="center"/>
              <w:rPr>
                <w:rFonts w:ascii="宋体" w:hAnsi="宋体" w:cs="宋体"/>
                <w:color w:val="000000"/>
                <w:kern w:val="0"/>
                <w:sz w:val="22"/>
                <w:szCs w:val="22"/>
              </w:rPr>
            </w:pPr>
            <w:r>
              <w:rPr>
                <w:rFonts w:hint="eastAsia" w:ascii="宋体" w:hAnsi="宋体" w:cs="宋体"/>
                <w:color w:val="000000"/>
                <w:kern w:val="0"/>
                <w:sz w:val="22"/>
                <w:szCs w:val="22"/>
              </w:rPr>
              <w:t>监护仪（3）</w:t>
            </w:r>
          </w:p>
        </w:tc>
        <w:tc>
          <w:tcPr>
            <w:tcW w:w="4466" w:type="dxa"/>
            <w:shd w:val="clear" w:color="auto" w:fill="auto"/>
            <w:vAlign w:val="center"/>
          </w:tcPr>
          <w:p w14:paraId="202109B0">
            <w:pPr>
              <w:widowControl/>
              <w:jc w:val="left"/>
              <w:rPr>
                <w:rFonts w:ascii="宋体" w:hAnsi="宋体" w:cs="宋体"/>
                <w:color w:val="000000"/>
                <w:kern w:val="0"/>
                <w:sz w:val="22"/>
                <w:szCs w:val="22"/>
              </w:rPr>
            </w:pPr>
            <w:r>
              <w:rPr>
                <w:rFonts w:hint="eastAsia" w:ascii="宋体" w:hAnsi="宋体" w:cs="宋体"/>
                <w:color w:val="000000"/>
                <w:kern w:val="0"/>
                <w:sz w:val="22"/>
                <w:szCs w:val="22"/>
              </w:rPr>
              <w:t>宝坻区宝平医院</w:t>
            </w:r>
          </w:p>
        </w:tc>
        <w:tc>
          <w:tcPr>
            <w:tcW w:w="1114" w:type="dxa"/>
            <w:shd w:val="clear" w:color="auto" w:fill="auto"/>
            <w:vAlign w:val="center"/>
          </w:tcPr>
          <w:p w14:paraId="04FEE874">
            <w:pPr>
              <w:widowControl/>
              <w:jc w:val="center"/>
              <w:rPr>
                <w:rFonts w:ascii="宋体" w:hAnsi="宋体" w:cs="宋体"/>
                <w:color w:val="000000"/>
                <w:kern w:val="0"/>
                <w:sz w:val="22"/>
                <w:szCs w:val="22"/>
              </w:rPr>
            </w:pPr>
            <w:r>
              <w:rPr>
                <w:rFonts w:hint="eastAsia" w:ascii="宋体" w:hAnsi="宋体" w:cs="宋体"/>
                <w:color w:val="000000"/>
                <w:kern w:val="0"/>
                <w:sz w:val="22"/>
                <w:szCs w:val="22"/>
              </w:rPr>
              <w:t>2台</w:t>
            </w:r>
          </w:p>
        </w:tc>
      </w:tr>
      <w:tr w14:paraId="43F86B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280" w:type="dxa"/>
            <w:vMerge w:val="continue"/>
            <w:vAlign w:val="center"/>
          </w:tcPr>
          <w:p w14:paraId="1A86E4EA">
            <w:pPr>
              <w:widowControl/>
              <w:jc w:val="left"/>
              <w:rPr>
                <w:rFonts w:ascii="宋体" w:hAnsi="宋体" w:cs="宋体"/>
                <w:color w:val="000000"/>
                <w:kern w:val="0"/>
                <w:sz w:val="22"/>
                <w:szCs w:val="22"/>
              </w:rPr>
            </w:pPr>
          </w:p>
        </w:tc>
        <w:tc>
          <w:tcPr>
            <w:tcW w:w="1640" w:type="dxa"/>
            <w:vMerge w:val="continue"/>
            <w:vAlign w:val="center"/>
          </w:tcPr>
          <w:p w14:paraId="6D32FBEF">
            <w:pPr>
              <w:widowControl/>
              <w:jc w:val="left"/>
              <w:rPr>
                <w:rFonts w:ascii="宋体" w:hAnsi="宋体" w:cs="宋体"/>
                <w:color w:val="000000"/>
                <w:kern w:val="0"/>
                <w:sz w:val="22"/>
                <w:szCs w:val="22"/>
              </w:rPr>
            </w:pPr>
          </w:p>
        </w:tc>
        <w:tc>
          <w:tcPr>
            <w:tcW w:w="4466" w:type="dxa"/>
            <w:shd w:val="clear" w:color="auto" w:fill="auto"/>
            <w:vAlign w:val="center"/>
          </w:tcPr>
          <w:p w14:paraId="785BAB8E">
            <w:pPr>
              <w:widowControl/>
              <w:jc w:val="left"/>
              <w:rPr>
                <w:rFonts w:ascii="宋体" w:hAnsi="宋体" w:cs="宋体"/>
                <w:color w:val="000000"/>
                <w:kern w:val="0"/>
                <w:sz w:val="22"/>
                <w:szCs w:val="22"/>
              </w:rPr>
            </w:pPr>
            <w:r>
              <w:rPr>
                <w:rFonts w:hint="eastAsia" w:ascii="宋体" w:hAnsi="宋体" w:cs="宋体"/>
                <w:color w:val="000000"/>
                <w:kern w:val="0"/>
                <w:sz w:val="22"/>
                <w:szCs w:val="22"/>
              </w:rPr>
              <w:t>渔阳镇中心卫生院</w:t>
            </w:r>
          </w:p>
        </w:tc>
        <w:tc>
          <w:tcPr>
            <w:tcW w:w="1114" w:type="dxa"/>
            <w:shd w:val="clear" w:color="auto" w:fill="auto"/>
            <w:vAlign w:val="center"/>
          </w:tcPr>
          <w:p w14:paraId="7818A3F6">
            <w:pPr>
              <w:widowControl/>
              <w:jc w:val="center"/>
              <w:rPr>
                <w:rFonts w:ascii="宋体" w:hAnsi="宋体" w:cs="宋体"/>
                <w:color w:val="000000"/>
                <w:kern w:val="0"/>
                <w:sz w:val="22"/>
                <w:szCs w:val="22"/>
              </w:rPr>
            </w:pPr>
            <w:r>
              <w:rPr>
                <w:rFonts w:hint="eastAsia" w:ascii="宋体" w:hAnsi="宋体" w:cs="宋体"/>
                <w:color w:val="000000"/>
                <w:kern w:val="0"/>
                <w:sz w:val="22"/>
                <w:szCs w:val="22"/>
              </w:rPr>
              <w:t>1台</w:t>
            </w:r>
          </w:p>
        </w:tc>
      </w:tr>
      <w:tr w14:paraId="7EA109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280" w:type="dxa"/>
            <w:vMerge w:val="continue"/>
            <w:vAlign w:val="center"/>
          </w:tcPr>
          <w:p w14:paraId="4F5735A0">
            <w:pPr>
              <w:widowControl/>
              <w:jc w:val="left"/>
              <w:rPr>
                <w:rFonts w:ascii="宋体" w:hAnsi="宋体" w:cs="宋体"/>
                <w:color w:val="000000"/>
                <w:kern w:val="0"/>
                <w:sz w:val="22"/>
                <w:szCs w:val="22"/>
              </w:rPr>
            </w:pPr>
          </w:p>
        </w:tc>
        <w:tc>
          <w:tcPr>
            <w:tcW w:w="1640" w:type="dxa"/>
            <w:vMerge w:val="restart"/>
            <w:shd w:val="clear" w:color="auto" w:fill="auto"/>
            <w:vAlign w:val="center"/>
          </w:tcPr>
          <w:p w14:paraId="21CF55B3">
            <w:pPr>
              <w:widowControl/>
              <w:jc w:val="center"/>
              <w:rPr>
                <w:rFonts w:ascii="宋体" w:hAnsi="宋体" w:cs="宋体"/>
                <w:color w:val="000000"/>
                <w:kern w:val="0"/>
                <w:sz w:val="22"/>
                <w:szCs w:val="22"/>
              </w:rPr>
            </w:pPr>
            <w:r>
              <w:rPr>
                <w:rFonts w:hint="eastAsia" w:ascii="宋体" w:hAnsi="宋体" w:cs="宋体"/>
                <w:color w:val="000000"/>
                <w:kern w:val="0"/>
                <w:sz w:val="22"/>
                <w:szCs w:val="22"/>
              </w:rPr>
              <w:t>监护仪（4）</w:t>
            </w:r>
          </w:p>
        </w:tc>
        <w:tc>
          <w:tcPr>
            <w:tcW w:w="4466" w:type="dxa"/>
            <w:shd w:val="clear" w:color="auto" w:fill="auto"/>
            <w:vAlign w:val="center"/>
          </w:tcPr>
          <w:p w14:paraId="5F729038">
            <w:pPr>
              <w:widowControl/>
              <w:jc w:val="left"/>
              <w:rPr>
                <w:rFonts w:ascii="宋体" w:hAnsi="宋体" w:cs="宋体"/>
                <w:color w:val="000000"/>
                <w:kern w:val="0"/>
                <w:sz w:val="22"/>
                <w:szCs w:val="22"/>
              </w:rPr>
            </w:pPr>
            <w:r>
              <w:rPr>
                <w:rFonts w:hint="eastAsia" w:ascii="宋体" w:hAnsi="宋体" w:cs="宋体"/>
                <w:color w:val="000000"/>
                <w:kern w:val="0"/>
                <w:sz w:val="22"/>
                <w:szCs w:val="22"/>
              </w:rPr>
              <w:t>天津市静海区医院</w:t>
            </w:r>
          </w:p>
        </w:tc>
        <w:tc>
          <w:tcPr>
            <w:tcW w:w="1114" w:type="dxa"/>
            <w:shd w:val="clear" w:color="auto" w:fill="auto"/>
            <w:vAlign w:val="center"/>
          </w:tcPr>
          <w:p w14:paraId="7B7BCAF5">
            <w:pPr>
              <w:widowControl/>
              <w:jc w:val="center"/>
              <w:rPr>
                <w:rFonts w:ascii="宋体" w:hAnsi="宋体" w:cs="宋体"/>
                <w:color w:val="000000"/>
                <w:kern w:val="0"/>
                <w:sz w:val="22"/>
                <w:szCs w:val="22"/>
              </w:rPr>
            </w:pPr>
            <w:r>
              <w:rPr>
                <w:rFonts w:hint="eastAsia" w:ascii="宋体" w:hAnsi="宋体" w:cs="宋体"/>
                <w:color w:val="000000"/>
                <w:kern w:val="0"/>
                <w:sz w:val="22"/>
                <w:szCs w:val="22"/>
              </w:rPr>
              <w:t>30台</w:t>
            </w:r>
          </w:p>
        </w:tc>
      </w:tr>
      <w:tr w14:paraId="5A7B6B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280" w:type="dxa"/>
            <w:vMerge w:val="continue"/>
            <w:vAlign w:val="center"/>
          </w:tcPr>
          <w:p w14:paraId="5AECAF99">
            <w:pPr>
              <w:widowControl/>
              <w:jc w:val="left"/>
              <w:rPr>
                <w:rFonts w:ascii="宋体" w:hAnsi="宋体" w:cs="宋体"/>
                <w:color w:val="000000"/>
                <w:kern w:val="0"/>
                <w:sz w:val="22"/>
                <w:szCs w:val="22"/>
              </w:rPr>
            </w:pPr>
          </w:p>
        </w:tc>
        <w:tc>
          <w:tcPr>
            <w:tcW w:w="1640" w:type="dxa"/>
            <w:vMerge w:val="continue"/>
            <w:vAlign w:val="center"/>
          </w:tcPr>
          <w:p w14:paraId="63459025">
            <w:pPr>
              <w:widowControl/>
              <w:jc w:val="left"/>
              <w:rPr>
                <w:rFonts w:ascii="宋体" w:hAnsi="宋体" w:cs="宋体"/>
                <w:color w:val="000000"/>
                <w:kern w:val="0"/>
                <w:sz w:val="22"/>
                <w:szCs w:val="22"/>
              </w:rPr>
            </w:pPr>
          </w:p>
        </w:tc>
        <w:tc>
          <w:tcPr>
            <w:tcW w:w="4466" w:type="dxa"/>
            <w:shd w:val="clear" w:color="auto" w:fill="auto"/>
            <w:vAlign w:val="center"/>
          </w:tcPr>
          <w:p w14:paraId="4600A30A">
            <w:pPr>
              <w:widowControl/>
              <w:jc w:val="left"/>
              <w:rPr>
                <w:rFonts w:ascii="宋体" w:hAnsi="宋体" w:cs="宋体"/>
                <w:color w:val="000000"/>
                <w:kern w:val="0"/>
                <w:sz w:val="22"/>
                <w:szCs w:val="22"/>
              </w:rPr>
            </w:pPr>
            <w:r>
              <w:rPr>
                <w:rFonts w:hint="eastAsia" w:ascii="宋体" w:hAnsi="宋体" w:cs="宋体"/>
                <w:color w:val="000000"/>
                <w:kern w:val="0"/>
                <w:sz w:val="22"/>
                <w:szCs w:val="22"/>
              </w:rPr>
              <w:t>天津市北辰区双青新家园社区卫生服务中心</w:t>
            </w:r>
          </w:p>
        </w:tc>
        <w:tc>
          <w:tcPr>
            <w:tcW w:w="1114" w:type="dxa"/>
            <w:shd w:val="clear" w:color="auto" w:fill="auto"/>
            <w:vAlign w:val="center"/>
          </w:tcPr>
          <w:p w14:paraId="0CCF9972">
            <w:pPr>
              <w:widowControl/>
              <w:jc w:val="center"/>
              <w:rPr>
                <w:rFonts w:ascii="宋体" w:hAnsi="宋体" w:cs="宋体"/>
                <w:color w:val="000000"/>
                <w:kern w:val="0"/>
                <w:sz w:val="22"/>
                <w:szCs w:val="22"/>
              </w:rPr>
            </w:pPr>
            <w:r>
              <w:rPr>
                <w:rFonts w:hint="eastAsia" w:ascii="宋体" w:hAnsi="宋体" w:cs="宋体"/>
                <w:color w:val="000000"/>
                <w:kern w:val="0"/>
                <w:sz w:val="22"/>
                <w:szCs w:val="22"/>
              </w:rPr>
              <w:t>1台</w:t>
            </w:r>
          </w:p>
        </w:tc>
      </w:tr>
      <w:tr w14:paraId="0C1758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280" w:type="dxa"/>
            <w:vMerge w:val="continue"/>
            <w:vAlign w:val="center"/>
          </w:tcPr>
          <w:p w14:paraId="2CD1DAA8">
            <w:pPr>
              <w:widowControl/>
              <w:jc w:val="left"/>
              <w:rPr>
                <w:rFonts w:ascii="宋体" w:hAnsi="宋体" w:cs="宋体"/>
                <w:color w:val="000000"/>
                <w:kern w:val="0"/>
                <w:sz w:val="22"/>
                <w:szCs w:val="22"/>
              </w:rPr>
            </w:pPr>
          </w:p>
        </w:tc>
        <w:tc>
          <w:tcPr>
            <w:tcW w:w="1640" w:type="dxa"/>
            <w:vMerge w:val="restart"/>
            <w:shd w:val="clear" w:color="auto" w:fill="auto"/>
            <w:vAlign w:val="center"/>
          </w:tcPr>
          <w:p w14:paraId="2B5A44DD">
            <w:pPr>
              <w:widowControl/>
              <w:jc w:val="center"/>
              <w:rPr>
                <w:rFonts w:ascii="宋体" w:hAnsi="宋体" w:cs="宋体"/>
                <w:color w:val="000000"/>
                <w:kern w:val="0"/>
                <w:sz w:val="22"/>
                <w:szCs w:val="22"/>
              </w:rPr>
            </w:pPr>
            <w:r>
              <w:rPr>
                <w:rFonts w:hint="eastAsia" w:ascii="宋体" w:hAnsi="宋体" w:cs="宋体"/>
                <w:color w:val="000000"/>
                <w:kern w:val="0"/>
                <w:sz w:val="22"/>
                <w:szCs w:val="22"/>
              </w:rPr>
              <w:t>监护仪（5）</w:t>
            </w:r>
          </w:p>
        </w:tc>
        <w:tc>
          <w:tcPr>
            <w:tcW w:w="4466" w:type="dxa"/>
            <w:shd w:val="clear" w:color="auto" w:fill="auto"/>
            <w:vAlign w:val="center"/>
          </w:tcPr>
          <w:p w14:paraId="3C7E807A">
            <w:pPr>
              <w:widowControl/>
              <w:jc w:val="left"/>
              <w:rPr>
                <w:rFonts w:ascii="宋体" w:hAnsi="宋体" w:cs="宋体"/>
                <w:color w:val="000000"/>
                <w:kern w:val="0"/>
                <w:sz w:val="22"/>
                <w:szCs w:val="22"/>
              </w:rPr>
            </w:pPr>
            <w:r>
              <w:rPr>
                <w:rFonts w:hint="eastAsia" w:ascii="宋体" w:hAnsi="宋体" w:cs="宋体"/>
                <w:color w:val="000000"/>
                <w:kern w:val="0"/>
                <w:sz w:val="22"/>
                <w:szCs w:val="22"/>
              </w:rPr>
              <w:t>宝坻区钰华医院</w:t>
            </w:r>
          </w:p>
        </w:tc>
        <w:tc>
          <w:tcPr>
            <w:tcW w:w="1114" w:type="dxa"/>
            <w:shd w:val="clear" w:color="auto" w:fill="auto"/>
            <w:vAlign w:val="center"/>
          </w:tcPr>
          <w:p w14:paraId="692F6B15">
            <w:pPr>
              <w:widowControl/>
              <w:jc w:val="center"/>
              <w:rPr>
                <w:rFonts w:ascii="宋体" w:hAnsi="宋体" w:cs="宋体"/>
                <w:color w:val="000000"/>
                <w:kern w:val="0"/>
                <w:sz w:val="22"/>
                <w:szCs w:val="22"/>
              </w:rPr>
            </w:pPr>
            <w:r>
              <w:rPr>
                <w:rFonts w:hint="eastAsia" w:ascii="宋体" w:hAnsi="宋体" w:cs="宋体"/>
                <w:color w:val="000000"/>
                <w:kern w:val="0"/>
                <w:sz w:val="22"/>
                <w:szCs w:val="22"/>
              </w:rPr>
              <w:t>6台</w:t>
            </w:r>
          </w:p>
        </w:tc>
      </w:tr>
      <w:tr w14:paraId="54306E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280" w:type="dxa"/>
            <w:vMerge w:val="continue"/>
            <w:vAlign w:val="center"/>
          </w:tcPr>
          <w:p w14:paraId="7F236293">
            <w:pPr>
              <w:widowControl/>
              <w:jc w:val="left"/>
              <w:rPr>
                <w:rFonts w:ascii="宋体" w:hAnsi="宋体" w:cs="宋体"/>
                <w:color w:val="000000"/>
                <w:kern w:val="0"/>
                <w:sz w:val="22"/>
                <w:szCs w:val="22"/>
              </w:rPr>
            </w:pPr>
          </w:p>
        </w:tc>
        <w:tc>
          <w:tcPr>
            <w:tcW w:w="1640" w:type="dxa"/>
            <w:vMerge w:val="continue"/>
            <w:vAlign w:val="center"/>
          </w:tcPr>
          <w:p w14:paraId="3DB2BF29">
            <w:pPr>
              <w:widowControl/>
              <w:jc w:val="left"/>
              <w:rPr>
                <w:rFonts w:ascii="宋体" w:hAnsi="宋体" w:cs="宋体"/>
                <w:color w:val="000000"/>
                <w:kern w:val="0"/>
                <w:sz w:val="22"/>
                <w:szCs w:val="22"/>
              </w:rPr>
            </w:pPr>
          </w:p>
        </w:tc>
        <w:tc>
          <w:tcPr>
            <w:tcW w:w="4466" w:type="dxa"/>
            <w:shd w:val="clear" w:color="auto" w:fill="auto"/>
            <w:vAlign w:val="center"/>
          </w:tcPr>
          <w:p w14:paraId="2CDB4B13">
            <w:pPr>
              <w:widowControl/>
              <w:jc w:val="left"/>
              <w:rPr>
                <w:rFonts w:ascii="宋体" w:hAnsi="宋体" w:cs="宋体"/>
                <w:color w:val="000000"/>
                <w:kern w:val="0"/>
                <w:sz w:val="22"/>
                <w:szCs w:val="22"/>
              </w:rPr>
            </w:pPr>
            <w:r>
              <w:rPr>
                <w:rFonts w:hint="eastAsia" w:ascii="宋体" w:hAnsi="宋体" w:cs="宋体"/>
                <w:color w:val="000000"/>
                <w:kern w:val="0"/>
                <w:sz w:val="22"/>
                <w:szCs w:val="22"/>
              </w:rPr>
              <w:t>下营镇中心卫生院</w:t>
            </w:r>
          </w:p>
        </w:tc>
        <w:tc>
          <w:tcPr>
            <w:tcW w:w="1114" w:type="dxa"/>
            <w:shd w:val="clear" w:color="auto" w:fill="auto"/>
            <w:vAlign w:val="center"/>
          </w:tcPr>
          <w:p w14:paraId="1F96669A">
            <w:pPr>
              <w:widowControl/>
              <w:jc w:val="center"/>
              <w:rPr>
                <w:rFonts w:ascii="宋体" w:hAnsi="宋体" w:cs="宋体"/>
                <w:color w:val="000000"/>
                <w:kern w:val="0"/>
                <w:sz w:val="22"/>
                <w:szCs w:val="22"/>
              </w:rPr>
            </w:pPr>
            <w:r>
              <w:rPr>
                <w:rFonts w:hint="eastAsia" w:ascii="宋体" w:hAnsi="宋体" w:cs="宋体"/>
                <w:color w:val="000000"/>
                <w:kern w:val="0"/>
                <w:sz w:val="22"/>
                <w:szCs w:val="22"/>
              </w:rPr>
              <w:t>2台</w:t>
            </w:r>
          </w:p>
        </w:tc>
      </w:tr>
      <w:tr w14:paraId="65F635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280" w:type="dxa"/>
            <w:vMerge w:val="continue"/>
            <w:vAlign w:val="center"/>
          </w:tcPr>
          <w:p w14:paraId="4C4796DC">
            <w:pPr>
              <w:widowControl/>
              <w:jc w:val="left"/>
              <w:rPr>
                <w:rFonts w:ascii="宋体" w:hAnsi="宋体" w:cs="宋体"/>
                <w:color w:val="000000"/>
                <w:kern w:val="0"/>
                <w:sz w:val="22"/>
                <w:szCs w:val="22"/>
              </w:rPr>
            </w:pPr>
          </w:p>
        </w:tc>
        <w:tc>
          <w:tcPr>
            <w:tcW w:w="1640" w:type="dxa"/>
            <w:vMerge w:val="continue"/>
            <w:vAlign w:val="center"/>
          </w:tcPr>
          <w:p w14:paraId="315EEEEA">
            <w:pPr>
              <w:widowControl/>
              <w:jc w:val="left"/>
              <w:rPr>
                <w:rFonts w:ascii="宋体" w:hAnsi="宋体" w:cs="宋体"/>
                <w:color w:val="000000"/>
                <w:kern w:val="0"/>
                <w:sz w:val="22"/>
                <w:szCs w:val="22"/>
              </w:rPr>
            </w:pPr>
          </w:p>
        </w:tc>
        <w:tc>
          <w:tcPr>
            <w:tcW w:w="4466" w:type="dxa"/>
            <w:shd w:val="clear" w:color="auto" w:fill="auto"/>
            <w:vAlign w:val="center"/>
          </w:tcPr>
          <w:p w14:paraId="64E3FDF8">
            <w:pPr>
              <w:widowControl/>
              <w:jc w:val="left"/>
              <w:rPr>
                <w:rFonts w:ascii="宋体" w:hAnsi="宋体" w:cs="宋体"/>
                <w:color w:val="000000"/>
                <w:kern w:val="0"/>
                <w:sz w:val="22"/>
                <w:szCs w:val="22"/>
              </w:rPr>
            </w:pPr>
            <w:r>
              <w:rPr>
                <w:rFonts w:hint="eastAsia" w:ascii="宋体" w:hAnsi="宋体" w:cs="宋体"/>
                <w:color w:val="000000"/>
                <w:kern w:val="0"/>
                <w:sz w:val="22"/>
                <w:szCs w:val="22"/>
              </w:rPr>
              <w:t>天津市静海区中旺镇中心卫生院</w:t>
            </w:r>
          </w:p>
        </w:tc>
        <w:tc>
          <w:tcPr>
            <w:tcW w:w="1114" w:type="dxa"/>
            <w:shd w:val="clear" w:color="auto" w:fill="auto"/>
            <w:vAlign w:val="center"/>
          </w:tcPr>
          <w:p w14:paraId="0258F8F0">
            <w:pPr>
              <w:widowControl/>
              <w:jc w:val="center"/>
              <w:rPr>
                <w:rFonts w:ascii="宋体" w:hAnsi="宋体" w:cs="宋体"/>
                <w:color w:val="000000"/>
                <w:kern w:val="0"/>
                <w:sz w:val="22"/>
                <w:szCs w:val="22"/>
              </w:rPr>
            </w:pPr>
            <w:r>
              <w:rPr>
                <w:rFonts w:hint="eastAsia" w:ascii="宋体" w:hAnsi="宋体" w:cs="宋体"/>
                <w:color w:val="000000"/>
                <w:kern w:val="0"/>
                <w:sz w:val="22"/>
                <w:szCs w:val="22"/>
              </w:rPr>
              <w:t>1台</w:t>
            </w:r>
          </w:p>
        </w:tc>
      </w:tr>
      <w:tr w14:paraId="073BED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280" w:type="dxa"/>
            <w:vMerge w:val="restart"/>
            <w:shd w:val="clear" w:color="auto" w:fill="auto"/>
            <w:vAlign w:val="center"/>
          </w:tcPr>
          <w:p w14:paraId="5C2DE53B">
            <w:pPr>
              <w:widowControl/>
              <w:jc w:val="center"/>
              <w:rPr>
                <w:rFonts w:ascii="宋体" w:hAnsi="宋体" w:cs="宋体"/>
                <w:color w:val="000000"/>
                <w:kern w:val="0"/>
                <w:sz w:val="22"/>
                <w:szCs w:val="22"/>
              </w:rPr>
            </w:pPr>
            <w:r>
              <w:rPr>
                <w:rFonts w:hint="eastAsia" w:ascii="宋体" w:hAnsi="宋体" w:cs="宋体"/>
                <w:color w:val="000000"/>
                <w:kern w:val="0"/>
                <w:sz w:val="22"/>
                <w:szCs w:val="22"/>
              </w:rPr>
              <w:t>第二包</w:t>
            </w:r>
          </w:p>
        </w:tc>
        <w:tc>
          <w:tcPr>
            <w:tcW w:w="1640" w:type="dxa"/>
            <w:shd w:val="clear" w:color="auto" w:fill="auto"/>
            <w:vAlign w:val="center"/>
          </w:tcPr>
          <w:p w14:paraId="03BBEED1">
            <w:pPr>
              <w:widowControl/>
              <w:jc w:val="center"/>
              <w:rPr>
                <w:rFonts w:ascii="宋体" w:hAnsi="宋体" w:cs="宋体"/>
                <w:color w:val="000000"/>
                <w:kern w:val="0"/>
                <w:sz w:val="22"/>
                <w:szCs w:val="22"/>
              </w:rPr>
            </w:pPr>
            <w:r>
              <w:rPr>
                <w:rFonts w:hint="eastAsia" w:ascii="宋体" w:hAnsi="宋体" w:cs="宋体"/>
                <w:color w:val="000000"/>
                <w:kern w:val="0"/>
                <w:sz w:val="22"/>
                <w:szCs w:val="22"/>
              </w:rPr>
              <w:t>监护仪（1）</w:t>
            </w:r>
          </w:p>
        </w:tc>
        <w:tc>
          <w:tcPr>
            <w:tcW w:w="4466" w:type="dxa"/>
            <w:shd w:val="clear" w:color="auto" w:fill="auto"/>
            <w:vAlign w:val="center"/>
          </w:tcPr>
          <w:p w14:paraId="78C80F1B">
            <w:pPr>
              <w:widowControl/>
              <w:jc w:val="left"/>
              <w:rPr>
                <w:rFonts w:ascii="宋体" w:hAnsi="宋体" w:cs="宋体"/>
                <w:color w:val="000000"/>
                <w:kern w:val="0"/>
                <w:sz w:val="22"/>
                <w:szCs w:val="22"/>
              </w:rPr>
            </w:pPr>
            <w:r>
              <w:rPr>
                <w:rFonts w:hint="eastAsia" w:ascii="宋体" w:hAnsi="宋体" w:cs="宋体"/>
                <w:color w:val="000000"/>
                <w:kern w:val="0"/>
                <w:sz w:val="22"/>
                <w:szCs w:val="22"/>
              </w:rPr>
              <w:t>邦均镇中心卫生院</w:t>
            </w:r>
          </w:p>
        </w:tc>
        <w:tc>
          <w:tcPr>
            <w:tcW w:w="1114" w:type="dxa"/>
            <w:shd w:val="clear" w:color="auto" w:fill="auto"/>
            <w:vAlign w:val="center"/>
          </w:tcPr>
          <w:p w14:paraId="22776ECE">
            <w:pPr>
              <w:widowControl/>
              <w:jc w:val="center"/>
              <w:rPr>
                <w:rFonts w:ascii="宋体" w:hAnsi="宋体" w:cs="宋体"/>
                <w:color w:val="000000"/>
                <w:kern w:val="0"/>
                <w:sz w:val="22"/>
                <w:szCs w:val="22"/>
              </w:rPr>
            </w:pPr>
            <w:r>
              <w:rPr>
                <w:rFonts w:hint="eastAsia" w:ascii="宋体" w:hAnsi="宋体" w:cs="宋体"/>
                <w:color w:val="000000"/>
                <w:kern w:val="0"/>
                <w:sz w:val="22"/>
                <w:szCs w:val="22"/>
              </w:rPr>
              <w:t>6台</w:t>
            </w:r>
          </w:p>
        </w:tc>
      </w:tr>
      <w:tr w14:paraId="304F5E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280" w:type="dxa"/>
            <w:vMerge w:val="continue"/>
            <w:vAlign w:val="center"/>
          </w:tcPr>
          <w:p w14:paraId="6A07B81B">
            <w:pPr>
              <w:widowControl/>
              <w:jc w:val="left"/>
              <w:rPr>
                <w:rFonts w:ascii="宋体" w:hAnsi="宋体" w:cs="宋体"/>
                <w:color w:val="000000"/>
                <w:kern w:val="0"/>
                <w:sz w:val="22"/>
                <w:szCs w:val="22"/>
              </w:rPr>
            </w:pPr>
          </w:p>
        </w:tc>
        <w:tc>
          <w:tcPr>
            <w:tcW w:w="1640" w:type="dxa"/>
            <w:shd w:val="clear" w:color="auto" w:fill="auto"/>
            <w:vAlign w:val="center"/>
          </w:tcPr>
          <w:p w14:paraId="7DAD1519">
            <w:pPr>
              <w:widowControl/>
              <w:jc w:val="center"/>
              <w:rPr>
                <w:rFonts w:ascii="宋体" w:hAnsi="宋体" w:cs="宋体"/>
                <w:color w:val="000000"/>
                <w:kern w:val="0"/>
                <w:sz w:val="22"/>
                <w:szCs w:val="22"/>
              </w:rPr>
            </w:pPr>
            <w:r>
              <w:rPr>
                <w:rFonts w:hint="eastAsia" w:ascii="宋体" w:hAnsi="宋体" w:cs="宋体"/>
                <w:color w:val="000000"/>
                <w:kern w:val="0"/>
                <w:sz w:val="22"/>
                <w:szCs w:val="22"/>
              </w:rPr>
              <w:t>监护仪（2）</w:t>
            </w:r>
          </w:p>
        </w:tc>
        <w:tc>
          <w:tcPr>
            <w:tcW w:w="4466" w:type="dxa"/>
            <w:shd w:val="clear" w:color="auto" w:fill="auto"/>
            <w:vAlign w:val="center"/>
          </w:tcPr>
          <w:p w14:paraId="0C08F5A0">
            <w:pPr>
              <w:widowControl/>
              <w:jc w:val="left"/>
              <w:rPr>
                <w:rFonts w:ascii="宋体" w:hAnsi="宋体" w:cs="宋体"/>
                <w:color w:val="000000"/>
                <w:kern w:val="0"/>
                <w:sz w:val="22"/>
                <w:szCs w:val="22"/>
              </w:rPr>
            </w:pPr>
            <w:r>
              <w:rPr>
                <w:rFonts w:hint="eastAsia" w:ascii="宋体" w:hAnsi="宋体" w:cs="宋体"/>
                <w:color w:val="000000"/>
                <w:kern w:val="0"/>
                <w:sz w:val="22"/>
                <w:szCs w:val="22"/>
              </w:rPr>
              <w:t>天津市西青医院</w:t>
            </w:r>
          </w:p>
        </w:tc>
        <w:tc>
          <w:tcPr>
            <w:tcW w:w="1114" w:type="dxa"/>
            <w:shd w:val="clear" w:color="auto" w:fill="auto"/>
            <w:vAlign w:val="center"/>
          </w:tcPr>
          <w:p w14:paraId="15CDA40B">
            <w:pPr>
              <w:widowControl/>
              <w:jc w:val="center"/>
              <w:rPr>
                <w:rFonts w:ascii="宋体" w:hAnsi="宋体" w:cs="宋体"/>
                <w:color w:val="000000"/>
                <w:kern w:val="0"/>
                <w:sz w:val="22"/>
                <w:szCs w:val="22"/>
              </w:rPr>
            </w:pPr>
            <w:r>
              <w:rPr>
                <w:rFonts w:hint="eastAsia" w:ascii="宋体" w:hAnsi="宋体" w:cs="宋体"/>
                <w:color w:val="000000"/>
                <w:kern w:val="0"/>
                <w:sz w:val="22"/>
                <w:szCs w:val="22"/>
              </w:rPr>
              <w:t>89台</w:t>
            </w:r>
          </w:p>
        </w:tc>
      </w:tr>
      <w:tr w14:paraId="6D38D6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280" w:type="dxa"/>
            <w:vMerge w:val="continue"/>
            <w:vAlign w:val="center"/>
          </w:tcPr>
          <w:p w14:paraId="3DBE4F9A">
            <w:pPr>
              <w:widowControl/>
              <w:jc w:val="left"/>
              <w:rPr>
                <w:rFonts w:ascii="宋体" w:hAnsi="宋体" w:cs="宋体"/>
                <w:color w:val="000000"/>
                <w:kern w:val="0"/>
                <w:sz w:val="22"/>
                <w:szCs w:val="22"/>
              </w:rPr>
            </w:pPr>
          </w:p>
        </w:tc>
        <w:tc>
          <w:tcPr>
            <w:tcW w:w="1640" w:type="dxa"/>
            <w:shd w:val="clear" w:color="auto" w:fill="auto"/>
            <w:vAlign w:val="center"/>
          </w:tcPr>
          <w:p w14:paraId="4831C5EA">
            <w:pPr>
              <w:widowControl/>
              <w:jc w:val="center"/>
              <w:rPr>
                <w:rFonts w:ascii="宋体" w:hAnsi="宋体" w:cs="宋体"/>
                <w:color w:val="000000"/>
                <w:kern w:val="0"/>
                <w:sz w:val="22"/>
                <w:szCs w:val="22"/>
              </w:rPr>
            </w:pPr>
            <w:r>
              <w:rPr>
                <w:rFonts w:hint="eastAsia" w:ascii="宋体" w:hAnsi="宋体" w:cs="宋体"/>
                <w:color w:val="000000"/>
                <w:kern w:val="0"/>
                <w:sz w:val="22"/>
                <w:szCs w:val="22"/>
              </w:rPr>
              <w:t>监护仪（3）</w:t>
            </w:r>
          </w:p>
        </w:tc>
        <w:tc>
          <w:tcPr>
            <w:tcW w:w="4466" w:type="dxa"/>
            <w:shd w:val="clear" w:color="auto" w:fill="auto"/>
            <w:vAlign w:val="center"/>
          </w:tcPr>
          <w:p w14:paraId="17A7F077">
            <w:pPr>
              <w:widowControl/>
              <w:jc w:val="left"/>
              <w:rPr>
                <w:rFonts w:ascii="宋体" w:hAnsi="宋体" w:cs="宋体"/>
                <w:color w:val="000000"/>
                <w:kern w:val="0"/>
                <w:sz w:val="22"/>
                <w:szCs w:val="22"/>
              </w:rPr>
            </w:pPr>
            <w:r>
              <w:rPr>
                <w:rFonts w:hint="eastAsia" w:ascii="宋体" w:hAnsi="宋体" w:cs="宋体"/>
                <w:color w:val="000000"/>
                <w:kern w:val="0"/>
                <w:sz w:val="22"/>
                <w:szCs w:val="22"/>
              </w:rPr>
              <w:t>天津市北辰区西堤头镇社区卫生服务中心</w:t>
            </w:r>
          </w:p>
        </w:tc>
        <w:tc>
          <w:tcPr>
            <w:tcW w:w="1114" w:type="dxa"/>
            <w:shd w:val="clear" w:color="auto" w:fill="auto"/>
            <w:vAlign w:val="center"/>
          </w:tcPr>
          <w:p w14:paraId="4549D11B">
            <w:pPr>
              <w:widowControl/>
              <w:jc w:val="center"/>
              <w:rPr>
                <w:rFonts w:ascii="宋体" w:hAnsi="宋体" w:cs="宋体"/>
                <w:color w:val="000000"/>
                <w:kern w:val="0"/>
                <w:sz w:val="22"/>
                <w:szCs w:val="22"/>
              </w:rPr>
            </w:pPr>
            <w:r>
              <w:rPr>
                <w:rFonts w:hint="eastAsia" w:ascii="宋体" w:hAnsi="宋体" w:cs="宋体"/>
                <w:color w:val="000000"/>
                <w:kern w:val="0"/>
                <w:sz w:val="22"/>
                <w:szCs w:val="22"/>
              </w:rPr>
              <w:t>4台</w:t>
            </w:r>
          </w:p>
        </w:tc>
      </w:tr>
      <w:tr w14:paraId="3B1C0B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280" w:type="dxa"/>
            <w:vMerge w:val="continue"/>
            <w:vAlign w:val="center"/>
          </w:tcPr>
          <w:p w14:paraId="2C2D9172">
            <w:pPr>
              <w:widowControl/>
              <w:jc w:val="left"/>
              <w:rPr>
                <w:rFonts w:ascii="宋体" w:hAnsi="宋体" w:cs="宋体"/>
                <w:color w:val="000000"/>
                <w:kern w:val="0"/>
                <w:sz w:val="22"/>
                <w:szCs w:val="22"/>
              </w:rPr>
            </w:pPr>
          </w:p>
        </w:tc>
        <w:tc>
          <w:tcPr>
            <w:tcW w:w="1640" w:type="dxa"/>
            <w:shd w:val="clear" w:color="auto" w:fill="auto"/>
            <w:vAlign w:val="center"/>
          </w:tcPr>
          <w:p w14:paraId="6327CDD9">
            <w:pPr>
              <w:widowControl/>
              <w:jc w:val="center"/>
              <w:rPr>
                <w:rFonts w:ascii="宋体" w:hAnsi="宋体" w:cs="宋体"/>
                <w:color w:val="000000"/>
                <w:kern w:val="0"/>
                <w:sz w:val="22"/>
                <w:szCs w:val="22"/>
              </w:rPr>
            </w:pPr>
            <w:r>
              <w:rPr>
                <w:rFonts w:hint="eastAsia" w:ascii="宋体" w:hAnsi="宋体" w:cs="宋体"/>
                <w:color w:val="000000"/>
                <w:kern w:val="0"/>
                <w:sz w:val="22"/>
                <w:szCs w:val="22"/>
              </w:rPr>
              <w:t>监护仪（4）</w:t>
            </w:r>
          </w:p>
        </w:tc>
        <w:tc>
          <w:tcPr>
            <w:tcW w:w="4466" w:type="dxa"/>
            <w:shd w:val="clear" w:color="auto" w:fill="auto"/>
            <w:vAlign w:val="center"/>
          </w:tcPr>
          <w:p w14:paraId="2091700D">
            <w:pPr>
              <w:widowControl/>
              <w:jc w:val="left"/>
              <w:rPr>
                <w:rFonts w:ascii="宋体" w:hAnsi="宋体" w:cs="宋体"/>
                <w:color w:val="000000"/>
                <w:kern w:val="0"/>
                <w:sz w:val="22"/>
                <w:szCs w:val="22"/>
              </w:rPr>
            </w:pPr>
            <w:r>
              <w:rPr>
                <w:rFonts w:hint="eastAsia" w:ascii="宋体" w:hAnsi="宋体" w:cs="宋体"/>
                <w:color w:val="000000"/>
                <w:kern w:val="0"/>
                <w:sz w:val="22"/>
                <w:szCs w:val="22"/>
              </w:rPr>
              <w:t>天津市西青医院</w:t>
            </w:r>
          </w:p>
        </w:tc>
        <w:tc>
          <w:tcPr>
            <w:tcW w:w="1114" w:type="dxa"/>
            <w:shd w:val="clear" w:color="auto" w:fill="auto"/>
            <w:vAlign w:val="center"/>
          </w:tcPr>
          <w:p w14:paraId="5DF1F591">
            <w:pPr>
              <w:widowControl/>
              <w:jc w:val="center"/>
              <w:rPr>
                <w:rFonts w:ascii="宋体" w:hAnsi="宋体" w:cs="宋体"/>
                <w:color w:val="000000"/>
                <w:kern w:val="0"/>
                <w:sz w:val="22"/>
                <w:szCs w:val="22"/>
              </w:rPr>
            </w:pPr>
            <w:r>
              <w:rPr>
                <w:rFonts w:hint="eastAsia" w:ascii="宋体" w:hAnsi="宋体" w:cs="宋体"/>
                <w:color w:val="000000"/>
                <w:kern w:val="0"/>
                <w:sz w:val="22"/>
                <w:szCs w:val="22"/>
              </w:rPr>
              <w:t>35台</w:t>
            </w:r>
          </w:p>
        </w:tc>
      </w:tr>
      <w:tr w14:paraId="381F6C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280" w:type="dxa"/>
            <w:vMerge w:val="continue"/>
            <w:vAlign w:val="center"/>
          </w:tcPr>
          <w:p w14:paraId="2C1E7205">
            <w:pPr>
              <w:widowControl/>
              <w:jc w:val="left"/>
              <w:rPr>
                <w:rFonts w:ascii="宋体" w:hAnsi="宋体" w:cs="宋体"/>
                <w:color w:val="000000"/>
                <w:kern w:val="0"/>
                <w:sz w:val="22"/>
                <w:szCs w:val="22"/>
              </w:rPr>
            </w:pPr>
          </w:p>
        </w:tc>
        <w:tc>
          <w:tcPr>
            <w:tcW w:w="1640" w:type="dxa"/>
            <w:shd w:val="clear" w:color="auto" w:fill="auto"/>
            <w:vAlign w:val="center"/>
          </w:tcPr>
          <w:p w14:paraId="43990B62">
            <w:pPr>
              <w:widowControl/>
              <w:jc w:val="center"/>
              <w:rPr>
                <w:rFonts w:ascii="宋体" w:hAnsi="宋体" w:cs="宋体"/>
                <w:color w:val="000000"/>
                <w:kern w:val="0"/>
                <w:sz w:val="22"/>
                <w:szCs w:val="22"/>
              </w:rPr>
            </w:pPr>
            <w:r>
              <w:rPr>
                <w:rFonts w:hint="eastAsia" w:ascii="宋体" w:hAnsi="宋体" w:cs="宋体"/>
                <w:color w:val="000000"/>
                <w:kern w:val="0"/>
                <w:sz w:val="22"/>
                <w:szCs w:val="22"/>
              </w:rPr>
              <w:t>监护仪（5）</w:t>
            </w:r>
          </w:p>
        </w:tc>
        <w:tc>
          <w:tcPr>
            <w:tcW w:w="4466" w:type="dxa"/>
            <w:shd w:val="clear" w:color="auto" w:fill="auto"/>
            <w:vAlign w:val="center"/>
          </w:tcPr>
          <w:p w14:paraId="61201ECF">
            <w:pPr>
              <w:widowControl/>
              <w:jc w:val="left"/>
              <w:rPr>
                <w:rFonts w:ascii="宋体" w:hAnsi="宋体" w:cs="宋体"/>
                <w:color w:val="000000"/>
                <w:kern w:val="0"/>
                <w:sz w:val="22"/>
                <w:szCs w:val="22"/>
              </w:rPr>
            </w:pPr>
            <w:r>
              <w:rPr>
                <w:rFonts w:hint="eastAsia" w:ascii="宋体" w:hAnsi="宋体" w:cs="宋体"/>
                <w:color w:val="000000"/>
                <w:kern w:val="0"/>
                <w:sz w:val="22"/>
                <w:szCs w:val="22"/>
              </w:rPr>
              <w:t>天津市西青医院</w:t>
            </w:r>
          </w:p>
        </w:tc>
        <w:tc>
          <w:tcPr>
            <w:tcW w:w="1114" w:type="dxa"/>
            <w:shd w:val="clear" w:color="auto" w:fill="auto"/>
            <w:vAlign w:val="center"/>
          </w:tcPr>
          <w:p w14:paraId="5D1AEEAE">
            <w:pPr>
              <w:widowControl/>
              <w:jc w:val="center"/>
              <w:rPr>
                <w:rFonts w:ascii="宋体" w:hAnsi="宋体" w:cs="宋体"/>
                <w:color w:val="000000"/>
                <w:kern w:val="0"/>
                <w:sz w:val="22"/>
                <w:szCs w:val="22"/>
              </w:rPr>
            </w:pPr>
            <w:r>
              <w:rPr>
                <w:rFonts w:hint="eastAsia" w:ascii="宋体" w:hAnsi="宋体" w:cs="宋体"/>
                <w:color w:val="000000"/>
                <w:kern w:val="0"/>
                <w:sz w:val="22"/>
                <w:szCs w:val="22"/>
              </w:rPr>
              <w:t>2台</w:t>
            </w:r>
          </w:p>
        </w:tc>
      </w:tr>
      <w:tr w14:paraId="31B02E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280" w:type="dxa"/>
            <w:shd w:val="clear" w:color="auto" w:fill="auto"/>
            <w:vAlign w:val="center"/>
          </w:tcPr>
          <w:p w14:paraId="313A6458">
            <w:pPr>
              <w:widowControl/>
              <w:jc w:val="center"/>
              <w:rPr>
                <w:rFonts w:ascii="宋体" w:hAnsi="宋体" w:cs="宋体"/>
                <w:color w:val="000000"/>
                <w:kern w:val="0"/>
                <w:sz w:val="22"/>
                <w:szCs w:val="22"/>
              </w:rPr>
            </w:pPr>
            <w:r>
              <w:rPr>
                <w:rFonts w:hint="eastAsia" w:ascii="宋体" w:hAnsi="宋体" w:cs="宋体"/>
                <w:color w:val="000000"/>
                <w:kern w:val="0"/>
                <w:sz w:val="22"/>
                <w:szCs w:val="22"/>
              </w:rPr>
              <w:t>第三包</w:t>
            </w:r>
          </w:p>
        </w:tc>
        <w:tc>
          <w:tcPr>
            <w:tcW w:w="1640" w:type="dxa"/>
            <w:shd w:val="clear" w:color="auto" w:fill="auto"/>
            <w:vAlign w:val="center"/>
          </w:tcPr>
          <w:p w14:paraId="5BA41F18">
            <w:pPr>
              <w:widowControl/>
              <w:jc w:val="center"/>
              <w:rPr>
                <w:rFonts w:ascii="宋体" w:hAnsi="宋体" w:cs="宋体"/>
                <w:color w:val="000000"/>
                <w:kern w:val="0"/>
                <w:sz w:val="22"/>
                <w:szCs w:val="22"/>
              </w:rPr>
            </w:pPr>
            <w:r>
              <w:rPr>
                <w:rFonts w:hint="eastAsia" w:ascii="宋体" w:hAnsi="宋体" w:cs="宋体"/>
                <w:color w:val="000000"/>
                <w:kern w:val="0"/>
                <w:sz w:val="22"/>
                <w:szCs w:val="22"/>
              </w:rPr>
              <w:t>麻醉机</w:t>
            </w:r>
          </w:p>
        </w:tc>
        <w:tc>
          <w:tcPr>
            <w:tcW w:w="4466" w:type="dxa"/>
            <w:shd w:val="clear" w:color="auto" w:fill="auto"/>
            <w:vAlign w:val="center"/>
          </w:tcPr>
          <w:p w14:paraId="1305CA69">
            <w:pPr>
              <w:widowControl/>
              <w:jc w:val="left"/>
              <w:rPr>
                <w:rFonts w:ascii="宋体" w:hAnsi="宋体" w:cs="宋体"/>
                <w:color w:val="000000"/>
                <w:kern w:val="0"/>
                <w:sz w:val="22"/>
                <w:szCs w:val="22"/>
              </w:rPr>
            </w:pPr>
            <w:r>
              <w:rPr>
                <w:rFonts w:hint="eastAsia" w:ascii="宋体" w:hAnsi="宋体" w:cs="宋体"/>
                <w:color w:val="000000"/>
                <w:kern w:val="0"/>
                <w:sz w:val="22"/>
                <w:szCs w:val="22"/>
              </w:rPr>
              <w:t>天津市北辰区双青新家园社区卫生服务中心</w:t>
            </w:r>
          </w:p>
        </w:tc>
        <w:tc>
          <w:tcPr>
            <w:tcW w:w="1114" w:type="dxa"/>
            <w:shd w:val="clear" w:color="auto" w:fill="auto"/>
            <w:vAlign w:val="center"/>
          </w:tcPr>
          <w:p w14:paraId="2EC06DF8">
            <w:pPr>
              <w:widowControl/>
              <w:jc w:val="center"/>
              <w:rPr>
                <w:rFonts w:ascii="宋体" w:hAnsi="宋体" w:cs="宋体"/>
                <w:color w:val="000000"/>
                <w:kern w:val="0"/>
                <w:sz w:val="22"/>
                <w:szCs w:val="22"/>
              </w:rPr>
            </w:pPr>
            <w:r>
              <w:rPr>
                <w:rFonts w:hint="eastAsia" w:ascii="宋体" w:hAnsi="宋体" w:cs="宋体"/>
                <w:color w:val="000000"/>
                <w:kern w:val="0"/>
                <w:sz w:val="22"/>
                <w:szCs w:val="22"/>
              </w:rPr>
              <w:t>1台</w:t>
            </w:r>
          </w:p>
        </w:tc>
      </w:tr>
      <w:tr w14:paraId="1DB397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280" w:type="dxa"/>
            <w:vMerge w:val="restart"/>
            <w:shd w:val="clear" w:color="auto" w:fill="auto"/>
            <w:vAlign w:val="center"/>
          </w:tcPr>
          <w:p w14:paraId="43C9681B">
            <w:pPr>
              <w:widowControl/>
              <w:jc w:val="center"/>
              <w:rPr>
                <w:rFonts w:ascii="宋体" w:hAnsi="宋体" w:cs="宋体"/>
                <w:color w:val="000000"/>
                <w:kern w:val="0"/>
                <w:sz w:val="22"/>
                <w:szCs w:val="22"/>
              </w:rPr>
            </w:pPr>
            <w:r>
              <w:rPr>
                <w:rFonts w:hint="eastAsia" w:ascii="宋体" w:hAnsi="宋体" w:cs="宋体"/>
                <w:color w:val="000000"/>
                <w:kern w:val="0"/>
                <w:sz w:val="22"/>
                <w:szCs w:val="22"/>
              </w:rPr>
              <w:t>第四包</w:t>
            </w:r>
          </w:p>
        </w:tc>
        <w:tc>
          <w:tcPr>
            <w:tcW w:w="1640" w:type="dxa"/>
            <w:shd w:val="clear" w:color="auto" w:fill="auto"/>
            <w:vAlign w:val="center"/>
          </w:tcPr>
          <w:p w14:paraId="4DFEC71E">
            <w:pPr>
              <w:widowControl/>
              <w:jc w:val="center"/>
              <w:rPr>
                <w:rFonts w:ascii="宋体" w:hAnsi="宋体" w:cs="宋体"/>
                <w:color w:val="000000"/>
                <w:kern w:val="0"/>
                <w:sz w:val="22"/>
                <w:szCs w:val="22"/>
              </w:rPr>
            </w:pPr>
            <w:r>
              <w:rPr>
                <w:rFonts w:hint="eastAsia" w:ascii="宋体" w:hAnsi="宋体" w:cs="宋体"/>
                <w:color w:val="000000"/>
                <w:kern w:val="0"/>
                <w:sz w:val="22"/>
                <w:szCs w:val="22"/>
              </w:rPr>
              <w:t>麻醉机（1）</w:t>
            </w:r>
          </w:p>
        </w:tc>
        <w:tc>
          <w:tcPr>
            <w:tcW w:w="4466" w:type="dxa"/>
            <w:shd w:val="clear" w:color="auto" w:fill="auto"/>
            <w:noWrap/>
            <w:vAlign w:val="center"/>
          </w:tcPr>
          <w:p w14:paraId="70E9D7BF">
            <w:pPr>
              <w:widowControl/>
              <w:jc w:val="left"/>
              <w:rPr>
                <w:rFonts w:ascii="宋体" w:hAnsi="宋体" w:cs="宋体"/>
                <w:color w:val="000000"/>
                <w:kern w:val="0"/>
                <w:sz w:val="22"/>
                <w:szCs w:val="22"/>
              </w:rPr>
            </w:pPr>
            <w:r>
              <w:rPr>
                <w:rFonts w:hint="eastAsia" w:ascii="宋体" w:hAnsi="宋体" w:cs="宋体"/>
                <w:color w:val="000000"/>
                <w:kern w:val="0"/>
                <w:sz w:val="22"/>
                <w:szCs w:val="22"/>
              </w:rPr>
              <w:t>宝坻区海滨医院</w:t>
            </w:r>
          </w:p>
        </w:tc>
        <w:tc>
          <w:tcPr>
            <w:tcW w:w="1114" w:type="dxa"/>
            <w:shd w:val="clear" w:color="auto" w:fill="auto"/>
            <w:vAlign w:val="center"/>
          </w:tcPr>
          <w:p w14:paraId="5ECE1385">
            <w:pPr>
              <w:widowControl/>
              <w:jc w:val="center"/>
              <w:rPr>
                <w:rFonts w:ascii="宋体" w:hAnsi="宋体" w:cs="宋体"/>
                <w:kern w:val="0"/>
                <w:sz w:val="22"/>
                <w:szCs w:val="22"/>
              </w:rPr>
            </w:pPr>
            <w:r>
              <w:rPr>
                <w:rFonts w:hint="eastAsia" w:ascii="宋体" w:hAnsi="宋体" w:cs="宋体"/>
                <w:kern w:val="0"/>
                <w:sz w:val="22"/>
                <w:szCs w:val="22"/>
              </w:rPr>
              <w:t>1</w:t>
            </w:r>
            <w:r>
              <w:rPr>
                <w:rFonts w:hint="eastAsia" w:ascii="宋体" w:hAnsi="宋体" w:cs="宋体"/>
                <w:kern w:val="0"/>
                <w:sz w:val="24"/>
                <w:szCs w:val="24"/>
              </w:rPr>
              <w:t>台</w:t>
            </w:r>
          </w:p>
        </w:tc>
      </w:tr>
      <w:tr w14:paraId="58D0DE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280" w:type="dxa"/>
            <w:vMerge w:val="continue"/>
            <w:vAlign w:val="center"/>
          </w:tcPr>
          <w:p w14:paraId="34F3C379">
            <w:pPr>
              <w:widowControl/>
              <w:jc w:val="left"/>
              <w:rPr>
                <w:rFonts w:ascii="宋体" w:hAnsi="宋体" w:cs="宋体"/>
                <w:color w:val="000000"/>
                <w:kern w:val="0"/>
                <w:sz w:val="22"/>
                <w:szCs w:val="22"/>
              </w:rPr>
            </w:pPr>
          </w:p>
        </w:tc>
        <w:tc>
          <w:tcPr>
            <w:tcW w:w="1640" w:type="dxa"/>
            <w:shd w:val="clear" w:color="auto" w:fill="auto"/>
            <w:vAlign w:val="center"/>
          </w:tcPr>
          <w:p w14:paraId="0404952B">
            <w:pPr>
              <w:widowControl/>
              <w:jc w:val="center"/>
              <w:rPr>
                <w:rFonts w:ascii="宋体" w:hAnsi="宋体" w:cs="宋体"/>
                <w:color w:val="000000"/>
                <w:kern w:val="0"/>
                <w:sz w:val="22"/>
                <w:szCs w:val="22"/>
              </w:rPr>
            </w:pPr>
            <w:r>
              <w:rPr>
                <w:rFonts w:hint="eastAsia" w:ascii="宋体" w:hAnsi="宋体" w:cs="宋体"/>
                <w:color w:val="000000"/>
                <w:kern w:val="0"/>
                <w:sz w:val="22"/>
                <w:szCs w:val="22"/>
              </w:rPr>
              <w:t>麻醉机（2）</w:t>
            </w:r>
          </w:p>
        </w:tc>
        <w:tc>
          <w:tcPr>
            <w:tcW w:w="4466" w:type="dxa"/>
            <w:shd w:val="clear" w:color="auto" w:fill="auto"/>
            <w:vAlign w:val="center"/>
          </w:tcPr>
          <w:p w14:paraId="06848E64">
            <w:pPr>
              <w:widowControl/>
              <w:jc w:val="left"/>
              <w:rPr>
                <w:rFonts w:ascii="宋体" w:hAnsi="宋体" w:cs="宋体"/>
                <w:color w:val="000000"/>
                <w:kern w:val="0"/>
                <w:sz w:val="22"/>
                <w:szCs w:val="22"/>
              </w:rPr>
            </w:pPr>
            <w:r>
              <w:rPr>
                <w:rFonts w:hint="eastAsia" w:ascii="宋体" w:hAnsi="宋体" w:cs="宋体"/>
                <w:color w:val="000000"/>
                <w:kern w:val="0"/>
                <w:sz w:val="22"/>
                <w:szCs w:val="22"/>
              </w:rPr>
              <w:t>武清区黄花店医院</w:t>
            </w:r>
          </w:p>
        </w:tc>
        <w:tc>
          <w:tcPr>
            <w:tcW w:w="1114" w:type="dxa"/>
            <w:shd w:val="clear" w:color="auto" w:fill="auto"/>
            <w:vAlign w:val="center"/>
          </w:tcPr>
          <w:p w14:paraId="6A5CA33F">
            <w:pPr>
              <w:widowControl/>
              <w:jc w:val="center"/>
              <w:rPr>
                <w:rFonts w:ascii="宋体" w:hAnsi="宋体" w:cs="宋体"/>
                <w:kern w:val="0"/>
                <w:sz w:val="22"/>
                <w:szCs w:val="22"/>
              </w:rPr>
            </w:pPr>
            <w:r>
              <w:rPr>
                <w:rFonts w:hint="eastAsia" w:ascii="宋体" w:hAnsi="宋体" w:cs="宋体"/>
                <w:kern w:val="0"/>
                <w:sz w:val="22"/>
                <w:szCs w:val="22"/>
              </w:rPr>
              <w:t>1</w:t>
            </w:r>
            <w:r>
              <w:rPr>
                <w:rFonts w:hint="eastAsia" w:ascii="宋体" w:hAnsi="宋体" w:cs="宋体"/>
                <w:kern w:val="0"/>
                <w:sz w:val="24"/>
                <w:szCs w:val="24"/>
              </w:rPr>
              <w:t>台</w:t>
            </w:r>
          </w:p>
        </w:tc>
      </w:tr>
      <w:tr w14:paraId="21BAF0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280" w:type="dxa"/>
            <w:vMerge w:val="continue"/>
            <w:vAlign w:val="center"/>
          </w:tcPr>
          <w:p w14:paraId="029A0BAC">
            <w:pPr>
              <w:widowControl/>
              <w:jc w:val="left"/>
              <w:rPr>
                <w:rFonts w:ascii="宋体" w:hAnsi="宋体" w:cs="宋体"/>
                <w:color w:val="000000"/>
                <w:kern w:val="0"/>
                <w:sz w:val="22"/>
                <w:szCs w:val="22"/>
              </w:rPr>
            </w:pPr>
          </w:p>
        </w:tc>
        <w:tc>
          <w:tcPr>
            <w:tcW w:w="1640" w:type="dxa"/>
            <w:shd w:val="clear" w:color="auto" w:fill="auto"/>
            <w:vAlign w:val="center"/>
          </w:tcPr>
          <w:p w14:paraId="758275EE">
            <w:pPr>
              <w:widowControl/>
              <w:jc w:val="center"/>
              <w:rPr>
                <w:rFonts w:ascii="宋体" w:hAnsi="宋体" w:cs="宋体"/>
                <w:color w:val="000000"/>
                <w:kern w:val="0"/>
                <w:sz w:val="22"/>
                <w:szCs w:val="22"/>
              </w:rPr>
            </w:pPr>
            <w:r>
              <w:rPr>
                <w:rFonts w:hint="eastAsia" w:ascii="宋体" w:hAnsi="宋体" w:cs="宋体"/>
                <w:color w:val="000000"/>
                <w:kern w:val="0"/>
                <w:sz w:val="22"/>
                <w:szCs w:val="22"/>
              </w:rPr>
              <w:t>麻醉机（3）</w:t>
            </w:r>
          </w:p>
        </w:tc>
        <w:tc>
          <w:tcPr>
            <w:tcW w:w="4466" w:type="dxa"/>
            <w:shd w:val="clear" w:color="auto" w:fill="auto"/>
            <w:vAlign w:val="center"/>
          </w:tcPr>
          <w:p w14:paraId="71A4ED31">
            <w:pPr>
              <w:widowControl/>
              <w:jc w:val="left"/>
              <w:rPr>
                <w:rFonts w:ascii="宋体" w:hAnsi="宋体" w:cs="宋体"/>
                <w:color w:val="000000"/>
                <w:kern w:val="0"/>
                <w:sz w:val="22"/>
                <w:szCs w:val="22"/>
              </w:rPr>
            </w:pPr>
            <w:r>
              <w:rPr>
                <w:rFonts w:hint="eastAsia" w:ascii="宋体" w:hAnsi="宋体" w:cs="宋体"/>
                <w:color w:val="000000"/>
                <w:kern w:val="0"/>
                <w:sz w:val="22"/>
                <w:szCs w:val="22"/>
              </w:rPr>
              <w:t>邦均镇中心卫生院</w:t>
            </w:r>
          </w:p>
        </w:tc>
        <w:tc>
          <w:tcPr>
            <w:tcW w:w="1114" w:type="dxa"/>
            <w:shd w:val="clear" w:color="auto" w:fill="auto"/>
            <w:vAlign w:val="center"/>
          </w:tcPr>
          <w:p w14:paraId="20F4B667">
            <w:pPr>
              <w:widowControl/>
              <w:jc w:val="center"/>
              <w:rPr>
                <w:rFonts w:ascii="宋体" w:hAnsi="宋体" w:cs="宋体"/>
                <w:kern w:val="0"/>
                <w:sz w:val="22"/>
                <w:szCs w:val="22"/>
              </w:rPr>
            </w:pPr>
            <w:r>
              <w:rPr>
                <w:rFonts w:hint="eastAsia" w:ascii="宋体" w:hAnsi="宋体" w:cs="宋体"/>
                <w:kern w:val="0"/>
                <w:sz w:val="22"/>
                <w:szCs w:val="22"/>
              </w:rPr>
              <w:t>1</w:t>
            </w:r>
            <w:r>
              <w:rPr>
                <w:rFonts w:hint="eastAsia" w:ascii="宋体" w:hAnsi="宋体" w:cs="宋体"/>
                <w:kern w:val="0"/>
                <w:sz w:val="24"/>
                <w:szCs w:val="24"/>
              </w:rPr>
              <w:t>台</w:t>
            </w:r>
          </w:p>
        </w:tc>
      </w:tr>
      <w:tr w14:paraId="78E84A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280" w:type="dxa"/>
            <w:vMerge w:val="continue"/>
            <w:vAlign w:val="center"/>
          </w:tcPr>
          <w:p w14:paraId="592E6329">
            <w:pPr>
              <w:widowControl/>
              <w:jc w:val="left"/>
              <w:rPr>
                <w:rFonts w:ascii="宋体" w:hAnsi="宋体" w:cs="宋体"/>
                <w:color w:val="000000"/>
                <w:kern w:val="0"/>
                <w:sz w:val="22"/>
                <w:szCs w:val="22"/>
              </w:rPr>
            </w:pPr>
          </w:p>
        </w:tc>
        <w:tc>
          <w:tcPr>
            <w:tcW w:w="1640" w:type="dxa"/>
            <w:shd w:val="clear" w:color="auto" w:fill="auto"/>
            <w:vAlign w:val="center"/>
          </w:tcPr>
          <w:p w14:paraId="769A0FF6">
            <w:pPr>
              <w:widowControl/>
              <w:jc w:val="center"/>
              <w:rPr>
                <w:rFonts w:ascii="宋体" w:hAnsi="宋体" w:cs="宋体"/>
                <w:color w:val="000000"/>
                <w:kern w:val="0"/>
                <w:sz w:val="22"/>
                <w:szCs w:val="22"/>
              </w:rPr>
            </w:pPr>
            <w:r>
              <w:rPr>
                <w:rFonts w:hint="eastAsia" w:ascii="宋体" w:hAnsi="宋体" w:cs="宋体"/>
                <w:color w:val="000000"/>
                <w:kern w:val="0"/>
                <w:sz w:val="22"/>
                <w:szCs w:val="22"/>
              </w:rPr>
              <w:t>麻醉机（4）</w:t>
            </w:r>
          </w:p>
        </w:tc>
        <w:tc>
          <w:tcPr>
            <w:tcW w:w="4466" w:type="dxa"/>
            <w:shd w:val="clear" w:color="auto" w:fill="auto"/>
            <w:noWrap/>
            <w:vAlign w:val="center"/>
          </w:tcPr>
          <w:p w14:paraId="52D78F5C">
            <w:pPr>
              <w:widowControl/>
              <w:jc w:val="left"/>
              <w:rPr>
                <w:rFonts w:ascii="宋体" w:hAnsi="宋体" w:cs="宋体"/>
                <w:color w:val="000000"/>
                <w:kern w:val="0"/>
                <w:sz w:val="22"/>
                <w:szCs w:val="22"/>
              </w:rPr>
            </w:pPr>
            <w:r>
              <w:rPr>
                <w:rFonts w:hint="eastAsia" w:ascii="宋体" w:hAnsi="宋体" w:cs="宋体"/>
                <w:color w:val="000000"/>
                <w:kern w:val="0"/>
                <w:sz w:val="22"/>
                <w:szCs w:val="22"/>
              </w:rPr>
              <w:t>天津市静海区医院</w:t>
            </w:r>
          </w:p>
        </w:tc>
        <w:tc>
          <w:tcPr>
            <w:tcW w:w="1114" w:type="dxa"/>
            <w:shd w:val="clear" w:color="auto" w:fill="auto"/>
            <w:vAlign w:val="center"/>
          </w:tcPr>
          <w:p w14:paraId="42C71483">
            <w:pPr>
              <w:widowControl/>
              <w:jc w:val="center"/>
              <w:rPr>
                <w:rFonts w:ascii="宋体" w:hAnsi="宋体" w:cs="宋体"/>
                <w:kern w:val="0"/>
                <w:sz w:val="22"/>
                <w:szCs w:val="22"/>
              </w:rPr>
            </w:pPr>
            <w:r>
              <w:rPr>
                <w:rFonts w:hint="eastAsia" w:ascii="宋体" w:hAnsi="宋体" w:cs="宋体"/>
                <w:kern w:val="0"/>
                <w:sz w:val="22"/>
                <w:szCs w:val="22"/>
              </w:rPr>
              <w:t>5台</w:t>
            </w:r>
          </w:p>
        </w:tc>
      </w:tr>
      <w:tr w14:paraId="6188B1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280" w:type="dxa"/>
            <w:vMerge w:val="continue"/>
            <w:vAlign w:val="center"/>
          </w:tcPr>
          <w:p w14:paraId="416ADD3A">
            <w:pPr>
              <w:widowControl/>
              <w:jc w:val="left"/>
              <w:rPr>
                <w:rFonts w:ascii="宋体" w:hAnsi="宋体" w:cs="宋体"/>
                <w:color w:val="000000"/>
                <w:kern w:val="0"/>
                <w:sz w:val="22"/>
                <w:szCs w:val="22"/>
              </w:rPr>
            </w:pPr>
          </w:p>
        </w:tc>
        <w:tc>
          <w:tcPr>
            <w:tcW w:w="1640" w:type="dxa"/>
            <w:shd w:val="clear" w:color="auto" w:fill="auto"/>
            <w:vAlign w:val="center"/>
          </w:tcPr>
          <w:p w14:paraId="0DBFCDD3">
            <w:pPr>
              <w:widowControl/>
              <w:jc w:val="center"/>
              <w:rPr>
                <w:rFonts w:ascii="宋体" w:hAnsi="宋体" w:cs="宋体"/>
                <w:color w:val="000000"/>
                <w:kern w:val="0"/>
                <w:sz w:val="22"/>
                <w:szCs w:val="22"/>
              </w:rPr>
            </w:pPr>
            <w:r>
              <w:rPr>
                <w:rFonts w:hint="eastAsia" w:ascii="宋体" w:hAnsi="宋体" w:cs="宋体"/>
                <w:color w:val="000000"/>
                <w:kern w:val="0"/>
                <w:sz w:val="22"/>
                <w:szCs w:val="22"/>
              </w:rPr>
              <w:t>麻醉机（5）</w:t>
            </w:r>
          </w:p>
        </w:tc>
        <w:tc>
          <w:tcPr>
            <w:tcW w:w="4466" w:type="dxa"/>
            <w:shd w:val="clear" w:color="auto" w:fill="auto"/>
            <w:noWrap/>
            <w:vAlign w:val="center"/>
          </w:tcPr>
          <w:p w14:paraId="670A7E50">
            <w:pPr>
              <w:widowControl/>
              <w:jc w:val="left"/>
              <w:rPr>
                <w:rFonts w:ascii="宋体" w:hAnsi="宋体" w:cs="宋体"/>
                <w:color w:val="000000"/>
                <w:kern w:val="0"/>
                <w:sz w:val="22"/>
                <w:szCs w:val="22"/>
              </w:rPr>
            </w:pPr>
            <w:r>
              <w:rPr>
                <w:rFonts w:hint="eastAsia" w:ascii="宋体" w:hAnsi="宋体" w:cs="宋体"/>
                <w:color w:val="000000"/>
                <w:kern w:val="0"/>
                <w:sz w:val="22"/>
                <w:szCs w:val="22"/>
              </w:rPr>
              <w:t>天津市北辰区中医医院</w:t>
            </w:r>
          </w:p>
        </w:tc>
        <w:tc>
          <w:tcPr>
            <w:tcW w:w="1114" w:type="dxa"/>
            <w:shd w:val="clear" w:color="auto" w:fill="auto"/>
            <w:vAlign w:val="center"/>
          </w:tcPr>
          <w:p w14:paraId="36F9AE37">
            <w:pPr>
              <w:widowControl/>
              <w:jc w:val="center"/>
              <w:rPr>
                <w:rFonts w:ascii="宋体" w:hAnsi="宋体" w:cs="宋体"/>
                <w:color w:val="000000"/>
                <w:kern w:val="0"/>
                <w:sz w:val="22"/>
                <w:szCs w:val="22"/>
              </w:rPr>
            </w:pPr>
            <w:r>
              <w:rPr>
                <w:rFonts w:hint="eastAsia" w:ascii="宋体" w:hAnsi="宋体" w:cs="宋体"/>
                <w:color w:val="000000"/>
                <w:kern w:val="0"/>
                <w:sz w:val="22"/>
                <w:szCs w:val="22"/>
              </w:rPr>
              <w:t>1台</w:t>
            </w:r>
          </w:p>
        </w:tc>
      </w:tr>
      <w:tr w14:paraId="35F0BD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280" w:type="dxa"/>
            <w:vMerge w:val="restart"/>
            <w:shd w:val="clear" w:color="auto" w:fill="auto"/>
            <w:vAlign w:val="center"/>
          </w:tcPr>
          <w:p w14:paraId="6B5A0F7A">
            <w:pPr>
              <w:widowControl/>
              <w:jc w:val="center"/>
              <w:rPr>
                <w:rFonts w:ascii="宋体" w:hAnsi="宋体" w:cs="宋体"/>
                <w:color w:val="000000"/>
                <w:kern w:val="0"/>
                <w:sz w:val="22"/>
                <w:szCs w:val="22"/>
              </w:rPr>
            </w:pPr>
            <w:r>
              <w:rPr>
                <w:rFonts w:hint="eastAsia" w:ascii="宋体" w:hAnsi="宋体" w:cs="宋体"/>
                <w:color w:val="000000"/>
                <w:kern w:val="0"/>
                <w:sz w:val="22"/>
                <w:szCs w:val="22"/>
              </w:rPr>
              <w:t>第五包</w:t>
            </w:r>
          </w:p>
        </w:tc>
        <w:tc>
          <w:tcPr>
            <w:tcW w:w="1640" w:type="dxa"/>
            <w:shd w:val="clear" w:color="auto" w:fill="auto"/>
            <w:vAlign w:val="center"/>
          </w:tcPr>
          <w:p w14:paraId="3C7E763D">
            <w:pPr>
              <w:widowControl/>
              <w:jc w:val="center"/>
              <w:rPr>
                <w:rFonts w:ascii="宋体" w:hAnsi="宋体" w:cs="宋体"/>
                <w:color w:val="000000"/>
                <w:kern w:val="0"/>
                <w:sz w:val="22"/>
                <w:szCs w:val="22"/>
              </w:rPr>
            </w:pPr>
            <w:r>
              <w:rPr>
                <w:rFonts w:hint="eastAsia" w:ascii="宋体" w:hAnsi="宋体" w:cs="宋体"/>
                <w:color w:val="000000"/>
                <w:kern w:val="0"/>
                <w:sz w:val="22"/>
                <w:szCs w:val="22"/>
              </w:rPr>
              <w:t>麻醉机（1）</w:t>
            </w:r>
          </w:p>
        </w:tc>
        <w:tc>
          <w:tcPr>
            <w:tcW w:w="4466" w:type="dxa"/>
            <w:shd w:val="clear" w:color="auto" w:fill="auto"/>
            <w:noWrap/>
            <w:vAlign w:val="center"/>
          </w:tcPr>
          <w:p w14:paraId="755F18BE">
            <w:pPr>
              <w:widowControl/>
              <w:jc w:val="left"/>
              <w:rPr>
                <w:rFonts w:ascii="宋体" w:hAnsi="宋体" w:cs="宋体"/>
                <w:color w:val="000000"/>
                <w:kern w:val="0"/>
                <w:sz w:val="22"/>
                <w:szCs w:val="22"/>
              </w:rPr>
            </w:pPr>
            <w:r>
              <w:rPr>
                <w:rFonts w:hint="eastAsia" w:ascii="宋体" w:hAnsi="宋体" w:cs="宋体"/>
                <w:color w:val="000000"/>
                <w:kern w:val="0"/>
                <w:sz w:val="22"/>
                <w:szCs w:val="22"/>
              </w:rPr>
              <w:t>宝坻区中医医院</w:t>
            </w:r>
          </w:p>
        </w:tc>
        <w:tc>
          <w:tcPr>
            <w:tcW w:w="1114" w:type="dxa"/>
            <w:shd w:val="clear" w:color="auto" w:fill="auto"/>
            <w:vAlign w:val="center"/>
          </w:tcPr>
          <w:p w14:paraId="4237A7A2">
            <w:pPr>
              <w:widowControl/>
              <w:jc w:val="center"/>
              <w:rPr>
                <w:rFonts w:ascii="宋体" w:hAnsi="宋体" w:cs="宋体"/>
                <w:color w:val="000000"/>
                <w:kern w:val="0"/>
                <w:sz w:val="22"/>
                <w:szCs w:val="22"/>
              </w:rPr>
            </w:pPr>
            <w:r>
              <w:rPr>
                <w:rFonts w:hint="eastAsia" w:ascii="宋体" w:hAnsi="宋体" w:cs="宋体"/>
                <w:color w:val="000000"/>
                <w:kern w:val="0"/>
                <w:sz w:val="22"/>
                <w:szCs w:val="22"/>
              </w:rPr>
              <w:t>5台</w:t>
            </w:r>
          </w:p>
        </w:tc>
      </w:tr>
      <w:tr w14:paraId="1B7777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280" w:type="dxa"/>
            <w:vMerge w:val="continue"/>
            <w:vAlign w:val="center"/>
          </w:tcPr>
          <w:p w14:paraId="35DA5ACC">
            <w:pPr>
              <w:widowControl/>
              <w:jc w:val="left"/>
              <w:rPr>
                <w:rFonts w:ascii="宋体" w:hAnsi="宋体" w:cs="宋体"/>
                <w:color w:val="000000"/>
                <w:kern w:val="0"/>
                <w:sz w:val="22"/>
                <w:szCs w:val="22"/>
              </w:rPr>
            </w:pPr>
          </w:p>
        </w:tc>
        <w:tc>
          <w:tcPr>
            <w:tcW w:w="1640" w:type="dxa"/>
            <w:shd w:val="clear" w:color="auto" w:fill="auto"/>
            <w:vAlign w:val="center"/>
          </w:tcPr>
          <w:p w14:paraId="4065A526">
            <w:pPr>
              <w:widowControl/>
              <w:jc w:val="center"/>
              <w:rPr>
                <w:rFonts w:ascii="宋体" w:hAnsi="宋体" w:cs="宋体"/>
                <w:color w:val="000000"/>
                <w:kern w:val="0"/>
                <w:sz w:val="22"/>
                <w:szCs w:val="22"/>
              </w:rPr>
            </w:pPr>
            <w:r>
              <w:rPr>
                <w:rFonts w:hint="eastAsia" w:ascii="宋体" w:hAnsi="宋体" w:cs="宋体"/>
                <w:color w:val="000000"/>
                <w:kern w:val="0"/>
                <w:sz w:val="22"/>
                <w:szCs w:val="22"/>
              </w:rPr>
              <w:t>麻醉机（2）</w:t>
            </w:r>
          </w:p>
        </w:tc>
        <w:tc>
          <w:tcPr>
            <w:tcW w:w="4466" w:type="dxa"/>
            <w:shd w:val="clear" w:color="auto" w:fill="auto"/>
            <w:noWrap/>
            <w:vAlign w:val="center"/>
          </w:tcPr>
          <w:p w14:paraId="3A10FE00">
            <w:pPr>
              <w:widowControl/>
              <w:jc w:val="left"/>
              <w:rPr>
                <w:rFonts w:ascii="宋体" w:hAnsi="宋体" w:cs="宋体"/>
                <w:color w:val="000000"/>
                <w:kern w:val="0"/>
                <w:sz w:val="22"/>
                <w:szCs w:val="22"/>
              </w:rPr>
            </w:pPr>
            <w:r>
              <w:rPr>
                <w:rFonts w:hint="eastAsia" w:ascii="宋体" w:hAnsi="宋体" w:cs="宋体"/>
                <w:color w:val="000000"/>
                <w:kern w:val="0"/>
                <w:sz w:val="22"/>
                <w:szCs w:val="22"/>
              </w:rPr>
              <w:t>宝坻区中医医院</w:t>
            </w:r>
          </w:p>
        </w:tc>
        <w:tc>
          <w:tcPr>
            <w:tcW w:w="1114" w:type="dxa"/>
            <w:shd w:val="clear" w:color="auto" w:fill="auto"/>
            <w:vAlign w:val="center"/>
          </w:tcPr>
          <w:p w14:paraId="248CB588">
            <w:pPr>
              <w:widowControl/>
              <w:jc w:val="center"/>
              <w:rPr>
                <w:rFonts w:ascii="宋体" w:hAnsi="宋体" w:cs="宋体"/>
                <w:color w:val="000000"/>
                <w:kern w:val="0"/>
                <w:sz w:val="22"/>
                <w:szCs w:val="22"/>
              </w:rPr>
            </w:pPr>
            <w:r>
              <w:rPr>
                <w:rFonts w:hint="eastAsia" w:ascii="宋体" w:hAnsi="宋体" w:cs="宋体"/>
                <w:color w:val="000000"/>
                <w:kern w:val="0"/>
                <w:sz w:val="22"/>
                <w:szCs w:val="22"/>
              </w:rPr>
              <w:t>1台</w:t>
            </w:r>
          </w:p>
        </w:tc>
      </w:tr>
      <w:tr w14:paraId="512819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280" w:type="dxa"/>
            <w:vMerge w:val="continue"/>
            <w:vAlign w:val="center"/>
          </w:tcPr>
          <w:p w14:paraId="21DE9A5A">
            <w:pPr>
              <w:widowControl/>
              <w:jc w:val="left"/>
              <w:rPr>
                <w:rFonts w:ascii="宋体" w:hAnsi="宋体" w:cs="宋体"/>
                <w:color w:val="000000"/>
                <w:kern w:val="0"/>
                <w:sz w:val="22"/>
                <w:szCs w:val="22"/>
              </w:rPr>
            </w:pPr>
          </w:p>
        </w:tc>
        <w:tc>
          <w:tcPr>
            <w:tcW w:w="1640" w:type="dxa"/>
            <w:shd w:val="clear" w:color="auto" w:fill="auto"/>
            <w:vAlign w:val="center"/>
          </w:tcPr>
          <w:p w14:paraId="04EEF568">
            <w:pPr>
              <w:widowControl/>
              <w:jc w:val="center"/>
              <w:rPr>
                <w:rFonts w:ascii="宋体" w:hAnsi="宋体" w:cs="宋体"/>
                <w:color w:val="000000"/>
                <w:kern w:val="0"/>
                <w:sz w:val="22"/>
                <w:szCs w:val="22"/>
              </w:rPr>
            </w:pPr>
            <w:r>
              <w:rPr>
                <w:rFonts w:hint="eastAsia" w:ascii="宋体" w:hAnsi="宋体" w:cs="宋体"/>
                <w:color w:val="000000"/>
                <w:kern w:val="0"/>
                <w:sz w:val="22"/>
                <w:szCs w:val="22"/>
              </w:rPr>
              <w:t>麻醉机（3）</w:t>
            </w:r>
          </w:p>
        </w:tc>
        <w:tc>
          <w:tcPr>
            <w:tcW w:w="4466" w:type="dxa"/>
            <w:shd w:val="clear" w:color="auto" w:fill="auto"/>
            <w:noWrap/>
            <w:vAlign w:val="center"/>
          </w:tcPr>
          <w:p w14:paraId="24768739">
            <w:pPr>
              <w:widowControl/>
              <w:jc w:val="left"/>
              <w:rPr>
                <w:rFonts w:ascii="宋体" w:hAnsi="宋体" w:cs="宋体"/>
                <w:color w:val="000000"/>
                <w:kern w:val="0"/>
                <w:sz w:val="22"/>
                <w:szCs w:val="22"/>
              </w:rPr>
            </w:pPr>
            <w:r>
              <w:rPr>
                <w:rFonts w:hint="eastAsia" w:ascii="宋体" w:hAnsi="宋体" w:cs="宋体"/>
                <w:color w:val="000000"/>
                <w:kern w:val="0"/>
                <w:sz w:val="22"/>
                <w:szCs w:val="22"/>
              </w:rPr>
              <w:t>天津市静海区医院</w:t>
            </w:r>
          </w:p>
        </w:tc>
        <w:tc>
          <w:tcPr>
            <w:tcW w:w="1114" w:type="dxa"/>
            <w:shd w:val="clear" w:color="auto" w:fill="auto"/>
            <w:vAlign w:val="center"/>
          </w:tcPr>
          <w:p w14:paraId="77E01FE9">
            <w:pPr>
              <w:widowControl/>
              <w:jc w:val="center"/>
              <w:rPr>
                <w:rFonts w:ascii="宋体" w:hAnsi="宋体" w:cs="宋体"/>
                <w:color w:val="000000"/>
                <w:kern w:val="0"/>
                <w:sz w:val="22"/>
                <w:szCs w:val="22"/>
              </w:rPr>
            </w:pPr>
            <w:r>
              <w:rPr>
                <w:rFonts w:hint="eastAsia" w:ascii="宋体" w:hAnsi="宋体" w:cs="宋体"/>
                <w:color w:val="000000"/>
                <w:kern w:val="0"/>
                <w:sz w:val="22"/>
                <w:szCs w:val="22"/>
              </w:rPr>
              <w:t>2台</w:t>
            </w:r>
          </w:p>
        </w:tc>
      </w:tr>
      <w:tr w14:paraId="18D2F1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280" w:type="dxa"/>
            <w:vMerge w:val="continue"/>
            <w:vAlign w:val="center"/>
          </w:tcPr>
          <w:p w14:paraId="17CAF767">
            <w:pPr>
              <w:widowControl/>
              <w:jc w:val="left"/>
              <w:rPr>
                <w:rFonts w:ascii="宋体" w:hAnsi="宋体" w:cs="宋体"/>
                <w:color w:val="000000"/>
                <w:kern w:val="0"/>
                <w:sz w:val="22"/>
                <w:szCs w:val="22"/>
              </w:rPr>
            </w:pPr>
          </w:p>
        </w:tc>
        <w:tc>
          <w:tcPr>
            <w:tcW w:w="1640" w:type="dxa"/>
            <w:shd w:val="clear" w:color="auto" w:fill="auto"/>
            <w:vAlign w:val="center"/>
          </w:tcPr>
          <w:p w14:paraId="3A4EEFA8">
            <w:pPr>
              <w:widowControl/>
              <w:jc w:val="center"/>
              <w:rPr>
                <w:rFonts w:ascii="宋体" w:hAnsi="宋体" w:cs="宋体"/>
                <w:color w:val="000000"/>
                <w:kern w:val="0"/>
                <w:sz w:val="22"/>
                <w:szCs w:val="22"/>
              </w:rPr>
            </w:pPr>
            <w:r>
              <w:rPr>
                <w:rFonts w:hint="eastAsia" w:ascii="宋体" w:hAnsi="宋体" w:cs="宋体"/>
                <w:color w:val="000000"/>
                <w:kern w:val="0"/>
                <w:sz w:val="22"/>
                <w:szCs w:val="22"/>
              </w:rPr>
              <w:t>麻醉机（4）</w:t>
            </w:r>
          </w:p>
        </w:tc>
        <w:tc>
          <w:tcPr>
            <w:tcW w:w="4466" w:type="dxa"/>
            <w:shd w:val="clear" w:color="auto" w:fill="auto"/>
            <w:noWrap/>
            <w:vAlign w:val="center"/>
          </w:tcPr>
          <w:p w14:paraId="5789ECC9">
            <w:pPr>
              <w:widowControl/>
              <w:jc w:val="left"/>
              <w:rPr>
                <w:rFonts w:ascii="宋体" w:hAnsi="宋体" w:cs="宋体"/>
                <w:color w:val="000000"/>
                <w:kern w:val="0"/>
                <w:sz w:val="22"/>
                <w:szCs w:val="22"/>
              </w:rPr>
            </w:pPr>
            <w:r>
              <w:rPr>
                <w:rFonts w:hint="eastAsia" w:ascii="宋体" w:hAnsi="宋体" w:cs="宋体"/>
                <w:color w:val="000000"/>
                <w:kern w:val="0"/>
                <w:sz w:val="22"/>
                <w:szCs w:val="22"/>
              </w:rPr>
              <w:t>天津市西青医院</w:t>
            </w:r>
          </w:p>
        </w:tc>
        <w:tc>
          <w:tcPr>
            <w:tcW w:w="1114" w:type="dxa"/>
            <w:shd w:val="clear" w:color="auto" w:fill="auto"/>
            <w:vAlign w:val="center"/>
          </w:tcPr>
          <w:p w14:paraId="13EE7D17">
            <w:pPr>
              <w:widowControl/>
              <w:jc w:val="center"/>
              <w:rPr>
                <w:rFonts w:ascii="宋体" w:hAnsi="宋体" w:cs="宋体"/>
                <w:color w:val="000000"/>
                <w:kern w:val="0"/>
                <w:sz w:val="22"/>
                <w:szCs w:val="22"/>
              </w:rPr>
            </w:pPr>
            <w:r>
              <w:rPr>
                <w:rFonts w:hint="eastAsia" w:ascii="宋体" w:hAnsi="宋体" w:cs="宋体"/>
                <w:color w:val="000000"/>
                <w:kern w:val="0"/>
                <w:sz w:val="22"/>
                <w:szCs w:val="22"/>
              </w:rPr>
              <w:t>2台</w:t>
            </w:r>
          </w:p>
        </w:tc>
      </w:tr>
      <w:tr w14:paraId="0653C9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280" w:type="dxa"/>
            <w:shd w:val="clear" w:color="auto" w:fill="auto"/>
            <w:vAlign w:val="center"/>
          </w:tcPr>
          <w:p w14:paraId="4E1AA9CB">
            <w:pPr>
              <w:widowControl/>
              <w:jc w:val="center"/>
              <w:rPr>
                <w:rFonts w:ascii="宋体" w:hAnsi="宋体" w:cs="宋体"/>
                <w:color w:val="000000"/>
                <w:kern w:val="0"/>
                <w:sz w:val="22"/>
                <w:szCs w:val="22"/>
              </w:rPr>
            </w:pPr>
            <w:r>
              <w:rPr>
                <w:rFonts w:hint="eastAsia" w:ascii="宋体" w:hAnsi="宋体" w:cs="宋体"/>
                <w:color w:val="000000"/>
                <w:kern w:val="0"/>
                <w:sz w:val="22"/>
                <w:szCs w:val="22"/>
              </w:rPr>
              <w:t>第六包</w:t>
            </w:r>
          </w:p>
        </w:tc>
        <w:tc>
          <w:tcPr>
            <w:tcW w:w="1640" w:type="dxa"/>
            <w:shd w:val="clear" w:color="auto" w:fill="auto"/>
            <w:vAlign w:val="center"/>
          </w:tcPr>
          <w:p w14:paraId="1B9E9EBA">
            <w:pPr>
              <w:widowControl/>
              <w:jc w:val="center"/>
              <w:rPr>
                <w:rFonts w:ascii="宋体" w:hAnsi="宋体" w:cs="宋体"/>
                <w:color w:val="000000"/>
                <w:kern w:val="0"/>
                <w:sz w:val="22"/>
                <w:szCs w:val="22"/>
              </w:rPr>
            </w:pPr>
            <w:r>
              <w:rPr>
                <w:rFonts w:hint="eastAsia" w:ascii="宋体" w:hAnsi="宋体" w:cs="宋体"/>
                <w:color w:val="000000"/>
                <w:kern w:val="0"/>
                <w:sz w:val="22"/>
                <w:szCs w:val="22"/>
              </w:rPr>
              <w:t>无创呼吸机</w:t>
            </w:r>
          </w:p>
        </w:tc>
        <w:tc>
          <w:tcPr>
            <w:tcW w:w="4466" w:type="dxa"/>
            <w:shd w:val="clear" w:color="auto" w:fill="auto"/>
            <w:vAlign w:val="center"/>
          </w:tcPr>
          <w:p w14:paraId="778A6089">
            <w:pPr>
              <w:widowControl/>
              <w:jc w:val="left"/>
              <w:rPr>
                <w:rFonts w:ascii="宋体" w:hAnsi="宋体" w:cs="宋体"/>
                <w:color w:val="000000"/>
                <w:kern w:val="0"/>
                <w:sz w:val="22"/>
                <w:szCs w:val="22"/>
              </w:rPr>
            </w:pPr>
            <w:r>
              <w:rPr>
                <w:rFonts w:hint="eastAsia" w:ascii="宋体" w:hAnsi="宋体" w:cs="宋体"/>
                <w:color w:val="000000"/>
                <w:kern w:val="0"/>
                <w:sz w:val="22"/>
                <w:szCs w:val="22"/>
              </w:rPr>
              <w:t>天津市北辰区双青新家园社区卫生服务中心</w:t>
            </w:r>
          </w:p>
        </w:tc>
        <w:tc>
          <w:tcPr>
            <w:tcW w:w="1114" w:type="dxa"/>
            <w:shd w:val="clear" w:color="auto" w:fill="auto"/>
            <w:vAlign w:val="center"/>
          </w:tcPr>
          <w:p w14:paraId="2BC1BFD3">
            <w:pPr>
              <w:widowControl/>
              <w:jc w:val="center"/>
              <w:rPr>
                <w:rFonts w:ascii="宋体" w:hAnsi="宋体" w:cs="宋体"/>
                <w:color w:val="000000"/>
                <w:kern w:val="0"/>
                <w:sz w:val="22"/>
                <w:szCs w:val="22"/>
              </w:rPr>
            </w:pPr>
            <w:r>
              <w:rPr>
                <w:rFonts w:hint="eastAsia" w:ascii="宋体" w:hAnsi="宋体" w:cs="宋体"/>
                <w:color w:val="000000"/>
                <w:kern w:val="0"/>
                <w:sz w:val="22"/>
                <w:szCs w:val="22"/>
              </w:rPr>
              <w:t>1台</w:t>
            </w:r>
          </w:p>
        </w:tc>
      </w:tr>
      <w:tr w14:paraId="6B7A41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280" w:type="dxa"/>
            <w:vMerge w:val="restart"/>
            <w:shd w:val="clear" w:color="auto" w:fill="auto"/>
            <w:vAlign w:val="center"/>
          </w:tcPr>
          <w:p w14:paraId="4BBF5804">
            <w:pPr>
              <w:widowControl/>
              <w:jc w:val="center"/>
              <w:rPr>
                <w:rFonts w:ascii="宋体" w:hAnsi="宋体" w:cs="宋体"/>
                <w:color w:val="000000"/>
                <w:kern w:val="0"/>
                <w:sz w:val="22"/>
                <w:szCs w:val="22"/>
              </w:rPr>
            </w:pPr>
            <w:r>
              <w:rPr>
                <w:rFonts w:hint="eastAsia" w:ascii="宋体" w:hAnsi="宋体" w:cs="宋体"/>
                <w:color w:val="000000"/>
                <w:kern w:val="0"/>
                <w:sz w:val="22"/>
                <w:szCs w:val="22"/>
              </w:rPr>
              <w:t>第七包</w:t>
            </w:r>
          </w:p>
        </w:tc>
        <w:tc>
          <w:tcPr>
            <w:tcW w:w="1640" w:type="dxa"/>
            <w:shd w:val="clear" w:color="auto" w:fill="auto"/>
            <w:vAlign w:val="center"/>
          </w:tcPr>
          <w:p w14:paraId="5F58B585">
            <w:pPr>
              <w:widowControl/>
              <w:jc w:val="center"/>
              <w:rPr>
                <w:rFonts w:ascii="宋体" w:hAnsi="宋体" w:cs="宋体"/>
                <w:color w:val="000000"/>
                <w:kern w:val="0"/>
                <w:sz w:val="22"/>
                <w:szCs w:val="22"/>
              </w:rPr>
            </w:pPr>
            <w:r>
              <w:rPr>
                <w:rFonts w:hint="eastAsia" w:ascii="宋体" w:hAnsi="宋体" w:cs="宋体"/>
                <w:color w:val="000000"/>
                <w:kern w:val="0"/>
                <w:sz w:val="22"/>
                <w:szCs w:val="22"/>
              </w:rPr>
              <w:t>呼吸机（1）</w:t>
            </w:r>
          </w:p>
        </w:tc>
        <w:tc>
          <w:tcPr>
            <w:tcW w:w="4466" w:type="dxa"/>
            <w:shd w:val="clear" w:color="auto" w:fill="auto"/>
            <w:vAlign w:val="center"/>
          </w:tcPr>
          <w:p w14:paraId="44E7A265">
            <w:pPr>
              <w:widowControl/>
              <w:jc w:val="left"/>
              <w:rPr>
                <w:rFonts w:ascii="宋体" w:hAnsi="宋体" w:cs="宋体"/>
                <w:color w:val="000000"/>
                <w:kern w:val="0"/>
                <w:sz w:val="22"/>
                <w:szCs w:val="22"/>
              </w:rPr>
            </w:pPr>
            <w:r>
              <w:rPr>
                <w:rFonts w:hint="eastAsia" w:ascii="宋体" w:hAnsi="宋体" w:cs="宋体"/>
                <w:color w:val="000000"/>
                <w:kern w:val="0"/>
                <w:sz w:val="22"/>
                <w:szCs w:val="22"/>
              </w:rPr>
              <w:t>宝坻区中医医院</w:t>
            </w:r>
          </w:p>
        </w:tc>
        <w:tc>
          <w:tcPr>
            <w:tcW w:w="1114" w:type="dxa"/>
            <w:shd w:val="clear" w:color="auto" w:fill="auto"/>
            <w:vAlign w:val="center"/>
          </w:tcPr>
          <w:p w14:paraId="2F35A8B3">
            <w:pPr>
              <w:widowControl/>
              <w:jc w:val="center"/>
              <w:rPr>
                <w:rFonts w:ascii="宋体" w:hAnsi="宋体" w:cs="宋体"/>
                <w:color w:val="000000"/>
                <w:kern w:val="0"/>
                <w:sz w:val="22"/>
                <w:szCs w:val="22"/>
              </w:rPr>
            </w:pPr>
            <w:r>
              <w:rPr>
                <w:rFonts w:hint="eastAsia" w:ascii="宋体" w:hAnsi="宋体" w:cs="宋体"/>
                <w:color w:val="000000"/>
                <w:kern w:val="0"/>
                <w:sz w:val="22"/>
                <w:szCs w:val="22"/>
              </w:rPr>
              <w:t>5台</w:t>
            </w:r>
          </w:p>
        </w:tc>
      </w:tr>
      <w:tr w14:paraId="1070E0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280" w:type="dxa"/>
            <w:vMerge w:val="continue"/>
            <w:vAlign w:val="center"/>
          </w:tcPr>
          <w:p w14:paraId="4FD025E4">
            <w:pPr>
              <w:widowControl/>
              <w:jc w:val="left"/>
              <w:rPr>
                <w:rFonts w:ascii="宋体" w:hAnsi="宋体" w:cs="宋体"/>
                <w:color w:val="000000"/>
                <w:kern w:val="0"/>
                <w:sz w:val="22"/>
                <w:szCs w:val="22"/>
              </w:rPr>
            </w:pPr>
          </w:p>
        </w:tc>
        <w:tc>
          <w:tcPr>
            <w:tcW w:w="1640" w:type="dxa"/>
            <w:shd w:val="clear" w:color="auto" w:fill="auto"/>
            <w:vAlign w:val="center"/>
          </w:tcPr>
          <w:p w14:paraId="49059D9B">
            <w:pPr>
              <w:widowControl/>
              <w:jc w:val="center"/>
              <w:rPr>
                <w:rFonts w:ascii="宋体" w:hAnsi="宋体" w:cs="宋体"/>
                <w:color w:val="000000"/>
                <w:kern w:val="0"/>
                <w:sz w:val="22"/>
                <w:szCs w:val="22"/>
              </w:rPr>
            </w:pPr>
            <w:r>
              <w:rPr>
                <w:rFonts w:hint="eastAsia" w:ascii="宋体" w:hAnsi="宋体" w:cs="宋体"/>
                <w:color w:val="000000"/>
                <w:kern w:val="0"/>
                <w:sz w:val="22"/>
                <w:szCs w:val="22"/>
              </w:rPr>
              <w:t>呼吸机（2）</w:t>
            </w:r>
          </w:p>
        </w:tc>
        <w:tc>
          <w:tcPr>
            <w:tcW w:w="4466" w:type="dxa"/>
            <w:shd w:val="clear" w:color="auto" w:fill="auto"/>
            <w:vAlign w:val="center"/>
          </w:tcPr>
          <w:p w14:paraId="5F01C256">
            <w:pPr>
              <w:widowControl/>
              <w:jc w:val="left"/>
              <w:rPr>
                <w:rFonts w:ascii="宋体" w:hAnsi="宋体" w:cs="宋体"/>
                <w:color w:val="000000"/>
                <w:kern w:val="0"/>
                <w:sz w:val="22"/>
                <w:szCs w:val="22"/>
              </w:rPr>
            </w:pPr>
            <w:r>
              <w:rPr>
                <w:rFonts w:hint="eastAsia" w:ascii="宋体" w:hAnsi="宋体" w:cs="宋体"/>
                <w:color w:val="000000"/>
                <w:kern w:val="0"/>
                <w:sz w:val="22"/>
                <w:szCs w:val="22"/>
              </w:rPr>
              <w:t>天津市静海区医院</w:t>
            </w:r>
          </w:p>
        </w:tc>
        <w:tc>
          <w:tcPr>
            <w:tcW w:w="1114" w:type="dxa"/>
            <w:shd w:val="clear" w:color="auto" w:fill="auto"/>
            <w:vAlign w:val="center"/>
          </w:tcPr>
          <w:p w14:paraId="46288AFF">
            <w:pPr>
              <w:widowControl/>
              <w:jc w:val="center"/>
              <w:rPr>
                <w:rFonts w:ascii="宋体" w:hAnsi="宋体" w:cs="宋体"/>
                <w:color w:val="000000"/>
                <w:kern w:val="0"/>
                <w:sz w:val="22"/>
                <w:szCs w:val="22"/>
              </w:rPr>
            </w:pPr>
            <w:r>
              <w:rPr>
                <w:rFonts w:hint="eastAsia" w:ascii="宋体" w:hAnsi="宋体" w:cs="宋体"/>
                <w:color w:val="000000"/>
                <w:kern w:val="0"/>
                <w:sz w:val="22"/>
                <w:szCs w:val="22"/>
              </w:rPr>
              <w:t>4台</w:t>
            </w:r>
          </w:p>
        </w:tc>
      </w:tr>
      <w:tr w14:paraId="58E797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280" w:type="dxa"/>
            <w:vMerge w:val="continue"/>
            <w:vAlign w:val="center"/>
          </w:tcPr>
          <w:p w14:paraId="02350ADD">
            <w:pPr>
              <w:widowControl/>
              <w:jc w:val="left"/>
              <w:rPr>
                <w:rFonts w:ascii="宋体" w:hAnsi="宋体" w:cs="宋体"/>
                <w:color w:val="000000"/>
                <w:kern w:val="0"/>
                <w:sz w:val="22"/>
                <w:szCs w:val="22"/>
              </w:rPr>
            </w:pPr>
          </w:p>
        </w:tc>
        <w:tc>
          <w:tcPr>
            <w:tcW w:w="1640" w:type="dxa"/>
            <w:shd w:val="clear" w:color="auto" w:fill="auto"/>
            <w:vAlign w:val="center"/>
          </w:tcPr>
          <w:p w14:paraId="63EE0740">
            <w:pPr>
              <w:widowControl/>
              <w:jc w:val="center"/>
              <w:rPr>
                <w:rFonts w:ascii="宋体" w:hAnsi="宋体" w:cs="宋体"/>
                <w:color w:val="000000"/>
                <w:kern w:val="0"/>
                <w:sz w:val="22"/>
                <w:szCs w:val="22"/>
              </w:rPr>
            </w:pPr>
            <w:r>
              <w:rPr>
                <w:rFonts w:hint="eastAsia" w:ascii="宋体" w:hAnsi="宋体" w:cs="宋体"/>
                <w:color w:val="000000"/>
                <w:kern w:val="0"/>
                <w:sz w:val="22"/>
                <w:szCs w:val="22"/>
              </w:rPr>
              <w:t>呼吸机（3）</w:t>
            </w:r>
          </w:p>
        </w:tc>
        <w:tc>
          <w:tcPr>
            <w:tcW w:w="4466" w:type="dxa"/>
            <w:shd w:val="clear" w:color="auto" w:fill="auto"/>
            <w:vAlign w:val="center"/>
          </w:tcPr>
          <w:p w14:paraId="5C70E775">
            <w:pPr>
              <w:widowControl/>
              <w:jc w:val="left"/>
              <w:rPr>
                <w:rFonts w:ascii="宋体" w:hAnsi="宋体" w:cs="宋体"/>
                <w:color w:val="000000"/>
                <w:kern w:val="0"/>
                <w:sz w:val="22"/>
                <w:szCs w:val="22"/>
              </w:rPr>
            </w:pPr>
            <w:r>
              <w:rPr>
                <w:rFonts w:hint="eastAsia" w:ascii="宋体" w:hAnsi="宋体" w:cs="宋体"/>
                <w:color w:val="000000"/>
                <w:kern w:val="0"/>
                <w:sz w:val="22"/>
                <w:szCs w:val="22"/>
              </w:rPr>
              <w:t>天津市静海区医院</w:t>
            </w:r>
          </w:p>
        </w:tc>
        <w:tc>
          <w:tcPr>
            <w:tcW w:w="1114" w:type="dxa"/>
            <w:shd w:val="clear" w:color="auto" w:fill="auto"/>
            <w:vAlign w:val="center"/>
          </w:tcPr>
          <w:p w14:paraId="06B50413">
            <w:pPr>
              <w:widowControl/>
              <w:jc w:val="center"/>
              <w:rPr>
                <w:rFonts w:ascii="宋体" w:hAnsi="宋体" w:cs="宋体"/>
                <w:color w:val="000000"/>
                <w:kern w:val="0"/>
                <w:sz w:val="22"/>
                <w:szCs w:val="22"/>
              </w:rPr>
            </w:pPr>
            <w:r>
              <w:rPr>
                <w:rFonts w:hint="eastAsia" w:ascii="宋体" w:hAnsi="宋体" w:cs="宋体"/>
                <w:color w:val="000000"/>
                <w:kern w:val="0"/>
                <w:sz w:val="22"/>
                <w:szCs w:val="22"/>
              </w:rPr>
              <w:t>4台</w:t>
            </w:r>
          </w:p>
        </w:tc>
      </w:tr>
      <w:tr w14:paraId="694F6A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280" w:type="dxa"/>
            <w:vMerge w:val="continue"/>
            <w:vAlign w:val="center"/>
          </w:tcPr>
          <w:p w14:paraId="03DEB9BB">
            <w:pPr>
              <w:widowControl/>
              <w:jc w:val="left"/>
              <w:rPr>
                <w:rFonts w:ascii="宋体" w:hAnsi="宋体" w:cs="宋体"/>
                <w:color w:val="000000"/>
                <w:kern w:val="0"/>
                <w:sz w:val="22"/>
                <w:szCs w:val="22"/>
              </w:rPr>
            </w:pPr>
          </w:p>
        </w:tc>
        <w:tc>
          <w:tcPr>
            <w:tcW w:w="1640" w:type="dxa"/>
            <w:shd w:val="clear" w:color="auto" w:fill="auto"/>
            <w:vAlign w:val="center"/>
          </w:tcPr>
          <w:p w14:paraId="5F650E0C">
            <w:pPr>
              <w:widowControl/>
              <w:jc w:val="center"/>
              <w:rPr>
                <w:rFonts w:ascii="宋体" w:hAnsi="宋体" w:cs="宋体"/>
                <w:color w:val="000000"/>
                <w:kern w:val="0"/>
                <w:sz w:val="22"/>
                <w:szCs w:val="22"/>
              </w:rPr>
            </w:pPr>
            <w:r>
              <w:rPr>
                <w:rFonts w:hint="eastAsia" w:ascii="宋体" w:hAnsi="宋体" w:cs="宋体"/>
                <w:color w:val="000000"/>
                <w:kern w:val="0"/>
                <w:sz w:val="22"/>
                <w:szCs w:val="22"/>
              </w:rPr>
              <w:t>呼吸机（4）</w:t>
            </w:r>
          </w:p>
        </w:tc>
        <w:tc>
          <w:tcPr>
            <w:tcW w:w="4466" w:type="dxa"/>
            <w:shd w:val="clear" w:color="auto" w:fill="auto"/>
            <w:vAlign w:val="center"/>
          </w:tcPr>
          <w:p w14:paraId="05B083B4">
            <w:pPr>
              <w:widowControl/>
              <w:jc w:val="left"/>
              <w:rPr>
                <w:rFonts w:ascii="宋体" w:hAnsi="宋体" w:cs="宋体"/>
                <w:color w:val="000000"/>
                <w:kern w:val="0"/>
                <w:sz w:val="22"/>
                <w:szCs w:val="22"/>
              </w:rPr>
            </w:pPr>
            <w:r>
              <w:rPr>
                <w:rFonts w:hint="eastAsia" w:ascii="宋体" w:hAnsi="宋体" w:cs="宋体"/>
                <w:color w:val="000000"/>
                <w:kern w:val="0"/>
                <w:sz w:val="22"/>
                <w:szCs w:val="22"/>
              </w:rPr>
              <w:t>天津市宁河区医院</w:t>
            </w:r>
          </w:p>
        </w:tc>
        <w:tc>
          <w:tcPr>
            <w:tcW w:w="1114" w:type="dxa"/>
            <w:shd w:val="clear" w:color="auto" w:fill="auto"/>
            <w:vAlign w:val="center"/>
          </w:tcPr>
          <w:p w14:paraId="3FC37F36">
            <w:pPr>
              <w:widowControl/>
              <w:jc w:val="center"/>
              <w:rPr>
                <w:rFonts w:ascii="宋体" w:hAnsi="宋体" w:cs="宋体"/>
                <w:color w:val="000000"/>
                <w:kern w:val="0"/>
                <w:sz w:val="22"/>
                <w:szCs w:val="22"/>
              </w:rPr>
            </w:pPr>
            <w:r>
              <w:rPr>
                <w:rFonts w:hint="eastAsia" w:ascii="宋体" w:hAnsi="宋体" w:cs="宋体"/>
                <w:color w:val="000000"/>
                <w:kern w:val="0"/>
                <w:sz w:val="22"/>
                <w:szCs w:val="22"/>
              </w:rPr>
              <w:t>4台</w:t>
            </w:r>
          </w:p>
        </w:tc>
      </w:tr>
    </w:tbl>
    <w:p w14:paraId="563F6879">
      <w:pPr>
        <w:autoSpaceDE w:val="0"/>
        <w:autoSpaceDN w:val="0"/>
        <w:adjustRightInd w:val="0"/>
        <w:spacing w:line="360" w:lineRule="auto"/>
        <w:ind w:firstLine="480" w:firstLineChars="200"/>
        <w:rPr>
          <w:color w:val="000000"/>
          <w:sz w:val="24"/>
        </w:rPr>
      </w:pPr>
      <w:r>
        <w:rPr>
          <w:rFonts w:hint="eastAsia" w:cs="宋体"/>
          <w:kern w:val="0"/>
          <w:sz w:val="24"/>
          <w:szCs w:val="24"/>
        </w:rPr>
        <w:t>★</w:t>
      </w:r>
      <w:r>
        <w:rPr>
          <w:rFonts w:hint="eastAsia"/>
          <w:color w:val="000000"/>
          <w:sz w:val="24"/>
        </w:rPr>
        <w:t>（四）付款方式</w:t>
      </w:r>
    </w:p>
    <w:p w14:paraId="32C0940A">
      <w:pPr>
        <w:autoSpaceDE w:val="0"/>
        <w:autoSpaceDN w:val="0"/>
        <w:adjustRightInd w:val="0"/>
        <w:spacing w:line="360" w:lineRule="auto"/>
        <w:ind w:firstLine="480" w:firstLineChars="200"/>
        <w:rPr>
          <w:sz w:val="24"/>
        </w:rPr>
      </w:pPr>
      <w:r>
        <w:rPr>
          <w:rFonts w:hint="eastAsia"/>
          <w:sz w:val="24"/>
        </w:rPr>
        <w:t>签订合同后15个工作日内预付合同总额的30%，货到现场后15个工作日内支付合同总额的60%，安装、调试完毕所有设备使用无质量问题，验收合格后15个工作日内支付合同总额的10%（特殊情况以合同为准）。</w:t>
      </w:r>
    </w:p>
    <w:p w14:paraId="7FB5CB61">
      <w:pPr>
        <w:autoSpaceDE w:val="0"/>
        <w:autoSpaceDN w:val="0"/>
        <w:adjustRightInd w:val="0"/>
        <w:spacing w:line="360" w:lineRule="auto"/>
        <w:ind w:firstLine="480" w:firstLineChars="200"/>
        <w:rPr>
          <w:sz w:val="24"/>
        </w:rPr>
      </w:pPr>
      <w:r>
        <w:rPr>
          <w:rFonts w:hint="eastAsia" w:cs="宋体"/>
          <w:kern w:val="0"/>
          <w:sz w:val="24"/>
          <w:szCs w:val="24"/>
        </w:rPr>
        <w:t>★</w:t>
      </w:r>
      <w:r>
        <w:rPr>
          <w:rFonts w:hint="eastAsia"/>
          <w:sz w:val="24"/>
        </w:rPr>
        <w:t>（五）投标保证金和履约保证金</w:t>
      </w:r>
    </w:p>
    <w:p w14:paraId="3A6FC4F0">
      <w:pPr>
        <w:autoSpaceDE w:val="0"/>
        <w:autoSpaceDN w:val="0"/>
        <w:adjustRightInd w:val="0"/>
        <w:spacing w:line="360" w:lineRule="auto"/>
        <w:ind w:firstLine="480" w:firstLineChars="200"/>
        <w:rPr>
          <w:color w:val="000000"/>
          <w:sz w:val="24"/>
        </w:rPr>
      </w:pPr>
      <w:r>
        <w:rPr>
          <w:rFonts w:hint="eastAsia"/>
          <w:color w:val="000000"/>
          <w:sz w:val="24"/>
        </w:rPr>
        <w:t>本项目不收取投标保证金和履约保证金。</w:t>
      </w:r>
    </w:p>
    <w:p w14:paraId="14C0D965">
      <w:pPr>
        <w:autoSpaceDE w:val="0"/>
        <w:autoSpaceDN w:val="0"/>
        <w:adjustRightInd w:val="0"/>
        <w:spacing w:line="360" w:lineRule="auto"/>
        <w:ind w:firstLine="480" w:firstLineChars="200"/>
        <w:rPr>
          <w:color w:val="000000"/>
          <w:sz w:val="24"/>
        </w:rPr>
      </w:pPr>
      <w:r>
        <w:rPr>
          <w:rFonts w:hint="eastAsia" w:cs="宋体"/>
          <w:kern w:val="0"/>
          <w:sz w:val="24"/>
          <w:szCs w:val="24"/>
        </w:rPr>
        <w:t>★</w:t>
      </w:r>
      <w:r>
        <w:rPr>
          <w:rFonts w:hint="eastAsia"/>
          <w:color w:val="000000"/>
          <w:sz w:val="24"/>
        </w:rPr>
        <w:t>（六）验收方法及标准</w:t>
      </w:r>
    </w:p>
    <w:p w14:paraId="0135A8DC">
      <w:pPr>
        <w:autoSpaceDE w:val="0"/>
        <w:autoSpaceDN w:val="0"/>
        <w:adjustRightInd w:val="0"/>
        <w:spacing w:line="360" w:lineRule="auto"/>
        <w:ind w:firstLine="480" w:firstLineChars="200"/>
        <w:rPr>
          <w:color w:val="000000"/>
          <w:sz w:val="24"/>
        </w:rPr>
      </w:pPr>
      <w:r>
        <w:rPr>
          <w:rFonts w:hint="eastAsia"/>
          <w:color w:val="000000"/>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验收书的参考资料一并存档。验收结束后，应当出具验收书，列明各项标准的验收情况及项目总体评价，由验收双方共同签署。</w:t>
      </w:r>
    </w:p>
    <w:p w14:paraId="0C2DAFA6">
      <w:pPr>
        <w:autoSpaceDE w:val="0"/>
        <w:autoSpaceDN w:val="0"/>
        <w:adjustRightInd w:val="0"/>
        <w:spacing w:line="360" w:lineRule="auto"/>
        <w:ind w:firstLine="480" w:firstLineChars="200"/>
        <w:rPr>
          <w:color w:val="000000"/>
          <w:sz w:val="24"/>
        </w:rPr>
      </w:pPr>
      <w:r>
        <w:rPr>
          <w:rFonts w:hint="eastAsia"/>
          <w:color w:val="000000"/>
          <w:sz w:val="24"/>
        </w:rPr>
        <w:t>1.初步验收：货物到达交货地点后，采购人及中标供应商双方应对生产的成品货物的数量及外观质量进行初步验收。若货物发生缺、损或与合同约定不符时，中标供应商应负责补足或更换，并由双方确认。</w:t>
      </w:r>
    </w:p>
    <w:p w14:paraId="41AF203F">
      <w:pPr>
        <w:autoSpaceDE w:val="0"/>
        <w:autoSpaceDN w:val="0"/>
        <w:adjustRightInd w:val="0"/>
        <w:spacing w:line="360" w:lineRule="auto"/>
        <w:ind w:firstLine="480" w:firstLineChars="200"/>
        <w:rPr>
          <w:color w:val="000000"/>
          <w:sz w:val="24"/>
        </w:rPr>
      </w:pPr>
      <w:r>
        <w:rPr>
          <w:rFonts w:hint="eastAsia"/>
          <w:color w:val="000000"/>
          <w:sz w:val="24"/>
        </w:rPr>
        <w:t>2.最终验收：中标供应商完成货物的调试和对采购人指定操作人员的培训后，无明显技术问题和产品故障的,双方依照合同中约定的质量要求对货物进行最终验收，并签署最终验收单。</w:t>
      </w:r>
    </w:p>
    <w:p w14:paraId="3F4AFEEA">
      <w:pPr>
        <w:spacing w:line="360" w:lineRule="auto"/>
        <w:ind w:firstLine="480" w:firstLineChars="200"/>
        <w:outlineLvl w:val="0"/>
        <w:rPr>
          <w:sz w:val="24"/>
        </w:rPr>
      </w:pPr>
      <w:r>
        <w:rPr>
          <w:rFonts w:hint="eastAsia"/>
          <w:sz w:val="24"/>
        </w:rPr>
        <w:t>四、评分因素及评标标准</w:t>
      </w:r>
    </w:p>
    <w:tbl>
      <w:tblPr>
        <w:tblStyle w:val="18"/>
        <w:tblW w:w="102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08"/>
        <w:gridCol w:w="1655"/>
        <w:gridCol w:w="7087"/>
        <w:gridCol w:w="1010"/>
      </w:tblGrid>
      <w:tr w14:paraId="3FBE03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vAlign w:val="center"/>
          </w:tcPr>
          <w:p w14:paraId="7DFDE00A">
            <w:pPr>
              <w:widowControl/>
              <w:snapToGrid w:val="0"/>
              <w:jc w:val="center"/>
              <w:rPr>
                <w:kern w:val="0"/>
                <w:sz w:val="24"/>
                <w:szCs w:val="24"/>
              </w:rPr>
            </w:pPr>
            <w:r>
              <w:rPr>
                <w:rFonts w:hint="eastAsia" w:cs="宋体"/>
                <w:kern w:val="0"/>
                <w:sz w:val="24"/>
                <w:szCs w:val="24"/>
              </w:rPr>
              <w:t>第一部分价格（</w:t>
            </w:r>
            <w:r>
              <w:rPr>
                <w:kern w:val="0"/>
                <w:sz w:val="24"/>
                <w:szCs w:val="24"/>
              </w:rPr>
              <w:t>30</w:t>
            </w:r>
            <w:r>
              <w:rPr>
                <w:rFonts w:hint="eastAsia" w:cs="宋体"/>
                <w:kern w:val="0"/>
                <w:sz w:val="24"/>
                <w:szCs w:val="24"/>
              </w:rPr>
              <w:t>分）</w:t>
            </w:r>
          </w:p>
        </w:tc>
        <w:tc>
          <w:tcPr>
            <w:tcW w:w="1010" w:type="dxa"/>
            <w:vAlign w:val="center"/>
          </w:tcPr>
          <w:p w14:paraId="3FFCEF77">
            <w:pPr>
              <w:widowControl/>
              <w:snapToGrid w:val="0"/>
              <w:jc w:val="center"/>
              <w:rPr>
                <w:kern w:val="0"/>
                <w:sz w:val="24"/>
                <w:szCs w:val="24"/>
              </w:rPr>
            </w:pPr>
            <w:r>
              <w:rPr>
                <w:rFonts w:hint="eastAsia" w:cs="宋体"/>
                <w:kern w:val="0"/>
                <w:sz w:val="24"/>
                <w:szCs w:val="24"/>
              </w:rPr>
              <w:t>分值</w:t>
            </w:r>
          </w:p>
        </w:tc>
      </w:tr>
      <w:tr w14:paraId="04ED12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noWrap/>
            <w:vAlign w:val="center"/>
          </w:tcPr>
          <w:p w14:paraId="193AEC0B">
            <w:pPr>
              <w:widowControl/>
              <w:snapToGrid w:val="0"/>
              <w:jc w:val="center"/>
              <w:rPr>
                <w:kern w:val="0"/>
                <w:sz w:val="24"/>
                <w:szCs w:val="24"/>
              </w:rPr>
            </w:pPr>
            <w:r>
              <w:rPr>
                <w:kern w:val="0"/>
                <w:sz w:val="24"/>
                <w:szCs w:val="24"/>
              </w:rPr>
              <w:t>1</w:t>
            </w:r>
          </w:p>
        </w:tc>
        <w:tc>
          <w:tcPr>
            <w:tcW w:w="1655" w:type="dxa"/>
            <w:vAlign w:val="center"/>
          </w:tcPr>
          <w:p w14:paraId="5AD3BEDB">
            <w:pPr>
              <w:widowControl/>
              <w:snapToGrid w:val="0"/>
              <w:jc w:val="center"/>
              <w:rPr>
                <w:kern w:val="0"/>
                <w:sz w:val="24"/>
                <w:szCs w:val="24"/>
              </w:rPr>
            </w:pPr>
            <w:r>
              <w:rPr>
                <w:rFonts w:hint="eastAsia" w:cs="宋体"/>
                <w:kern w:val="0"/>
                <w:sz w:val="24"/>
                <w:szCs w:val="24"/>
              </w:rPr>
              <w:t>价格</w:t>
            </w:r>
          </w:p>
        </w:tc>
        <w:tc>
          <w:tcPr>
            <w:tcW w:w="7087" w:type="dxa"/>
            <w:vAlign w:val="center"/>
          </w:tcPr>
          <w:p w14:paraId="7FB3F4B6">
            <w:pPr>
              <w:widowControl/>
              <w:snapToGrid w:val="0"/>
              <w:rPr>
                <w:kern w:val="0"/>
                <w:sz w:val="24"/>
                <w:szCs w:val="24"/>
              </w:rPr>
            </w:pPr>
            <w:r>
              <w:rPr>
                <w:rFonts w:hint="eastAsia" w:cs="宋体"/>
                <w:kern w:val="0"/>
                <w:sz w:val="24"/>
                <w:szCs w:val="24"/>
              </w:rPr>
              <w:t>（</w:t>
            </w:r>
            <w:r>
              <w:rPr>
                <w:kern w:val="0"/>
                <w:sz w:val="24"/>
                <w:szCs w:val="24"/>
              </w:rPr>
              <w:t>1</w:t>
            </w:r>
            <w:r>
              <w:rPr>
                <w:rFonts w:hint="eastAsia" w:cs="宋体"/>
                <w:kern w:val="0"/>
                <w:sz w:val="24"/>
                <w:szCs w:val="24"/>
              </w:rPr>
              <w:t>）投标报价超过采购预算的，投标无效，未超过采购预算的投标报价按以下公式进行计算</w:t>
            </w:r>
          </w:p>
          <w:p w14:paraId="3742688C">
            <w:pPr>
              <w:widowControl/>
              <w:snapToGrid w:val="0"/>
              <w:rPr>
                <w:kern w:val="0"/>
                <w:sz w:val="24"/>
                <w:szCs w:val="24"/>
              </w:rPr>
            </w:pPr>
            <w:r>
              <w:rPr>
                <w:rFonts w:hint="eastAsia" w:cs="宋体"/>
                <w:kern w:val="0"/>
                <w:sz w:val="24"/>
                <w:szCs w:val="24"/>
              </w:rPr>
              <w:t>（</w:t>
            </w:r>
            <w:r>
              <w:rPr>
                <w:kern w:val="0"/>
                <w:sz w:val="24"/>
                <w:szCs w:val="24"/>
              </w:rPr>
              <w:t>2</w:t>
            </w:r>
            <w:r>
              <w:rPr>
                <w:rFonts w:hint="eastAsia" w:cs="宋体"/>
                <w:kern w:val="0"/>
                <w:sz w:val="24"/>
                <w:szCs w:val="24"/>
              </w:rPr>
              <w:t>）投标报价得分</w:t>
            </w:r>
            <w:r>
              <w:rPr>
                <w:kern w:val="0"/>
                <w:sz w:val="24"/>
                <w:szCs w:val="24"/>
              </w:rPr>
              <w:t>=</w:t>
            </w:r>
            <w:r>
              <w:rPr>
                <w:rFonts w:hint="eastAsia" w:cs="宋体"/>
                <w:kern w:val="0"/>
                <w:sz w:val="24"/>
                <w:szCs w:val="24"/>
              </w:rPr>
              <w:t>（评标基准价</w:t>
            </w:r>
            <w:r>
              <w:rPr>
                <w:kern w:val="0"/>
                <w:sz w:val="24"/>
                <w:szCs w:val="24"/>
              </w:rPr>
              <w:t>/</w:t>
            </w:r>
            <w:r>
              <w:rPr>
                <w:rFonts w:hint="eastAsia" w:cs="宋体"/>
                <w:kern w:val="0"/>
                <w:sz w:val="24"/>
                <w:szCs w:val="24"/>
              </w:rPr>
              <w:t>投标报价）×</w:t>
            </w:r>
            <w:r>
              <w:rPr>
                <w:kern w:val="0"/>
                <w:sz w:val="24"/>
                <w:szCs w:val="24"/>
              </w:rPr>
              <w:t>30</w:t>
            </w:r>
          </w:p>
          <w:p w14:paraId="67261FC4">
            <w:pPr>
              <w:widowControl/>
              <w:snapToGrid w:val="0"/>
              <w:rPr>
                <w:kern w:val="0"/>
                <w:sz w:val="24"/>
                <w:szCs w:val="24"/>
              </w:rPr>
            </w:pPr>
            <w:r>
              <w:rPr>
                <w:rFonts w:hint="eastAsia" w:cs="宋体"/>
                <w:kern w:val="0"/>
                <w:sz w:val="24"/>
                <w:szCs w:val="24"/>
              </w:rPr>
              <w:t>注：满足招标文件要求且投标报价最低的投标报价为评标基准价</w:t>
            </w:r>
          </w:p>
        </w:tc>
        <w:tc>
          <w:tcPr>
            <w:tcW w:w="1010" w:type="dxa"/>
            <w:vAlign w:val="center"/>
          </w:tcPr>
          <w:p w14:paraId="09FCC771">
            <w:pPr>
              <w:widowControl/>
              <w:snapToGrid w:val="0"/>
              <w:jc w:val="center"/>
              <w:rPr>
                <w:kern w:val="0"/>
                <w:sz w:val="24"/>
                <w:szCs w:val="24"/>
              </w:rPr>
            </w:pPr>
            <w:r>
              <w:rPr>
                <w:kern w:val="0"/>
                <w:sz w:val="24"/>
                <w:szCs w:val="24"/>
              </w:rPr>
              <w:t>30</w:t>
            </w:r>
          </w:p>
        </w:tc>
      </w:tr>
      <w:tr w14:paraId="672070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noWrap/>
            <w:vAlign w:val="center"/>
          </w:tcPr>
          <w:p w14:paraId="24885A74">
            <w:pPr>
              <w:widowControl/>
              <w:snapToGrid w:val="0"/>
              <w:jc w:val="center"/>
              <w:rPr>
                <w:kern w:val="0"/>
                <w:sz w:val="24"/>
                <w:szCs w:val="24"/>
              </w:rPr>
            </w:pPr>
            <w:r>
              <w:rPr>
                <w:rFonts w:hint="eastAsia" w:cs="宋体"/>
                <w:kern w:val="0"/>
                <w:sz w:val="24"/>
                <w:szCs w:val="24"/>
              </w:rPr>
              <w:t>第二部分客观分（</w:t>
            </w:r>
            <w:r>
              <w:rPr>
                <w:rFonts w:hint="eastAsia"/>
                <w:kern w:val="0"/>
                <w:sz w:val="24"/>
                <w:szCs w:val="24"/>
              </w:rPr>
              <w:t>50</w:t>
            </w:r>
            <w:r>
              <w:rPr>
                <w:rFonts w:hint="eastAsia" w:cs="宋体"/>
                <w:kern w:val="0"/>
                <w:sz w:val="24"/>
                <w:szCs w:val="24"/>
              </w:rPr>
              <w:t>分）</w:t>
            </w:r>
          </w:p>
        </w:tc>
        <w:tc>
          <w:tcPr>
            <w:tcW w:w="1010" w:type="dxa"/>
            <w:vAlign w:val="center"/>
          </w:tcPr>
          <w:p w14:paraId="6FA81C70">
            <w:pPr>
              <w:widowControl/>
              <w:snapToGrid w:val="0"/>
              <w:jc w:val="center"/>
              <w:rPr>
                <w:kern w:val="0"/>
                <w:sz w:val="24"/>
                <w:szCs w:val="24"/>
              </w:rPr>
            </w:pPr>
            <w:r>
              <w:rPr>
                <w:rFonts w:hint="eastAsia" w:cs="宋体"/>
                <w:kern w:val="0"/>
                <w:sz w:val="24"/>
                <w:szCs w:val="24"/>
              </w:rPr>
              <w:t>分值</w:t>
            </w:r>
          </w:p>
        </w:tc>
      </w:tr>
      <w:tr w14:paraId="55C87C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noWrap/>
            <w:vAlign w:val="center"/>
          </w:tcPr>
          <w:p w14:paraId="3A6B6ACC">
            <w:pPr>
              <w:widowControl/>
              <w:snapToGrid w:val="0"/>
              <w:jc w:val="center"/>
              <w:rPr>
                <w:kern w:val="0"/>
                <w:sz w:val="24"/>
                <w:szCs w:val="24"/>
              </w:rPr>
            </w:pPr>
            <w:r>
              <w:rPr>
                <w:rFonts w:hint="eastAsia"/>
                <w:kern w:val="0"/>
                <w:sz w:val="24"/>
                <w:szCs w:val="24"/>
              </w:rPr>
              <w:t>1</w:t>
            </w:r>
          </w:p>
        </w:tc>
        <w:tc>
          <w:tcPr>
            <w:tcW w:w="1655" w:type="dxa"/>
            <w:vAlign w:val="center"/>
          </w:tcPr>
          <w:p w14:paraId="2B8BF242">
            <w:pPr>
              <w:widowControl/>
              <w:snapToGrid w:val="0"/>
              <w:jc w:val="center"/>
              <w:rPr>
                <w:kern w:val="0"/>
                <w:sz w:val="24"/>
                <w:szCs w:val="24"/>
              </w:rPr>
            </w:pPr>
            <w:r>
              <w:rPr>
                <w:rFonts w:hint="eastAsia"/>
                <w:kern w:val="0"/>
                <w:sz w:val="24"/>
                <w:szCs w:val="24"/>
              </w:rPr>
              <w:t>制造商认证评价</w:t>
            </w:r>
          </w:p>
        </w:tc>
        <w:tc>
          <w:tcPr>
            <w:tcW w:w="7087" w:type="dxa"/>
            <w:vAlign w:val="center"/>
          </w:tcPr>
          <w:p w14:paraId="01BD4CA6">
            <w:pPr>
              <w:snapToGrid w:val="0"/>
              <w:rPr>
                <w:bCs/>
                <w:sz w:val="24"/>
              </w:rPr>
            </w:pPr>
            <w:r>
              <w:rPr>
                <w:rFonts w:hint="eastAsia"/>
                <w:bCs/>
                <w:sz w:val="24"/>
              </w:rPr>
              <w:t>所投产品的制造商具备质量管理体系认证、职业健康安全管理体系认证、环境管理体系认证、医疗器械质量管理体系认证，投标文件中提供证书扫描件。具备1份证书得1分，最多4分。</w:t>
            </w:r>
          </w:p>
        </w:tc>
        <w:tc>
          <w:tcPr>
            <w:tcW w:w="1010" w:type="dxa"/>
            <w:vAlign w:val="center"/>
          </w:tcPr>
          <w:p w14:paraId="39D2D847">
            <w:pPr>
              <w:widowControl/>
              <w:snapToGrid w:val="0"/>
              <w:jc w:val="center"/>
              <w:rPr>
                <w:kern w:val="0"/>
                <w:sz w:val="24"/>
                <w:szCs w:val="24"/>
              </w:rPr>
            </w:pPr>
            <w:r>
              <w:rPr>
                <w:rFonts w:hint="eastAsia"/>
                <w:kern w:val="0"/>
                <w:sz w:val="24"/>
                <w:szCs w:val="24"/>
              </w:rPr>
              <w:t>4</w:t>
            </w:r>
          </w:p>
        </w:tc>
      </w:tr>
      <w:tr w14:paraId="207757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noWrap/>
            <w:vAlign w:val="center"/>
          </w:tcPr>
          <w:p w14:paraId="52920034">
            <w:pPr>
              <w:widowControl/>
              <w:snapToGrid w:val="0"/>
              <w:jc w:val="center"/>
              <w:rPr>
                <w:kern w:val="0"/>
                <w:sz w:val="24"/>
                <w:szCs w:val="24"/>
              </w:rPr>
            </w:pPr>
            <w:r>
              <w:rPr>
                <w:rFonts w:hint="eastAsia"/>
                <w:kern w:val="0"/>
                <w:sz w:val="24"/>
                <w:szCs w:val="24"/>
              </w:rPr>
              <w:t>2</w:t>
            </w:r>
          </w:p>
        </w:tc>
        <w:tc>
          <w:tcPr>
            <w:tcW w:w="1655" w:type="dxa"/>
            <w:vAlign w:val="center"/>
          </w:tcPr>
          <w:p w14:paraId="28223A78">
            <w:pPr>
              <w:widowControl/>
              <w:snapToGrid w:val="0"/>
              <w:jc w:val="center"/>
              <w:rPr>
                <w:kern w:val="0"/>
                <w:sz w:val="24"/>
                <w:szCs w:val="24"/>
              </w:rPr>
            </w:pPr>
            <w:r>
              <w:rPr>
                <w:rFonts w:hint="eastAsia" w:cs="宋体"/>
                <w:kern w:val="0"/>
                <w:sz w:val="24"/>
                <w:szCs w:val="24"/>
              </w:rPr>
              <w:t>产品认证评价</w:t>
            </w:r>
          </w:p>
        </w:tc>
        <w:tc>
          <w:tcPr>
            <w:tcW w:w="7087" w:type="dxa"/>
            <w:vAlign w:val="center"/>
          </w:tcPr>
          <w:p w14:paraId="4FAAAAA7">
            <w:pPr>
              <w:snapToGrid w:val="0"/>
              <w:rPr>
                <w:rFonts w:cs="宋体"/>
                <w:sz w:val="24"/>
                <w:szCs w:val="24"/>
              </w:rPr>
            </w:pPr>
            <w:r>
              <w:rPr>
                <w:rFonts w:hint="eastAsia"/>
                <w:bCs/>
                <w:sz w:val="24"/>
              </w:rPr>
              <w:t>提供与所投产品相关的知识产权证书扫描件。具备1份证书得1分，最多3分</w:t>
            </w:r>
          </w:p>
        </w:tc>
        <w:tc>
          <w:tcPr>
            <w:tcW w:w="1010" w:type="dxa"/>
            <w:vAlign w:val="center"/>
          </w:tcPr>
          <w:p w14:paraId="08899501">
            <w:pPr>
              <w:widowControl/>
              <w:snapToGrid w:val="0"/>
              <w:jc w:val="center"/>
              <w:rPr>
                <w:kern w:val="0"/>
                <w:sz w:val="24"/>
                <w:szCs w:val="24"/>
              </w:rPr>
            </w:pPr>
            <w:r>
              <w:rPr>
                <w:rFonts w:hint="eastAsia"/>
                <w:kern w:val="0"/>
                <w:sz w:val="24"/>
                <w:szCs w:val="24"/>
              </w:rPr>
              <w:t>3</w:t>
            </w:r>
          </w:p>
        </w:tc>
      </w:tr>
      <w:tr w14:paraId="2465B6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noWrap/>
            <w:vAlign w:val="center"/>
          </w:tcPr>
          <w:p w14:paraId="3EC27E93">
            <w:pPr>
              <w:widowControl/>
              <w:snapToGrid w:val="0"/>
              <w:jc w:val="center"/>
              <w:rPr>
                <w:kern w:val="0"/>
                <w:sz w:val="24"/>
                <w:szCs w:val="24"/>
              </w:rPr>
            </w:pPr>
            <w:r>
              <w:rPr>
                <w:rFonts w:hint="eastAsia"/>
                <w:kern w:val="0"/>
                <w:sz w:val="24"/>
                <w:szCs w:val="24"/>
              </w:rPr>
              <w:t>3</w:t>
            </w:r>
          </w:p>
        </w:tc>
        <w:tc>
          <w:tcPr>
            <w:tcW w:w="1655" w:type="dxa"/>
            <w:vAlign w:val="center"/>
          </w:tcPr>
          <w:p w14:paraId="4F45FB62">
            <w:pPr>
              <w:widowControl/>
              <w:snapToGrid w:val="0"/>
              <w:jc w:val="center"/>
              <w:rPr>
                <w:sz w:val="24"/>
                <w:szCs w:val="24"/>
              </w:rPr>
            </w:pPr>
            <w:r>
              <w:rPr>
                <w:rFonts w:hint="eastAsia" w:cs="宋体"/>
                <w:sz w:val="24"/>
                <w:szCs w:val="24"/>
              </w:rPr>
              <w:t>保修时间评价</w:t>
            </w:r>
          </w:p>
        </w:tc>
        <w:tc>
          <w:tcPr>
            <w:tcW w:w="7087" w:type="dxa"/>
            <w:vAlign w:val="center"/>
          </w:tcPr>
          <w:p w14:paraId="7C5679B5">
            <w:pPr>
              <w:snapToGrid w:val="0"/>
              <w:rPr>
                <w:rFonts w:cs="宋体"/>
                <w:sz w:val="24"/>
                <w:szCs w:val="24"/>
              </w:rPr>
            </w:pPr>
            <w:r>
              <w:rPr>
                <w:rFonts w:hint="eastAsia" w:cs="宋体"/>
                <w:sz w:val="24"/>
                <w:szCs w:val="24"/>
              </w:rPr>
              <w:t>满足招标文件要求的基础上所投产品每增加</w:t>
            </w:r>
            <w:r>
              <w:rPr>
                <w:rFonts w:cs="宋体"/>
                <w:sz w:val="24"/>
                <w:szCs w:val="24"/>
              </w:rPr>
              <w:t>1</w:t>
            </w:r>
            <w:r>
              <w:rPr>
                <w:rFonts w:hint="eastAsia" w:cs="宋体"/>
                <w:sz w:val="24"/>
                <w:szCs w:val="24"/>
              </w:rPr>
              <w:t>年保修得</w:t>
            </w:r>
            <w:r>
              <w:rPr>
                <w:rFonts w:cs="宋体"/>
                <w:sz w:val="24"/>
                <w:szCs w:val="24"/>
              </w:rPr>
              <w:t>0.5</w:t>
            </w:r>
            <w:r>
              <w:rPr>
                <w:rFonts w:hint="eastAsia" w:cs="宋体"/>
                <w:sz w:val="24"/>
                <w:szCs w:val="24"/>
              </w:rPr>
              <w:t>分，最多</w:t>
            </w:r>
            <w:r>
              <w:rPr>
                <w:rFonts w:cs="宋体"/>
                <w:sz w:val="24"/>
                <w:szCs w:val="24"/>
              </w:rPr>
              <w:t>1</w:t>
            </w:r>
            <w:r>
              <w:rPr>
                <w:rFonts w:hint="eastAsia" w:cs="宋体"/>
                <w:sz w:val="24"/>
                <w:szCs w:val="24"/>
              </w:rPr>
              <w:t>分</w:t>
            </w:r>
          </w:p>
        </w:tc>
        <w:tc>
          <w:tcPr>
            <w:tcW w:w="1010" w:type="dxa"/>
            <w:vAlign w:val="center"/>
          </w:tcPr>
          <w:p w14:paraId="63A06C69">
            <w:pPr>
              <w:widowControl/>
              <w:snapToGrid w:val="0"/>
              <w:jc w:val="center"/>
              <w:rPr>
                <w:kern w:val="0"/>
                <w:sz w:val="24"/>
                <w:szCs w:val="24"/>
              </w:rPr>
            </w:pPr>
            <w:r>
              <w:rPr>
                <w:kern w:val="0"/>
                <w:sz w:val="24"/>
                <w:szCs w:val="24"/>
              </w:rPr>
              <w:t>1</w:t>
            </w:r>
          </w:p>
        </w:tc>
      </w:tr>
      <w:tr w14:paraId="4AD705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noWrap/>
            <w:vAlign w:val="center"/>
          </w:tcPr>
          <w:p w14:paraId="416DFD96">
            <w:pPr>
              <w:widowControl/>
              <w:snapToGrid w:val="0"/>
              <w:jc w:val="center"/>
              <w:rPr>
                <w:kern w:val="0"/>
                <w:sz w:val="24"/>
                <w:szCs w:val="24"/>
              </w:rPr>
            </w:pPr>
            <w:r>
              <w:rPr>
                <w:rFonts w:hint="eastAsia"/>
                <w:kern w:val="0"/>
                <w:sz w:val="24"/>
                <w:szCs w:val="24"/>
              </w:rPr>
              <w:t>4</w:t>
            </w:r>
          </w:p>
        </w:tc>
        <w:tc>
          <w:tcPr>
            <w:tcW w:w="1655" w:type="dxa"/>
            <w:vAlign w:val="center"/>
          </w:tcPr>
          <w:p w14:paraId="63C173FC">
            <w:pPr>
              <w:widowControl/>
              <w:snapToGrid w:val="0"/>
              <w:jc w:val="center"/>
              <w:rPr>
                <w:kern w:val="0"/>
                <w:sz w:val="24"/>
                <w:szCs w:val="24"/>
              </w:rPr>
            </w:pPr>
            <w:r>
              <w:rPr>
                <w:rFonts w:hint="eastAsia" w:cs="宋体"/>
                <w:kern w:val="0"/>
                <w:sz w:val="24"/>
                <w:szCs w:val="24"/>
              </w:rPr>
              <w:t>实用性评价</w:t>
            </w:r>
          </w:p>
        </w:tc>
        <w:tc>
          <w:tcPr>
            <w:tcW w:w="7087" w:type="dxa"/>
            <w:vAlign w:val="center"/>
          </w:tcPr>
          <w:p w14:paraId="10695EFC">
            <w:pPr>
              <w:snapToGrid w:val="0"/>
              <w:rPr>
                <w:rFonts w:cs="宋体"/>
                <w:sz w:val="24"/>
                <w:szCs w:val="24"/>
              </w:rPr>
            </w:pPr>
            <w:r>
              <w:rPr>
                <w:rFonts w:hint="eastAsia" w:cs="宋体"/>
                <w:sz w:val="24"/>
                <w:szCs w:val="24"/>
              </w:rPr>
              <w:t>根据所投产品业绩，投标文件中提供所投产品同品牌同型号使用用户盖章的证明材料扫描件，一种产品的一份材料得</w:t>
            </w:r>
            <w:r>
              <w:rPr>
                <w:rFonts w:cs="宋体"/>
                <w:sz w:val="24"/>
                <w:szCs w:val="24"/>
              </w:rPr>
              <w:t>0.5</w:t>
            </w:r>
            <w:r>
              <w:rPr>
                <w:rFonts w:hint="eastAsia" w:cs="宋体"/>
                <w:sz w:val="24"/>
                <w:szCs w:val="24"/>
              </w:rPr>
              <w:t>分，最多2分</w:t>
            </w:r>
          </w:p>
        </w:tc>
        <w:tc>
          <w:tcPr>
            <w:tcW w:w="1010" w:type="dxa"/>
            <w:vAlign w:val="center"/>
          </w:tcPr>
          <w:p w14:paraId="269F4FFF">
            <w:pPr>
              <w:widowControl/>
              <w:snapToGrid w:val="0"/>
              <w:jc w:val="center"/>
              <w:rPr>
                <w:kern w:val="0"/>
                <w:sz w:val="24"/>
                <w:szCs w:val="24"/>
              </w:rPr>
            </w:pPr>
            <w:r>
              <w:rPr>
                <w:rFonts w:hint="eastAsia"/>
                <w:kern w:val="0"/>
                <w:sz w:val="24"/>
                <w:szCs w:val="24"/>
              </w:rPr>
              <w:t>2</w:t>
            </w:r>
          </w:p>
        </w:tc>
      </w:tr>
      <w:tr w14:paraId="520682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noWrap/>
            <w:vAlign w:val="center"/>
          </w:tcPr>
          <w:p w14:paraId="09D8FA07">
            <w:pPr>
              <w:widowControl/>
              <w:snapToGrid w:val="0"/>
              <w:jc w:val="center"/>
              <w:rPr>
                <w:kern w:val="0"/>
                <w:sz w:val="24"/>
                <w:szCs w:val="24"/>
              </w:rPr>
            </w:pPr>
            <w:r>
              <w:rPr>
                <w:rFonts w:hint="eastAsia"/>
                <w:kern w:val="0"/>
                <w:sz w:val="24"/>
                <w:szCs w:val="24"/>
              </w:rPr>
              <w:t>5</w:t>
            </w:r>
          </w:p>
        </w:tc>
        <w:tc>
          <w:tcPr>
            <w:tcW w:w="1655" w:type="dxa"/>
            <w:vAlign w:val="center"/>
          </w:tcPr>
          <w:p w14:paraId="7AD84577">
            <w:pPr>
              <w:widowControl/>
              <w:snapToGrid w:val="0"/>
              <w:jc w:val="center"/>
              <w:rPr>
                <w:color w:val="FF0000"/>
                <w:kern w:val="0"/>
                <w:sz w:val="24"/>
                <w:szCs w:val="24"/>
                <w:highlight w:val="yellow"/>
              </w:rPr>
            </w:pPr>
            <w:r>
              <w:rPr>
                <w:rFonts w:hint="eastAsia" w:cs="宋体"/>
                <w:kern w:val="0"/>
                <w:sz w:val="24"/>
                <w:szCs w:val="24"/>
              </w:rPr>
              <w:t>产品参数证明评价</w:t>
            </w:r>
          </w:p>
        </w:tc>
        <w:tc>
          <w:tcPr>
            <w:tcW w:w="7087" w:type="dxa"/>
            <w:vAlign w:val="center"/>
          </w:tcPr>
          <w:p w14:paraId="3DD07ADA">
            <w:pPr>
              <w:widowControl/>
              <w:snapToGrid w:val="0"/>
              <w:rPr>
                <w:rFonts w:cs="宋体"/>
                <w:kern w:val="0"/>
                <w:sz w:val="24"/>
                <w:szCs w:val="24"/>
              </w:rPr>
            </w:pPr>
            <w:r>
              <w:rPr>
                <w:rFonts w:hint="eastAsia"/>
                <w:kern w:val="0"/>
                <w:sz w:val="24"/>
                <w:szCs w:val="24"/>
              </w:rPr>
              <w:t>提供所投产品的技术支撑材料</w:t>
            </w:r>
            <w:r>
              <w:rPr>
                <w:rFonts w:hint="eastAsia"/>
                <w:bCs/>
                <w:sz w:val="24"/>
              </w:rPr>
              <w:t>扫描件</w:t>
            </w:r>
            <w:r>
              <w:rPr>
                <w:rFonts w:hint="eastAsia"/>
                <w:kern w:val="0"/>
                <w:sz w:val="24"/>
                <w:szCs w:val="24"/>
              </w:rPr>
              <w:t>，</w:t>
            </w:r>
            <w:r>
              <w:rPr>
                <w:rFonts w:hint="eastAsia"/>
                <w:bCs/>
                <w:sz w:val="24"/>
              </w:rPr>
              <w:t>上述技术支撑材料能证明所投产品满足</w:t>
            </w:r>
            <w:r>
              <w:rPr>
                <w:rFonts w:hint="eastAsia" w:cs="宋体"/>
                <w:kern w:val="0"/>
                <w:sz w:val="24"/>
                <w:szCs w:val="24"/>
              </w:rPr>
              <w:t>采购清单技术参数中加注“★”的需求条款，技术支撑材料响应得分</w:t>
            </w:r>
            <w:r>
              <w:rPr>
                <w:kern w:val="0"/>
                <w:sz w:val="24"/>
                <w:szCs w:val="24"/>
              </w:rPr>
              <w:t>=</w:t>
            </w:r>
            <w:r>
              <w:rPr>
                <w:rFonts w:hint="eastAsia" w:cs="宋体"/>
                <w:kern w:val="0"/>
                <w:sz w:val="24"/>
                <w:szCs w:val="24"/>
              </w:rPr>
              <w:t>（加注“★”的需求条款提供技术支撑材料且经评标委员会认定满足的条款累计数量</w:t>
            </w:r>
            <w:r>
              <w:rPr>
                <w:kern w:val="0"/>
                <w:sz w:val="24"/>
                <w:szCs w:val="24"/>
              </w:rPr>
              <w:t>/</w:t>
            </w:r>
            <w:r>
              <w:rPr>
                <w:rFonts w:hint="eastAsia" w:cs="宋体"/>
                <w:kern w:val="0"/>
                <w:sz w:val="24"/>
                <w:szCs w:val="24"/>
              </w:rPr>
              <w:t>加注“★”的需求条款总数）×</w:t>
            </w:r>
            <w:r>
              <w:rPr>
                <w:rFonts w:hint="eastAsia"/>
                <w:kern w:val="0"/>
                <w:sz w:val="24"/>
                <w:szCs w:val="24"/>
              </w:rPr>
              <w:t>20</w:t>
            </w:r>
            <w:r>
              <w:rPr>
                <w:rFonts w:hint="eastAsia" w:cs="宋体"/>
                <w:kern w:val="0"/>
                <w:sz w:val="24"/>
                <w:szCs w:val="24"/>
              </w:rPr>
              <w:t>。</w:t>
            </w:r>
          </w:p>
          <w:p w14:paraId="5607229D">
            <w:pPr>
              <w:widowControl/>
              <w:snapToGrid w:val="0"/>
              <w:rPr>
                <w:kern w:val="0"/>
                <w:sz w:val="24"/>
                <w:szCs w:val="24"/>
              </w:rPr>
            </w:pPr>
            <w:r>
              <w:rPr>
                <w:rFonts w:hint="eastAsia" w:cs="宋体"/>
                <w:kern w:val="0"/>
                <w:sz w:val="24"/>
                <w:szCs w:val="24"/>
              </w:rPr>
              <w:t>评标委员会根据投标文件中“技术点对点应答表”中提供的“技术支撑材料所在页码”所对应的材料进行评判，未提供页码或提供页码不准确的视为无技术支撑材料。</w:t>
            </w:r>
          </w:p>
          <w:p w14:paraId="61031CAB">
            <w:pPr>
              <w:widowControl/>
              <w:snapToGrid w:val="0"/>
              <w:rPr>
                <w:rFonts w:cs="宋体"/>
                <w:sz w:val="24"/>
                <w:szCs w:val="24"/>
              </w:rPr>
            </w:pPr>
            <w:r>
              <w:rPr>
                <w:rFonts w:hint="eastAsia" w:cs="宋体"/>
                <w:sz w:val="24"/>
                <w:szCs w:val="24"/>
              </w:rPr>
              <w:t>注：技术支撑材料是指具有</w:t>
            </w:r>
            <w:r>
              <w:rPr>
                <w:sz w:val="24"/>
                <w:szCs w:val="24"/>
              </w:rPr>
              <w:t>CMA</w:t>
            </w:r>
            <w:r>
              <w:rPr>
                <w:rFonts w:hint="eastAsia" w:cs="宋体"/>
                <w:sz w:val="24"/>
                <w:szCs w:val="24"/>
              </w:rPr>
              <w:t>标识的检测</w:t>
            </w:r>
            <w:r>
              <w:rPr>
                <w:sz w:val="24"/>
                <w:szCs w:val="24"/>
              </w:rPr>
              <w:t>/</w:t>
            </w:r>
            <w:r>
              <w:rPr>
                <w:rFonts w:hint="eastAsia" w:cs="宋体"/>
                <w:sz w:val="24"/>
                <w:szCs w:val="24"/>
              </w:rPr>
              <w:t>检验</w:t>
            </w:r>
            <w:r>
              <w:rPr>
                <w:sz w:val="24"/>
                <w:szCs w:val="24"/>
              </w:rPr>
              <w:t>/</w:t>
            </w:r>
            <w:r>
              <w:rPr>
                <w:rFonts w:hint="eastAsia" w:cs="宋体"/>
                <w:sz w:val="24"/>
                <w:szCs w:val="24"/>
              </w:rPr>
              <w:t>试验</w:t>
            </w:r>
            <w:r>
              <w:rPr>
                <w:sz w:val="24"/>
                <w:szCs w:val="24"/>
              </w:rPr>
              <w:t>/</w:t>
            </w:r>
            <w:r>
              <w:rPr>
                <w:rFonts w:hint="eastAsia" w:cs="宋体"/>
                <w:sz w:val="24"/>
                <w:szCs w:val="24"/>
              </w:rPr>
              <w:t>测试报告，或加盖所投产品制造商公章的技术证明材料。</w:t>
            </w:r>
          </w:p>
          <w:p w14:paraId="459EF24D">
            <w:pPr>
              <w:widowControl/>
              <w:snapToGrid w:val="0"/>
              <w:rPr>
                <w:kern w:val="0"/>
                <w:sz w:val="24"/>
                <w:szCs w:val="24"/>
              </w:rPr>
            </w:pPr>
            <w:r>
              <w:rPr>
                <w:rFonts w:hint="eastAsia"/>
                <w:bCs/>
                <w:sz w:val="24"/>
              </w:rPr>
              <w:t>若上述技术支撑材料证明所投产品不能满足招标文件中</w:t>
            </w:r>
            <w:r>
              <w:rPr>
                <w:rFonts w:hint="eastAsia"/>
                <w:kern w:val="0"/>
                <w:sz w:val="24"/>
                <w:szCs w:val="24"/>
              </w:rPr>
              <w:t>“★”</w:t>
            </w:r>
            <w:r>
              <w:rPr>
                <w:bCs/>
                <w:sz w:val="24"/>
              </w:rPr>
              <w:t>技术要求</w:t>
            </w:r>
            <w:r>
              <w:rPr>
                <w:rFonts w:hint="eastAsia"/>
                <w:bCs/>
                <w:sz w:val="24"/>
              </w:rPr>
              <w:t>的，则视为无效响应。</w:t>
            </w:r>
          </w:p>
        </w:tc>
        <w:tc>
          <w:tcPr>
            <w:tcW w:w="1010" w:type="dxa"/>
            <w:vAlign w:val="center"/>
          </w:tcPr>
          <w:p w14:paraId="1E24233E">
            <w:pPr>
              <w:widowControl/>
              <w:snapToGrid w:val="0"/>
              <w:jc w:val="center"/>
              <w:rPr>
                <w:kern w:val="0"/>
                <w:sz w:val="24"/>
                <w:szCs w:val="24"/>
              </w:rPr>
            </w:pPr>
            <w:r>
              <w:rPr>
                <w:rFonts w:hint="eastAsia"/>
                <w:kern w:val="0"/>
                <w:sz w:val="24"/>
                <w:szCs w:val="24"/>
              </w:rPr>
              <w:t>20</w:t>
            </w:r>
          </w:p>
        </w:tc>
      </w:tr>
      <w:tr w14:paraId="5F9165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noWrap/>
            <w:vAlign w:val="center"/>
          </w:tcPr>
          <w:p w14:paraId="604292A0">
            <w:pPr>
              <w:widowControl/>
              <w:snapToGrid w:val="0"/>
              <w:jc w:val="center"/>
              <w:rPr>
                <w:kern w:val="0"/>
                <w:sz w:val="24"/>
                <w:szCs w:val="24"/>
              </w:rPr>
            </w:pPr>
            <w:r>
              <w:rPr>
                <w:rFonts w:hint="eastAsia"/>
                <w:kern w:val="0"/>
                <w:sz w:val="24"/>
                <w:szCs w:val="24"/>
              </w:rPr>
              <w:t>6</w:t>
            </w:r>
          </w:p>
        </w:tc>
        <w:tc>
          <w:tcPr>
            <w:tcW w:w="1655" w:type="dxa"/>
            <w:vAlign w:val="center"/>
          </w:tcPr>
          <w:p w14:paraId="088AE16D">
            <w:pPr>
              <w:widowControl/>
              <w:snapToGrid w:val="0"/>
              <w:jc w:val="center"/>
              <w:rPr>
                <w:kern w:val="0"/>
                <w:sz w:val="24"/>
                <w:szCs w:val="24"/>
              </w:rPr>
            </w:pPr>
            <w:r>
              <w:rPr>
                <w:rFonts w:hint="eastAsia" w:cs="宋体"/>
                <w:kern w:val="0"/>
                <w:sz w:val="24"/>
                <w:szCs w:val="24"/>
              </w:rPr>
              <w:t>非“★”技术要求响应性评价</w:t>
            </w:r>
          </w:p>
        </w:tc>
        <w:tc>
          <w:tcPr>
            <w:tcW w:w="7087" w:type="dxa"/>
            <w:vAlign w:val="center"/>
          </w:tcPr>
          <w:p w14:paraId="70A1F47B">
            <w:pPr>
              <w:widowControl/>
              <w:snapToGrid w:val="0"/>
              <w:rPr>
                <w:kern w:val="0"/>
                <w:sz w:val="24"/>
                <w:szCs w:val="24"/>
              </w:rPr>
            </w:pPr>
            <w:r>
              <w:rPr>
                <w:rFonts w:hint="eastAsia"/>
                <w:kern w:val="0"/>
                <w:sz w:val="24"/>
                <w:szCs w:val="24"/>
              </w:rPr>
              <w:t>完全满足无偏离的得20分；</w:t>
            </w:r>
          </w:p>
          <w:p w14:paraId="4C0B7EC3">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劣于招标文件要求或未做应答的不足20条的，每出现1条以上情形减1分</w:t>
            </w:r>
          </w:p>
          <w:p w14:paraId="1ED0F46E">
            <w:pPr>
              <w:widowControl/>
              <w:snapToGrid w:val="0"/>
              <w:rPr>
                <w:rFonts w:cs="宋体"/>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劣于招标文件要求或未做应答≥20条的，本项得0分</w:t>
            </w:r>
          </w:p>
        </w:tc>
        <w:tc>
          <w:tcPr>
            <w:tcW w:w="1010" w:type="dxa"/>
            <w:vAlign w:val="center"/>
          </w:tcPr>
          <w:p w14:paraId="7F9DF903">
            <w:pPr>
              <w:widowControl/>
              <w:snapToGrid w:val="0"/>
              <w:jc w:val="center"/>
              <w:rPr>
                <w:kern w:val="0"/>
                <w:sz w:val="24"/>
                <w:szCs w:val="24"/>
              </w:rPr>
            </w:pPr>
            <w:r>
              <w:rPr>
                <w:rFonts w:hint="eastAsia"/>
                <w:kern w:val="0"/>
                <w:sz w:val="24"/>
                <w:szCs w:val="24"/>
              </w:rPr>
              <w:t>20</w:t>
            </w:r>
          </w:p>
        </w:tc>
      </w:tr>
      <w:tr w14:paraId="4B30CA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noWrap/>
            <w:vAlign w:val="center"/>
          </w:tcPr>
          <w:p w14:paraId="241D3C30">
            <w:pPr>
              <w:snapToGrid w:val="0"/>
              <w:jc w:val="center"/>
              <w:rPr>
                <w:sz w:val="24"/>
                <w:szCs w:val="24"/>
              </w:rPr>
            </w:pPr>
            <w:r>
              <w:rPr>
                <w:rFonts w:hint="eastAsia" w:cs="宋体"/>
                <w:kern w:val="0"/>
                <w:sz w:val="24"/>
                <w:szCs w:val="24"/>
              </w:rPr>
              <w:t>第三部分 主观分（</w:t>
            </w:r>
            <w:r>
              <w:rPr>
                <w:rFonts w:hint="eastAsia"/>
                <w:kern w:val="0"/>
                <w:sz w:val="24"/>
                <w:szCs w:val="24"/>
              </w:rPr>
              <w:t>20</w:t>
            </w:r>
            <w:r>
              <w:rPr>
                <w:rFonts w:hint="eastAsia" w:cs="宋体"/>
                <w:kern w:val="0"/>
                <w:sz w:val="24"/>
                <w:szCs w:val="24"/>
              </w:rPr>
              <w:t>分）</w:t>
            </w:r>
          </w:p>
        </w:tc>
        <w:tc>
          <w:tcPr>
            <w:tcW w:w="1010" w:type="dxa"/>
            <w:vAlign w:val="center"/>
          </w:tcPr>
          <w:p w14:paraId="5FC810E7">
            <w:pPr>
              <w:widowControl/>
              <w:snapToGrid w:val="0"/>
              <w:jc w:val="center"/>
              <w:rPr>
                <w:kern w:val="0"/>
                <w:sz w:val="24"/>
                <w:szCs w:val="24"/>
              </w:rPr>
            </w:pPr>
            <w:r>
              <w:rPr>
                <w:rFonts w:hint="eastAsia" w:cs="宋体"/>
                <w:kern w:val="0"/>
                <w:sz w:val="24"/>
                <w:szCs w:val="24"/>
              </w:rPr>
              <w:t>分值</w:t>
            </w:r>
          </w:p>
        </w:tc>
      </w:tr>
      <w:tr w14:paraId="327E02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noWrap/>
            <w:vAlign w:val="center"/>
          </w:tcPr>
          <w:p w14:paraId="1B9D3E6C">
            <w:pPr>
              <w:widowControl/>
              <w:snapToGrid w:val="0"/>
              <w:jc w:val="center"/>
              <w:rPr>
                <w:kern w:val="0"/>
                <w:sz w:val="24"/>
                <w:szCs w:val="24"/>
              </w:rPr>
            </w:pPr>
            <w:r>
              <w:rPr>
                <w:rFonts w:hint="eastAsia"/>
                <w:kern w:val="0"/>
                <w:sz w:val="24"/>
                <w:szCs w:val="24"/>
              </w:rPr>
              <w:t>1</w:t>
            </w:r>
          </w:p>
        </w:tc>
        <w:tc>
          <w:tcPr>
            <w:tcW w:w="1655" w:type="dxa"/>
            <w:vAlign w:val="center"/>
          </w:tcPr>
          <w:p w14:paraId="6F782A39">
            <w:pPr>
              <w:widowControl/>
              <w:snapToGrid w:val="0"/>
              <w:jc w:val="center"/>
              <w:rPr>
                <w:rFonts w:cs="宋体"/>
                <w:kern w:val="0"/>
                <w:sz w:val="24"/>
                <w:szCs w:val="24"/>
              </w:rPr>
            </w:pPr>
            <w:r>
              <w:rPr>
                <w:rFonts w:hint="eastAsia" w:cs="宋体"/>
                <w:kern w:val="0"/>
                <w:sz w:val="24"/>
                <w:szCs w:val="24"/>
              </w:rPr>
              <w:t>产品整体性能评价</w:t>
            </w:r>
          </w:p>
        </w:tc>
        <w:tc>
          <w:tcPr>
            <w:tcW w:w="7087" w:type="dxa"/>
            <w:vAlign w:val="center"/>
          </w:tcPr>
          <w:p w14:paraId="7B541DEE">
            <w:pPr>
              <w:widowControl/>
              <w:snapToGrid w:val="0"/>
              <w:rPr>
                <w:rFonts w:cs="宋体"/>
                <w:kern w:val="0"/>
                <w:sz w:val="24"/>
                <w:szCs w:val="24"/>
              </w:rPr>
            </w:pPr>
            <w:r>
              <w:rPr>
                <w:rFonts w:hint="eastAsia" w:cs="宋体"/>
                <w:kern w:val="0"/>
                <w:sz w:val="24"/>
                <w:szCs w:val="24"/>
              </w:rPr>
              <w:t>至少包含产品整体设计理念、性能描述、安全耐用性描述等方面内容</w:t>
            </w:r>
          </w:p>
          <w:p w14:paraId="2F538D54">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14:paraId="1F43F50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2BA5B20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14:paraId="35553034">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45FC9773">
            <w:pPr>
              <w:widowControl/>
              <w:snapToGrid w:val="0"/>
              <w:rPr>
                <w:rFonts w:cs="宋体"/>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14:paraId="002B3C11">
            <w:pPr>
              <w:widowControl/>
              <w:snapToGrid w:val="0"/>
              <w:jc w:val="center"/>
              <w:rPr>
                <w:kern w:val="0"/>
                <w:sz w:val="24"/>
                <w:szCs w:val="24"/>
              </w:rPr>
            </w:pPr>
            <w:r>
              <w:rPr>
                <w:rFonts w:hint="eastAsia"/>
                <w:kern w:val="0"/>
                <w:sz w:val="24"/>
                <w:szCs w:val="24"/>
              </w:rPr>
              <w:t>6</w:t>
            </w:r>
          </w:p>
        </w:tc>
      </w:tr>
      <w:tr w14:paraId="1CBE5E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noWrap/>
            <w:vAlign w:val="center"/>
          </w:tcPr>
          <w:p w14:paraId="37B28EFB">
            <w:pPr>
              <w:widowControl/>
              <w:snapToGrid w:val="0"/>
              <w:jc w:val="center"/>
              <w:rPr>
                <w:kern w:val="0"/>
                <w:sz w:val="24"/>
                <w:szCs w:val="24"/>
              </w:rPr>
            </w:pPr>
            <w:r>
              <w:rPr>
                <w:rFonts w:hint="eastAsia"/>
                <w:kern w:val="0"/>
                <w:sz w:val="24"/>
                <w:szCs w:val="24"/>
              </w:rPr>
              <w:t>2</w:t>
            </w:r>
          </w:p>
        </w:tc>
        <w:tc>
          <w:tcPr>
            <w:tcW w:w="1655" w:type="dxa"/>
            <w:vAlign w:val="center"/>
          </w:tcPr>
          <w:p w14:paraId="5F0C6978">
            <w:pPr>
              <w:widowControl/>
              <w:snapToGrid w:val="0"/>
              <w:jc w:val="center"/>
              <w:rPr>
                <w:rFonts w:cs="宋体"/>
                <w:kern w:val="0"/>
                <w:sz w:val="24"/>
                <w:szCs w:val="24"/>
              </w:rPr>
            </w:pPr>
            <w:r>
              <w:rPr>
                <w:rFonts w:hint="eastAsia" w:cs="宋体"/>
                <w:kern w:val="0"/>
                <w:sz w:val="24"/>
                <w:szCs w:val="24"/>
              </w:rPr>
              <w:t>产品关键零部件评价</w:t>
            </w:r>
          </w:p>
        </w:tc>
        <w:tc>
          <w:tcPr>
            <w:tcW w:w="7087" w:type="dxa"/>
            <w:vAlign w:val="center"/>
          </w:tcPr>
          <w:p w14:paraId="285BDD64">
            <w:pPr>
              <w:widowControl/>
              <w:snapToGrid w:val="0"/>
              <w:rPr>
                <w:rFonts w:cs="宋体"/>
                <w:kern w:val="0"/>
                <w:sz w:val="24"/>
                <w:szCs w:val="24"/>
              </w:rPr>
            </w:pPr>
            <w:r>
              <w:rPr>
                <w:rFonts w:hint="eastAsia" w:cs="宋体"/>
                <w:kern w:val="0"/>
                <w:sz w:val="24"/>
                <w:szCs w:val="24"/>
              </w:rPr>
              <w:t>至少包含产品关键零部件设计理念、性能描述、安全耐用性描述等方面内容</w:t>
            </w:r>
          </w:p>
          <w:p w14:paraId="7A7914BA">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14:paraId="3EFED06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196678A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14:paraId="732491A9">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3F1B18BB">
            <w:pPr>
              <w:widowControl/>
              <w:snapToGrid w:val="0"/>
              <w:rPr>
                <w:rFonts w:cs="宋体"/>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14:paraId="3BFD47B4">
            <w:pPr>
              <w:widowControl/>
              <w:snapToGrid w:val="0"/>
              <w:jc w:val="center"/>
              <w:rPr>
                <w:kern w:val="0"/>
                <w:sz w:val="24"/>
                <w:szCs w:val="24"/>
              </w:rPr>
            </w:pPr>
            <w:r>
              <w:rPr>
                <w:rFonts w:hint="eastAsia"/>
                <w:kern w:val="0"/>
                <w:sz w:val="24"/>
                <w:szCs w:val="24"/>
              </w:rPr>
              <w:t>6</w:t>
            </w:r>
          </w:p>
        </w:tc>
      </w:tr>
      <w:tr w14:paraId="528B1E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noWrap/>
            <w:vAlign w:val="center"/>
          </w:tcPr>
          <w:p w14:paraId="19333263">
            <w:pPr>
              <w:widowControl/>
              <w:snapToGrid w:val="0"/>
              <w:jc w:val="center"/>
              <w:rPr>
                <w:kern w:val="0"/>
                <w:sz w:val="24"/>
                <w:szCs w:val="24"/>
              </w:rPr>
            </w:pPr>
            <w:r>
              <w:rPr>
                <w:rFonts w:hint="eastAsia"/>
                <w:kern w:val="0"/>
                <w:sz w:val="24"/>
                <w:szCs w:val="24"/>
              </w:rPr>
              <w:t>3</w:t>
            </w:r>
          </w:p>
        </w:tc>
        <w:tc>
          <w:tcPr>
            <w:tcW w:w="1655" w:type="dxa"/>
            <w:vAlign w:val="center"/>
          </w:tcPr>
          <w:p w14:paraId="0DF5D039">
            <w:pPr>
              <w:widowControl/>
              <w:snapToGrid w:val="0"/>
              <w:jc w:val="center"/>
              <w:rPr>
                <w:sz w:val="24"/>
              </w:rPr>
            </w:pPr>
            <w:r>
              <w:rPr>
                <w:rFonts w:hint="eastAsia"/>
                <w:sz w:val="24"/>
              </w:rPr>
              <w:t>售后服务方案评价</w:t>
            </w:r>
          </w:p>
        </w:tc>
        <w:tc>
          <w:tcPr>
            <w:tcW w:w="7087" w:type="dxa"/>
            <w:vAlign w:val="center"/>
          </w:tcPr>
          <w:p w14:paraId="4CA5F79E">
            <w:pPr>
              <w:widowControl/>
              <w:snapToGrid w:val="0"/>
              <w:rPr>
                <w:kern w:val="0"/>
                <w:sz w:val="24"/>
                <w:szCs w:val="24"/>
              </w:rPr>
            </w:pPr>
            <w:r>
              <w:rPr>
                <w:rFonts w:hint="eastAsia"/>
                <w:kern w:val="0"/>
                <w:sz w:val="24"/>
                <w:szCs w:val="24"/>
              </w:rPr>
              <w:t>至少包含制造商服务承诺、投标人服务承诺、免费保修期时间、服务响应时间、培训方案等</w:t>
            </w:r>
          </w:p>
          <w:p w14:paraId="54215481">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8</w:t>
            </w:r>
            <w:r>
              <w:rPr>
                <w:kern w:val="0"/>
                <w:sz w:val="24"/>
                <w:szCs w:val="24"/>
              </w:rPr>
              <w:t>分；</w:t>
            </w:r>
          </w:p>
          <w:p w14:paraId="5F394DF7">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6</w:t>
            </w:r>
            <w:r>
              <w:rPr>
                <w:kern w:val="0"/>
                <w:sz w:val="24"/>
                <w:szCs w:val="24"/>
              </w:rPr>
              <w:t>分；</w:t>
            </w:r>
          </w:p>
          <w:p w14:paraId="4306CF95">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4</w:t>
            </w:r>
            <w:r>
              <w:rPr>
                <w:kern w:val="0"/>
                <w:sz w:val="24"/>
                <w:szCs w:val="24"/>
              </w:rPr>
              <w:t>分；</w:t>
            </w:r>
          </w:p>
          <w:p w14:paraId="6911F197">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3处瑕疵</w:t>
            </w:r>
            <w:r>
              <w:rPr>
                <w:kern w:val="0"/>
                <w:sz w:val="24"/>
                <w:szCs w:val="24"/>
              </w:rPr>
              <w:t>：</w:t>
            </w:r>
            <w:r>
              <w:rPr>
                <w:rFonts w:hint="eastAsia"/>
                <w:kern w:val="0"/>
                <w:sz w:val="24"/>
                <w:szCs w:val="24"/>
              </w:rPr>
              <w:t>2</w:t>
            </w:r>
            <w:r>
              <w:rPr>
                <w:kern w:val="0"/>
                <w:sz w:val="24"/>
                <w:szCs w:val="24"/>
              </w:rPr>
              <w:t>分；</w:t>
            </w:r>
          </w:p>
          <w:p w14:paraId="7CFA80BA">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4处及以上瑕疵</w:t>
            </w:r>
            <w:r>
              <w:rPr>
                <w:kern w:val="0"/>
                <w:sz w:val="24"/>
                <w:szCs w:val="24"/>
              </w:rPr>
              <w:t>：0分；</w:t>
            </w:r>
          </w:p>
          <w:p w14:paraId="67243D19">
            <w:pPr>
              <w:widowControl/>
              <w:snapToGrid w:val="0"/>
              <w:rPr>
                <w:rFonts w:cs="宋体"/>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14:paraId="5393D57E">
            <w:pPr>
              <w:widowControl/>
              <w:snapToGrid w:val="0"/>
              <w:jc w:val="center"/>
              <w:rPr>
                <w:kern w:val="0"/>
                <w:sz w:val="24"/>
                <w:szCs w:val="24"/>
              </w:rPr>
            </w:pPr>
            <w:r>
              <w:rPr>
                <w:rFonts w:hint="eastAsia"/>
                <w:kern w:val="0"/>
                <w:sz w:val="24"/>
                <w:szCs w:val="24"/>
              </w:rPr>
              <w:t>8</w:t>
            </w:r>
          </w:p>
        </w:tc>
      </w:tr>
    </w:tbl>
    <w:p w14:paraId="7DBB1B3B">
      <w:pPr>
        <w:spacing w:line="360" w:lineRule="auto"/>
        <w:ind w:firstLine="480" w:firstLineChars="200"/>
        <w:outlineLvl w:val="0"/>
        <w:rPr>
          <w:sz w:val="24"/>
        </w:rPr>
      </w:pPr>
      <w:r>
        <w:rPr>
          <w:rFonts w:hint="eastAsia"/>
          <w:sz w:val="24"/>
        </w:rPr>
        <w:t>五、投标文件内容要求</w:t>
      </w:r>
    </w:p>
    <w:p w14:paraId="60B08C59">
      <w:pPr>
        <w:spacing w:line="360" w:lineRule="auto"/>
        <w:ind w:firstLine="480" w:firstLineChars="200"/>
        <w:outlineLvl w:val="0"/>
        <w:rPr>
          <w:sz w:val="24"/>
        </w:rPr>
      </w:pPr>
      <w:r>
        <w:rPr>
          <w:rFonts w:hint="eastAsia"/>
          <w:sz w:val="24"/>
        </w:rPr>
        <w:t>（一）</w:t>
      </w:r>
      <w:r>
        <w:rPr>
          <w:sz w:val="24"/>
        </w:rPr>
        <w:t>投标人须按照《投标须知》“C 投标文件的编制”中的相关要求编制投标文件</w:t>
      </w:r>
      <w:r>
        <w:rPr>
          <w:rFonts w:hint="eastAsia"/>
          <w:sz w:val="24"/>
        </w:rPr>
        <w:t>。</w:t>
      </w:r>
    </w:p>
    <w:p w14:paraId="1104ABC4">
      <w:pPr>
        <w:spacing w:line="360" w:lineRule="auto"/>
        <w:ind w:firstLine="480" w:firstLineChars="200"/>
        <w:outlineLvl w:val="0"/>
        <w:rPr>
          <w:sz w:val="24"/>
        </w:rPr>
      </w:pPr>
      <w:r>
        <w:rPr>
          <w:rFonts w:hint="eastAsia"/>
          <w:sz w:val="24"/>
        </w:rPr>
        <w:t>（二）</w:t>
      </w:r>
      <w:r>
        <w:rPr>
          <w:sz w:val="24"/>
        </w:rPr>
        <w:t>投标文件</w:t>
      </w:r>
      <w:r>
        <w:rPr>
          <w:rFonts w:hint="eastAsia"/>
          <w:sz w:val="24"/>
        </w:rPr>
        <w:t>格式参照第五部分“投标文件格式”。</w:t>
      </w:r>
    </w:p>
    <w:p w14:paraId="03039B72">
      <w:pPr>
        <w:spacing w:line="360" w:lineRule="auto"/>
        <w:ind w:firstLine="480" w:firstLineChars="200"/>
        <w:outlineLvl w:val="0"/>
        <w:rPr>
          <w:color w:val="FF0000"/>
          <w:sz w:val="24"/>
        </w:rPr>
      </w:pPr>
    </w:p>
    <w:p w14:paraId="098105CE">
      <w:pPr>
        <w:spacing w:line="360" w:lineRule="auto"/>
        <w:jc w:val="center"/>
        <w:rPr>
          <w:sz w:val="24"/>
        </w:rPr>
      </w:pPr>
      <w:r>
        <w:rPr>
          <w:sz w:val="24"/>
          <w:u w:val="single"/>
        </w:rPr>
        <w:br w:type="page"/>
      </w:r>
    </w:p>
    <w:p w14:paraId="561428C1">
      <w:pPr>
        <w:pStyle w:val="13"/>
        <w:rPr>
          <w:rFonts w:ascii="Times New Roman" w:hAnsi="Times New Roman"/>
        </w:rPr>
      </w:pPr>
      <w:r>
        <w:rPr>
          <w:rFonts w:hint="eastAsia" w:ascii="Times New Roman" w:hAnsi="Times New Roman"/>
        </w:rPr>
        <w:t>第三部分  投标须知</w:t>
      </w:r>
    </w:p>
    <w:p w14:paraId="6BB1B66E">
      <w:pPr>
        <w:pStyle w:val="25"/>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A  说明</w:t>
      </w:r>
    </w:p>
    <w:p w14:paraId="16C18E26">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概述</w:t>
      </w:r>
    </w:p>
    <w:p w14:paraId="1C2D544D">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根据《中华人民共和国政府采购法》、《中华人民共和国政府采购法实施条例》等有关法律、法规和规章的规定，本采购项目已具备招标条件。</w:t>
      </w:r>
    </w:p>
    <w:p w14:paraId="468E02F4">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本招标文件仅适用于投标邀请函中所叙述项目货物和服务的采购。</w:t>
      </w:r>
    </w:p>
    <w:p w14:paraId="69436C6A">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7E5CB3E6">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定义</w:t>
      </w:r>
    </w:p>
    <w:p w14:paraId="527A6FA7">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“采购人”系指本次招标活动的采购单位。“采购代理机构”系指组织本次招标活动的机构，即“天津市政府采购中心”。</w:t>
      </w:r>
    </w:p>
    <w:p w14:paraId="0B1BFEF3">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“投标人”系指响应招标、参加投标竞争的法人、其他组织或者自然人。</w:t>
      </w:r>
    </w:p>
    <w:p w14:paraId="3B58D3E4">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 “货物”系指投标人按招标文件规定，须向采购人提供的各种形态和种类的物品（包括原材料、燃料、设备、产品等）、备品备件、工具、手册及其它有关技术资料和材料。</w:t>
      </w:r>
    </w:p>
    <w:p w14:paraId="41CA49B9">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 “服务”系指招标文件规定投标人须承担的运输、安装、调试、技术协助、校准、培训、维修以及其它类似的义务。</w:t>
      </w:r>
    </w:p>
    <w:p w14:paraId="422D4072">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 解释权</w:t>
      </w:r>
    </w:p>
    <w:p w14:paraId="5E561218">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本次招投标的最终解释权归为采购人、采购代理机构。</w:t>
      </w:r>
    </w:p>
    <w:p w14:paraId="418DC06E">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本文件未作须知明示，而又有相关法律、法规规定的，采购人、采购代理机构将对此解释为依据有关法律、法规的规定。</w:t>
      </w:r>
    </w:p>
    <w:p w14:paraId="5B19D610">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 合格的投标人</w:t>
      </w:r>
    </w:p>
    <w:p w14:paraId="59688A3E">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符合《中华人民共和国政府采购法》第二十二条供应商参加政府采购活动应当具备的条件及其他有关法律、法规关于供应商的有关规定，有能力提供招标采购货物及服务的供应商。</w:t>
      </w:r>
    </w:p>
    <w:p w14:paraId="616D0C18">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4.2 符合《投标邀请函》中关于供应商资格要求（实质性要求）的规定。</w:t>
      </w:r>
    </w:p>
    <w:p w14:paraId="0570EFBE">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4.3 关于联合体投标</w:t>
      </w:r>
    </w:p>
    <w:p w14:paraId="06EE2638">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若《投标邀请函》接受联合体投标的：</w:t>
      </w:r>
    </w:p>
    <w:p w14:paraId="21F5B243">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（1）两个以上的自然人、法人或者其他组织可以组成一个联合体，以一个供应商的身份共同参加政府采购。</w:t>
      </w:r>
    </w:p>
    <w:p w14:paraId="1A220673">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要求）。</w:t>
      </w:r>
    </w:p>
    <w:p w14:paraId="7815DB19">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w:t>
      </w:r>
      <w:r>
        <w:rPr>
          <w:rFonts w:ascii="Times New Roman" w:hAnsi="Times New Roman" w:eastAsia="宋体" w:cs="Times New Roman"/>
          <w:color w:val="auto"/>
        </w:rPr>
        <w:t>不得再以自己名义单独在</w:t>
      </w:r>
      <w:r>
        <w:rPr>
          <w:rFonts w:hint="eastAsia" w:ascii="Times New Roman" w:hAnsi="Times New Roman" w:eastAsia="宋体" w:cs="Times New Roman"/>
          <w:color w:val="auto"/>
        </w:rPr>
        <w:t>同一合同项下</w:t>
      </w:r>
      <w:r>
        <w:rPr>
          <w:rFonts w:ascii="Times New Roman" w:hAnsi="Times New Roman" w:eastAsia="宋体" w:cs="Times New Roman"/>
          <w:color w:val="auto"/>
        </w:rPr>
        <w:t>投标，也不得组成新的联合体参加同一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p>
    <w:p w14:paraId="37DC27BD">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32C0FE9F">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（5）联合体投标的，应以主体方名义提交投标保证金（如有），对联合体各方均具有约束力。</w:t>
      </w:r>
    </w:p>
    <w:p w14:paraId="58B5605A">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33CE2120">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rPr>
        <w:t>（7）</w:t>
      </w:r>
      <w:r>
        <w:rPr>
          <w:rFonts w:ascii="Times New Roman" w:hAnsi="Times New Roman" w:eastAsia="宋体" w:cs="Times New Roman"/>
          <w:color w:val="auto"/>
        </w:rPr>
        <w:t>联合体</w:t>
      </w:r>
      <w:r>
        <w:rPr>
          <w:rFonts w:hint="eastAsia" w:ascii="Times New Roman" w:hAnsi="Times New Roman" w:eastAsia="宋体" w:cs="Times New Roman"/>
          <w:color w:val="auto"/>
        </w:rPr>
        <w:t>中任意一方</w:t>
      </w:r>
      <w:r>
        <w:rPr>
          <w:rFonts w:ascii="Times New Roman" w:hAnsi="Times New Roman" w:eastAsia="宋体" w:cs="Times New Roman"/>
          <w:color w:val="auto"/>
        </w:rPr>
        <w:t>为</w:t>
      </w:r>
      <w:r>
        <w:rPr>
          <w:rFonts w:hint="eastAsia" w:ascii="Times New Roman" w:hAnsi="Times New Roman" w:eastAsia="宋体" w:cs="Times New Roman"/>
          <w:color w:val="auto"/>
        </w:rPr>
        <w:t>中</w:t>
      </w:r>
      <w:r>
        <w:rPr>
          <w:rFonts w:ascii="Times New Roman" w:hAnsi="Times New Roman" w:eastAsia="宋体" w:cs="Times New Roman"/>
          <w:color w:val="auto"/>
        </w:rPr>
        <w:t>小企业的，</w:t>
      </w:r>
      <w:r>
        <w:rPr>
          <w:rFonts w:hint="eastAsia" w:ascii="Times New Roman" w:hAnsi="Times New Roman" w:eastAsia="宋体" w:cs="Times New Roman"/>
          <w:color w:val="auto"/>
        </w:rPr>
        <w:t>该</w:t>
      </w:r>
      <w:r>
        <w:rPr>
          <w:rFonts w:ascii="Times New Roman" w:hAnsi="Times New Roman" w:eastAsia="宋体" w:cs="Times New Roman"/>
          <w:color w:val="auto"/>
        </w:rPr>
        <w:t>方应提供《中小企业声明函》</w:t>
      </w:r>
      <w:r>
        <w:rPr>
          <w:rFonts w:hint="eastAsia" w:ascii="Times New Roman" w:hAnsi="Times New Roman" w:eastAsia="宋体" w:cs="Times New Roman"/>
          <w:color w:val="auto"/>
        </w:rPr>
        <w:t>。</w:t>
      </w:r>
    </w:p>
    <w:p w14:paraId="1D9396F5">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（8）联合体各方应当共同与采购人签订采购合同，就采购合同约定的事项对采购人承担连带责任。</w:t>
      </w:r>
    </w:p>
    <w:p w14:paraId="55A33ABA">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4.4 关于关联企业</w:t>
      </w:r>
    </w:p>
    <w:p w14:paraId="628E9041">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除联合体外，法定代表人或单位负责人为同一个人或者存在直接控股、管理关系的不同供应商，</w:t>
      </w:r>
      <w:r>
        <w:rPr>
          <w:rFonts w:ascii="Times New Roman" w:hAnsi="Times New Roman" w:eastAsia="宋体" w:cs="Times New Roman"/>
          <w:color w:val="auto"/>
        </w:rPr>
        <w:t>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r>
        <w:rPr>
          <w:rFonts w:hint="eastAsia" w:ascii="Times New Roman" w:hAnsi="Times New Roman" w:eastAsia="宋体" w:cs="Times New Roman"/>
          <w:color w:val="auto"/>
        </w:rPr>
        <w:t>。如同时参加，则评审时将同时被拒绝。</w:t>
      </w:r>
    </w:p>
    <w:p w14:paraId="201101F4">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4.5 关于分公司投标</w:t>
      </w:r>
    </w:p>
    <w:p w14:paraId="2335AED4">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1456C789">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4.6 关于提供前期服务的供应商</w:t>
      </w:r>
    </w:p>
    <w:p w14:paraId="52762191">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736A3665">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4.7 关于中小微企业参与投标</w:t>
      </w:r>
    </w:p>
    <w:p w14:paraId="70E6846C">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050D1A04">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11311B2D">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09BB8F3B">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 合格的货物和相关服务</w:t>
      </w:r>
    </w:p>
    <w:p w14:paraId="58E6C4E0">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69FEEDF2">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5.2 投标人提供的货物质量应当完全符合现行的国家标准、行业标准或地方标准。除《招标项目需求》有特殊规定外，投标人提供的货物应当是全新的、未使用过的，货物和相关服务应当符合招标文件的要求。</w:t>
      </w:r>
    </w:p>
    <w:p w14:paraId="7B4A9E92">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投标人应当说明投标货物的来源地，如投标的货物非投标人生产或制造的，则交货时有义务提供其从合法途径获得该货物的相关证明。</w:t>
      </w:r>
    </w:p>
    <w:p w14:paraId="43014AC7">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系统软件、通用软件必须是具有在中国境内的合法使用权或版权的正版软件，涉及到第三方提出侵权或知识产权的起诉及支付版税等费用由投标人承担所有责任及费用。</w:t>
      </w:r>
    </w:p>
    <w:p w14:paraId="0444AF5C">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 投标费用</w:t>
      </w:r>
    </w:p>
    <w:p w14:paraId="67844E9F">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无论投标过程中的做法和结果如何，投标人自行承担所有与参加投标有关的费用。</w:t>
      </w:r>
    </w:p>
    <w:p w14:paraId="3D1A2A25">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 信息发布</w:t>
      </w:r>
    </w:p>
    <w:p w14:paraId="6FEC0F89">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本项目需要公开的有关信息，包括招标公告、更正公告、中标公告、终止公告等与招标活动有关的通知，采购人、采购代理机构均将通过“</w:t>
      </w:r>
      <w:r>
        <w:rPr>
          <w:rFonts w:ascii="Times New Roman" w:hAnsi="Times New Roman" w:eastAsia="宋体" w:cs="Times New Roman"/>
          <w:color w:val="auto"/>
        </w:rPr>
        <w:t>天津市政府采购网（http://tjgp.cz.tj.gov.cn）</w:t>
      </w:r>
      <w:r>
        <w:rPr>
          <w:rFonts w:hint="eastAsia" w:ascii="Times New Roman" w:hAnsi="Times New Roman" w:eastAsia="宋体" w:cs="Times New Roman"/>
          <w:color w:val="auto"/>
        </w:rPr>
        <w:t>”和“</w:t>
      </w:r>
      <w:r>
        <w:rPr>
          <w:rFonts w:ascii="Times New Roman" w:hAnsi="Times New Roman" w:eastAsia="宋体" w:cs="Times New Roman"/>
          <w:color w:val="auto"/>
        </w:rPr>
        <w:t>天津市政府采购</w:t>
      </w:r>
      <w:r>
        <w:rPr>
          <w:rFonts w:hint="eastAsia" w:ascii="Times New Roman" w:hAnsi="Times New Roman" w:eastAsia="宋体" w:cs="Times New Roman"/>
          <w:color w:val="auto"/>
        </w:rPr>
        <w:t>中心</w:t>
      </w:r>
      <w:r>
        <w:rPr>
          <w:rFonts w:ascii="Times New Roman" w:hAnsi="Times New Roman" w:eastAsia="宋体" w:cs="Times New Roman"/>
          <w:color w:val="auto"/>
        </w:rPr>
        <w:t>网（http://tjgpc.zwfwb.tj.gov.cn）</w:t>
      </w:r>
      <w:r>
        <w:rPr>
          <w:rFonts w:hint="eastAsia" w:ascii="Times New Roman" w:hAnsi="Times New Roman" w:eastAsia="宋体" w:cs="Times New Roman"/>
          <w:color w:val="auto"/>
        </w:rPr>
        <w:t>”公开发布。投标人在参与本采购项目招投标活动期间，请及时关注上述媒体和天津市政府采购中心招投标系统“查看项目文件”的相关信息。因没有及时关注而未能如期获取相关信息，投标人自行</w:t>
      </w:r>
      <w:r>
        <w:rPr>
          <w:rFonts w:ascii="Times New Roman" w:hAnsi="Times New Roman" w:eastAsia="宋体" w:cs="Times New Roman"/>
          <w:color w:val="auto"/>
        </w:rPr>
        <w:t>承担由此可能产生的风险。</w:t>
      </w:r>
    </w:p>
    <w:p w14:paraId="5CCAC7C2">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12EC9B6E">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6E2B3A83">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18CA9513">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6A1EF4C9">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701073CE">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717342A9">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16581AAA">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419D5B03">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5B0ECEFF">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522F2DF1">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2B855437">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694CF069">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 其他</w:t>
      </w:r>
    </w:p>
    <w:p w14:paraId="1B70DA4A">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1576EEB2">
      <w:pPr>
        <w:pStyle w:val="25"/>
        <w:spacing w:line="360" w:lineRule="auto"/>
        <w:ind w:firstLine="480" w:firstLineChars="200"/>
        <w:jc w:val="both"/>
        <w:rPr>
          <w:rFonts w:ascii="Times New Roman" w:hAnsi="Times New Roman" w:eastAsia="宋体" w:cs="Times New Roman"/>
          <w:color w:val="auto"/>
        </w:rPr>
      </w:pPr>
    </w:p>
    <w:p w14:paraId="1FD09C34">
      <w:pPr>
        <w:pStyle w:val="25"/>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B  招标文件说明</w:t>
      </w:r>
    </w:p>
    <w:p w14:paraId="6DE47783">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 招标文件的构成</w:t>
      </w:r>
    </w:p>
    <w:p w14:paraId="2FF3A9A0">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10.1 招标文件由下述部分组成：</w:t>
      </w:r>
    </w:p>
    <w:p w14:paraId="7D62A10D">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（1）投标邀请函</w:t>
      </w:r>
    </w:p>
    <w:p w14:paraId="4DF1BB65">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（2）招标项目需求</w:t>
      </w:r>
    </w:p>
    <w:p w14:paraId="42240055">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（3）投标须知</w:t>
      </w:r>
    </w:p>
    <w:p w14:paraId="095218EA">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（4）合同条款</w:t>
      </w:r>
    </w:p>
    <w:p w14:paraId="6DF3C8CF">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（5）投标文件格式</w:t>
      </w:r>
    </w:p>
    <w:p w14:paraId="74D8FB83">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（6）本项目招标文件的更正公告内容（如有）</w:t>
      </w:r>
    </w:p>
    <w:p w14:paraId="7C95E690">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70776658">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加注“▲”号的产品为核心产品（如未明确核心产品，则视为全部产品均为核心产品），任意一种核心产品为同一品牌时，按照本部分第</w:t>
      </w:r>
      <w:r>
        <w:rPr>
          <w:rFonts w:ascii="Times New Roman" w:hAnsi="Times New Roman" w:eastAsia="宋体" w:cs="Times New Roman"/>
          <w:color w:val="auto"/>
        </w:rPr>
        <w:t>32.4</w:t>
      </w:r>
      <w:r>
        <w:rPr>
          <w:rFonts w:hint="eastAsia" w:ascii="Times New Roman" w:hAnsi="Times New Roman" w:eastAsia="宋体" w:cs="Times New Roman"/>
          <w:color w:val="auto"/>
        </w:rPr>
        <w:t>条款执行。</w:t>
      </w:r>
    </w:p>
    <w:p w14:paraId="4302841C">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0C56E962">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10.5 除招标文件另有规定外，招标文件中要求的每一项产品只允许一种产品投标，每一项产品的采购数量不允许变更。</w:t>
      </w:r>
    </w:p>
    <w:p w14:paraId="0A123FD9">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招标文件的澄清和修改</w:t>
      </w:r>
    </w:p>
    <w:p w14:paraId="71B964F6">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52D7254B">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11.2 更正公告一经在“天津市政府采购网”、“天津市政府采购中心网”发布，天津市政府采购中心招投标系统将自动发送通知至已获取招标文件供应商的“查看项目文件”，视同已书面通知所有招标文件的收受人。请参与项目的供应商及时关注更正公告，由此导致的风险由投标人自行承担，采购人、采购代理机构不承担任何责任。</w:t>
      </w:r>
    </w:p>
    <w:p w14:paraId="519FC9E1">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696D4203">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6C9B8482">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答疑会和踏勘现场</w:t>
      </w:r>
    </w:p>
    <w:p w14:paraId="026E0187">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18274B17">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7AB8E260">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723FEA2B">
      <w:pPr>
        <w:pStyle w:val="25"/>
        <w:spacing w:line="360" w:lineRule="auto"/>
        <w:ind w:firstLine="480" w:firstLineChars="200"/>
        <w:jc w:val="both"/>
        <w:rPr>
          <w:rFonts w:ascii="Times New Roman" w:hAnsi="Times New Roman" w:eastAsia="宋体" w:cs="Times New Roman"/>
          <w:color w:val="auto"/>
        </w:rPr>
      </w:pPr>
    </w:p>
    <w:p w14:paraId="4B1FCD95">
      <w:pPr>
        <w:pStyle w:val="25"/>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C  投标文件的编制</w:t>
      </w:r>
    </w:p>
    <w:p w14:paraId="638AAB86">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要求</w:t>
      </w:r>
    </w:p>
    <w:p w14:paraId="7EFA6530">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2C391692">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13.2 投标人应根据招标项目需求和投标文件格式编制投标文件，保证其真实有效，并承担相应的法律责任。</w:t>
      </w:r>
    </w:p>
    <w:p w14:paraId="7391E854">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5BB3EDE7">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 投标语言及计量单位</w:t>
      </w:r>
    </w:p>
    <w:p w14:paraId="76942DCD">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222A27A3">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14.2 除招标文件中另有规定外，投标文件所使用的计量单位均应使用中华人民共和国法定计量单位。</w:t>
      </w:r>
    </w:p>
    <w:p w14:paraId="19DCA2AD">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 投标文件格式</w:t>
      </w:r>
    </w:p>
    <w:p w14:paraId="5C6CDF52">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184EA528">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15.2 投标人可对本招标文件“招标项目要求”所列的所有货物进行投标，也可只对其中一包或几包的货物投标；若无特殊说明，每一包的内容不得分项投标，原则上按照整包确定中标供应商。</w:t>
      </w:r>
    </w:p>
    <w:p w14:paraId="6FF81BBC">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2E557A69">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15.4 如投标多个包的，要求按包分别独立制作投标文件。</w:t>
      </w:r>
    </w:p>
    <w:p w14:paraId="50EE5E93">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15.5 投标文件（包括封面和目录）的每一页，从封面开始按阿拉伯数字1、2、3</w:t>
      </w:r>
      <w:r>
        <w:rPr>
          <w:rFonts w:hint="eastAsia" w:ascii="宋体" w:hAnsi="宋体" w:eastAsia="宋体" w:cs="Times New Roman"/>
          <w:color w:val="auto"/>
        </w:rPr>
        <w:t>…</w:t>
      </w:r>
      <w:r>
        <w:rPr>
          <w:rFonts w:hint="eastAsia" w:ascii="Times New Roman" w:hAnsi="Times New Roman" w:eastAsia="宋体" w:cs="Times New Roman"/>
          <w:color w:val="auto"/>
        </w:rPr>
        <w:t>顺序编制页码。</w:t>
      </w:r>
    </w:p>
    <w:p w14:paraId="2B01F1B6">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 投标报价</w:t>
      </w:r>
    </w:p>
    <w:p w14:paraId="7CC9C4C3">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16.1 投标书、开标一览表等各表中的报价，若无特殊说明应采用人民币填报。</w:t>
      </w:r>
    </w:p>
    <w:p w14:paraId="7839811B">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16.2 投标报价是</w:t>
      </w:r>
      <w:r>
        <w:rPr>
          <w:rFonts w:hint="eastAsia"/>
          <w:color w:val="auto"/>
        </w:rPr>
        <w:t>为完成招标文件规定的一切工作所需的全部费用的最终优惠价格。</w:t>
      </w:r>
    </w:p>
    <w:p w14:paraId="416EFE58">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6C2CADAF">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 投标人资格证明文件</w:t>
      </w:r>
    </w:p>
    <w:p w14:paraId="7BDF1A96">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投标人必须提交证明其有资格进行投标和有能力履行合同的文件，作为投标文件的一部分。</w:t>
      </w:r>
    </w:p>
    <w:p w14:paraId="0CD97BF9">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（1）《投标邀请函》中规定的供应商资格要求（实质性要求）证明文件；</w:t>
      </w:r>
    </w:p>
    <w:p w14:paraId="709A604A">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（2）若国家及行业对投标项目有特殊资格要求的，还须提供特殊资格证明文件；</w:t>
      </w:r>
    </w:p>
    <w:p w14:paraId="2DDA00E8">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（3）涉及本须知中“4. 合格的投标人”相关要求的，按其要求执行。</w:t>
      </w:r>
    </w:p>
    <w:p w14:paraId="0E4BA391">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18. 技术投标文件</w:t>
      </w:r>
    </w:p>
    <w:p w14:paraId="34A123B6">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18.1 投标人须提交证明其拟供货物符合招标文件规定的技术投标文件，作为投标文件的一部分。</w:t>
      </w:r>
    </w:p>
    <w:p w14:paraId="66421B37">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18.2 上述文件可以是文字资料、图纸或数据，并须提供：</w:t>
      </w:r>
    </w:p>
    <w:p w14:paraId="49004DDB">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（1）货物主要技术性能的详细描述；</w:t>
      </w:r>
    </w:p>
    <w:p w14:paraId="7E0123A9">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（2）保证货物从采购人开始使用至招标文件规定的保修期内正常和连续运转期间所需要的所有备件和专用工具的详细清单，包括其现行价格和供货来源资料；</w:t>
      </w:r>
    </w:p>
    <w:p w14:paraId="5DAC41FB">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（3）逐条对招标文件要求的技术规格进行评议，并按招标文件所附格式完整地填写《技术要求点对点应答表》，说明自己所投标的货物和相关服务内容与采购人、采购代理机构相应要求的偏离情况。</w:t>
      </w:r>
    </w:p>
    <w:p w14:paraId="0A551C97">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18.3 投标文件中设备的性能指标应达到或优于招标文件中所列技术指标。投标人应注意招标文件中所列技术指标仅列出了最低限度。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14:paraId="234CE3A8">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 投标保证金</w:t>
      </w:r>
    </w:p>
    <w:p w14:paraId="7B7A6730">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19.1 按照《招标项目要求》要求执行。</w:t>
      </w:r>
    </w:p>
    <w:p w14:paraId="531F968D">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19.2 符合《政府采购货物和服务招标投标管理办法》和《政府采购法实施条例》相关规定。</w:t>
      </w:r>
    </w:p>
    <w:p w14:paraId="0F790336">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 投标有效期</w:t>
      </w:r>
    </w:p>
    <w:p w14:paraId="6C506B84">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20.1 投标有效期为提交投标文件的截止之日起60天。投标书中规定的有效期短于招标文件规定的，其投标将被拒绝。</w:t>
      </w:r>
    </w:p>
    <w:p w14:paraId="555D4BAB">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6BCDBD30">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投标文件的签署及规定</w:t>
      </w:r>
    </w:p>
    <w:p w14:paraId="41196E1E">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4CCF7B0B">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3EA9B10B">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21.3 若上传加盖投标人电子签章的电子投标文件有修改，须于规定时间内重新提交电子投标文件。电子投标文件因模糊不清或表达不清所引起的后果由投标人自负。</w:t>
      </w:r>
    </w:p>
    <w:p w14:paraId="5554B03E">
      <w:pPr>
        <w:pStyle w:val="25"/>
        <w:spacing w:line="360" w:lineRule="auto"/>
        <w:ind w:firstLine="480" w:firstLineChars="200"/>
        <w:jc w:val="both"/>
        <w:rPr>
          <w:rFonts w:ascii="Times New Roman" w:hAnsi="Times New Roman" w:eastAsia="宋体" w:cs="Times New Roman"/>
          <w:color w:val="auto"/>
        </w:rPr>
      </w:pPr>
    </w:p>
    <w:p w14:paraId="29ABB5C8">
      <w:pPr>
        <w:pStyle w:val="25"/>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D  投标文件的网上应答和提交</w:t>
      </w:r>
    </w:p>
    <w:p w14:paraId="460998BC">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5BE9826E">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7C2D80E8">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61BDA465">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30CB75F6">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2E6266F4">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35EE6626">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12AEFC63">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02E03921">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 投标人须承诺接受电子投标的方式，并自行承担由此带来的废标、无效投标的风险。</w:t>
      </w:r>
    </w:p>
    <w:p w14:paraId="5012121F">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6E7EE770">
      <w:pPr>
        <w:pStyle w:val="25"/>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E  开标和评标</w:t>
      </w:r>
    </w:p>
    <w:p w14:paraId="2F2B25A6">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4444D3DD">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750AA589">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26.2 由于投标人原因，没有在规定时间内进行网上开标解密，视为无效投标。</w:t>
      </w:r>
    </w:p>
    <w:p w14:paraId="382E9714">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26.3 开标解密后，对开标结果进行网上公示，投标人报价为空、为零的将被视为无效投标。</w:t>
      </w:r>
    </w:p>
    <w:p w14:paraId="6924C6BD">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26.4 开标解密后，投标代表人应保持电话畅通并具备相应的网络环境，随时准备接受评委的网上询标。</w:t>
      </w:r>
    </w:p>
    <w:p w14:paraId="760F9986">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5FEA997A">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1EC6228F">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6ACFC737">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 评标委员会</w:t>
      </w:r>
    </w:p>
    <w:p w14:paraId="420CE6D9">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72E09F2F">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663619AA">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58243CB8">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3A575911">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 对投标文件的审查和响应性的确定</w:t>
      </w:r>
    </w:p>
    <w:p w14:paraId="1A311255">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4DCAB7AA">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01AA42CC">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28.3 实质上没有响应招标文件要求的投标文件，将被拒绝。投标人不得通过修改或撤回不符合要求的内容而使其投标成为响应性的投标。如出现下列情况之一的，其投标将被拒绝或中标无效：</w:t>
      </w:r>
    </w:p>
    <w:p w14:paraId="6DF1D272">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224777E5">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51791461">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48DCB981">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2A7CF83A">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7E1728C3">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5162FA42">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3E8EA0C5">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053925C6">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61C1F400">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cs="Times New Roman"/>
          <w:color w:val="auto"/>
        </w:rPr>
        <w:t>投标文件报价出现前后不一致的</w:t>
      </w:r>
      <w:r>
        <w:rPr>
          <w:rFonts w:hint="eastAsia" w:ascii="Times New Roman" w:hAnsi="Times New Roman" w:eastAsia="宋体" w:cs="Times New Roman"/>
          <w:color w:val="auto"/>
        </w:rPr>
        <w:t>，修改错误的原则如下：</w:t>
      </w:r>
    </w:p>
    <w:p w14:paraId="5FAB7588">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26FA5E16">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25D7A4DD">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4CB253F6">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4EE869A4">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494471B3">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28.5 评标委员会将要求投标人按上述修改错误的方法调整投标报价，投标人同意后，调整后的报价对投标人起约束作用。如果投标人不接受修改后的报价，其投标将被拒绝。</w:t>
      </w:r>
    </w:p>
    <w:p w14:paraId="0EA7C7FD">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 投标文件的澄清</w:t>
      </w:r>
    </w:p>
    <w:p w14:paraId="05F2FB85">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413F783F">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29.2 投标人澄清、说明、答复或者补充的电子文件，加盖电子签章后上传至天津市政府采购中心招投标系统。</w:t>
      </w:r>
    </w:p>
    <w:p w14:paraId="7938D34C">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29.3 投标人的澄清、说明、答复或者补充应在规定的时间内完成，并不得超出投标文件的范围或对投标内容进行实质性的修改。</w:t>
      </w:r>
    </w:p>
    <w:p w14:paraId="042B1067">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29.4 澄清文件将作为投标文件的一部分，与投标文件具有同等的法律效力。</w:t>
      </w:r>
    </w:p>
    <w:p w14:paraId="40EBCF65">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 投标的评估和比较</w:t>
      </w:r>
    </w:p>
    <w:p w14:paraId="2BDF0E63">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评标委员会将根据招标文件确定的评标原则和评标方法对确定为实质上响应招标文件要求的投标进行评估和比较。</w:t>
      </w:r>
    </w:p>
    <w:p w14:paraId="548D2A10">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评标原则和评标方法</w:t>
      </w:r>
    </w:p>
    <w:p w14:paraId="41F2B310">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31.1 评标原则</w:t>
      </w:r>
    </w:p>
    <w:p w14:paraId="3A66EFD6">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（1）评标委员会应当按照客观、公正、审慎的原则，根据招标文件规定的评审程序、评审方法和评审标准进行独立评审。</w:t>
      </w:r>
    </w:p>
    <w:p w14:paraId="36512A73">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747E65D0">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（3）对招标文件中描述有歧义或前后不一致的地方，但不影响项目评审的，评标委员会有权进行评判，但对同一条款的评判应适用于每个投标人。</w:t>
      </w:r>
    </w:p>
    <w:p w14:paraId="537F1EE0">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2CF806F8">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31.2 评标方法</w:t>
      </w:r>
    </w:p>
    <w:p w14:paraId="472EDE05">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500918E4">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418BD70C">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hint="eastAsia" w:ascii="Times New Roman" w:hAnsi="Times New Roman" w:eastAsia="宋体"/>
          <w:color w:val="auto"/>
        </w:rPr>
        <w:t>按照《关于调整优化节能产品、环境标志产品政府采购执行机制的通知》（财库〔2019〕9号）文件要求，对</w:t>
      </w:r>
      <w:r>
        <w:rPr>
          <w:rFonts w:ascii="Times New Roman" w:hAnsi="Times New Roman" w:cs="Times New Roman"/>
          <w:color w:val="auto"/>
        </w:rPr>
        <w:t>政府采购节能、环境标志品目清单</w:t>
      </w:r>
      <w:r>
        <w:rPr>
          <w:rFonts w:hint="eastAsia" w:ascii="Times New Roman" w:hAnsi="Times New Roman" w:cs="Times New Roman"/>
          <w:color w:val="auto"/>
        </w:rPr>
        <w:t>内的产品实施</w:t>
      </w:r>
      <w:r>
        <w:rPr>
          <w:rFonts w:hint="eastAsia" w:ascii="Times New Roman" w:hAnsi="Times New Roman" w:eastAsia="宋体"/>
          <w:color w:val="auto"/>
        </w:rPr>
        <w:t>优先采购和强制采购的评标方法。</w:t>
      </w:r>
    </w:p>
    <w:p w14:paraId="7B33BC55">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（4）评标委员会审查产品资质或检测报告等相关文件符合性时，应综合考虑行业特点、交易习惯、采购需求最本质原义等情况，而不应以投标文件中产品名称与招标文件产品名称是否一致作为审查的标准。</w:t>
      </w:r>
    </w:p>
    <w:p w14:paraId="57BD2D0A">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（5）中标候选供应商产生办法：按得分由高到低顺序确定中标候选供应商；得分相同的，按投标报价由低到高顺序确定中标候选供应商；得分且投标报价相同的，按技术指标优劣顺序确定中标候选供应商。</w:t>
      </w:r>
      <w:r>
        <w:rPr>
          <w:rFonts w:ascii="Times New Roman" w:hAnsi="Times New Roman" w:eastAsia="宋体" w:cs="Times New Roman"/>
          <w:color w:val="auto"/>
        </w:rPr>
        <w:t>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36F21D6E">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（6）根据《政府采购货物和服务招标投标管理办法》（财政部令第87号）第43条规定，如评审现场经财政部门批准本项目转为其他采购方式的，按相应采购方式程序执行。</w:t>
      </w:r>
    </w:p>
    <w:p w14:paraId="0F750FF8">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其他注意事项</w:t>
      </w:r>
    </w:p>
    <w:p w14:paraId="51DD572F">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000A99AF">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46DAF4B0">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32.3 本项目不接受赠品、回扣或者与采购无关的其他商品、服务。</w:t>
      </w:r>
    </w:p>
    <w:p w14:paraId="70FC9D8B">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32.4 不同投标人所投产品均为同一品牌或任一核心产品为同一品牌时，按以下原则处理：</w:t>
      </w:r>
    </w:p>
    <w:p w14:paraId="7C30BA76">
      <w:pPr>
        <w:spacing w:line="360" w:lineRule="auto"/>
        <w:ind w:firstLine="480" w:firstLineChars="200"/>
        <w:jc w:val="left"/>
        <w:rPr>
          <w:sz w:val="24"/>
          <w:szCs w:val="24"/>
        </w:rPr>
      </w:pPr>
      <w:r>
        <w:rPr>
          <w:rFonts w:hint="eastAsia"/>
          <w:sz w:val="24"/>
          <w:szCs w:val="24"/>
        </w:rPr>
        <w:t>（1）</w:t>
      </w:r>
      <w:r>
        <w:rPr>
          <w:sz w:val="24"/>
          <w:szCs w:val="24"/>
        </w:rPr>
        <w:t>采用最低评标价法的采购项目，提供相同品牌产品的不同投标人参加同一合同项下投标的，以其中通过资格审查、符合性审查且报价最低的参加评标；报价相同的，由采购人</w:t>
      </w:r>
      <w:r>
        <w:rPr>
          <w:rFonts w:hint="eastAsia"/>
          <w:sz w:val="24"/>
          <w:szCs w:val="24"/>
        </w:rPr>
        <w:t>自行选取一个投标人参加评标</w:t>
      </w:r>
      <w:r>
        <w:rPr>
          <w:sz w:val="24"/>
          <w:szCs w:val="24"/>
        </w:rPr>
        <w:t>，其他投标无效。</w:t>
      </w:r>
    </w:p>
    <w:p w14:paraId="5E7F0E5A">
      <w:pPr>
        <w:spacing w:line="360" w:lineRule="auto"/>
        <w:ind w:firstLine="480" w:firstLineChars="200"/>
        <w:jc w:val="left"/>
        <w:rPr>
          <w:sz w:val="24"/>
          <w:szCs w:val="24"/>
        </w:rPr>
      </w:pPr>
      <w:r>
        <w:rPr>
          <w:rFonts w:hint="eastAsia"/>
          <w:sz w:val="24"/>
          <w:szCs w:val="24"/>
        </w:rPr>
        <w:t>（2）采用</w:t>
      </w:r>
      <w:r>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hint="eastAsia"/>
          <w:sz w:val="24"/>
          <w:szCs w:val="24"/>
        </w:rPr>
        <w:t>自行选取</w:t>
      </w:r>
      <w:r>
        <w:rPr>
          <w:sz w:val="24"/>
          <w:szCs w:val="24"/>
        </w:rPr>
        <w:t>一个投标人获得中标人推荐资格，其他同品牌投标人不作为中标候选人。</w:t>
      </w:r>
    </w:p>
    <w:p w14:paraId="50B8EA10">
      <w:pPr>
        <w:pStyle w:val="25"/>
        <w:spacing w:line="360" w:lineRule="auto"/>
        <w:ind w:firstLine="480" w:firstLineChars="200"/>
        <w:jc w:val="both"/>
        <w:rPr>
          <w:rFonts w:ascii="Times New Roman" w:hAnsi="Times New Roman" w:eastAsia="宋体" w:cs="Times New Roman"/>
          <w:color w:val="auto"/>
        </w:rPr>
      </w:pPr>
    </w:p>
    <w:p w14:paraId="456D9C63">
      <w:pPr>
        <w:pStyle w:val="25"/>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F  授予合同</w:t>
      </w:r>
    </w:p>
    <w:p w14:paraId="442251BB">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 中标供应商的产生</w:t>
      </w:r>
    </w:p>
    <w:p w14:paraId="60DD8814">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33.1 采购人可以事先授权评标委员会直接确定中标供应商。</w:t>
      </w:r>
    </w:p>
    <w:p w14:paraId="462E6EE6">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33.2 采购人也可以按照《政府采购法》及其实施条例等法律法规的规定和招标文件的要求确认中标供应商。</w:t>
      </w:r>
    </w:p>
    <w:p w14:paraId="48DEF02F">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458A15DA">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798706F4">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3B6E8B51">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66D80DFA">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57AC8FCC">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5F03E898">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5D7B5F38">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607F244A">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2EF86793">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3CB9E42E">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1312E8CD">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68552F6A">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72AF50F4">
      <w:pPr>
        <w:pStyle w:val="25"/>
        <w:spacing w:line="360" w:lineRule="auto"/>
        <w:ind w:firstLine="480" w:firstLineChars="200"/>
        <w:jc w:val="both"/>
        <w:rPr>
          <w:b/>
          <w:bCs/>
          <w:kern w:val="28"/>
          <w:sz w:val="32"/>
          <w:szCs w:val="32"/>
        </w:rPr>
      </w:pPr>
      <w:r>
        <w:br w:type="page"/>
      </w:r>
    </w:p>
    <w:p w14:paraId="75812446">
      <w:pPr>
        <w:pStyle w:val="13"/>
        <w:rPr>
          <w:rFonts w:ascii="Times New Roman" w:hAnsi="Times New Roman"/>
        </w:rPr>
      </w:pPr>
      <w:r>
        <w:rPr>
          <w:rFonts w:hint="eastAsia" w:ascii="Times New Roman" w:hAnsi="Times New Roman"/>
        </w:rPr>
        <w:t>第四部分  合同条款</w:t>
      </w:r>
    </w:p>
    <w:p w14:paraId="09D64E38">
      <w:pPr>
        <w:pStyle w:val="5"/>
        <w:spacing w:after="0"/>
        <w:jc w:val="center"/>
        <w:rPr>
          <w:b/>
          <w:bCs/>
          <w:spacing w:val="-20"/>
          <w:kern w:val="44"/>
          <w:sz w:val="48"/>
          <w:szCs w:val="48"/>
        </w:rPr>
      </w:pPr>
    </w:p>
    <w:p w14:paraId="228FD4DB">
      <w:pPr>
        <w:pStyle w:val="5"/>
        <w:spacing w:after="0"/>
        <w:jc w:val="center"/>
        <w:rPr>
          <w:b/>
          <w:bCs/>
          <w:spacing w:val="-20"/>
          <w:kern w:val="44"/>
          <w:sz w:val="48"/>
          <w:szCs w:val="48"/>
        </w:rPr>
      </w:pPr>
    </w:p>
    <w:p w14:paraId="6826CBA5">
      <w:pPr>
        <w:pStyle w:val="5"/>
        <w:spacing w:after="0"/>
        <w:jc w:val="center"/>
        <w:rPr>
          <w:b/>
          <w:bCs/>
          <w:spacing w:val="-20"/>
          <w:kern w:val="44"/>
          <w:sz w:val="48"/>
          <w:szCs w:val="48"/>
        </w:rPr>
      </w:pPr>
    </w:p>
    <w:p w14:paraId="0922C271">
      <w:pPr>
        <w:pStyle w:val="5"/>
        <w:spacing w:after="0"/>
        <w:jc w:val="center"/>
        <w:rPr>
          <w:b/>
          <w:bCs/>
          <w:spacing w:val="-20"/>
          <w:kern w:val="44"/>
          <w:sz w:val="48"/>
          <w:szCs w:val="48"/>
        </w:rPr>
      </w:pPr>
      <w:r>
        <w:rPr>
          <w:b/>
          <w:bCs/>
          <w:spacing w:val="-20"/>
          <w:kern w:val="44"/>
          <w:sz w:val="48"/>
          <w:szCs w:val="48"/>
        </w:rPr>
        <w:t>政府采购货物买卖合同</w:t>
      </w:r>
    </w:p>
    <w:p w14:paraId="0D1D5C3C">
      <w:pPr>
        <w:rPr>
          <w:b/>
          <w:bCs/>
          <w:spacing w:val="-20"/>
          <w:kern w:val="44"/>
          <w:sz w:val="40"/>
          <w:szCs w:val="40"/>
        </w:rPr>
      </w:pPr>
    </w:p>
    <w:p w14:paraId="4CE6BC96">
      <w:pPr>
        <w:rPr>
          <w:b/>
          <w:bCs/>
          <w:spacing w:val="-20"/>
          <w:kern w:val="44"/>
          <w:sz w:val="40"/>
          <w:szCs w:val="40"/>
        </w:rPr>
      </w:pPr>
    </w:p>
    <w:p w14:paraId="17C55D52">
      <w:pPr>
        <w:rPr>
          <w:b/>
          <w:bCs/>
          <w:spacing w:val="-20"/>
          <w:kern w:val="44"/>
          <w:sz w:val="40"/>
          <w:szCs w:val="40"/>
        </w:rPr>
      </w:pPr>
    </w:p>
    <w:p w14:paraId="0A90A734">
      <w:pPr>
        <w:spacing w:line="360" w:lineRule="auto"/>
        <w:ind w:left="420" w:leftChars="200"/>
        <w:rPr>
          <w:sz w:val="32"/>
          <w:szCs w:val="32"/>
        </w:rPr>
      </w:pPr>
      <w:r>
        <w:rPr>
          <w:kern w:val="0"/>
          <w:sz w:val="32"/>
          <w:szCs w:val="32"/>
        </w:rPr>
        <w:t>项目名称：</w:t>
      </w:r>
      <w:r>
        <w:rPr>
          <w:sz w:val="32"/>
          <w:szCs w:val="32"/>
          <w:u w:val="single"/>
        </w:rPr>
        <w:t xml:space="preserve">                             </w:t>
      </w:r>
    </w:p>
    <w:p w14:paraId="535446B4">
      <w:pPr>
        <w:spacing w:line="360" w:lineRule="auto"/>
        <w:ind w:left="420" w:leftChars="200"/>
        <w:rPr>
          <w:sz w:val="32"/>
          <w:szCs w:val="32"/>
          <w:u w:val="single"/>
        </w:rPr>
      </w:pPr>
      <w:r>
        <w:rPr>
          <w:sz w:val="32"/>
          <w:szCs w:val="32"/>
        </w:rPr>
        <w:t>合同编号：</w:t>
      </w:r>
      <w:r>
        <w:rPr>
          <w:sz w:val="32"/>
          <w:szCs w:val="32"/>
          <w:u w:val="single"/>
        </w:rPr>
        <w:t xml:space="preserve">                             </w:t>
      </w:r>
    </w:p>
    <w:p w14:paraId="2A416A3C">
      <w:pPr>
        <w:spacing w:line="360" w:lineRule="auto"/>
        <w:ind w:left="420" w:leftChars="200"/>
        <w:rPr>
          <w:sz w:val="32"/>
          <w:szCs w:val="32"/>
        </w:rPr>
      </w:pPr>
      <w:r>
        <w:rPr>
          <w:sz w:val="32"/>
          <w:szCs w:val="32"/>
        </w:rPr>
        <w:t>甲    方：</w:t>
      </w:r>
      <w:r>
        <w:rPr>
          <w:sz w:val="32"/>
          <w:szCs w:val="32"/>
          <w:u w:val="single"/>
        </w:rPr>
        <w:t xml:space="preserve">                             </w:t>
      </w:r>
    </w:p>
    <w:p w14:paraId="2B11E9C9">
      <w:pPr>
        <w:spacing w:line="360" w:lineRule="auto"/>
        <w:ind w:left="420" w:leftChars="200"/>
        <w:rPr>
          <w:sz w:val="32"/>
          <w:szCs w:val="32"/>
          <w:u w:val="single"/>
        </w:rPr>
      </w:pPr>
      <w:r>
        <w:rPr>
          <w:sz w:val="32"/>
          <w:szCs w:val="32"/>
        </w:rPr>
        <w:t>乙    方：</w:t>
      </w:r>
      <w:r>
        <w:rPr>
          <w:sz w:val="32"/>
          <w:szCs w:val="32"/>
          <w:u w:val="single"/>
        </w:rPr>
        <w:t xml:space="preserve">                             </w:t>
      </w:r>
    </w:p>
    <w:p w14:paraId="73845C70">
      <w:pPr>
        <w:spacing w:line="360" w:lineRule="auto"/>
        <w:ind w:left="420" w:leftChars="200"/>
        <w:rPr>
          <w:sz w:val="32"/>
          <w:szCs w:val="32"/>
        </w:rPr>
      </w:pPr>
      <w:r>
        <w:rPr>
          <w:sz w:val="32"/>
          <w:szCs w:val="32"/>
        </w:rPr>
        <w:t>签订时间：</w:t>
      </w:r>
      <w:r>
        <w:rPr>
          <w:sz w:val="32"/>
          <w:szCs w:val="32"/>
          <w:u w:val="single"/>
        </w:rPr>
        <w:t xml:space="preserve">                             </w:t>
      </w:r>
    </w:p>
    <w:p w14:paraId="1FC3367C">
      <w:pPr>
        <w:rPr>
          <w:szCs w:val="24"/>
        </w:rPr>
      </w:pPr>
    </w:p>
    <w:p w14:paraId="4DB5403D">
      <w:pPr>
        <w:rPr>
          <w:rFonts w:eastAsia="黑体"/>
          <w:sz w:val="44"/>
          <w:szCs w:val="44"/>
        </w:rPr>
      </w:pPr>
      <w:r>
        <w:rPr>
          <w:rFonts w:eastAsia="黑体"/>
          <w:sz w:val="44"/>
          <w:szCs w:val="44"/>
        </w:rPr>
        <w:br w:type="page"/>
      </w:r>
    </w:p>
    <w:p w14:paraId="54FC1314">
      <w:pPr>
        <w:rPr>
          <w:rFonts w:eastAsia="黑体"/>
          <w:sz w:val="44"/>
          <w:szCs w:val="44"/>
        </w:rPr>
      </w:pPr>
    </w:p>
    <w:p w14:paraId="19BE88B9">
      <w:pPr>
        <w:rPr>
          <w:rFonts w:eastAsia="黑体"/>
          <w:sz w:val="44"/>
          <w:szCs w:val="44"/>
        </w:rPr>
      </w:pPr>
    </w:p>
    <w:p w14:paraId="507507F6">
      <w:pPr>
        <w:jc w:val="center"/>
        <w:rPr>
          <w:rFonts w:eastAsia="黑体"/>
          <w:sz w:val="44"/>
          <w:szCs w:val="44"/>
        </w:rPr>
      </w:pPr>
      <w:r>
        <w:rPr>
          <w:rFonts w:eastAsia="黑体"/>
          <w:sz w:val="44"/>
          <w:szCs w:val="44"/>
        </w:rPr>
        <w:t>使 用 说 明</w:t>
      </w:r>
    </w:p>
    <w:p w14:paraId="4225DCC8">
      <w:pPr>
        <w:ind w:firstLine="640" w:firstLineChars="200"/>
        <w:rPr>
          <w:rFonts w:eastAsia="仿宋_GB2312"/>
          <w:sz w:val="32"/>
          <w:szCs w:val="32"/>
        </w:rPr>
      </w:pPr>
    </w:p>
    <w:p w14:paraId="4D642B97">
      <w:pPr>
        <w:ind w:firstLine="640" w:firstLineChars="200"/>
        <w:rPr>
          <w:rFonts w:eastAsia="仿宋_GB2312"/>
          <w:sz w:val="32"/>
          <w:szCs w:val="32"/>
        </w:rPr>
      </w:pPr>
      <w:r>
        <w:rPr>
          <w:rFonts w:eastAsia="仿宋_GB2312"/>
          <w:sz w:val="32"/>
          <w:szCs w:val="32"/>
        </w:rPr>
        <w:t>1.本合同标准文本适用于购买现成货物的采购项目，不包括需要供应商定制开发、创新研发的货物采购项目。</w:t>
      </w:r>
    </w:p>
    <w:p w14:paraId="066456A2">
      <w:pPr>
        <w:rPr>
          <w:rFonts w:eastAsia="黑体"/>
          <w:sz w:val="44"/>
          <w:szCs w:val="44"/>
        </w:rPr>
      </w:pPr>
      <w:r>
        <w:rPr>
          <w:rFonts w:eastAsia="黑体"/>
          <w:sz w:val="44"/>
          <w:szCs w:val="44"/>
        </w:rPr>
        <w:t xml:space="preserve">   </w:t>
      </w:r>
      <w:r>
        <w:rPr>
          <w:rFonts w:eastAsia="仿宋_GB2312"/>
          <w:sz w:val="32"/>
          <w:szCs w:val="32"/>
        </w:rPr>
        <w:t>2.本合同标准文本为政府采购货物买卖合同编制提供参考，可以结合采购项目具体情况，对文本作必要的调整修订后使用。</w:t>
      </w:r>
    </w:p>
    <w:p w14:paraId="40250FAB">
      <w:pPr>
        <w:ind w:firstLine="640" w:firstLineChars="200"/>
        <w:rPr>
          <w:rFonts w:eastAsia="仿宋_GB2312"/>
          <w:sz w:val="32"/>
          <w:szCs w:val="32"/>
        </w:rPr>
      </w:pPr>
      <w:r>
        <w:rPr>
          <w:rFonts w:eastAsia="仿宋_GB2312"/>
          <w:sz w:val="32"/>
          <w:szCs w:val="32"/>
        </w:rPr>
        <w:t>3.本合同标准文本各条款中，如涉及填写多家供应商、制造商，多种采购标的、分包主要内容等信息的，可根据采购项目具体情况添加信息项。</w:t>
      </w:r>
    </w:p>
    <w:p w14:paraId="64AFD593">
      <w:pPr>
        <w:widowControl/>
        <w:jc w:val="left"/>
        <w:rPr>
          <w:rFonts w:eastAsia="黑体"/>
          <w:sz w:val="44"/>
          <w:szCs w:val="44"/>
        </w:rPr>
        <w:sectPr>
          <w:footerReference r:id="rId6" w:type="default"/>
          <w:pgSz w:w="11906" w:h="16838"/>
          <w:pgMar w:top="1440" w:right="1800" w:bottom="1440" w:left="1800" w:header="851" w:footer="992" w:gutter="0"/>
          <w:pgNumType w:start="1"/>
          <w:cols w:space="720" w:num="1"/>
          <w:docGrid w:type="lines" w:linePitch="312" w:charSpace="0"/>
        </w:sectPr>
      </w:pPr>
    </w:p>
    <w:p w14:paraId="49A1C409">
      <w:pPr>
        <w:pStyle w:val="2"/>
        <w:adjustRightInd w:val="0"/>
        <w:snapToGrid w:val="0"/>
        <w:spacing w:line="400" w:lineRule="exact"/>
        <w:jc w:val="center"/>
        <w:rPr>
          <w:rFonts w:ascii="Times New Roman" w:hAnsi="Times New Roman" w:eastAsia="黑体" w:cs="Times New Roman"/>
          <w:sz w:val="28"/>
          <w:szCs w:val="28"/>
        </w:rPr>
      </w:pPr>
      <w:bookmarkStart w:id="7" w:name="_Toc22209"/>
    </w:p>
    <w:p w14:paraId="5797D5F1">
      <w:pPr>
        <w:pStyle w:val="2"/>
        <w:adjustRightInd w:val="0"/>
        <w:snapToGrid w:val="0"/>
        <w:spacing w:line="400" w:lineRule="exact"/>
        <w:jc w:val="center"/>
        <w:rPr>
          <w:rFonts w:ascii="Times New Roman" w:hAnsi="Times New Roman" w:eastAsia="黑体" w:cs="Times New Roman"/>
          <w:b w:val="0"/>
          <w:bCs w:val="0"/>
          <w:sz w:val="28"/>
          <w:szCs w:val="28"/>
        </w:rPr>
      </w:pPr>
      <w:r>
        <w:rPr>
          <w:rFonts w:ascii="Times New Roman" w:hAnsi="Times New Roman" w:eastAsia="黑体" w:cs="Times New Roman"/>
          <w:b w:val="0"/>
          <w:bCs w:val="0"/>
          <w:sz w:val="28"/>
          <w:szCs w:val="28"/>
        </w:rPr>
        <w:t>第一节 政府采购合同协议书</w:t>
      </w:r>
      <w:bookmarkEnd w:id="7"/>
    </w:p>
    <w:p w14:paraId="53B7320D">
      <w:pPr>
        <w:pStyle w:val="2"/>
        <w:adjustRightInd w:val="0"/>
        <w:snapToGrid w:val="0"/>
        <w:spacing w:line="400" w:lineRule="exact"/>
        <w:jc w:val="center"/>
        <w:rPr>
          <w:rFonts w:ascii="Times New Roman" w:hAnsi="Times New Roman" w:eastAsia="黑体" w:cs="Times New Roman"/>
          <w:b w:val="0"/>
          <w:bCs w:val="0"/>
          <w:sz w:val="28"/>
          <w:szCs w:val="28"/>
        </w:rPr>
      </w:pPr>
    </w:p>
    <w:p w14:paraId="56C079AB">
      <w:pPr>
        <w:adjustRightInd w:val="0"/>
        <w:snapToGrid w:val="0"/>
        <w:spacing w:line="400" w:lineRule="exact"/>
        <w:rPr>
          <w:sz w:val="24"/>
          <w:szCs w:val="24"/>
        </w:rPr>
      </w:pPr>
      <w:r>
        <w:rPr>
          <w:sz w:val="24"/>
          <w:szCs w:val="24"/>
        </w:rPr>
        <w:t>甲方（全称）：</w:t>
      </w:r>
      <w:r>
        <w:rPr>
          <w:sz w:val="24"/>
          <w:szCs w:val="24"/>
          <w:u w:val="single"/>
        </w:rPr>
        <w:t xml:space="preserve">                        </w:t>
      </w:r>
      <w:r>
        <w:rPr>
          <w:sz w:val="24"/>
          <w:szCs w:val="24"/>
        </w:rPr>
        <w:t>（采购人、受采购人委托签订合同的单位或采购</w:t>
      </w:r>
      <w:r>
        <w:rPr>
          <w:sz w:val="24"/>
          <w:szCs w:val="24"/>
        </w:rPr>
        <w:tab/>
      </w:r>
      <w:r>
        <w:rPr>
          <w:sz w:val="24"/>
          <w:szCs w:val="24"/>
        </w:rPr>
        <w:t xml:space="preserve">                                   文件约定的合同甲方）</w:t>
      </w:r>
    </w:p>
    <w:p w14:paraId="6111DCBF">
      <w:pPr>
        <w:adjustRightInd w:val="0"/>
        <w:snapToGrid w:val="0"/>
        <w:spacing w:line="400" w:lineRule="exact"/>
        <w:rPr>
          <w:sz w:val="24"/>
          <w:szCs w:val="24"/>
        </w:rPr>
      </w:pPr>
      <w:r>
        <w:rPr>
          <w:sz w:val="24"/>
          <w:szCs w:val="24"/>
        </w:rPr>
        <w:t>乙方1（全称）：</w:t>
      </w:r>
      <w:r>
        <w:rPr>
          <w:sz w:val="24"/>
          <w:szCs w:val="24"/>
          <w:u w:val="single"/>
        </w:rPr>
        <w:t xml:space="preserve">                       </w:t>
      </w:r>
      <w:r>
        <w:rPr>
          <w:sz w:val="24"/>
          <w:szCs w:val="24"/>
        </w:rPr>
        <w:t>（供应商）</w:t>
      </w:r>
    </w:p>
    <w:p w14:paraId="4BD44F2D">
      <w:pPr>
        <w:adjustRightInd w:val="0"/>
        <w:snapToGrid w:val="0"/>
        <w:spacing w:line="400" w:lineRule="exact"/>
        <w:rPr>
          <w:sz w:val="24"/>
          <w:szCs w:val="24"/>
        </w:rPr>
      </w:pPr>
      <w:r>
        <w:rPr>
          <w:sz w:val="24"/>
          <w:szCs w:val="24"/>
        </w:rPr>
        <w:t>乙方2（全称）：</w:t>
      </w:r>
      <w:r>
        <w:rPr>
          <w:sz w:val="24"/>
          <w:szCs w:val="24"/>
          <w:u w:val="single"/>
        </w:rPr>
        <w:t xml:space="preserve">                        </w:t>
      </w:r>
      <w:r>
        <w:rPr>
          <w:sz w:val="24"/>
          <w:szCs w:val="24"/>
        </w:rPr>
        <w:t>（联合体成员供应商或其他合同主体）（如有）</w:t>
      </w:r>
    </w:p>
    <w:p w14:paraId="5002867A">
      <w:pPr>
        <w:adjustRightInd w:val="0"/>
        <w:snapToGrid w:val="0"/>
        <w:spacing w:line="400" w:lineRule="exact"/>
        <w:rPr>
          <w:sz w:val="24"/>
          <w:szCs w:val="24"/>
        </w:rPr>
      </w:pPr>
      <w:r>
        <w:rPr>
          <w:sz w:val="24"/>
          <w:szCs w:val="24"/>
        </w:rPr>
        <w:t>乙方3（全称）</w:t>
      </w:r>
      <w:r>
        <w:rPr>
          <w:sz w:val="24"/>
          <w:szCs w:val="24"/>
          <w:u w:val="single"/>
        </w:rPr>
        <w:t xml:space="preserve">                          </w:t>
      </w:r>
      <w:r>
        <w:rPr>
          <w:sz w:val="24"/>
          <w:szCs w:val="24"/>
        </w:rPr>
        <w:t>（联合体成员供应商或其他合同主体）（如有）</w:t>
      </w:r>
    </w:p>
    <w:p w14:paraId="6F3A6F69">
      <w:pPr>
        <w:spacing w:line="400" w:lineRule="exact"/>
        <w:rPr>
          <w:sz w:val="24"/>
          <w:szCs w:val="24"/>
        </w:rPr>
      </w:pPr>
    </w:p>
    <w:p w14:paraId="63667D34">
      <w:pPr>
        <w:pStyle w:val="6"/>
        <w:adjustRightInd w:val="0"/>
        <w:snapToGrid w:val="0"/>
        <w:spacing w:line="400" w:lineRule="exact"/>
        <w:ind w:firstLine="448" w:firstLineChars="200"/>
      </w:pPr>
      <w:r>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14:paraId="3A8E547A">
      <w:pPr>
        <w:numPr>
          <w:ilvl w:val="0"/>
          <w:numId w:val="1"/>
        </w:numPr>
        <w:adjustRightInd w:val="0"/>
        <w:snapToGrid w:val="0"/>
        <w:spacing w:line="360" w:lineRule="auto"/>
        <w:ind w:firstLine="448" w:firstLineChars="200"/>
        <w:rPr>
          <w:b/>
          <w:sz w:val="24"/>
          <w:szCs w:val="24"/>
        </w:rPr>
      </w:pPr>
      <w:r>
        <w:rPr>
          <w:b/>
          <w:sz w:val="24"/>
          <w:szCs w:val="24"/>
        </w:rPr>
        <w:t>项目信息</w:t>
      </w:r>
    </w:p>
    <w:p w14:paraId="05D30D04">
      <w:pPr>
        <w:pStyle w:val="6"/>
        <w:numPr>
          <w:ilvl w:val="0"/>
          <w:numId w:val="2"/>
        </w:numPr>
        <w:tabs>
          <w:tab w:val="clear" w:pos="480"/>
        </w:tabs>
        <w:adjustRightInd w:val="0"/>
        <w:snapToGrid w:val="0"/>
        <w:spacing w:line="360" w:lineRule="auto"/>
        <w:ind w:firstLine="448" w:firstLineChars="200"/>
        <w:jc w:val="both"/>
        <w:rPr>
          <w:u w:val="single"/>
        </w:rPr>
      </w:pPr>
      <w:r>
        <w:t>采购项目名称：</w:t>
      </w:r>
      <w:r>
        <w:rPr>
          <w:u w:val="single"/>
        </w:rPr>
        <w:t xml:space="preserve">                                          </w:t>
      </w:r>
    </w:p>
    <w:p w14:paraId="4A9C6D3D">
      <w:pPr>
        <w:pStyle w:val="6"/>
        <w:tabs>
          <w:tab w:val="left" w:pos="999"/>
        </w:tabs>
        <w:adjustRightInd w:val="0"/>
        <w:snapToGrid w:val="0"/>
        <w:spacing w:line="360" w:lineRule="auto"/>
      </w:pPr>
      <w:r>
        <w:t xml:space="preserve">         采购项目编号：</w:t>
      </w:r>
      <w:r>
        <w:rPr>
          <w:u w:val="single"/>
        </w:rPr>
        <w:t xml:space="preserve">                                          </w:t>
      </w:r>
    </w:p>
    <w:p w14:paraId="5B715354">
      <w:pPr>
        <w:pStyle w:val="6"/>
        <w:adjustRightInd w:val="0"/>
        <w:snapToGrid w:val="0"/>
        <w:spacing w:line="360" w:lineRule="auto"/>
        <w:ind w:firstLine="448" w:firstLineChars="200"/>
      </w:pPr>
      <w:r>
        <w:t>（2）采购计划编号：</w:t>
      </w:r>
      <w:r>
        <w:rPr>
          <w:u w:val="single"/>
        </w:rPr>
        <w:t xml:space="preserve">                                          </w:t>
      </w:r>
      <w:r>
        <w:t xml:space="preserve"> </w:t>
      </w:r>
    </w:p>
    <w:p w14:paraId="63370D53">
      <w:pPr>
        <w:adjustRightInd w:val="0"/>
        <w:snapToGrid w:val="0"/>
        <w:spacing w:line="360" w:lineRule="auto"/>
        <w:ind w:firstLine="448" w:firstLineChars="200"/>
        <w:rPr>
          <w:sz w:val="24"/>
          <w:szCs w:val="24"/>
        </w:rPr>
      </w:pPr>
      <w:r>
        <w:rPr>
          <w:sz w:val="24"/>
          <w:szCs w:val="24"/>
        </w:rPr>
        <w:t>（3）项目内容：</w:t>
      </w:r>
    </w:p>
    <w:p w14:paraId="17F21078">
      <w:pPr>
        <w:adjustRightInd w:val="0"/>
        <w:snapToGrid w:val="0"/>
        <w:spacing w:line="360" w:lineRule="auto"/>
        <w:ind w:firstLine="448" w:firstLineChars="200"/>
        <w:rPr>
          <w:sz w:val="24"/>
          <w:szCs w:val="24"/>
        </w:rPr>
      </w:pPr>
      <w:r>
        <w:rPr>
          <w:sz w:val="24"/>
          <w:szCs w:val="24"/>
        </w:rPr>
        <w:t xml:space="preserve">     采购标的及数量（台/套</w:t>
      </w:r>
      <w:r>
        <w:rPr>
          <w:sz w:val="24"/>
          <w:szCs w:val="24"/>
          <w:lang w:val="en"/>
        </w:rPr>
        <w:t>/个/架/组等</w:t>
      </w:r>
      <w:r>
        <w:rPr>
          <w:sz w:val="24"/>
          <w:szCs w:val="24"/>
        </w:rPr>
        <w:t>）：</w:t>
      </w:r>
      <w:r>
        <w:rPr>
          <w:sz w:val="24"/>
          <w:szCs w:val="24"/>
          <w:u w:val="single"/>
        </w:rPr>
        <w:t xml:space="preserve">                       </w:t>
      </w:r>
      <w:r>
        <w:rPr>
          <w:sz w:val="24"/>
          <w:szCs w:val="24"/>
        </w:rPr>
        <w:t xml:space="preserve">            </w:t>
      </w:r>
      <w:r>
        <w:rPr>
          <w:sz w:val="24"/>
          <w:szCs w:val="24"/>
          <w:u w:val="single"/>
        </w:rPr>
        <w:t xml:space="preserve">                  </w:t>
      </w:r>
      <w:r>
        <w:rPr>
          <w:sz w:val="24"/>
          <w:szCs w:val="24"/>
        </w:rPr>
        <w:t xml:space="preserve"> </w:t>
      </w:r>
    </w:p>
    <w:p w14:paraId="020DC6C2">
      <w:pPr>
        <w:adjustRightInd w:val="0"/>
        <w:snapToGrid w:val="0"/>
        <w:spacing w:line="360" w:lineRule="auto"/>
        <w:ind w:firstLine="448" w:firstLineChars="200"/>
        <w:rPr>
          <w:sz w:val="24"/>
          <w:szCs w:val="24"/>
          <w:lang w:val="en"/>
        </w:rPr>
      </w:pPr>
      <w:r>
        <w:rPr>
          <w:sz w:val="24"/>
          <w:szCs w:val="24"/>
        </w:rPr>
        <w:t xml:space="preserve">     品牌：</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lang w:val="en"/>
        </w:rPr>
        <w:t xml:space="preserve">     </w:t>
      </w:r>
      <w:r>
        <w:rPr>
          <w:sz w:val="24"/>
          <w:szCs w:val="24"/>
        </w:rPr>
        <w:t>规格型号：</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p>
    <w:p w14:paraId="19279A7E">
      <w:pPr>
        <w:adjustRightInd w:val="0"/>
        <w:snapToGrid w:val="0"/>
        <w:spacing w:line="360" w:lineRule="auto"/>
        <w:ind w:firstLine="1008" w:firstLineChars="450"/>
        <w:rPr>
          <w:sz w:val="24"/>
          <w:szCs w:val="24"/>
          <w:u w:val="single"/>
        </w:rPr>
      </w:pPr>
      <w:r>
        <w:rPr>
          <w:sz w:val="24"/>
          <w:szCs w:val="24"/>
        </w:rPr>
        <w:t>采购标的的技术要求、商务要求具体见附件。</w:t>
      </w:r>
    </w:p>
    <w:p w14:paraId="68C6058F">
      <w:pPr>
        <w:adjustRightInd w:val="0"/>
        <w:snapToGrid w:val="0"/>
        <w:spacing w:line="360" w:lineRule="auto"/>
        <w:ind w:firstLine="1008" w:firstLineChars="450"/>
        <w:rPr>
          <w:sz w:val="24"/>
          <w:szCs w:val="24"/>
        </w:rPr>
      </w:pPr>
      <w:r>
        <w:rPr>
          <w:rFonts w:hint="eastAsia" w:ascii="宋体" w:hAnsi="宋体" w:cs="宋体"/>
          <w:sz w:val="24"/>
          <w:szCs w:val="24"/>
        </w:rPr>
        <w:t>①</w:t>
      </w:r>
      <w:r>
        <w:rPr>
          <w:sz w:val="24"/>
          <w:szCs w:val="24"/>
        </w:rPr>
        <w:t>涉及信息类产品，请填写该产品关键部件的品牌、型号：</w:t>
      </w:r>
    </w:p>
    <w:p w14:paraId="3F60CCD2">
      <w:pPr>
        <w:adjustRightInd w:val="0"/>
        <w:snapToGrid w:val="0"/>
        <w:spacing w:line="360" w:lineRule="auto"/>
        <w:ind w:firstLine="448" w:firstLineChars="200"/>
        <w:rPr>
          <w:kern w:val="0"/>
          <w:sz w:val="24"/>
          <w:szCs w:val="24"/>
          <w:u w:val="single"/>
        </w:rPr>
      </w:pPr>
      <w:r>
        <w:rPr>
          <w:sz w:val="24"/>
          <w:szCs w:val="24"/>
        </w:rPr>
        <w:t xml:space="preserve">     标的名称：</w:t>
      </w:r>
      <w:r>
        <w:rPr>
          <w:kern w:val="0"/>
          <w:sz w:val="24"/>
          <w:szCs w:val="24"/>
          <w:u w:val="single"/>
        </w:rPr>
        <w:t xml:space="preserve">      </w:t>
      </w:r>
      <w:r>
        <w:rPr>
          <w:kern w:val="0"/>
          <w:sz w:val="24"/>
          <w:szCs w:val="24"/>
          <w:u w:val="single"/>
          <w:lang w:val="en"/>
        </w:rPr>
        <w:t xml:space="preserve">               </w:t>
      </w:r>
      <w:r>
        <w:rPr>
          <w:kern w:val="0"/>
          <w:sz w:val="24"/>
          <w:szCs w:val="24"/>
          <w:u w:val="single"/>
        </w:rPr>
        <w:t xml:space="preserve">    </w:t>
      </w:r>
    </w:p>
    <w:p w14:paraId="70D9C29B">
      <w:pPr>
        <w:adjustRightInd w:val="0"/>
        <w:snapToGrid w:val="0"/>
        <w:spacing w:line="360" w:lineRule="auto"/>
        <w:ind w:firstLine="448" w:firstLineChars="200"/>
        <w:rPr>
          <w:sz w:val="24"/>
          <w:szCs w:val="24"/>
        </w:rPr>
      </w:pPr>
      <w:r>
        <w:rPr>
          <w:sz w:val="24"/>
          <w:szCs w:val="24"/>
        </w:rPr>
        <w:t xml:space="preserve">     关键部件：</w:t>
      </w:r>
      <w:r>
        <w:rPr>
          <w:kern w:val="0"/>
          <w:sz w:val="24"/>
          <w:szCs w:val="24"/>
          <w:u w:val="single"/>
        </w:rPr>
        <w:t xml:space="preserve">          </w:t>
      </w:r>
      <w:r>
        <w:rPr>
          <w:kern w:val="0"/>
          <w:sz w:val="24"/>
          <w:szCs w:val="24"/>
        </w:rPr>
        <w:t xml:space="preserve"> </w:t>
      </w:r>
      <w:r>
        <w:rPr>
          <w:sz w:val="24"/>
          <w:szCs w:val="24"/>
        </w:rPr>
        <w:t>品牌：</w:t>
      </w:r>
      <w:r>
        <w:rPr>
          <w:sz w:val="24"/>
          <w:szCs w:val="24"/>
          <w:u w:val="single"/>
        </w:rPr>
        <w:t xml:space="preserve">        </w:t>
      </w:r>
      <w:r>
        <w:rPr>
          <w:sz w:val="24"/>
          <w:szCs w:val="24"/>
        </w:rPr>
        <w:t xml:space="preserve"> 型号：</w:t>
      </w:r>
      <w:r>
        <w:rPr>
          <w:sz w:val="24"/>
          <w:szCs w:val="24"/>
          <w:u w:val="single"/>
        </w:rPr>
        <w:t xml:space="preserve">       </w:t>
      </w:r>
      <w:r>
        <w:rPr>
          <w:sz w:val="24"/>
          <w:szCs w:val="24"/>
        </w:rPr>
        <w:t xml:space="preserve"> </w:t>
      </w:r>
    </w:p>
    <w:p w14:paraId="6E766184">
      <w:pPr>
        <w:pStyle w:val="50"/>
        <w:snapToGrid w:val="0"/>
        <w:spacing w:line="360" w:lineRule="auto"/>
        <w:ind w:firstLine="446"/>
        <w:rPr>
          <w:rFonts w:ascii="Times New Roman" w:hAnsi="Times New Roman" w:eastAsia="宋体" w:cs="Times New Roman"/>
          <w:sz w:val="24"/>
          <w:szCs w:val="24"/>
        </w:rPr>
      </w:pPr>
      <w:r>
        <w:rPr>
          <w:rFonts w:ascii="Times New Roman" w:hAnsi="Times New Roman" w:eastAsia="宋体" w:cs="Times New Roman"/>
          <w:sz w:val="24"/>
          <w:szCs w:val="24"/>
        </w:rPr>
        <w:t xml:space="preserve">     </w:t>
      </w:r>
      <w:r>
        <w:rPr>
          <w:rFonts w:ascii="Times New Roman" w:hAnsi="Times New Roman" w:eastAsia="宋体" w:cs="Times New Roman"/>
          <w:kern w:val="2"/>
          <w:sz w:val="24"/>
          <w:szCs w:val="24"/>
        </w:rPr>
        <w:t>关键部件</w:t>
      </w:r>
      <w:r>
        <w:rPr>
          <w:rFonts w:ascii="Times New Roman" w:hAnsi="Times New Roman" w:eastAsia="宋体" w:cs="Times New Roman"/>
          <w:sz w:val="24"/>
          <w:szCs w:val="24"/>
        </w:rPr>
        <w:t>：</w:t>
      </w:r>
      <w:r>
        <w:rPr>
          <w:rFonts w:ascii="Times New Roman" w:hAnsi="Times New Roman" w:eastAsia="宋体" w:cs="Times New Roman"/>
          <w:sz w:val="24"/>
          <w:szCs w:val="24"/>
          <w:u w:val="single"/>
        </w:rPr>
        <w:t xml:space="preserve">          </w:t>
      </w:r>
      <w:r>
        <w:rPr>
          <w:rFonts w:ascii="Times New Roman" w:hAnsi="Times New Roman" w:eastAsia="宋体" w:cs="Times New Roman"/>
          <w:sz w:val="24"/>
          <w:szCs w:val="24"/>
        </w:rPr>
        <w:t xml:space="preserve"> 品牌：</w:t>
      </w:r>
      <w:r>
        <w:rPr>
          <w:rFonts w:ascii="Times New Roman" w:hAnsi="Times New Roman" w:eastAsia="宋体" w:cs="Times New Roman"/>
          <w:sz w:val="24"/>
          <w:szCs w:val="24"/>
          <w:u w:val="single"/>
        </w:rPr>
        <w:t xml:space="preserve">        </w:t>
      </w:r>
      <w:r>
        <w:rPr>
          <w:rFonts w:ascii="Times New Roman" w:hAnsi="Times New Roman" w:eastAsia="宋体" w:cs="Times New Roman"/>
          <w:sz w:val="24"/>
          <w:szCs w:val="24"/>
        </w:rPr>
        <w:t xml:space="preserve"> 型号：</w:t>
      </w:r>
      <w:r>
        <w:rPr>
          <w:rFonts w:ascii="Times New Roman" w:hAnsi="Times New Roman" w:eastAsia="宋体" w:cs="Times New Roman"/>
          <w:sz w:val="24"/>
          <w:szCs w:val="24"/>
          <w:u w:val="single"/>
        </w:rPr>
        <w:t xml:space="preserve">       </w:t>
      </w:r>
      <w:r>
        <w:rPr>
          <w:rFonts w:ascii="Times New Roman" w:hAnsi="Times New Roman" w:eastAsia="宋体" w:cs="Times New Roman"/>
          <w:sz w:val="24"/>
          <w:szCs w:val="24"/>
        </w:rPr>
        <w:t xml:space="preserve"> </w:t>
      </w:r>
    </w:p>
    <w:p w14:paraId="4E20171B">
      <w:pPr>
        <w:pStyle w:val="50"/>
        <w:snapToGrid w:val="0"/>
        <w:spacing w:line="360" w:lineRule="auto"/>
        <w:ind w:firstLine="446"/>
        <w:rPr>
          <w:rFonts w:ascii="Times New Roman" w:hAnsi="Times New Roman" w:eastAsia="宋体" w:cs="Times New Roman"/>
          <w:sz w:val="24"/>
          <w:szCs w:val="24"/>
        </w:rPr>
      </w:pPr>
      <w:r>
        <w:rPr>
          <w:rFonts w:ascii="Times New Roman" w:hAnsi="Times New Roman" w:eastAsia="宋体" w:cs="Times New Roman"/>
          <w:sz w:val="24"/>
          <w:szCs w:val="24"/>
        </w:rPr>
        <w:t xml:space="preserve">     关键部件：</w:t>
      </w:r>
      <w:r>
        <w:rPr>
          <w:rFonts w:ascii="Times New Roman" w:hAnsi="Times New Roman" w:eastAsia="宋体" w:cs="Times New Roman"/>
          <w:sz w:val="24"/>
          <w:szCs w:val="24"/>
          <w:u w:val="single"/>
        </w:rPr>
        <w:t xml:space="preserve">          </w:t>
      </w:r>
      <w:r>
        <w:rPr>
          <w:rFonts w:ascii="Times New Roman" w:hAnsi="Times New Roman" w:eastAsia="宋体" w:cs="Times New Roman"/>
          <w:sz w:val="24"/>
          <w:szCs w:val="24"/>
        </w:rPr>
        <w:t xml:space="preserve"> 品牌：</w:t>
      </w:r>
      <w:r>
        <w:rPr>
          <w:rFonts w:ascii="Times New Roman" w:hAnsi="Times New Roman" w:eastAsia="宋体" w:cs="Times New Roman"/>
          <w:sz w:val="24"/>
          <w:szCs w:val="24"/>
          <w:u w:val="single"/>
        </w:rPr>
        <w:t xml:space="preserve">        </w:t>
      </w:r>
      <w:r>
        <w:rPr>
          <w:rFonts w:ascii="Times New Roman" w:hAnsi="Times New Roman" w:eastAsia="宋体" w:cs="Times New Roman"/>
          <w:sz w:val="24"/>
          <w:szCs w:val="24"/>
        </w:rPr>
        <w:t xml:space="preserve"> 型号：</w:t>
      </w:r>
      <w:r>
        <w:rPr>
          <w:rFonts w:ascii="Times New Roman" w:hAnsi="Times New Roman" w:eastAsia="宋体" w:cs="Times New Roman"/>
          <w:sz w:val="24"/>
          <w:szCs w:val="24"/>
          <w:u w:val="single"/>
        </w:rPr>
        <w:t xml:space="preserve">       </w:t>
      </w:r>
    </w:p>
    <w:p w14:paraId="2FF3DA11">
      <w:pPr>
        <w:pStyle w:val="50"/>
        <w:snapToGrid w:val="0"/>
        <w:spacing w:line="360" w:lineRule="auto"/>
        <w:ind w:firstLine="0" w:firstLineChars="0"/>
        <w:rPr>
          <w:rFonts w:ascii="Times New Roman" w:hAnsi="Times New Roman" w:eastAsia="宋体" w:cs="Times New Roman"/>
          <w:sz w:val="24"/>
          <w:szCs w:val="24"/>
        </w:rPr>
      </w:pPr>
      <w:r>
        <w:rPr>
          <w:rFonts w:ascii="Times New Roman" w:hAnsi="Times New Roman" w:eastAsia="宋体" w:cs="Times New Roman"/>
          <w:sz w:val="24"/>
          <w:szCs w:val="24"/>
        </w:rPr>
        <w:t xml:space="preserve">   （注：关键部件是指财政部会同有关部门发布的政府采购需求标准规定的需要通过国家有关部门指定的测评机构开展的安全可靠测评的软硬件，如CPU芯片、操作系统、数据库等。）</w:t>
      </w:r>
    </w:p>
    <w:p w14:paraId="5E98E6A0">
      <w:pPr>
        <w:pStyle w:val="50"/>
        <w:snapToGrid w:val="0"/>
        <w:spacing w:line="360" w:lineRule="auto"/>
        <w:ind w:firstLine="0" w:firstLineChars="0"/>
        <w:rPr>
          <w:rFonts w:ascii="Times New Roman" w:hAnsi="Times New Roman" w:eastAsia="宋体" w:cs="Times New Roman"/>
          <w:sz w:val="24"/>
          <w:szCs w:val="24"/>
        </w:rPr>
      </w:pPr>
      <w:r>
        <w:rPr>
          <w:rFonts w:ascii="Times New Roman" w:hAnsi="Times New Roman" w:eastAsia="宋体" w:cs="Times New Roman"/>
          <w:sz w:val="24"/>
          <w:szCs w:val="24"/>
        </w:rPr>
        <w:t xml:space="preserve">         </w:t>
      </w:r>
      <w:r>
        <w:rPr>
          <w:rFonts w:hint="eastAsia" w:ascii="宋体" w:hAnsi="宋体" w:eastAsia="宋体" w:cs="宋体"/>
          <w:sz w:val="24"/>
          <w:szCs w:val="24"/>
        </w:rPr>
        <w:t>②</w:t>
      </w:r>
      <w:r>
        <w:rPr>
          <w:rFonts w:ascii="Times New Roman" w:hAnsi="Times New Roman" w:eastAsia="宋体" w:cs="Times New Roman"/>
          <w:sz w:val="24"/>
          <w:szCs w:val="24"/>
        </w:rPr>
        <w:t>涉及车辆采购，请填写是否属于新能源汽车：</w:t>
      </w:r>
    </w:p>
    <w:p w14:paraId="70F8855E">
      <w:pPr>
        <w:pStyle w:val="50"/>
        <w:snapToGrid w:val="0"/>
        <w:spacing w:line="360" w:lineRule="auto"/>
        <w:ind w:firstLine="0" w:firstLineChars="0"/>
        <w:rPr>
          <w:rFonts w:ascii="Times New Roman" w:hAnsi="Times New Roman" w:cs="Times New Roman" w:eastAsiaTheme="minorEastAsia"/>
          <w:sz w:val="24"/>
          <w:szCs w:val="24"/>
        </w:rPr>
      </w:pPr>
      <w:r>
        <w:rPr>
          <w:rFonts w:ascii="Times New Roman" w:hAnsi="Times New Roman" w:cs="Times New Roman" w:eastAsiaTheme="minorEastAsia"/>
          <w:sz w:val="24"/>
          <w:szCs w:val="24"/>
        </w:rPr>
        <w:t xml:space="preserve">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是，《政府采购品目分类目录》底级品目名称：</w:t>
      </w:r>
      <w:r>
        <w:rPr>
          <w:rFonts w:ascii="Times New Roman" w:hAnsi="Times New Roman" w:eastAsia="宋体" w:cs="Times New Roman"/>
          <w:sz w:val="24"/>
          <w:szCs w:val="24"/>
          <w:u w:val="single"/>
        </w:rPr>
        <w:t xml:space="preserve">     </w:t>
      </w:r>
      <w:r>
        <w:rPr>
          <w:rFonts w:ascii="Times New Roman" w:hAnsi="Times New Roman" w:cs="Times New Roman" w:eastAsiaTheme="minorEastAsia"/>
          <w:sz w:val="24"/>
          <w:szCs w:val="24"/>
        </w:rPr>
        <w:t xml:space="preserve"> 数量：</w:t>
      </w:r>
      <w:r>
        <w:rPr>
          <w:rFonts w:ascii="Times New Roman" w:hAnsi="Times New Roman" w:cs="Times New Roman" w:eastAsiaTheme="minorEastAsia"/>
          <w:sz w:val="24"/>
          <w:szCs w:val="24"/>
          <w:u w:val="single"/>
        </w:rPr>
        <w:t xml:space="preserve"> </w:t>
      </w:r>
      <w:r>
        <w:rPr>
          <w:rFonts w:ascii="Times New Roman" w:hAnsi="Times New Roman" w:eastAsia="宋体" w:cs="Times New Roman"/>
          <w:sz w:val="24"/>
          <w:szCs w:val="24"/>
          <w:u w:val="single"/>
        </w:rPr>
        <w:t xml:space="preserve">   </w:t>
      </w:r>
      <w:r>
        <w:rPr>
          <w:rFonts w:ascii="Times New Roman" w:hAnsi="Times New Roman" w:cs="Times New Roman" w:eastAsiaTheme="minorEastAsia"/>
          <w:sz w:val="24"/>
          <w:szCs w:val="24"/>
        </w:rPr>
        <w:t xml:space="preserve"> 金额：</w:t>
      </w:r>
      <w:r>
        <w:rPr>
          <w:rFonts w:ascii="Times New Roman" w:hAnsi="Times New Roman" w:eastAsia="宋体" w:cs="Times New Roman"/>
          <w:sz w:val="24"/>
          <w:szCs w:val="24"/>
          <w:u w:val="single"/>
        </w:rPr>
        <w:t xml:space="preserve">     </w:t>
      </w:r>
      <w:r>
        <w:rPr>
          <w:rFonts w:ascii="Times New Roman" w:hAnsi="Times New Roman" w:cs="Times New Roman" w:eastAsiaTheme="minorEastAsia"/>
          <w:sz w:val="24"/>
          <w:szCs w:val="24"/>
        </w:rPr>
        <w:t xml:space="preserve">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否</w:t>
      </w:r>
    </w:p>
    <w:p w14:paraId="4A57CB93">
      <w:pPr>
        <w:pStyle w:val="50"/>
        <w:snapToGrid w:val="0"/>
        <w:spacing w:line="360" w:lineRule="auto"/>
        <w:ind w:firstLine="0" w:firstLineChars="0"/>
        <w:rPr>
          <w:rFonts w:ascii="Times New Roman" w:hAnsi="Times New Roman" w:cs="Times New Roman" w:eastAsiaTheme="minorEastAsia"/>
          <w:sz w:val="24"/>
          <w:szCs w:val="24"/>
        </w:rPr>
      </w:pPr>
      <w:r>
        <w:rPr>
          <w:rFonts w:ascii="Times New Roman" w:hAnsi="Times New Roman" w:cs="Times New Roman" w:eastAsiaTheme="minorEastAsia"/>
          <w:sz w:val="24"/>
          <w:szCs w:val="24"/>
        </w:rPr>
        <w:t xml:space="preserve">    （</w:t>
      </w:r>
      <w:r>
        <w:rPr>
          <w:rFonts w:ascii="Times New Roman" w:hAnsi="Times New Roman" w:cs="Times New Roman" w:eastAsiaTheme="minorEastAsia"/>
          <w:sz w:val="24"/>
          <w:szCs w:val="24"/>
          <w:lang w:val="en"/>
        </w:rPr>
        <w:t>4</w:t>
      </w:r>
      <w:r>
        <w:rPr>
          <w:rFonts w:ascii="Times New Roman" w:hAnsi="Times New Roman" w:cs="Times New Roman" w:eastAsiaTheme="minorEastAsia"/>
          <w:sz w:val="24"/>
          <w:szCs w:val="24"/>
        </w:rPr>
        <w:t>）政府采购组织形式：</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政府集中采购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部门集中采购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分散采购</w:t>
      </w:r>
    </w:p>
    <w:p w14:paraId="3D17F06F">
      <w:pPr>
        <w:pStyle w:val="50"/>
        <w:snapToGrid w:val="0"/>
        <w:spacing w:line="360" w:lineRule="auto"/>
        <w:ind w:firstLine="420" w:firstLineChars="0"/>
        <w:rPr>
          <w:rFonts w:ascii="Times New Roman" w:hAnsi="Times New Roman" w:cs="Times New Roman" w:eastAsiaTheme="minorEastAsia"/>
          <w:sz w:val="24"/>
          <w:szCs w:val="24"/>
        </w:rPr>
      </w:pPr>
      <w:r>
        <w:rPr>
          <w:rFonts w:ascii="Times New Roman" w:hAnsi="Times New Roman" w:cs="Times New Roman" w:eastAsiaTheme="minorEastAsia"/>
          <w:sz w:val="24"/>
          <w:szCs w:val="24"/>
        </w:rPr>
        <w:t>（</w:t>
      </w:r>
      <w:r>
        <w:rPr>
          <w:rFonts w:ascii="Times New Roman" w:hAnsi="Times New Roman" w:cs="Times New Roman" w:eastAsiaTheme="minorEastAsia"/>
          <w:sz w:val="24"/>
          <w:szCs w:val="24"/>
          <w:lang w:val="en"/>
        </w:rPr>
        <w:t>5</w:t>
      </w:r>
      <w:r>
        <w:rPr>
          <w:rFonts w:ascii="Times New Roman" w:hAnsi="Times New Roman" w:cs="Times New Roman" w:eastAsiaTheme="minorEastAsia"/>
          <w:sz w:val="24"/>
          <w:szCs w:val="24"/>
        </w:rPr>
        <w:t>）政府采购方式：</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公开招标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邀请招标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竞争性谈判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竞争性磋商</w:t>
      </w:r>
    </w:p>
    <w:p w14:paraId="0B452F97">
      <w:pPr>
        <w:pStyle w:val="50"/>
        <w:snapToGrid w:val="0"/>
        <w:spacing w:line="360" w:lineRule="auto"/>
        <w:ind w:firstLine="420" w:firstLineChars="0"/>
        <w:rPr>
          <w:rFonts w:ascii="Times New Roman" w:hAnsi="Times New Roman" w:eastAsia="宋体" w:cs="Times New Roman"/>
          <w:sz w:val="24"/>
          <w:szCs w:val="24"/>
          <w:u w:val="single"/>
        </w:rPr>
      </w:pPr>
      <w:r>
        <w:rPr>
          <w:rFonts w:ascii="Times New Roman" w:hAnsi="Times New Roman" w:cs="Times New Roman"/>
          <w:sz w:val="24"/>
          <w:szCs w:val="24"/>
        </w:rPr>
        <w:t xml:space="preserve">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询价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单一来源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框架协议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其他：</w:t>
      </w:r>
      <w:r>
        <w:rPr>
          <w:rFonts w:ascii="Times New Roman" w:hAnsi="Times New Roman" w:eastAsia="宋体" w:cs="Times New Roman"/>
          <w:sz w:val="24"/>
          <w:szCs w:val="24"/>
          <w:u w:val="single"/>
        </w:rPr>
        <w:t xml:space="preserve">          </w:t>
      </w:r>
    </w:p>
    <w:p w14:paraId="505AA2F3">
      <w:pPr>
        <w:pStyle w:val="50"/>
        <w:snapToGrid w:val="0"/>
        <w:spacing w:line="360" w:lineRule="auto"/>
        <w:ind w:firstLine="420" w:firstLineChars="0"/>
        <w:rPr>
          <w:rFonts w:ascii="Times New Roman" w:hAnsi="Times New Roman" w:eastAsia="宋体" w:cs="Times New Roman"/>
          <w:sz w:val="24"/>
          <w:szCs w:val="24"/>
        </w:rPr>
      </w:pPr>
      <w:r>
        <w:rPr>
          <w:rFonts w:ascii="Times New Roman" w:hAnsi="Times New Roman" w:eastAsia="宋体" w:cs="Times New Roman"/>
          <w:sz w:val="24"/>
          <w:szCs w:val="24"/>
        </w:rPr>
        <w:t>（注：在框架协议采购的第二阶段，可选择使用该合同文本）</w:t>
      </w:r>
    </w:p>
    <w:p w14:paraId="4DBCA3BA">
      <w:pPr>
        <w:pStyle w:val="50"/>
        <w:snapToGrid w:val="0"/>
        <w:spacing w:line="360" w:lineRule="auto"/>
        <w:ind w:firstLine="224" w:firstLineChars="100"/>
        <w:rPr>
          <w:rFonts w:ascii="Times New Roman" w:hAnsi="Times New Roman" w:eastAsia="宋体" w:cs="Times New Roman"/>
          <w:kern w:val="2"/>
          <w:sz w:val="24"/>
          <w:szCs w:val="24"/>
        </w:rPr>
      </w:pPr>
      <w:r>
        <w:rPr>
          <w:rFonts w:ascii="Times New Roman" w:hAnsi="Times New Roman" w:cs="Times New Roman"/>
          <w:sz w:val="24"/>
          <w:szCs w:val="24"/>
        </w:rPr>
        <w:t xml:space="preserve"> （</w:t>
      </w:r>
      <w:r>
        <w:rPr>
          <w:rFonts w:ascii="Times New Roman" w:hAnsi="Times New Roman" w:cs="Times New Roman"/>
          <w:sz w:val="24"/>
          <w:szCs w:val="24"/>
          <w:lang w:val="en"/>
        </w:rPr>
        <w:t>6</w:t>
      </w:r>
      <w:r>
        <w:rPr>
          <w:rFonts w:ascii="Times New Roman" w:hAnsi="Times New Roman" w:cs="Times New Roman"/>
          <w:sz w:val="24"/>
          <w:szCs w:val="24"/>
        </w:rPr>
        <w:t>）</w:t>
      </w:r>
      <w:r>
        <w:rPr>
          <w:rFonts w:ascii="Times New Roman" w:hAnsi="Times New Roman" w:eastAsia="宋体" w:cs="Times New Roman"/>
          <w:kern w:val="2"/>
          <w:sz w:val="24"/>
          <w:szCs w:val="24"/>
        </w:rPr>
        <w:t>中标（成交）采购标的制造商是否为中小企业：</w:t>
      </w:r>
      <w:r>
        <w:rPr>
          <w:rFonts w:ascii="Times New Roman" w:hAnsi="Times New Roman" w:eastAsia="宋体" w:cs="Times New Roman"/>
          <w:kern w:val="2"/>
          <w:sz w:val="24"/>
          <w:szCs w:val="24"/>
        </w:rPr>
        <w:sym w:font="Wingdings" w:char="F0A8"/>
      </w:r>
      <w:r>
        <w:rPr>
          <w:rFonts w:ascii="Times New Roman" w:hAnsi="Times New Roman" w:eastAsia="宋体" w:cs="Times New Roman"/>
          <w:kern w:val="2"/>
          <w:sz w:val="24"/>
          <w:szCs w:val="24"/>
        </w:rPr>
        <w:t xml:space="preserve">是      </w:t>
      </w:r>
      <w:r>
        <w:rPr>
          <w:rFonts w:ascii="Times New Roman" w:hAnsi="Times New Roman" w:eastAsia="宋体" w:cs="Times New Roman"/>
          <w:kern w:val="2"/>
          <w:sz w:val="24"/>
          <w:szCs w:val="24"/>
        </w:rPr>
        <w:sym w:font="Wingdings" w:char="F0A8"/>
      </w:r>
      <w:r>
        <w:rPr>
          <w:rFonts w:ascii="Times New Roman" w:hAnsi="Times New Roman" w:eastAsia="宋体" w:cs="Times New Roman"/>
          <w:kern w:val="2"/>
          <w:sz w:val="24"/>
          <w:szCs w:val="24"/>
        </w:rPr>
        <w:t>否</w:t>
      </w:r>
    </w:p>
    <w:p w14:paraId="7C69458C">
      <w:pPr>
        <w:adjustRightInd w:val="0"/>
        <w:snapToGrid w:val="0"/>
        <w:spacing w:line="360" w:lineRule="auto"/>
        <w:rPr>
          <w:iCs/>
          <w:sz w:val="24"/>
          <w:szCs w:val="24"/>
        </w:rPr>
      </w:pPr>
      <w:r>
        <w:rPr>
          <w:sz w:val="24"/>
          <w:szCs w:val="24"/>
        </w:rPr>
        <w:t>本合同是否为专门面向中小企业的采购合同（中小企业预留合同）：</w:t>
      </w:r>
      <w:r>
        <w:rPr>
          <w:iCs/>
          <w:sz w:val="24"/>
          <w:szCs w:val="24"/>
        </w:rPr>
        <w:sym w:font="Wingdings" w:char="F0A8"/>
      </w:r>
      <w:r>
        <w:rPr>
          <w:iCs/>
          <w:sz w:val="24"/>
          <w:szCs w:val="24"/>
        </w:rPr>
        <w:t xml:space="preserve">是  </w:t>
      </w:r>
      <w:r>
        <w:rPr>
          <w:iCs/>
          <w:sz w:val="24"/>
          <w:szCs w:val="24"/>
        </w:rPr>
        <w:sym w:font="Wingdings" w:char="F0A8"/>
      </w:r>
      <w:r>
        <w:rPr>
          <w:iCs/>
          <w:sz w:val="24"/>
          <w:szCs w:val="24"/>
        </w:rPr>
        <w:t>否</w:t>
      </w:r>
    </w:p>
    <w:p w14:paraId="15003CAF">
      <w:pPr>
        <w:adjustRightInd w:val="0"/>
        <w:snapToGrid w:val="0"/>
        <w:spacing w:line="360" w:lineRule="auto"/>
        <w:rPr>
          <w:iCs/>
          <w:sz w:val="24"/>
          <w:szCs w:val="24"/>
        </w:rPr>
      </w:pPr>
      <w:r>
        <w:rPr>
          <w:sz w:val="24"/>
          <w:szCs w:val="24"/>
        </w:rPr>
        <w:t>若本项目不专门面向中小企业采购，是否给予小微企业评审优惠：</w:t>
      </w:r>
      <w:r>
        <w:rPr>
          <w:iCs/>
          <w:sz w:val="24"/>
          <w:szCs w:val="24"/>
        </w:rPr>
        <w:sym w:font="Wingdings" w:char="F0A8"/>
      </w:r>
      <w:r>
        <w:rPr>
          <w:iCs/>
          <w:sz w:val="24"/>
          <w:szCs w:val="24"/>
        </w:rPr>
        <w:t xml:space="preserve">是   </w:t>
      </w:r>
      <w:r>
        <w:rPr>
          <w:iCs/>
          <w:sz w:val="24"/>
          <w:szCs w:val="24"/>
        </w:rPr>
        <w:sym w:font="Wingdings" w:char="F0A8"/>
      </w:r>
      <w:r>
        <w:rPr>
          <w:iCs/>
          <w:sz w:val="24"/>
          <w:szCs w:val="24"/>
        </w:rPr>
        <w:t>否</w:t>
      </w:r>
    </w:p>
    <w:p w14:paraId="02855AAF">
      <w:pPr>
        <w:adjustRightInd w:val="0"/>
        <w:snapToGrid w:val="0"/>
        <w:spacing w:line="360" w:lineRule="auto"/>
        <w:rPr>
          <w:iCs/>
          <w:sz w:val="24"/>
          <w:szCs w:val="24"/>
        </w:rPr>
      </w:pPr>
      <w:r>
        <w:rPr>
          <w:sz w:val="24"/>
          <w:szCs w:val="24"/>
        </w:rPr>
        <w:t>中标（成交）采购标的制造商是否为残疾人福利性单位：</w:t>
      </w:r>
      <w:r>
        <w:rPr>
          <w:iCs/>
          <w:sz w:val="24"/>
          <w:szCs w:val="24"/>
        </w:rPr>
        <w:sym w:font="Wingdings" w:char="F0A8"/>
      </w:r>
      <w:r>
        <w:rPr>
          <w:iCs/>
          <w:sz w:val="24"/>
          <w:szCs w:val="24"/>
        </w:rPr>
        <w:t xml:space="preserve">是   </w:t>
      </w:r>
      <w:r>
        <w:rPr>
          <w:iCs/>
          <w:sz w:val="24"/>
          <w:szCs w:val="24"/>
        </w:rPr>
        <w:sym w:font="Wingdings" w:char="F0A8"/>
      </w:r>
      <w:r>
        <w:rPr>
          <w:iCs/>
          <w:sz w:val="24"/>
          <w:szCs w:val="24"/>
        </w:rPr>
        <w:t>否</w:t>
      </w:r>
    </w:p>
    <w:p w14:paraId="20F650CA">
      <w:pPr>
        <w:adjustRightInd w:val="0"/>
        <w:snapToGrid w:val="0"/>
        <w:spacing w:line="360" w:lineRule="auto"/>
        <w:rPr>
          <w:sz w:val="24"/>
          <w:szCs w:val="24"/>
        </w:rPr>
      </w:pPr>
      <w:r>
        <w:rPr>
          <w:sz w:val="24"/>
          <w:szCs w:val="24"/>
        </w:rPr>
        <w:t>中标（成交）采购标的制造商是否为监狱企业：</w:t>
      </w:r>
      <w:r>
        <w:rPr>
          <w:iCs/>
          <w:sz w:val="24"/>
          <w:szCs w:val="24"/>
        </w:rPr>
        <w:sym w:font="Wingdings" w:char="F0A8"/>
      </w:r>
      <w:r>
        <w:rPr>
          <w:iCs/>
          <w:sz w:val="24"/>
          <w:szCs w:val="24"/>
        </w:rPr>
        <w:t xml:space="preserve">是       </w:t>
      </w:r>
      <w:r>
        <w:rPr>
          <w:iCs/>
          <w:sz w:val="24"/>
          <w:szCs w:val="24"/>
        </w:rPr>
        <w:sym w:font="Wingdings" w:char="F0A8"/>
      </w:r>
      <w:r>
        <w:rPr>
          <w:iCs/>
          <w:sz w:val="24"/>
          <w:szCs w:val="24"/>
        </w:rPr>
        <w:t>否</w:t>
      </w:r>
    </w:p>
    <w:p w14:paraId="52DBFF22">
      <w:pPr>
        <w:adjustRightInd w:val="0"/>
        <w:snapToGrid w:val="0"/>
        <w:spacing w:line="360" w:lineRule="auto"/>
        <w:ind w:firstLine="448" w:firstLineChars="200"/>
        <w:rPr>
          <w:sz w:val="24"/>
          <w:szCs w:val="24"/>
        </w:rPr>
      </w:pPr>
      <w:r>
        <w:rPr>
          <w:sz w:val="24"/>
          <w:szCs w:val="24"/>
        </w:rPr>
        <w:t>（</w:t>
      </w:r>
      <w:r>
        <w:rPr>
          <w:sz w:val="24"/>
          <w:szCs w:val="24"/>
          <w:lang w:val="en"/>
        </w:rPr>
        <w:t>7</w:t>
      </w:r>
      <w:r>
        <w:rPr>
          <w:sz w:val="24"/>
          <w:szCs w:val="24"/>
        </w:rPr>
        <w:t>）合同是否分包：</w:t>
      </w:r>
      <w:r>
        <w:rPr>
          <w:iCs/>
          <w:sz w:val="24"/>
          <w:szCs w:val="24"/>
        </w:rPr>
        <w:sym w:font="Wingdings" w:char="F0A8"/>
      </w:r>
      <w:r>
        <w:rPr>
          <w:iCs/>
          <w:sz w:val="24"/>
          <w:szCs w:val="24"/>
        </w:rPr>
        <w:t xml:space="preserve">是       </w:t>
      </w:r>
      <w:r>
        <w:rPr>
          <w:iCs/>
          <w:sz w:val="24"/>
          <w:szCs w:val="24"/>
        </w:rPr>
        <w:sym w:font="Wingdings" w:char="F0A8"/>
      </w:r>
      <w:r>
        <w:rPr>
          <w:iCs/>
          <w:sz w:val="24"/>
          <w:szCs w:val="24"/>
        </w:rPr>
        <w:t>否</w:t>
      </w:r>
    </w:p>
    <w:p w14:paraId="78C4EBCE">
      <w:pPr>
        <w:adjustRightInd w:val="0"/>
        <w:snapToGrid w:val="0"/>
        <w:spacing w:line="360" w:lineRule="auto"/>
        <w:ind w:firstLine="896" w:firstLineChars="400"/>
        <w:rPr>
          <w:sz w:val="24"/>
          <w:szCs w:val="24"/>
          <w:u w:val="single"/>
        </w:rPr>
      </w:pPr>
      <w:r>
        <w:rPr>
          <w:sz w:val="24"/>
          <w:szCs w:val="24"/>
        </w:rPr>
        <w:t xml:space="preserve"> 分包主要内容：</w:t>
      </w:r>
      <w:r>
        <w:rPr>
          <w:sz w:val="24"/>
          <w:szCs w:val="24"/>
          <w:u w:val="single"/>
        </w:rPr>
        <w:t xml:space="preserve">                                            </w:t>
      </w:r>
    </w:p>
    <w:p w14:paraId="4DE2972D">
      <w:pPr>
        <w:adjustRightInd w:val="0"/>
        <w:snapToGrid w:val="0"/>
        <w:spacing w:line="360" w:lineRule="auto"/>
        <w:ind w:firstLine="896" w:firstLineChars="400"/>
        <w:rPr>
          <w:sz w:val="24"/>
          <w:szCs w:val="24"/>
        </w:rPr>
      </w:pPr>
      <w:r>
        <w:rPr>
          <w:sz w:val="24"/>
          <w:szCs w:val="24"/>
        </w:rPr>
        <w:t xml:space="preserve"> 分包供应商/制造商名称（如供应商和制造商不同，请分别填写）：</w:t>
      </w:r>
    </w:p>
    <w:p w14:paraId="6C6F8267">
      <w:pPr>
        <w:adjustRightInd w:val="0"/>
        <w:snapToGrid w:val="0"/>
        <w:spacing w:line="360" w:lineRule="auto"/>
        <w:ind w:firstLine="896" w:firstLineChars="400"/>
        <w:rPr>
          <w:sz w:val="24"/>
          <w:szCs w:val="24"/>
          <w:u w:val="single"/>
        </w:rPr>
      </w:pPr>
      <w:r>
        <w:rPr>
          <w:sz w:val="24"/>
          <w:szCs w:val="24"/>
        </w:rPr>
        <w:t xml:space="preserve"> </w:t>
      </w:r>
      <w:r>
        <w:rPr>
          <w:sz w:val="24"/>
          <w:szCs w:val="24"/>
          <w:u w:val="single"/>
        </w:rPr>
        <w:t xml:space="preserve">                                                          </w:t>
      </w:r>
    </w:p>
    <w:p w14:paraId="3CB981CA">
      <w:pPr>
        <w:adjustRightInd w:val="0"/>
        <w:snapToGrid w:val="0"/>
        <w:spacing w:line="360" w:lineRule="auto"/>
        <w:ind w:firstLine="896" w:firstLineChars="400"/>
        <w:rPr>
          <w:sz w:val="24"/>
          <w:szCs w:val="24"/>
        </w:rPr>
      </w:pPr>
      <w:r>
        <w:rPr>
          <w:sz w:val="24"/>
          <w:szCs w:val="24"/>
        </w:rPr>
        <w:t xml:space="preserve"> 分包供应商/制造商类型（如果供应商和制造商不同，只填写制造商类型）：</w:t>
      </w:r>
    </w:p>
    <w:p w14:paraId="4A791A57">
      <w:pPr>
        <w:adjustRightInd w:val="0"/>
        <w:snapToGrid w:val="0"/>
        <w:spacing w:line="360" w:lineRule="auto"/>
        <w:ind w:firstLine="896" w:firstLineChars="400"/>
        <w:rPr>
          <w:iCs/>
          <w:sz w:val="24"/>
          <w:szCs w:val="24"/>
        </w:rPr>
      </w:pPr>
      <w:r>
        <w:rPr>
          <w:iCs/>
          <w:sz w:val="24"/>
          <w:szCs w:val="24"/>
        </w:rPr>
        <w:t xml:space="preserve"> </w:t>
      </w:r>
      <w:r>
        <w:rPr>
          <w:iCs/>
          <w:sz w:val="24"/>
          <w:szCs w:val="24"/>
        </w:rPr>
        <w:sym w:font="Wingdings" w:char="F0A8"/>
      </w:r>
      <w:r>
        <w:rPr>
          <w:iCs/>
          <w:sz w:val="24"/>
          <w:szCs w:val="24"/>
        </w:rPr>
        <w:t xml:space="preserve">大型企业  </w:t>
      </w:r>
      <w:r>
        <w:rPr>
          <w:iCs/>
          <w:sz w:val="24"/>
          <w:szCs w:val="24"/>
        </w:rPr>
        <w:sym w:font="Wingdings" w:char="F0A8"/>
      </w:r>
      <w:r>
        <w:rPr>
          <w:iCs/>
          <w:sz w:val="24"/>
          <w:szCs w:val="24"/>
        </w:rPr>
        <w:t xml:space="preserve">中型企业  </w:t>
      </w:r>
      <w:r>
        <w:rPr>
          <w:iCs/>
          <w:sz w:val="24"/>
          <w:szCs w:val="24"/>
        </w:rPr>
        <w:sym w:font="Wingdings" w:char="F0A8"/>
      </w:r>
      <w:r>
        <w:rPr>
          <w:iCs/>
          <w:sz w:val="24"/>
          <w:szCs w:val="24"/>
        </w:rPr>
        <w:t xml:space="preserve">小微型企业  </w:t>
      </w:r>
    </w:p>
    <w:p w14:paraId="547C443E">
      <w:pPr>
        <w:adjustRightInd w:val="0"/>
        <w:snapToGrid w:val="0"/>
        <w:spacing w:line="360" w:lineRule="auto"/>
        <w:ind w:firstLine="896" w:firstLineChars="400"/>
        <w:rPr>
          <w:rFonts w:eastAsia="华文楷体"/>
          <w:sz w:val="24"/>
          <w:szCs w:val="24"/>
        </w:rPr>
      </w:pPr>
      <w:r>
        <w:rPr>
          <w:iCs/>
          <w:sz w:val="24"/>
          <w:szCs w:val="24"/>
        </w:rPr>
        <w:t xml:space="preserve"> </w:t>
      </w:r>
      <w:r>
        <w:rPr>
          <w:iCs/>
          <w:sz w:val="24"/>
          <w:szCs w:val="24"/>
        </w:rPr>
        <w:sym w:font="Wingdings" w:char="F0A8"/>
      </w:r>
      <w:r>
        <w:rPr>
          <w:iCs/>
          <w:sz w:val="24"/>
          <w:szCs w:val="24"/>
        </w:rPr>
        <w:t xml:space="preserve">残疾人福利性单位 </w:t>
      </w:r>
      <w:r>
        <w:rPr>
          <w:iCs/>
          <w:sz w:val="24"/>
          <w:szCs w:val="24"/>
        </w:rPr>
        <w:sym w:font="Wingdings" w:char="F0A8"/>
      </w:r>
      <w:r>
        <w:rPr>
          <w:iCs/>
          <w:sz w:val="24"/>
          <w:szCs w:val="24"/>
        </w:rPr>
        <w:t xml:space="preserve">监狱企业 </w:t>
      </w:r>
      <w:r>
        <w:rPr>
          <w:iCs/>
          <w:sz w:val="24"/>
          <w:szCs w:val="24"/>
        </w:rPr>
        <w:sym w:font="Wingdings" w:char="F0A8"/>
      </w:r>
      <w:r>
        <w:rPr>
          <w:iCs/>
          <w:sz w:val="24"/>
          <w:szCs w:val="24"/>
        </w:rPr>
        <w:t>其他</w:t>
      </w:r>
    </w:p>
    <w:p w14:paraId="3D84DB1D">
      <w:pPr>
        <w:adjustRightInd w:val="0"/>
        <w:snapToGrid w:val="0"/>
        <w:spacing w:line="360" w:lineRule="auto"/>
        <w:rPr>
          <w:iCs/>
          <w:sz w:val="24"/>
          <w:szCs w:val="24"/>
        </w:rPr>
      </w:pPr>
      <w:r>
        <w:rPr>
          <w:sz w:val="24"/>
          <w:szCs w:val="24"/>
        </w:rPr>
        <w:t xml:space="preserve">    （</w:t>
      </w:r>
      <w:r>
        <w:rPr>
          <w:sz w:val="24"/>
          <w:szCs w:val="24"/>
          <w:lang w:val="en"/>
        </w:rPr>
        <w:t>8</w:t>
      </w:r>
      <w:r>
        <w:rPr>
          <w:sz w:val="24"/>
          <w:szCs w:val="24"/>
        </w:rPr>
        <w:t>）中标（成交）供应商是否为外商投资企业：</w:t>
      </w:r>
      <w:r>
        <w:rPr>
          <w:iCs/>
          <w:sz w:val="24"/>
          <w:szCs w:val="24"/>
        </w:rPr>
        <w:sym w:font="Wingdings" w:char="F0A8"/>
      </w:r>
      <w:r>
        <w:rPr>
          <w:iCs/>
          <w:sz w:val="24"/>
          <w:szCs w:val="24"/>
        </w:rPr>
        <w:t xml:space="preserve">是       </w:t>
      </w:r>
      <w:r>
        <w:rPr>
          <w:iCs/>
          <w:sz w:val="24"/>
          <w:szCs w:val="24"/>
        </w:rPr>
        <w:sym w:font="Wingdings" w:char="F0A8"/>
      </w:r>
      <w:r>
        <w:rPr>
          <w:iCs/>
          <w:sz w:val="24"/>
          <w:szCs w:val="24"/>
        </w:rPr>
        <w:t>否</w:t>
      </w:r>
    </w:p>
    <w:p w14:paraId="4181F38D">
      <w:pPr>
        <w:pStyle w:val="50"/>
        <w:tabs>
          <w:tab w:val="left" w:pos="1340"/>
        </w:tabs>
        <w:snapToGrid w:val="0"/>
        <w:spacing w:line="360" w:lineRule="auto"/>
        <w:ind w:firstLine="446"/>
        <w:rPr>
          <w:rFonts w:ascii="Times New Roman" w:hAnsi="Times New Roman" w:eastAsia="宋体" w:cs="Times New Roman"/>
          <w:sz w:val="24"/>
          <w:szCs w:val="24"/>
          <w:u w:val="single"/>
        </w:rPr>
      </w:pPr>
      <w:r>
        <w:rPr>
          <w:rFonts w:ascii="Times New Roman" w:hAnsi="Times New Roman" w:eastAsia="宋体" w:cs="Times New Roman"/>
          <w:sz w:val="24"/>
          <w:szCs w:val="24"/>
        </w:rPr>
        <w:t xml:space="preserve">     外商投资企业类型：</w:t>
      </w:r>
      <w:r>
        <w:rPr>
          <w:rFonts w:ascii="Times New Roman" w:hAnsi="Times New Roman" w:eastAsia="宋体" w:cs="Times New Roman"/>
          <w:iCs/>
          <w:sz w:val="24"/>
          <w:szCs w:val="24"/>
        </w:rPr>
        <w:sym w:font="Wingdings" w:char="F0A8"/>
      </w:r>
      <w:r>
        <w:rPr>
          <w:rFonts w:ascii="Times New Roman" w:hAnsi="Times New Roman" w:eastAsia="宋体" w:cs="Times New Roman"/>
          <w:sz w:val="24"/>
          <w:szCs w:val="24"/>
        </w:rPr>
        <w:t xml:space="preserve">全部由外国投资者投资  </w:t>
      </w:r>
      <w:r>
        <w:rPr>
          <w:rFonts w:ascii="Times New Roman" w:hAnsi="Times New Roman" w:eastAsia="宋体" w:cs="Times New Roman"/>
          <w:iCs/>
          <w:sz w:val="24"/>
          <w:szCs w:val="24"/>
        </w:rPr>
        <w:sym w:font="Wingdings" w:char="F0A8"/>
      </w:r>
      <w:r>
        <w:rPr>
          <w:rFonts w:ascii="Times New Roman" w:hAnsi="Times New Roman" w:eastAsia="宋体" w:cs="Times New Roman"/>
          <w:iCs/>
          <w:sz w:val="24"/>
          <w:szCs w:val="24"/>
        </w:rPr>
        <w:t>部分由外国投资者投资</w:t>
      </w:r>
    </w:p>
    <w:p w14:paraId="0587C477">
      <w:pPr>
        <w:adjustRightInd w:val="0"/>
        <w:snapToGrid w:val="0"/>
        <w:spacing w:line="360" w:lineRule="auto"/>
        <w:ind w:firstLine="448" w:firstLineChars="200"/>
        <w:rPr>
          <w:sz w:val="24"/>
          <w:szCs w:val="24"/>
        </w:rPr>
      </w:pPr>
      <w:r>
        <w:rPr>
          <w:sz w:val="24"/>
          <w:szCs w:val="24"/>
        </w:rPr>
        <w:t>（</w:t>
      </w:r>
      <w:r>
        <w:rPr>
          <w:sz w:val="24"/>
          <w:szCs w:val="24"/>
          <w:lang w:val="en"/>
        </w:rPr>
        <w:t>9</w:t>
      </w:r>
      <w:r>
        <w:rPr>
          <w:sz w:val="24"/>
          <w:szCs w:val="24"/>
        </w:rPr>
        <w:t>）是否涉及进口产品：</w:t>
      </w:r>
    </w:p>
    <w:p w14:paraId="7352B5AC">
      <w:pPr>
        <w:adjustRightInd w:val="0"/>
        <w:snapToGrid w:val="0"/>
        <w:spacing w:line="360" w:lineRule="auto"/>
        <w:ind w:firstLine="896" w:firstLineChars="400"/>
        <w:rPr>
          <w:sz w:val="24"/>
          <w:szCs w:val="24"/>
          <w:u w:val="single"/>
        </w:rPr>
      </w:pPr>
      <w:r>
        <w:rPr>
          <w:sz w:val="24"/>
          <w:szCs w:val="24"/>
        </w:rPr>
        <w:t xml:space="preserve"> </w:t>
      </w:r>
      <w:r>
        <w:rPr>
          <w:sz w:val="24"/>
          <w:szCs w:val="24"/>
        </w:rPr>
        <w:sym w:font="Wingdings" w:char="F0A8"/>
      </w:r>
      <w:r>
        <w:rPr>
          <w:sz w:val="24"/>
          <w:szCs w:val="24"/>
        </w:rPr>
        <w:t>是，《政府采购品目分类目录》底级品目名称：</w:t>
      </w:r>
      <w:r>
        <w:rPr>
          <w:sz w:val="24"/>
          <w:szCs w:val="24"/>
          <w:u w:val="single"/>
        </w:rPr>
        <w:t xml:space="preserve">         </w:t>
      </w:r>
      <w:r>
        <w:rPr>
          <w:sz w:val="24"/>
          <w:szCs w:val="24"/>
        </w:rPr>
        <w:t xml:space="preserve"> 金额：</w:t>
      </w:r>
      <w:r>
        <w:rPr>
          <w:sz w:val="24"/>
          <w:szCs w:val="24"/>
          <w:u w:val="single"/>
        </w:rPr>
        <w:t xml:space="preserve">        </w:t>
      </w:r>
    </w:p>
    <w:p w14:paraId="67D4A31F">
      <w:pPr>
        <w:adjustRightInd w:val="0"/>
        <w:snapToGrid w:val="0"/>
        <w:spacing w:line="360" w:lineRule="auto"/>
        <w:ind w:firstLine="896" w:firstLineChars="400"/>
        <w:rPr>
          <w:sz w:val="24"/>
          <w:szCs w:val="24"/>
        </w:rPr>
      </w:pPr>
      <w:r>
        <w:rPr>
          <w:sz w:val="24"/>
          <w:szCs w:val="24"/>
        </w:rPr>
        <w:t xml:space="preserve">        国别：</w:t>
      </w:r>
      <w:r>
        <w:rPr>
          <w:sz w:val="24"/>
          <w:szCs w:val="24"/>
          <w:u w:val="single"/>
        </w:rPr>
        <w:t xml:space="preserve">        </w:t>
      </w:r>
      <w:r>
        <w:rPr>
          <w:sz w:val="24"/>
          <w:szCs w:val="24"/>
        </w:rPr>
        <w:t xml:space="preserve"> 品牌：</w:t>
      </w:r>
      <w:r>
        <w:rPr>
          <w:sz w:val="24"/>
          <w:szCs w:val="24"/>
          <w:u w:val="single"/>
        </w:rPr>
        <w:t xml:space="preserve">        </w:t>
      </w:r>
      <w:r>
        <w:rPr>
          <w:sz w:val="24"/>
          <w:szCs w:val="24"/>
        </w:rPr>
        <w:t xml:space="preserve"> 规格型号：</w:t>
      </w:r>
      <w:r>
        <w:rPr>
          <w:sz w:val="24"/>
          <w:szCs w:val="24"/>
          <w:u w:val="single"/>
        </w:rPr>
        <w:t xml:space="preserve">        </w:t>
      </w:r>
      <w:r>
        <w:rPr>
          <w:sz w:val="24"/>
          <w:szCs w:val="24"/>
        </w:rPr>
        <w:t xml:space="preserve">      </w:t>
      </w:r>
    </w:p>
    <w:p w14:paraId="26A5285A">
      <w:pPr>
        <w:adjustRightInd w:val="0"/>
        <w:snapToGrid w:val="0"/>
        <w:spacing w:line="360" w:lineRule="auto"/>
        <w:ind w:firstLine="896" w:firstLineChars="400"/>
        <w:rPr>
          <w:sz w:val="24"/>
          <w:szCs w:val="24"/>
        </w:rPr>
      </w:pPr>
      <w:r>
        <w:rPr>
          <w:sz w:val="24"/>
          <w:szCs w:val="24"/>
        </w:rPr>
        <w:t xml:space="preserve"> </w:t>
      </w:r>
      <w:r>
        <w:rPr>
          <w:sz w:val="24"/>
          <w:szCs w:val="24"/>
        </w:rPr>
        <w:sym w:font="Wingdings" w:char="F0A8"/>
      </w:r>
      <w:r>
        <w:rPr>
          <w:sz w:val="24"/>
          <w:szCs w:val="24"/>
        </w:rPr>
        <w:t>否</w:t>
      </w:r>
    </w:p>
    <w:p w14:paraId="75E7269F">
      <w:pPr>
        <w:tabs>
          <w:tab w:val="left" w:pos="740"/>
        </w:tabs>
        <w:adjustRightInd w:val="0"/>
        <w:snapToGrid w:val="0"/>
        <w:spacing w:line="360" w:lineRule="auto"/>
        <w:rPr>
          <w:sz w:val="24"/>
          <w:szCs w:val="24"/>
        </w:rPr>
      </w:pPr>
      <w:r>
        <w:rPr>
          <w:sz w:val="24"/>
          <w:szCs w:val="24"/>
        </w:rPr>
        <w:t xml:space="preserve">    （1</w:t>
      </w:r>
      <w:r>
        <w:rPr>
          <w:sz w:val="24"/>
          <w:szCs w:val="24"/>
          <w:lang w:val="en"/>
        </w:rPr>
        <w:t>0</w:t>
      </w:r>
      <w:r>
        <w:rPr>
          <w:sz w:val="24"/>
          <w:szCs w:val="24"/>
        </w:rPr>
        <w:t>）是否涉及节能产品：</w:t>
      </w:r>
    </w:p>
    <w:p w14:paraId="00B17C1A">
      <w:pPr>
        <w:tabs>
          <w:tab w:val="left" w:pos="740"/>
        </w:tabs>
        <w:adjustRightInd w:val="0"/>
        <w:snapToGrid w:val="0"/>
        <w:spacing w:line="360" w:lineRule="auto"/>
        <w:rPr>
          <w:iCs/>
          <w:sz w:val="24"/>
          <w:szCs w:val="24"/>
        </w:rPr>
      </w:pPr>
      <w:r>
        <w:rPr>
          <w:sz w:val="24"/>
          <w:szCs w:val="24"/>
        </w:rPr>
        <w:t xml:space="preserve">         </w:t>
      </w:r>
      <w:r>
        <w:rPr>
          <w:sz w:val="24"/>
          <w:szCs w:val="24"/>
        </w:rPr>
        <w:sym w:font="Wingdings" w:char="F0A8"/>
      </w:r>
      <w:r>
        <w:rPr>
          <w:sz w:val="24"/>
          <w:szCs w:val="24"/>
        </w:rPr>
        <w:t>是，《节能产品政府采购品目清单》的底级品目名称：</w:t>
      </w:r>
      <w:r>
        <w:rPr>
          <w:sz w:val="24"/>
          <w:szCs w:val="24"/>
          <w:u w:val="single"/>
        </w:rPr>
        <w:t xml:space="preserve">         </w:t>
      </w:r>
      <w:r>
        <w:rPr>
          <w:iCs/>
          <w:sz w:val="24"/>
          <w:szCs w:val="24"/>
        </w:rPr>
        <w:t xml:space="preserve">     </w:t>
      </w:r>
    </w:p>
    <w:p w14:paraId="56CC1209">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 xml:space="preserve">强制采购       </w:t>
      </w:r>
      <w:r>
        <w:rPr>
          <w:iCs/>
          <w:sz w:val="24"/>
          <w:szCs w:val="24"/>
        </w:rPr>
        <w:sym w:font="Wingdings" w:char="F0A8"/>
      </w:r>
      <w:r>
        <w:rPr>
          <w:iCs/>
          <w:sz w:val="24"/>
          <w:szCs w:val="24"/>
        </w:rPr>
        <w:t xml:space="preserve">优先采购    </w:t>
      </w:r>
    </w:p>
    <w:p w14:paraId="32B3C13C">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r>
        <w:rPr>
          <w:sz w:val="24"/>
          <w:szCs w:val="24"/>
        </w:rPr>
        <w:t>否</w:t>
      </w:r>
    </w:p>
    <w:p w14:paraId="3483C7A6">
      <w:pPr>
        <w:tabs>
          <w:tab w:val="left" w:pos="740"/>
        </w:tabs>
        <w:adjustRightInd w:val="0"/>
        <w:snapToGrid w:val="0"/>
        <w:spacing w:line="360" w:lineRule="auto"/>
        <w:rPr>
          <w:sz w:val="24"/>
          <w:szCs w:val="24"/>
        </w:rPr>
      </w:pPr>
      <w:r>
        <w:rPr>
          <w:sz w:val="24"/>
          <w:szCs w:val="24"/>
        </w:rPr>
        <w:t xml:space="preserve">          是否涉及环境标志产品：</w:t>
      </w:r>
    </w:p>
    <w:p w14:paraId="0E36D514">
      <w:pPr>
        <w:tabs>
          <w:tab w:val="left" w:pos="740"/>
        </w:tabs>
        <w:adjustRightInd w:val="0"/>
        <w:snapToGrid w:val="0"/>
        <w:spacing w:line="360" w:lineRule="auto"/>
        <w:rPr>
          <w:sz w:val="24"/>
          <w:szCs w:val="24"/>
        </w:rPr>
      </w:pPr>
      <w:r>
        <w:rPr>
          <w:sz w:val="24"/>
          <w:szCs w:val="24"/>
        </w:rPr>
        <w:t xml:space="preserve">         </w:t>
      </w:r>
      <w:r>
        <w:rPr>
          <w:sz w:val="24"/>
          <w:szCs w:val="24"/>
        </w:rPr>
        <w:sym w:font="Wingdings" w:char="F0A8"/>
      </w:r>
      <w:r>
        <w:rPr>
          <w:sz w:val="24"/>
          <w:szCs w:val="24"/>
        </w:rPr>
        <w:t>是，《环境标志产品政府采购品目清单》的底级品目名称：</w:t>
      </w:r>
      <w:r>
        <w:rPr>
          <w:sz w:val="24"/>
          <w:szCs w:val="24"/>
          <w:u w:val="single"/>
        </w:rPr>
        <w:t xml:space="preserve">         </w:t>
      </w:r>
      <w:r>
        <w:rPr>
          <w:iCs/>
          <w:sz w:val="24"/>
          <w:szCs w:val="24"/>
        </w:rPr>
        <w:t xml:space="preserve"> </w:t>
      </w:r>
    </w:p>
    <w:p w14:paraId="2B5D2CC4">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 xml:space="preserve">强制采购       </w:t>
      </w:r>
      <w:r>
        <w:rPr>
          <w:iCs/>
          <w:sz w:val="24"/>
          <w:szCs w:val="24"/>
        </w:rPr>
        <w:sym w:font="Wingdings" w:char="F0A8"/>
      </w:r>
      <w:r>
        <w:rPr>
          <w:iCs/>
          <w:sz w:val="24"/>
          <w:szCs w:val="24"/>
        </w:rPr>
        <w:t xml:space="preserve">优先采购    </w:t>
      </w:r>
    </w:p>
    <w:p w14:paraId="307E6834">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r>
        <w:rPr>
          <w:sz w:val="24"/>
          <w:szCs w:val="24"/>
        </w:rPr>
        <w:t>否</w:t>
      </w:r>
    </w:p>
    <w:p w14:paraId="31E403D8">
      <w:pPr>
        <w:pStyle w:val="50"/>
        <w:snapToGrid w:val="0"/>
        <w:spacing w:line="360" w:lineRule="auto"/>
        <w:ind w:firstLine="0" w:firstLineChars="0"/>
        <w:rPr>
          <w:rFonts w:ascii="Times New Roman" w:hAnsi="Times New Roman" w:eastAsia="宋体" w:cs="Times New Roman"/>
          <w:kern w:val="2"/>
          <w:sz w:val="24"/>
          <w:szCs w:val="24"/>
        </w:rPr>
      </w:pPr>
      <w:r>
        <w:rPr>
          <w:rFonts w:ascii="Times New Roman" w:hAnsi="Times New Roman" w:cs="Times New Roman"/>
          <w:sz w:val="24"/>
          <w:szCs w:val="24"/>
        </w:rPr>
        <w:t xml:space="preserve">          </w:t>
      </w:r>
      <w:r>
        <w:rPr>
          <w:rFonts w:ascii="Times New Roman" w:hAnsi="Times New Roman" w:eastAsia="宋体" w:cs="Times New Roman"/>
          <w:kern w:val="2"/>
          <w:sz w:val="24"/>
          <w:szCs w:val="24"/>
        </w:rPr>
        <w:t xml:space="preserve">是否涉及绿色产品： </w:t>
      </w:r>
    </w:p>
    <w:p w14:paraId="1AD04FB1">
      <w:pPr>
        <w:pStyle w:val="50"/>
        <w:snapToGrid w:val="0"/>
        <w:spacing w:line="360" w:lineRule="auto"/>
        <w:ind w:firstLine="420" w:firstLineChars="0"/>
        <w:rPr>
          <w:rFonts w:ascii="Times New Roman" w:hAnsi="Times New Roman" w:eastAsia="宋体" w:cs="Times New Roman"/>
          <w:sz w:val="24"/>
          <w:szCs w:val="24"/>
          <w:u w:val="single"/>
        </w:rPr>
      </w:pPr>
      <w:r>
        <w:rPr>
          <w:rFonts w:ascii="Times New Roman" w:hAnsi="Times New Roman" w:eastAsia="宋体" w:cs="Times New Roman"/>
          <w:kern w:val="2"/>
          <w:sz w:val="24"/>
          <w:szCs w:val="24"/>
        </w:rPr>
        <w:t xml:space="preserve">     </w:t>
      </w:r>
      <w:r>
        <w:rPr>
          <w:rFonts w:ascii="Times New Roman" w:hAnsi="Times New Roman" w:eastAsia="宋体" w:cs="Times New Roman"/>
          <w:kern w:val="2"/>
          <w:sz w:val="24"/>
          <w:szCs w:val="24"/>
        </w:rPr>
        <w:sym w:font="Wingdings" w:char="F0A8"/>
      </w:r>
      <w:r>
        <w:rPr>
          <w:rFonts w:ascii="Times New Roman" w:hAnsi="Times New Roman" w:eastAsia="宋体" w:cs="Times New Roman"/>
          <w:kern w:val="2"/>
          <w:sz w:val="24"/>
          <w:szCs w:val="24"/>
        </w:rPr>
        <w:t>是，绿色产品政府采购相关政策确定的底级品目名称：</w:t>
      </w:r>
      <w:r>
        <w:rPr>
          <w:rFonts w:ascii="Times New Roman" w:hAnsi="Times New Roman" w:eastAsia="宋体" w:cs="Times New Roman"/>
          <w:sz w:val="24"/>
          <w:szCs w:val="24"/>
          <w:u w:val="single"/>
        </w:rPr>
        <w:t xml:space="preserve">         </w:t>
      </w:r>
    </w:p>
    <w:p w14:paraId="1FF9841B">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 xml:space="preserve">强制采购       </w:t>
      </w:r>
      <w:r>
        <w:rPr>
          <w:iCs/>
          <w:sz w:val="24"/>
          <w:szCs w:val="24"/>
        </w:rPr>
        <w:sym w:font="Wingdings" w:char="F0A8"/>
      </w:r>
      <w:r>
        <w:rPr>
          <w:iCs/>
          <w:sz w:val="24"/>
          <w:szCs w:val="24"/>
        </w:rPr>
        <w:t xml:space="preserve">优先采购    </w:t>
      </w:r>
    </w:p>
    <w:p w14:paraId="35845893">
      <w:pPr>
        <w:pStyle w:val="50"/>
        <w:snapToGrid w:val="0"/>
        <w:spacing w:line="360" w:lineRule="auto"/>
        <w:ind w:firstLine="420" w:firstLineChars="0"/>
        <w:rPr>
          <w:rFonts w:ascii="Times New Roman" w:hAnsi="Times New Roman" w:cs="Times New Roman"/>
          <w:sz w:val="24"/>
          <w:szCs w:val="24"/>
        </w:rPr>
      </w:pPr>
      <w:r>
        <w:rPr>
          <w:rFonts w:ascii="Times New Roman" w:hAnsi="Times New Roman" w:eastAsia="宋体" w:cs="Times New Roman"/>
          <w:kern w:val="2"/>
          <w:sz w:val="24"/>
          <w:szCs w:val="24"/>
        </w:rPr>
        <w:t xml:space="preserve">     </w:t>
      </w:r>
      <w:r>
        <w:rPr>
          <w:rFonts w:ascii="Times New Roman" w:hAnsi="Times New Roman" w:eastAsia="宋体" w:cs="Times New Roman"/>
          <w:kern w:val="2"/>
          <w:sz w:val="24"/>
          <w:szCs w:val="24"/>
        </w:rPr>
        <w:sym w:font="Wingdings" w:char="F0A8"/>
      </w:r>
      <w:r>
        <w:rPr>
          <w:rFonts w:ascii="Times New Roman" w:hAnsi="Times New Roman" w:eastAsia="宋体" w:cs="Times New Roman"/>
          <w:kern w:val="2"/>
          <w:sz w:val="24"/>
          <w:szCs w:val="24"/>
        </w:rPr>
        <w:t>否</w:t>
      </w:r>
    </w:p>
    <w:p w14:paraId="39BD24D2">
      <w:pPr>
        <w:adjustRightInd w:val="0"/>
        <w:snapToGrid w:val="0"/>
        <w:spacing w:line="360" w:lineRule="auto"/>
        <w:rPr>
          <w:sz w:val="24"/>
          <w:szCs w:val="24"/>
        </w:rPr>
      </w:pPr>
      <w:r>
        <w:rPr>
          <w:sz w:val="24"/>
          <w:szCs w:val="24"/>
        </w:rPr>
        <w:t xml:space="preserve">    （1</w:t>
      </w:r>
      <w:r>
        <w:rPr>
          <w:sz w:val="24"/>
          <w:szCs w:val="24"/>
          <w:lang w:val="en"/>
        </w:rPr>
        <w:t>1</w:t>
      </w:r>
      <w:r>
        <w:rPr>
          <w:sz w:val="24"/>
          <w:szCs w:val="24"/>
        </w:rPr>
        <w:t>）涉及商品包装和快递包装的，是否参考《商品包装政府采购需求标准（试行）》、《快递包装政府采购需求标准（试行）》明确产品及相关快递服务的具体包装要求：</w:t>
      </w:r>
    </w:p>
    <w:p w14:paraId="7E482F16">
      <w:pPr>
        <w:adjustRightInd w:val="0"/>
        <w:snapToGrid w:val="0"/>
        <w:spacing w:line="360" w:lineRule="auto"/>
        <w:ind w:firstLine="896" w:firstLineChars="400"/>
        <w:rPr>
          <w:sz w:val="24"/>
          <w:szCs w:val="24"/>
        </w:rPr>
      </w:pPr>
      <w:r>
        <w:rPr>
          <w:sz w:val="24"/>
          <w:szCs w:val="24"/>
        </w:rPr>
        <w:sym w:font="Wingdings" w:char="F0A8"/>
      </w:r>
      <w:r>
        <w:rPr>
          <w:sz w:val="24"/>
          <w:szCs w:val="24"/>
        </w:rPr>
        <w:t xml:space="preserve">是       </w:t>
      </w:r>
      <w:r>
        <w:rPr>
          <w:sz w:val="24"/>
          <w:szCs w:val="24"/>
        </w:rPr>
        <w:sym w:font="Wingdings" w:char="F0A8"/>
      </w:r>
      <w:r>
        <w:rPr>
          <w:sz w:val="24"/>
          <w:szCs w:val="24"/>
        </w:rPr>
        <w:t xml:space="preserve">否      </w:t>
      </w:r>
      <w:r>
        <w:rPr>
          <w:sz w:val="24"/>
          <w:szCs w:val="24"/>
        </w:rPr>
        <w:sym w:font="Wingdings" w:char="F0A8"/>
      </w:r>
      <w:r>
        <w:rPr>
          <w:sz w:val="24"/>
          <w:szCs w:val="24"/>
        </w:rPr>
        <w:t>不涉及</w:t>
      </w:r>
    </w:p>
    <w:p w14:paraId="4BBCE9E6">
      <w:pPr>
        <w:numPr>
          <w:ilvl w:val="0"/>
          <w:numId w:val="1"/>
        </w:numPr>
        <w:adjustRightInd w:val="0"/>
        <w:snapToGrid w:val="0"/>
        <w:spacing w:line="360" w:lineRule="auto"/>
        <w:ind w:firstLine="448" w:firstLineChars="200"/>
        <w:rPr>
          <w:b/>
          <w:sz w:val="24"/>
          <w:szCs w:val="24"/>
        </w:rPr>
      </w:pPr>
      <w:r>
        <w:rPr>
          <w:b/>
          <w:sz w:val="24"/>
          <w:szCs w:val="24"/>
        </w:rPr>
        <w:t>合同金额</w:t>
      </w:r>
    </w:p>
    <w:p w14:paraId="77ED75ED">
      <w:pPr>
        <w:adjustRightInd w:val="0"/>
        <w:snapToGrid w:val="0"/>
        <w:spacing w:line="360" w:lineRule="auto"/>
        <w:ind w:firstLine="448" w:firstLineChars="200"/>
        <w:rPr>
          <w:sz w:val="24"/>
          <w:szCs w:val="24"/>
        </w:rPr>
      </w:pPr>
      <w:r>
        <w:rPr>
          <w:sz w:val="24"/>
          <w:szCs w:val="24"/>
        </w:rPr>
        <w:t>（1）合同金额小写：</w:t>
      </w:r>
      <w:r>
        <w:rPr>
          <w:sz w:val="24"/>
          <w:szCs w:val="24"/>
          <w:u w:val="single"/>
        </w:rPr>
        <w:t xml:space="preserve">                           </w:t>
      </w:r>
    </w:p>
    <w:p w14:paraId="612F8126">
      <w:pPr>
        <w:adjustRightInd w:val="0"/>
        <w:snapToGrid w:val="0"/>
        <w:spacing w:line="360" w:lineRule="auto"/>
        <w:rPr>
          <w:sz w:val="24"/>
          <w:szCs w:val="24"/>
          <w:u w:val="single"/>
        </w:rPr>
      </w:pPr>
      <w:r>
        <w:rPr>
          <w:sz w:val="24"/>
          <w:szCs w:val="24"/>
        </w:rPr>
        <w:t xml:space="preserve">                 大写：</w:t>
      </w:r>
      <w:r>
        <w:rPr>
          <w:sz w:val="24"/>
          <w:szCs w:val="24"/>
          <w:u w:val="single"/>
        </w:rPr>
        <w:t xml:space="preserve">                           </w:t>
      </w:r>
    </w:p>
    <w:p w14:paraId="46195146">
      <w:pPr>
        <w:adjustRightInd w:val="0"/>
        <w:snapToGrid w:val="0"/>
        <w:spacing w:line="360" w:lineRule="auto"/>
        <w:rPr>
          <w:sz w:val="24"/>
          <w:szCs w:val="24"/>
        </w:rPr>
      </w:pPr>
      <w:r>
        <w:rPr>
          <w:sz w:val="24"/>
          <w:szCs w:val="24"/>
        </w:rPr>
        <w:t xml:space="preserve">         分包金额（如有）小写：</w:t>
      </w:r>
      <w:r>
        <w:rPr>
          <w:sz w:val="24"/>
          <w:szCs w:val="24"/>
          <w:u w:val="single"/>
        </w:rPr>
        <w:t xml:space="preserve">                   </w:t>
      </w:r>
    </w:p>
    <w:p w14:paraId="4C524C34">
      <w:pPr>
        <w:adjustRightInd w:val="0"/>
        <w:snapToGrid w:val="0"/>
        <w:spacing w:line="360" w:lineRule="auto"/>
        <w:rPr>
          <w:sz w:val="24"/>
          <w:szCs w:val="24"/>
          <w:u w:val="single"/>
        </w:rPr>
      </w:pPr>
      <w:r>
        <w:rPr>
          <w:sz w:val="24"/>
          <w:szCs w:val="24"/>
        </w:rPr>
        <w:t xml:space="preserve">                  大写：</w:t>
      </w:r>
      <w:r>
        <w:rPr>
          <w:sz w:val="24"/>
          <w:szCs w:val="24"/>
          <w:u w:val="single"/>
        </w:rPr>
        <w:t xml:space="preserve">                       </w:t>
      </w:r>
    </w:p>
    <w:p w14:paraId="1348478A">
      <w:pPr>
        <w:adjustRightInd w:val="0"/>
        <w:snapToGrid w:val="0"/>
        <w:spacing w:line="360" w:lineRule="auto"/>
        <w:rPr>
          <w:sz w:val="24"/>
          <w:szCs w:val="24"/>
        </w:rPr>
      </w:pPr>
      <w:r>
        <w:rPr>
          <w:sz w:val="24"/>
          <w:szCs w:val="24"/>
        </w:rPr>
        <w:t xml:space="preserve">    （注：固定单价合同应填写单价和最高限价）</w:t>
      </w:r>
    </w:p>
    <w:p w14:paraId="7E460521">
      <w:pPr>
        <w:adjustRightInd w:val="0"/>
        <w:snapToGrid w:val="0"/>
        <w:spacing w:line="360" w:lineRule="auto"/>
        <w:rPr>
          <w:sz w:val="24"/>
          <w:szCs w:val="24"/>
        </w:rPr>
      </w:pPr>
      <w:r>
        <w:rPr>
          <w:sz w:val="24"/>
          <w:szCs w:val="24"/>
        </w:rPr>
        <w:t xml:space="preserve">    （2）合同定价方式（采用组合定价方式的，可以勾选多项）：</w:t>
      </w:r>
    </w:p>
    <w:p w14:paraId="22AEF761">
      <w:pPr>
        <w:adjustRightInd w:val="0"/>
        <w:snapToGrid w:val="0"/>
        <w:spacing w:line="360" w:lineRule="auto"/>
        <w:ind w:firstLine="448" w:firstLineChars="200"/>
        <w:rPr>
          <w:sz w:val="24"/>
          <w:szCs w:val="24"/>
        </w:rPr>
      </w:pPr>
      <w:r>
        <w:rPr>
          <w:iCs/>
          <w:sz w:val="24"/>
          <w:szCs w:val="24"/>
        </w:rPr>
        <w:t xml:space="preserve">  </w:t>
      </w:r>
      <w:r>
        <w:rPr>
          <w:iCs/>
          <w:sz w:val="24"/>
          <w:szCs w:val="24"/>
        </w:rPr>
        <w:sym w:font="Wingdings" w:char="F0A8"/>
      </w:r>
      <w:r>
        <w:rPr>
          <w:iCs/>
          <w:sz w:val="24"/>
          <w:szCs w:val="24"/>
        </w:rPr>
        <w:t xml:space="preserve">固定总价 </w:t>
      </w:r>
      <w:r>
        <w:rPr>
          <w:iCs/>
          <w:sz w:val="24"/>
          <w:szCs w:val="24"/>
        </w:rPr>
        <w:sym w:font="Wingdings" w:char="F0A8"/>
      </w:r>
      <w:r>
        <w:rPr>
          <w:iCs/>
          <w:sz w:val="24"/>
          <w:szCs w:val="24"/>
        </w:rPr>
        <w:t xml:space="preserve">固定单价 </w:t>
      </w:r>
      <w:r>
        <w:rPr>
          <w:iCs/>
          <w:sz w:val="24"/>
          <w:szCs w:val="24"/>
        </w:rPr>
        <w:sym w:font="Wingdings" w:char="F0A8"/>
      </w:r>
      <w:r>
        <w:rPr>
          <w:iCs/>
          <w:sz w:val="24"/>
          <w:szCs w:val="24"/>
        </w:rPr>
        <w:t xml:space="preserve">固定费率 </w:t>
      </w:r>
      <w:r>
        <w:rPr>
          <w:iCs/>
          <w:sz w:val="24"/>
          <w:szCs w:val="24"/>
        </w:rPr>
        <w:sym w:font="Wingdings" w:char="F0A8"/>
      </w:r>
      <w:r>
        <w:rPr>
          <w:iCs/>
          <w:sz w:val="24"/>
          <w:szCs w:val="24"/>
        </w:rPr>
        <w:t xml:space="preserve">成本补偿 </w:t>
      </w:r>
      <w:r>
        <w:rPr>
          <w:iCs/>
          <w:sz w:val="24"/>
          <w:szCs w:val="24"/>
        </w:rPr>
        <w:sym w:font="Wingdings" w:char="F0A8"/>
      </w:r>
      <w:r>
        <w:rPr>
          <w:iCs/>
          <w:sz w:val="24"/>
          <w:szCs w:val="24"/>
        </w:rPr>
        <w:t xml:space="preserve">绩效激励 </w:t>
      </w:r>
      <w:r>
        <w:rPr>
          <w:iCs/>
          <w:sz w:val="24"/>
          <w:szCs w:val="24"/>
        </w:rPr>
        <w:sym w:font="Wingdings" w:char="F0A8"/>
      </w:r>
      <w:r>
        <w:rPr>
          <w:iCs/>
          <w:sz w:val="24"/>
          <w:szCs w:val="24"/>
        </w:rPr>
        <w:t>其他</w:t>
      </w:r>
      <w:r>
        <w:rPr>
          <w:sz w:val="24"/>
          <w:szCs w:val="24"/>
          <w:u w:val="single"/>
        </w:rPr>
        <w:t xml:space="preserve">       </w:t>
      </w:r>
    </w:p>
    <w:p w14:paraId="132516B9">
      <w:pPr>
        <w:pStyle w:val="49"/>
        <w:adjustRightInd w:val="0"/>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（3）付款方式（按项目实际勾选填写）：</w:t>
      </w:r>
    </w:p>
    <w:p w14:paraId="01F27A88">
      <w:pPr>
        <w:adjustRightInd w:val="0"/>
        <w:snapToGrid w:val="0"/>
        <w:spacing w:line="360" w:lineRule="auto"/>
        <w:ind w:firstLine="672" w:firstLineChars="300"/>
        <w:rPr>
          <w:sz w:val="24"/>
          <w:szCs w:val="24"/>
          <w:u w:val="single"/>
        </w:rPr>
      </w:pPr>
      <w:r>
        <w:rPr>
          <w:sz w:val="24"/>
          <w:szCs w:val="24"/>
        </w:rPr>
        <w:sym w:font="Wingdings" w:char="F0A8"/>
      </w:r>
      <w:r>
        <w:rPr>
          <w:sz w:val="24"/>
          <w:szCs w:val="24"/>
        </w:rPr>
        <w:t>全额付款：</w:t>
      </w:r>
      <w:r>
        <w:rPr>
          <w:sz w:val="24"/>
          <w:szCs w:val="24"/>
          <w:u w:val="single"/>
        </w:rPr>
        <w:t xml:space="preserve">     （应明确一次性支付合同款项的条件）                    </w:t>
      </w:r>
    </w:p>
    <w:p w14:paraId="31839B5F">
      <w:pPr>
        <w:adjustRightInd w:val="0"/>
        <w:snapToGrid w:val="0"/>
        <w:spacing w:line="360" w:lineRule="auto"/>
        <w:ind w:firstLine="672" w:firstLineChars="300"/>
        <w:rPr>
          <w:sz w:val="24"/>
          <w:szCs w:val="24"/>
        </w:rPr>
      </w:pPr>
      <w:r>
        <w:rPr>
          <w:sz w:val="24"/>
          <w:szCs w:val="24"/>
        </w:rPr>
        <w:sym w:font="Wingdings" w:char="F0A8"/>
      </w:r>
      <w:r>
        <w:rPr>
          <w:sz w:val="24"/>
          <w:szCs w:val="24"/>
        </w:rPr>
        <w:t>分期付款：</w:t>
      </w:r>
      <w:r>
        <w:rPr>
          <w:sz w:val="24"/>
          <w:szCs w:val="24"/>
          <w:u w:val="single"/>
        </w:rPr>
        <w:t xml:space="preserve">  （应明确分期支付合同款项的各期比例和支付条件，各期支付条件应与分期履约验收情况挂钩） </w:t>
      </w:r>
      <w:r>
        <w:rPr>
          <w:sz w:val="24"/>
          <w:szCs w:val="24"/>
        </w:rPr>
        <w:t>，其中涉及预付款的：</w:t>
      </w:r>
      <w:r>
        <w:rPr>
          <w:sz w:val="24"/>
          <w:szCs w:val="24"/>
          <w:u w:val="single"/>
        </w:rPr>
        <w:t xml:space="preserve"> （应明确预付款的支付比例和支付条件） </w:t>
      </w:r>
    </w:p>
    <w:p w14:paraId="47ABF024">
      <w:pPr>
        <w:adjustRightInd w:val="0"/>
        <w:snapToGrid w:val="0"/>
        <w:spacing w:line="360" w:lineRule="auto"/>
        <w:ind w:firstLine="672" w:firstLineChars="300"/>
        <w:rPr>
          <w:sz w:val="24"/>
          <w:szCs w:val="24"/>
          <w:u w:val="single"/>
        </w:rPr>
      </w:pPr>
      <w:r>
        <w:rPr>
          <w:sz w:val="24"/>
          <w:szCs w:val="24"/>
        </w:rPr>
        <w:sym w:font="Wingdings" w:char="F0A8"/>
      </w:r>
      <w:r>
        <w:rPr>
          <w:sz w:val="24"/>
          <w:szCs w:val="24"/>
        </w:rPr>
        <w:t>成本补偿：</w:t>
      </w:r>
      <w:r>
        <w:rPr>
          <w:sz w:val="24"/>
          <w:szCs w:val="24"/>
          <w:u w:val="single"/>
        </w:rPr>
        <w:t xml:space="preserve">      （应明确按照成本补偿方式的支付方式和支付条件）   </w:t>
      </w:r>
    </w:p>
    <w:p w14:paraId="5CB5A260">
      <w:pPr>
        <w:adjustRightInd w:val="0"/>
        <w:snapToGrid w:val="0"/>
        <w:spacing w:line="360" w:lineRule="auto"/>
        <w:ind w:firstLine="672" w:firstLineChars="300"/>
        <w:rPr>
          <w:sz w:val="24"/>
          <w:szCs w:val="24"/>
        </w:rPr>
      </w:pPr>
      <w:r>
        <w:rPr>
          <w:sz w:val="24"/>
          <w:szCs w:val="24"/>
        </w:rPr>
        <w:sym w:font="Wingdings" w:char="F0A8"/>
      </w:r>
      <w:r>
        <w:rPr>
          <w:sz w:val="24"/>
          <w:szCs w:val="24"/>
        </w:rPr>
        <w:t>绩效激励：</w:t>
      </w:r>
      <w:r>
        <w:rPr>
          <w:sz w:val="24"/>
          <w:szCs w:val="24"/>
          <w:u w:val="single"/>
        </w:rPr>
        <w:t xml:space="preserve">      （应明确按照绩效激励方式的支付方式和支付条件）   </w:t>
      </w:r>
    </w:p>
    <w:p w14:paraId="497E37D4">
      <w:pPr>
        <w:numPr>
          <w:ilvl w:val="0"/>
          <w:numId w:val="1"/>
        </w:numPr>
        <w:adjustRightInd w:val="0"/>
        <w:snapToGrid w:val="0"/>
        <w:spacing w:line="360" w:lineRule="auto"/>
        <w:ind w:firstLine="448" w:firstLineChars="200"/>
        <w:rPr>
          <w:b/>
          <w:sz w:val="24"/>
          <w:szCs w:val="24"/>
          <w:u w:val="single"/>
        </w:rPr>
      </w:pPr>
      <w:r>
        <w:rPr>
          <w:b/>
          <w:sz w:val="24"/>
          <w:szCs w:val="24"/>
        </w:rPr>
        <w:t>合同履行</w:t>
      </w:r>
    </w:p>
    <w:p w14:paraId="460CA911">
      <w:pPr>
        <w:adjustRightInd w:val="0"/>
        <w:snapToGrid w:val="0"/>
        <w:spacing w:line="360" w:lineRule="auto"/>
        <w:ind w:firstLine="448" w:firstLineChars="200"/>
        <w:rPr>
          <w:sz w:val="24"/>
          <w:szCs w:val="24"/>
        </w:rPr>
      </w:pPr>
      <w:r>
        <w:rPr>
          <w:sz w:val="24"/>
          <w:szCs w:val="24"/>
        </w:rPr>
        <w:t>（1）起始日期：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日，完成日期：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14:paraId="2F31BBE5">
      <w:pPr>
        <w:adjustRightInd w:val="0"/>
        <w:snapToGrid w:val="0"/>
        <w:spacing w:line="360" w:lineRule="auto"/>
        <w:ind w:firstLine="448" w:firstLineChars="200"/>
        <w:rPr>
          <w:sz w:val="24"/>
          <w:szCs w:val="24"/>
          <w:u w:val="single"/>
        </w:rPr>
      </w:pPr>
      <w:r>
        <w:rPr>
          <w:sz w:val="24"/>
          <w:szCs w:val="24"/>
        </w:rPr>
        <w:t>（2）履约地点</w:t>
      </w:r>
      <w:r>
        <w:rPr>
          <w:bCs/>
          <w:sz w:val="24"/>
          <w:szCs w:val="24"/>
        </w:rPr>
        <w:t>：</w:t>
      </w:r>
      <w:r>
        <w:rPr>
          <w:sz w:val="24"/>
          <w:szCs w:val="24"/>
          <w:u w:val="single"/>
        </w:rPr>
        <w:t xml:space="preserve">                             </w:t>
      </w:r>
    </w:p>
    <w:p w14:paraId="7D13034E">
      <w:pPr>
        <w:adjustRightInd w:val="0"/>
        <w:snapToGrid w:val="0"/>
        <w:spacing w:line="360" w:lineRule="auto"/>
        <w:ind w:firstLine="448" w:firstLineChars="200"/>
        <w:rPr>
          <w:sz w:val="24"/>
          <w:szCs w:val="24"/>
        </w:rPr>
      </w:pPr>
      <w:r>
        <w:rPr>
          <w:bCs/>
          <w:sz w:val="24"/>
          <w:szCs w:val="24"/>
        </w:rPr>
        <w:t>（3）履约担保：</w:t>
      </w:r>
      <w:r>
        <w:rPr>
          <w:sz w:val="24"/>
          <w:szCs w:val="24"/>
        </w:rPr>
        <w:t>是否收取履约保证金：</w:t>
      </w:r>
      <w:r>
        <w:rPr>
          <w:sz w:val="24"/>
          <w:szCs w:val="24"/>
        </w:rPr>
        <w:sym w:font="Wingdings" w:char="F0A8"/>
      </w:r>
      <w:r>
        <w:rPr>
          <w:sz w:val="24"/>
          <w:szCs w:val="24"/>
        </w:rPr>
        <w:t xml:space="preserve">是    </w:t>
      </w:r>
      <w:r>
        <w:rPr>
          <w:sz w:val="24"/>
          <w:szCs w:val="24"/>
        </w:rPr>
        <w:sym w:font="Wingdings" w:char="F0A8"/>
      </w:r>
      <w:r>
        <w:rPr>
          <w:sz w:val="24"/>
          <w:szCs w:val="24"/>
        </w:rPr>
        <w:t>否</w:t>
      </w:r>
    </w:p>
    <w:p w14:paraId="223D018C">
      <w:pPr>
        <w:pStyle w:val="50"/>
        <w:snapToGrid w:val="0"/>
        <w:spacing w:line="360" w:lineRule="auto"/>
        <w:ind w:firstLine="446"/>
        <w:rPr>
          <w:rFonts w:ascii="Times New Roman" w:hAnsi="Times New Roman" w:eastAsia="宋体" w:cs="Times New Roman"/>
          <w:sz w:val="24"/>
          <w:szCs w:val="24"/>
        </w:rPr>
      </w:pPr>
      <w:r>
        <w:rPr>
          <w:rFonts w:ascii="Times New Roman" w:hAnsi="Times New Roman" w:cs="Times New Roman"/>
          <w:bCs/>
          <w:sz w:val="24"/>
          <w:szCs w:val="24"/>
        </w:rPr>
        <w:t xml:space="preserve">  </w:t>
      </w:r>
      <w:r>
        <w:rPr>
          <w:rFonts w:ascii="Times New Roman" w:hAnsi="Times New Roman" w:eastAsia="宋体" w:cs="Times New Roman"/>
          <w:sz w:val="24"/>
          <w:szCs w:val="24"/>
        </w:rPr>
        <w:t xml:space="preserve">  收取履约保证金形式：</w:t>
      </w:r>
      <w:r>
        <w:rPr>
          <w:rFonts w:ascii="Times New Roman" w:hAnsi="Times New Roman" w:eastAsia="宋体" w:cs="Times New Roman"/>
          <w:bCs/>
          <w:sz w:val="24"/>
          <w:szCs w:val="24"/>
          <w:u w:val="single"/>
        </w:rPr>
        <w:t xml:space="preserve">                            </w:t>
      </w:r>
    </w:p>
    <w:p w14:paraId="4EE0A095">
      <w:pPr>
        <w:pStyle w:val="50"/>
        <w:snapToGrid w:val="0"/>
        <w:spacing w:line="360" w:lineRule="auto"/>
        <w:ind w:firstLine="446"/>
        <w:rPr>
          <w:rFonts w:ascii="Times New Roman" w:hAnsi="Times New Roman" w:eastAsia="宋体" w:cs="Times New Roman"/>
          <w:sz w:val="24"/>
          <w:szCs w:val="24"/>
        </w:rPr>
      </w:pPr>
      <w:r>
        <w:rPr>
          <w:rFonts w:ascii="Times New Roman" w:hAnsi="Times New Roman" w:eastAsia="宋体" w:cs="Times New Roman"/>
          <w:sz w:val="24"/>
          <w:szCs w:val="24"/>
        </w:rPr>
        <w:t xml:space="preserve">    收取履约保证金金额：</w:t>
      </w:r>
      <w:r>
        <w:rPr>
          <w:rFonts w:ascii="Times New Roman" w:hAnsi="Times New Roman" w:eastAsia="宋体" w:cs="Times New Roman"/>
          <w:bCs/>
          <w:sz w:val="24"/>
          <w:szCs w:val="24"/>
          <w:u w:val="single"/>
        </w:rPr>
        <w:t xml:space="preserve">                            </w:t>
      </w:r>
    </w:p>
    <w:p w14:paraId="4ED46165">
      <w:pPr>
        <w:adjustRightInd w:val="0"/>
        <w:snapToGrid w:val="0"/>
        <w:spacing w:line="360" w:lineRule="auto"/>
        <w:ind w:firstLine="448" w:firstLineChars="200"/>
        <w:rPr>
          <w:sz w:val="24"/>
          <w:szCs w:val="24"/>
        </w:rPr>
      </w:pPr>
      <w:r>
        <w:rPr>
          <w:bCs/>
          <w:sz w:val="24"/>
          <w:szCs w:val="24"/>
        </w:rPr>
        <w:t xml:space="preserve">    履约担保期限：</w:t>
      </w:r>
      <w:r>
        <w:rPr>
          <w:bCs/>
          <w:sz w:val="24"/>
          <w:szCs w:val="24"/>
          <w:u w:val="single"/>
        </w:rPr>
        <w:t xml:space="preserve">                                  </w:t>
      </w:r>
    </w:p>
    <w:p w14:paraId="62499841">
      <w:pPr>
        <w:adjustRightInd w:val="0"/>
        <w:snapToGrid w:val="0"/>
        <w:spacing w:line="360" w:lineRule="auto"/>
        <w:ind w:firstLine="448" w:firstLineChars="200"/>
        <w:rPr>
          <w:bCs/>
          <w:sz w:val="24"/>
          <w:szCs w:val="24"/>
        </w:rPr>
      </w:pPr>
      <w:r>
        <w:rPr>
          <w:bCs/>
          <w:sz w:val="24"/>
          <w:szCs w:val="24"/>
        </w:rPr>
        <w:t>（4）分期履行要求：</w:t>
      </w:r>
      <w:r>
        <w:rPr>
          <w:bCs/>
          <w:sz w:val="24"/>
          <w:szCs w:val="24"/>
          <w:u w:val="single"/>
        </w:rPr>
        <w:t xml:space="preserve">                                                        </w:t>
      </w:r>
    </w:p>
    <w:p w14:paraId="2536A6E8">
      <w:pPr>
        <w:adjustRightInd w:val="0"/>
        <w:snapToGrid w:val="0"/>
        <w:spacing w:line="360" w:lineRule="auto"/>
        <w:ind w:firstLine="448" w:firstLineChars="200"/>
        <w:rPr>
          <w:sz w:val="24"/>
          <w:szCs w:val="24"/>
          <w:u w:val="single"/>
        </w:rPr>
      </w:pPr>
      <w:r>
        <w:rPr>
          <w:bCs/>
          <w:sz w:val="24"/>
          <w:szCs w:val="24"/>
        </w:rPr>
        <w:t>（5）风险处置措施和替代方案：</w:t>
      </w:r>
      <w:r>
        <w:rPr>
          <w:color w:val="0000FF"/>
          <w:sz w:val="24"/>
          <w:szCs w:val="24"/>
          <w:u w:val="single"/>
        </w:rPr>
        <w:t xml:space="preserve"> </w:t>
      </w:r>
      <w:r>
        <w:rPr>
          <w:color w:val="000000" w:themeColor="text1"/>
          <w:sz w:val="24"/>
          <w:szCs w:val="24"/>
          <w:u w:val="single"/>
          <w14:textFill>
            <w14:solidFill>
              <w14:schemeClr w14:val="tx1"/>
            </w14:solidFill>
          </w14:textFill>
        </w:rPr>
        <w:t xml:space="preserve">              </w:t>
      </w:r>
      <w:r>
        <w:rPr>
          <w:sz w:val="24"/>
          <w:szCs w:val="24"/>
          <w:u w:val="single"/>
        </w:rPr>
        <w:t xml:space="preserve">                                                </w:t>
      </w:r>
    </w:p>
    <w:p w14:paraId="1AB12E1A">
      <w:pPr>
        <w:numPr>
          <w:ilvl w:val="0"/>
          <w:numId w:val="1"/>
        </w:numPr>
        <w:adjustRightInd w:val="0"/>
        <w:snapToGrid w:val="0"/>
        <w:spacing w:line="360" w:lineRule="auto"/>
        <w:ind w:firstLine="448" w:firstLineChars="200"/>
        <w:rPr>
          <w:b/>
          <w:sz w:val="24"/>
          <w:szCs w:val="24"/>
        </w:rPr>
      </w:pPr>
      <w:r>
        <w:rPr>
          <w:b/>
          <w:sz w:val="24"/>
          <w:szCs w:val="24"/>
        </w:rPr>
        <w:t>合同验收</w:t>
      </w:r>
    </w:p>
    <w:p w14:paraId="1A8DCDAE">
      <w:pPr>
        <w:numPr>
          <w:ilvl w:val="0"/>
          <w:numId w:val="3"/>
        </w:numPr>
        <w:adjustRightInd w:val="0"/>
        <w:snapToGrid w:val="0"/>
        <w:spacing w:line="360" w:lineRule="auto"/>
        <w:ind w:firstLine="448" w:firstLineChars="200"/>
        <w:rPr>
          <w:bCs/>
          <w:sz w:val="24"/>
          <w:szCs w:val="24"/>
        </w:rPr>
      </w:pPr>
      <w:r>
        <w:rPr>
          <w:bCs/>
          <w:sz w:val="24"/>
          <w:szCs w:val="24"/>
        </w:rPr>
        <w:t>验收组织方式：</w:t>
      </w:r>
      <w:r>
        <w:rPr>
          <w:sz w:val="24"/>
          <w:szCs w:val="24"/>
        </w:rPr>
        <w:sym w:font="Wingdings" w:char="F0A8"/>
      </w:r>
      <w:r>
        <w:rPr>
          <w:bCs/>
          <w:sz w:val="24"/>
          <w:szCs w:val="24"/>
        </w:rPr>
        <w:t xml:space="preserve">自行组织 </w:t>
      </w:r>
      <w:r>
        <w:rPr>
          <w:sz w:val="24"/>
          <w:szCs w:val="24"/>
        </w:rPr>
        <w:sym w:font="Wingdings" w:char="F0A8"/>
      </w:r>
      <w:r>
        <w:rPr>
          <w:bCs/>
          <w:sz w:val="24"/>
          <w:szCs w:val="24"/>
        </w:rPr>
        <w:t>委托第三方组织</w:t>
      </w:r>
    </w:p>
    <w:p w14:paraId="764FEB34">
      <w:pPr>
        <w:adjustRightInd w:val="0"/>
        <w:snapToGrid w:val="0"/>
        <w:spacing w:line="360" w:lineRule="auto"/>
        <w:rPr>
          <w:bCs/>
          <w:sz w:val="24"/>
          <w:szCs w:val="24"/>
        </w:rPr>
      </w:pPr>
      <w:r>
        <w:rPr>
          <w:bCs/>
          <w:sz w:val="24"/>
          <w:szCs w:val="24"/>
        </w:rPr>
        <w:t xml:space="preserve">         验收主体：</w:t>
      </w:r>
      <w:r>
        <w:rPr>
          <w:bCs/>
          <w:sz w:val="24"/>
          <w:szCs w:val="24"/>
          <w:u w:val="single"/>
        </w:rPr>
        <w:t xml:space="preserve">                  </w:t>
      </w:r>
    </w:p>
    <w:p w14:paraId="4DAD620E">
      <w:pPr>
        <w:adjustRightInd w:val="0"/>
        <w:snapToGrid w:val="0"/>
        <w:spacing w:line="360" w:lineRule="auto"/>
        <w:rPr>
          <w:bCs/>
          <w:sz w:val="24"/>
          <w:szCs w:val="24"/>
        </w:rPr>
      </w:pPr>
      <w:r>
        <w:rPr>
          <w:bCs/>
          <w:sz w:val="24"/>
          <w:szCs w:val="24"/>
        </w:rPr>
        <w:t xml:space="preserve">        是否邀请本项目的其他供应商参加验收：</w:t>
      </w:r>
      <w:r>
        <w:rPr>
          <w:sz w:val="24"/>
          <w:szCs w:val="24"/>
        </w:rPr>
        <w:sym w:font="Wingdings" w:char="F0A8"/>
      </w:r>
      <w:r>
        <w:rPr>
          <w:bCs/>
          <w:sz w:val="24"/>
          <w:szCs w:val="24"/>
        </w:rPr>
        <w:t xml:space="preserve">是  </w:t>
      </w:r>
      <w:r>
        <w:rPr>
          <w:sz w:val="24"/>
          <w:szCs w:val="24"/>
        </w:rPr>
        <w:sym w:font="Wingdings" w:char="F0A8"/>
      </w:r>
      <w:r>
        <w:rPr>
          <w:bCs/>
          <w:sz w:val="24"/>
          <w:szCs w:val="24"/>
        </w:rPr>
        <w:t>否</w:t>
      </w:r>
    </w:p>
    <w:p w14:paraId="2AE1DAF3">
      <w:pPr>
        <w:adjustRightInd w:val="0"/>
        <w:snapToGrid w:val="0"/>
        <w:spacing w:line="360" w:lineRule="auto"/>
        <w:ind w:firstLine="896" w:firstLineChars="400"/>
        <w:rPr>
          <w:bCs/>
          <w:sz w:val="24"/>
          <w:szCs w:val="24"/>
        </w:rPr>
      </w:pPr>
      <w:r>
        <w:rPr>
          <w:bCs/>
          <w:sz w:val="24"/>
          <w:szCs w:val="24"/>
        </w:rPr>
        <w:t>是否邀请专家参加验收：</w:t>
      </w:r>
      <w:r>
        <w:rPr>
          <w:sz w:val="24"/>
          <w:szCs w:val="24"/>
        </w:rPr>
        <w:sym w:font="Wingdings" w:char="F0A8"/>
      </w:r>
      <w:r>
        <w:rPr>
          <w:bCs/>
          <w:sz w:val="24"/>
          <w:szCs w:val="24"/>
        </w:rPr>
        <w:t xml:space="preserve">是  </w:t>
      </w:r>
      <w:r>
        <w:rPr>
          <w:sz w:val="24"/>
          <w:szCs w:val="24"/>
        </w:rPr>
        <w:sym w:font="Wingdings" w:char="F0A8"/>
      </w:r>
      <w:r>
        <w:rPr>
          <w:bCs/>
          <w:sz w:val="24"/>
          <w:szCs w:val="24"/>
        </w:rPr>
        <w:t>否</w:t>
      </w:r>
    </w:p>
    <w:p w14:paraId="704E246E">
      <w:pPr>
        <w:adjustRightInd w:val="0"/>
        <w:snapToGrid w:val="0"/>
        <w:spacing w:line="360" w:lineRule="auto"/>
        <w:ind w:firstLine="896" w:firstLineChars="400"/>
        <w:rPr>
          <w:bCs/>
          <w:sz w:val="24"/>
          <w:szCs w:val="24"/>
        </w:rPr>
      </w:pPr>
      <w:r>
        <w:rPr>
          <w:bCs/>
          <w:sz w:val="24"/>
          <w:szCs w:val="24"/>
        </w:rPr>
        <w:t>是否邀请服务对象参加验收：</w:t>
      </w:r>
      <w:r>
        <w:rPr>
          <w:sz w:val="24"/>
          <w:szCs w:val="24"/>
        </w:rPr>
        <w:sym w:font="Wingdings" w:char="F0A8"/>
      </w:r>
      <w:r>
        <w:rPr>
          <w:bCs/>
          <w:sz w:val="24"/>
          <w:szCs w:val="24"/>
        </w:rPr>
        <w:t xml:space="preserve">是  </w:t>
      </w:r>
      <w:r>
        <w:rPr>
          <w:sz w:val="24"/>
          <w:szCs w:val="24"/>
        </w:rPr>
        <w:sym w:font="Wingdings" w:char="F0A8"/>
      </w:r>
      <w:r>
        <w:rPr>
          <w:bCs/>
          <w:sz w:val="24"/>
          <w:szCs w:val="24"/>
        </w:rPr>
        <w:t>否</w:t>
      </w:r>
    </w:p>
    <w:p w14:paraId="3EF2DA7E">
      <w:pPr>
        <w:adjustRightInd w:val="0"/>
        <w:snapToGrid w:val="0"/>
        <w:spacing w:line="360" w:lineRule="auto"/>
        <w:ind w:firstLine="896" w:firstLineChars="400"/>
        <w:rPr>
          <w:bCs/>
          <w:sz w:val="24"/>
          <w:szCs w:val="24"/>
        </w:rPr>
      </w:pPr>
      <w:r>
        <w:rPr>
          <w:bCs/>
          <w:sz w:val="24"/>
          <w:szCs w:val="24"/>
        </w:rPr>
        <w:t>是否邀请第三方检测机构参加验收：</w:t>
      </w:r>
      <w:r>
        <w:rPr>
          <w:sz w:val="24"/>
          <w:szCs w:val="24"/>
        </w:rPr>
        <w:sym w:font="Wingdings" w:char="F0A8"/>
      </w:r>
      <w:r>
        <w:rPr>
          <w:bCs/>
          <w:sz w:val="24"/>
          <w:szCs w:val="24"/>
        </w:rPr>
        <w:t xml:space="preserve">是  </w:t>
      </w:r>
      <w:r>
        <w:rPr>
          <w:sz w:val="24"/>
          <w:szCs w:val="24"/>
        </w:rPr>
        <w:sym w:font="Wingdings" w:char="F0A8"/>
      </w:r>
      <w:r>
        <w:rPr>
          <w:bCs/>
          <w:sz w:val="24"/>
          <w:szCs w:val="24"/>
        </w:rPr>
        <w:t>否</w:t>
      </w:r>
    </w:p>
    <w:p w14:paraId="7FEE377C">
      <w:pPr>
        <w:adjustRightInd w:val="0"/>
        <w:snapToGrid w:val="0"/>
        <w:spacing w:line="360" w:lineRule="auto"/>
        <w:ind w:firstLine="896" w:firstLineChars="400"/>
        <w:rPr>
          <w:bCs/>
          <w:sz w:val="24"/>
          <w:szCs w:val="24"/>
        </w:rPr>
      </w:pPr>
      <w:r>
        <w:rPr>
          <w:bCs/>
          <w:sz w:val="24"/>
          <w:szCs w:val="24"/>
        </w:rPr>
        <w:t>是否进行抽查检测：</w:t>
      </w:r>
      <w:r>
        <w:rPr>
          <w:sz w:val="24"/>
          <w:szCs w:val="24"/>
        </w:rPr>
        <w:sym w:font="Wingdings" w:char="F0A8"/>
      </w:r>
      <w:r>
        <w:rPr>
          <w:bCs/>
          <w:sz w:val="24"/>
          <w:szCs w:val="24"/>
        </w:rPr>
        <w:t>是，抽查比例：</w:t>
      </w:r>
      <w:r>
        <w:rPr>
          <w:bCs/>
          <w:sz w:val="24"/>
          <w:szCs w:val="24"/>
          <w:u w:val="single"/>
        </w:rPr>
        <w:t xml:space="preserve">        </w:t>
      </w:r>
      <w:r>
        <w:rPr>
          <w:bCs/>
          <w:sz w:val="24"/>
          <w:szCs w:val="24"/>
        </w:rPr>
        <w:t xml:space="preserve"> </w:t>
      </w:r>
      <w:r>
        <w:rPr>
          <w:sz w:val="24"/>
          <w:szCs w:val="24"/>
        </w:rPr>
        <w:sym w:font="Wingdings" w:char="F0A8"/>
      </w:r>
      <w:r>
        <w:rPr>
          <w:bCs/>
          <w:sz w:val="24"/>
          <w:szCs w:val="24"/>
        </w:rPr>
        <w:t>否</w:t>
      </w:r>
    </w:p>
    <w:p w14:paraId="4057F06A">
      <w:pPr>
        <w:adjustRightInd w:val="0"/>
        <w:snapToGrid w:val="0"/>
        <w:spacing w:line="360" w:lineRule="auto"/>
        <w:ind w:firstLine="896" w:firstLineChars="400"/>
        <w:rPr>
          <w:bCs/>
          <w:sz w:val="24"/>
          <w:szCs w:val="24"/>
          <w:u w:val="single"/>
        </w:rPr>
      </w:pPr>
      <w:r>
        <w:rPr>
          <w:bCs/>
          <w:sz w:val="24"/>
          <w:szCs w:val="24"/>
        </w:rPr>
        <w:t>是否存在破坏性检测：</w:t>
      </w:r>
      <w:r>
        <w:rPr>
          <w:sz w:val="24"/>
          <w:szCs w:val="24"/>
        </w:rPr>
        <w:sym w:font="Wingdings" w:char="F0A8"/>
      </w:r>
      <w:r>
        <w:rPr>
          <w:bCs/>
          <w:sz w:val="24"/>
          <w:szCs w:val="24"/>
        </w:rPr>
        <w:t>是，</w:t>
      </w:r>
      <w:r>
        <w:rPr>
          <w:bCs/>
          <w:sz w:val="24"/>
          <w:szCs w:val="24"/>
          <w:u w:val="single"/>
        </w:rPr>
        <w:t>（应明确对被破坏的检测产品的处理方式）</w:t>
      </w:r>
    </w:p>
    <w:p w14:paraId="40D722D0">
      <w:pPr>
        <w:adjustRightInd w:val="0"/>
        <w:snapToGrid w:val="0"/>
        <w:spacing w:line="360" w:lineRule="auto"/>
        <w:ind w:firstLine="896" w:firstLineChars="400"/>
        <w:rPr>
          <w:bCs/>
          <w:sz w:val="24"/>
          <w:szCs w:val="24"/>
        </w:rPr>
      </w:pPr>
      <w:r>
        <w:rPr>
          <w:bCs/>
          <w:sz w:val="24"/>
          <w:szCs w:val="24"/>
        </w:rPr>
        <w:t xml:space="preserve">                    </w:t>
      </w:r>
      <w:r>
        <w:rPr>
          <w:sz w:val="24"/>
          <w:szCs w:val="24"/>
        </w:rPr>
        <w:sym w:font="Wingdings" w:char="F0A8"/>
      </w:r>
      <w:r>
        <w:rPr>
          <w:bCs/>
          <w:sz w:val="24"/>
          <w:szCs w:val="24"/>
        </w:rPr>
        <w:t>否</w:t>
      </w:r>
    </w:p>
    <w:p w14:paraId="2EA1CA33">
      <w:pPr>
        <w:adjustRightInd w:val="0"/>
        <w:snapToGrid w:val="0"/>
        <w:spacing w:line="360" w:lineRule="auto"/>
        <w:ind w:firstLine="896" w:firstLineChars="400"/>
        <w:rPr>
          <w:bCs/>
          <w:sz w:val="24"/>
          <w:szCs w:val="24"/>
          <w:u w:val="single"/>
        </w:rPr>
      </w:pPr>
      <w:r>
        <w:rPr>
          <w:bCs/>
          <w:sz w:val="24"/>
          <w:szCs w:val="24"/>
        </w:rPr>
        <w:t>验收组织的其他事项：</w:t>
      </w:r>
      <w:r>
        <w:rPr>
          <w:bCs/>
          <w:sz w:val="24"/>
          <w:szCs w:val="24"/>
          <w:u w:val="single"/>
        </w:rPr>
        <w:t xml:space="preserve">                </w:t>
      </w:r>
    </w:p>
    <w:p w14:paraId="3E8C91FD">
      <w:pPr>
        <w:adjustRightInd w:val="0"/>
        <w:snapToGrid w:val="0"/>
        <w:spacing w:line="360" w:lineRule="auto"/>
        <w:ind w:firstLine="448" w:firstLineChars="200"/>
        <w:rPr>
          <w:bCs/>
          <w:sz w:val="24"/>
          <w:szCs w:val="24"/>
          <w:u w:val="single"/>
        </w:rPr>
      </w:pPr>
      <w:r>
        <w:rPr>
          <w:bCs/>
          <w:sz w:val="24"/>
          <w:szCs w:val="24"/>
        </w:rPr>
        <w:t>（2）履约验收时间：</w:t>
      </w:r>
      <w:r>
        <w:rPr>
          <w:bCs/>
          <w:sz w:val="24"/>
          <w:szCs w:val="24"/>
          <w:u w:val="single"/>
        </w:rPr>
        <w:t xml:space="preserve">（计划于何时验收/供应商提出验收申请之日起   日内组织验收） </w:t>
      </w:r>
    </w:p>
    <w:p w14:paraId="4458F26B">
      <w:pPr>
        <w:adjustRightInd w:val="0"/>
        <w:snapToGrid w:val="0"/>
        <w:spacing w:line="360" w:lineRule="auto"/>
        <w:ind w:firstLine="448" w:firstLineChars="200"/>
        <w:rPr>
          <w:bCs/>
          <w:sz w:val="24"/>
          <w:szCs w:val="24"/>
        </w:rPr>
      </w:pPr>
      <w:r>
        <w:rPr>
          <w:bCs/>
          <w:sz w:val="24"/>
          <w:szCs w:val="24"/>
        </w:rPr>
        <w:t>（3）履约验收方式：</w:t>
      </w:r>
      <w:r>
        <w:rPr>
          <w:sz w:val="24"/>
          <w:szCs w:val="24"/>
        </w:rPr>
        <w:sym w:font="Wingdings" w:char="F0A8"/>
      </w:r>
      <w:r>
        <w:rPr>
          <w:bCs/>
          <w:sz w:val="24"/>
          <w:szCs w:val="24"/>
        </w:rPr>
        <w:t xml:space="preserve">一次性验收         </w:t>
      </w:r>
    </w:p>
    <w:p w14:paraId="09802745">
      <w:pPr>
        <w:adjustRightInd w:val="0"/>
        <w:snapToGrid w:val="0"/>
        <w:spacing w:line="360" w:lineRule="auto"/>
        <w:rPr>
          <w:bCs/>
          <w:sz w:val="24"/>
          <w:szCs w:val="24"/>
        </w:rPr>
      </w:pPr>
      <w:r>
        <w:rPr>
          <w:bCs/>
          <w:sz w:val="24"/>
          <w:szCs w:val="24"/>
        </w:rPr>
        <w:t xml:space="preserve">                       </w:t>
      </w:r>
      <w:r>
        <w:rPr>
          <w:sz w:val="24"/>
          <w:szCs w:val="24"/>
        </w:rPr>
        <w:sym w:font="Wingdings" w:char="F0A8"/>
      </w:r>
      <w:r>
        <w:rPr>
          <w:bCs/>
          <w:sz w:val="24"/>
          <w:szCs w:val="24"/>
        </w:rPr>
        <w:t>分期/分项验收：</w:t>
      </w:r>
      <w:r>
        <w:rPr>
          <w:bCs/>
          <w:sz w:val="24"/>
          <w:szCs w:val="24"/>
          <w:u w:val="single"/>
        </w:rPr>
        <w:t xml:space="preserve"> （应明确分期</w:t>
      </w:r>
      <w:r>
        <w:rPr>
          <w:bCs/>
          <w:sz w:val="24"/>
          <w:szCs w:val="24"/>
          <w:u w:val="single"/>
          <w:lang w:val="en"/>
        </w:rPr>
        <w:t>/分项验收的工作安排</w:t>
      </w:r>
      <w:r>
        <w:rPr>
          <w:bCs/>
          <w:sz w:val="24"/>
          <w:szCs w:val="24"/>
          <w:u w:val="single"/>
        </w:rPr>
        <w:t xml:space="preserve">）  </w:t>
      </w:r>
    </w:p>
    <w:p w14:paraId="1CCAF666">
      <w:pPr>
        <w:adjustRightInd w:val="0"/>
        <w:snapToGrid w:val="0"/>
        <w:spacing w:line="360" w:lineRule="auto"/>
        <w:ind w:firstLine="448" w:firstLineChars="200"/>
        <w:rPr>
          <w:bCs/>
          <w:sz w:val="24"/>
          <w:szCs w:val="24"/>
        </w:rPr>
      </w:pPr>
      <w:r>
        <w:rPr>
          <w:bCs/>
          <w:sz w:val="24"/>
          <w:szCs w:val="24"/>
        </w:rPr>
        <w:t>（4）履约验收程序：</w:t>
      </w:r>
      <w:r>
        <w:rPr>
          <w:bCs/>
          <w:sz w:val="24"/>
          <w:szCs w:val="24"/>
          <w:u w:val="single"/>
        </w:rPr>
        <w:t xml:space="preserve">                                         </w:t>
      </w:r>
    </w:p>
    <w:p w14:paraId="04190D91">
      <w:pPr>
        <w:adjustRightInd w:val="0"/>
        <w:snapToGrid w:val="0"/>
        <w:spacing w:line="360" w:lineRule="auto"/>
        <w:ind w:firstLine="448" w:firstLineChars="200"/>
        <w:rPr>
          <w:bCs/>
          <w:sz w:val="24"/>
          <w:szCs w:val="24"/>
          <w:u w:val="single"/>
        </w:rPr>
      </w:pPr>
      <w:r>
        <w:rPr>
          <w:bCs/>
          <w:sz w:val="24"/>
          <w:szCs w:val="24"/>
        </w:rPr>
        <w:t>（5）履约验收的内容：</w:t>
      </w:r>
      <w:r>
        <w:rPr>
          <w:bCs/>
          <w:sz w:val="24"/>
          <w:szCs w:val="24"/>
          <w:u w:val="single"/>
        </w:rPr>
        <w:t xml:space="preserve"> （应当包括每一项技术和商务要求的履约情况，特别是落实政府采购扶持中小企业，支持绿色发展和乡村振兴等政策情况）                                      </w:t>
      </w:r>
    </w:p>
    <w:p w14:paraId="42902F94">
      <w:pPr>
        <w:adjustRightInd w:val="0"/>
        <w:snapToGrid w:val="0"/>
        <w:spacing w:line="360" w:lineRule="auto"/>
        <w:ind w:firstLine="448" w:firstLineChars="200"/>
        <w:rPr>
          <w:bCs/>
          <w:sz w:val="24"/>
          <w:szCs w:val="24"/>
          <w:u w:val="single"/>
        </w:rPr>
      </w:pPr>
      <w:r>
        <w:rPr>
          <w:bCs/>
          <w:sz w:val="24"/>
          <w:szCs w:val="24"/>
        </w:rPr>
        <w:t>（6）履约验收标准：</w:t>
      </w:r>
      <w:r>
        <w:rPr>
          <w:bCs/>
          <w:sz w:val="24"/>
          <w:szCs w:val="24"/>
          <w:u w:val="single"/>
        </w:rPr>
        <w:t xml:space="preserve">                                         </w:t>
      </w:r>
    </w:p>
    <w:p w14:paraId="112284FA">
      <w:pPr>
        <w:pStyle w:val="50"/>
        <w:snapToGrid w:val="0"/>
        <w:spacing w:line="360" w:lineRule="auto"/>
        <w:ind w:firstLine="446"/>
        <w:rPr>
          <w:rFonts w:ascii="Times New Roman" w:hAnsi="Times New Roman" w:eastAsia="宋体" w:cs="Times New Roman"/>
          <w:sz w:val="24"/>
          <w:szCs w:val="24"/>
        </w:rPr>
      </w:pPr>
      <w:r>
        <w:rPr>
          <w:rFonts w:ascii="Times New Roman" w:hAnsi="Times New Roman" w:eastAsia="宋体" w:cs="Times New Roman"/>
          <w:bCs/>
          <w:sz w:val="24"/>
          <w:szCs w:val="24"/>
        </w:rPr>
        <w:t>（7）是否以采购活动中供应商提供的样品作为参考：</w:t>
      </w:r>
      <w:r>
        <w:rPr>
          <w:rFonts w:ascii="Times New Roman" w:hAnsi="Times New Roman" w:eastAsia="宋体" w:cs="Times New Roman"/>
          <w:sz w:val="24"/>
          <w:szCs w:val="24"/>
        </w:rPr>
        <w:sym w:font="Wingdings" w:char="F0A8"/>
      </w:r>
      <w:r>
        <w:rPr>
          <w:rFonts w:ascii="Times New Roman" w:hAnsi="Times New Roman" w:eastAsia="宋体" w:cs="Times New Roman"/>
          <w:bCs/>
          <w:sz w:val="24"/>
          <w:szCs w:val="24"/>
        </w:rPr>
        <w:t xml:space="preserve">是  </w:t>
      </w:r>
      <w:r>
        <w:rPr>
          <w:rFonts w:ascii="Times New Roman" w:hAnsi="Times New Roman" w:eastAsia="宋体" w:cs="Times New Roman"/>
          <w:sz w:val="24"/>
          <w:szCs w:val="24"/>
        </w:rPr>
        <w:sym w:font="Wingdings" w:char="F0A8"/>
      </w:r>
      <w:r>
        <w:rPr>
          <w:rFonts w:ascii="Times New Roman" w:hAnsi="Times New Roman" w:eastAsia="宋体" w:cs="Times New Roman"/>
          <w:bCs/>
          <w:sz w:val="24"/>
          <w:szCs w:val="24"/>
        </w:rPr>
        <w:t>否</w:t>
      </w:r>
    </w:p>
    <w:p w14:paraId="0FE0AAAD">
      <w:pPr>
        <w:adjustRightInd w:val="0"/>
        <w:snapToGrid w:val="0"/>
        <w:spacing w:line="360" w:lineRule="auto"/>
        <w:ind w:firstLine="448" w:firstLineChars="200"/>
        <w:rPr>
          <w:bCs/>
          <w:sz w:val="24"/>
          <w:szCs w:val="24"/>
          <w:u w:val="single"/>
        </w:rPr>
      </w:pPr>
      <w:r>
        <w:rPr>
          <w:bCs/>
          <w:sz w:val="24"/>
          <w:szCs w:val="24"/>
        </w:rPr>
        <w:t>（8）履约验收其他事项：</w:t>
      </w:r>
      <w:r>
        <w:rPr>
          <w:bCs/>
          <w:sz w:val="24"/>
          <w:szCs w:val="24"/>
          <w:u w:val="single"/>
        </w:rPr>
        <w:t xml:space="preserve">      （产权过户登记等）          </w:t>
      </w:r>
    </w:p>
    <w:p w14:paraId="70296A04">
      <w:pPr>
        <w:numPr>
          <w:ilvl w:val="0"/>
          <w:numId w:val="1"/>
        </w:numPr>
        <w:adjustRightInd w:val="0"/>
        <w:snapToGrid w:val="0"/>
        <w:spacing w:line="360" w:lineRule="auto"/>
        <w:ind w:firstLine="448" w:firstLineChars="200"/>
        <w:rPr>
          <w:b/>
          <w:sz w:val="24"/>
          <w:szCs w:val="24"/>
        </w:rPr>
      </w:pPr>
      <w:r>
        <w:rPr>
          <w:b/>
          <w:sz w:val="24"/>
          <w:szCs w:val="24"/>
        </w:rPr>
        <w:t>组成合同的文件</w:t>
      </w:r>
    </w:p>
    <w:p w14:paraId="46E0DBAB">
      <w:pPr>
        <w:adjustRightInd w:val="0"/>
        <w:snapToGrid w:val="0"/>
        <w:spacing w:line="360" w:lineRule="auto"/>
        <w:ind w:firstLine="448" w:firstLineChars="200"/>
        <w:rPr>
          <w:sz w:val="24"/>
          <w:szCs w:val="24"/>
        </w:rPr>
      </w:pPr>
      <w:r>
        <w:rPr>
          <w:sz w:val="24"/>
          <w:szCs w:val="24"/>
        </w:rPr>
        <w:t>本协议书与下列文件一起构成合同文件，如下述文件之间有任何抵触、矛盾或歧义，应按以下顺序解释：</w:t>
      </w:r>
    </w:p>
    <w:p w14:paraId="020B3C03">
      <w:pPr>
        <w:adjustRightInd w:val="0"/>
        <w:snapToGrid w:val="0"/>
        <w:spacing w:line="360" w:lineRule="auto"/>
        <w:ind w:firstLine="448" w:firstLineChars="200"/>
        <w:rPr>
          <w:sz w:val="24"/>
          <w:szCs w:val="24"/>
        </w:rPr>
      </w:pPr>
      <w:r>
        <w:rPr>
          <w:sz w:val="24"/>
          <w:szCs w:val="24"/>
        </w:rPr>
        <w:t>（1）政府采购合同协议书及其变更、补充协议</w:t>
      </w:r>
    </w:p>
    <w:p w14:paraId="60DBFD20">
      <w:pPr>
        <w:adjustRightInd w:val="0"/>
        <w:snapToGrid w:val="0"/>
        <w:spacing w:line="360" w:lineRule="auto"/>
        <w:ind w:firstLine="448" w:firstLineChars="200"/>
        <w:rPr>
          <w:sz w:val="24"/>
          <w:szCs w:val="24"/>
        </w:rPr>
      </w:pPr>
      <w:r>
        <w:rPr>
          <w:sz w:val="24"/>
          <w:szCs w:val="24"/>
        </w:rPr>
        <w:t>（2）政府采购合同专用条款</w:t>
      </w:r>
    </w:p>
    <w:p w14:paraId="38E781BC">
      <w:pPr>
        <w:adjustRightInd w:val="0"/>
        <w:snapToGrid w:val="0"/>
        <w:spacing w:line="360" w:lineRule="auto"/>
        <w:ind w:firstLine="448" w:firstLineChars="200"/>
        <w:rPr>
          <w:sz w:val="24"/>
          <w:szCs w:val="24"/>
        </w:rPr>
      </w:pPr>
      <w:r>
        <w:rPr>
          <w:sz w:val="24"/>
          <w:szCs w:val="24"/>
        </w:rPr>
        <w:t>（3）政府采购合同通用条款</w:t>
      </w:r>
    </w:p>
    <w:p w14:paraId="59FAE978">
      <w:pPr>
        <w:adjustRightInd w:val="0"/>
        <w:snapToGrid w:val="0"/>
        <w:spacing w:line="360" w:lineRule="auto"/>
        <w:ind w:firstLine="448" w:firstLineChars="200"/>
        <w:rPr>
          <w:sz w:val="24"/>
          <w:szCs w:val="24"/>
        </w:rPr>
      </w:pPr>
      <w:r>
        <w:rPr>
          <w:sz w:val="24"/>
          <w:szCs w:val="24"/>
        </w:rPr>
        <w:t>（4）中标（成交）通知书</w:t>
      </w:r>
    </w:p>
    <w:p w14:paraId="3B732137">
      <w:pPr>
        <w:adjustRightInd w:val="0"/>
        <w:snapToGrid w:val="0"/>
        <w:spacing w:line="360" w:lineRule="auto"/>
        <w:ind w:firstLine="448" w:firstLineChars="200"/>
        <w:rPr>
          <w:sz w:val="24"/>
          <w:szCs w:val="24"/>
        </w:rPr>
      </w:pPr>
      <w:r>
        <w:rPr>
          <w:sz w:val="24"/>
          <w:szCs w:val="24"/>
        </w:rPr>
        <w:t>（5）投标（响应）文件</w:t>
      </w:r>
    </w:p>
    <w:p w14:paraId="441C3AED">
      <w:pPr>
        <w:adjustRightInd w:val="0"/>
        <w:snapToGrid w:val="0"/>
        <w:spacing w:line="360" w:lineRule="auto"/>
        <w:ind w:firstLine="448" w:firstLineChars="200"/>
        <w:rPr>
          <w:sz w:val="24"/>
          <w:szCs w:val="24"/>
        </w:rPr>
      </w:pPr>
      <w:r>
        <w:rPr>
          <w:sz w:val="24"/>
          <w:szCs w:val="24"/>
        </w:rPr>
        <w:t>（6）采购文件</w:t>
      </w:r>
    </w:p>
    <w:p w14:paraId="69CE7848">
      <w:pPr>
        <w:adjustRightInd w:val="0"/>
        <w:snapToGrid w:val="0"/>
        <w:spacing w:line="360" w:lineRule="auto"/>
        <w:ind w:firstLine="448" w:firstLineChars="200"/>
        <w:rPr>
          <w:sz w:val="24"/>
          <w:szCs w:val="24"/>
        </w:rPr>
      </w:pPr>
      <w:r>
        <w:rPr>
          <w:sz w:val="24"/>
          <w:szCs w:val="24"/>
        </w:rPr>
        <w:t>（7）有关技术文件，图纸</w:t>
      </w:r>
    </w:p>
    <w:p w14:paraId="0D0FE22B">
      <w:pPr>
        <w:pStyle w:val="50"/>
        <w:snapToGrid w:val="0"/>
        <w:spacing w:line="360" w:lineRule="auto"/>
        <w:ind w:firstLine="446"/>
        <w:rPr>
          <w:rFonts w:ascii="Times New Roman" w:hAnsi="Times New Roman" w:eastAsia="宋体" w:cs="Times New Roman"/>
          <w:kern w:val="2"/>
          <w:sz w:val="24"/>
          <w:szCs w:val="24"/>
        </w:rPr>
      </w:pPr>
      <w:r>
        <w:rPr>
          <w:rFonts w:ascii="Times New Roman" w:hAnsi="Times New Roman" w:eastAsia="宋体" w:cs="Times New Roman"/>
          <w:sz w:val="24"/>
          <w:szCs w:val="24"/>
        </w:rPr>
        <w:t>（8）</w:t>
      </w:r>
      <w:r>
        <w:rPr>
          <w:rFonts w:ascii="Times New Roman" w:hAnsi="Times New Roman" w:eastAsia="宋体" w:cs="Times New Roman"/>
          <w:color w:val="000000" w:themeColor="text1"/>
          <w:kern w:val="2"/>
          <w:sz w:val="24"/>
          <w:szCs w:val="24"/>
          <w14:textFill>
            <w14:solidFill>
              <w14:schemeClr w14:val="tx1"/>
            </w14:solidFill>
          </w14:textFill>
        </w:rPr>
        <w:t>国家法律、行政法规和规章制度规定或合同约定的作为合同组成部分的其他文件</w:t>
      </w:r>
    </w:p>
    <w:p w14:paraId="4A763965">
      <w:pPr>
        <w:numPr>
          <w:ilvl w:val="0"/>
          <w:numId w:val="1"/>
        </w:numPr>
        <w:adjustRightInd w:val="0"/>
        <w:snapToGrid w:val="0"/>
        <w:spacing w:line="360" w:lineRule="auto"/>
        <w:ind w:firstLine="448" w:firstLineChars="200"/>
        <w:rPr>
          <w:b/>
          <w:sz w:val="24"/>
          <w:szCs w:val="24"/>
        </w:rPr>
      </w:pPr>
      <w:r>
        <w:rPr>
          <w:b/>
          <w:sz w:val="24"/>
          <w:szCs w:val="24"/>
        </w:rPr>
        <w:t>合同生效</w:t>
      </w:r>
    </w:p>
    <w:p w14:paraId="73D6EAA7">
      <w:pPr>
        <w:adjustRightInd w:val="0"/>
        <w:snapToGrid w:val="0"/>
        <w:spacing w:line="360" w:lineRule="auto"/>
        <w:ind w:firstLine="448" w:firstLineChars="200"/>
        <w:rPr>
          <w:sz w:val="24"/>
          <w:szCs w:val="24"/>
        </w:rPr>
      </w:pPr>
      <w:r>
        <w:rPr>
          <w:sz w:val="24"/>
          <w:szCs w:val="24"/>
        </w:rPr>
        <w:t>本合同自</w:t>
      </w:r>
      <w:r>
        <w:rPr>
          <w:sz w:val="24"/>
          <w:szCs w:val="24"/>
          <w:u w:val="single"/>
        </w:rPr>
        <w:t xml:space="preserve">                             </w:t>
      </w:r>
      <w:r>
        <w:rPr>
          <w:sz w:val="24"/>
          <w:szCs w:val="24"/>
        </w:rPr>
        <w:t>生效。</w:t>
      </w:r>
    </w:p>
    <w:p w14:paraId="6CF22AF7">
      <w:pPr>
        <w:numPr>
          <w:ilvl w:val="0"/>
          <w:numId w:val="1"/>
        </w:numPr>
        <w:adjustRightInd w:val="0"/>
        <w:snapToGrid w:val="0"/>
        <w:spacing w:line="360" w:lineRule="auto"/>
        <w:ind w:firstLine="448" w:firstLineChars="200"/>
        <w:rPr>
          <w:b/>
          <w:sz w:val="24"/>
          <w:szCs w:val="24"/>
        </w:rPr>
      </w:pPr>
      <w:r>
        <w:rPr>
          <w:b/>
          <w:sz w:val="24"/>
          <w:szCs w:val="24"/>
        </w:rPr>
        <w:t>合同份数</w:t>
      </w:r>
    </w:p>
    <w:p w14:paraId="35283789">
      <w:pPr>
        <w:adjustRightInd w:val="0"/>
        <w:snapToGrid w:val="0"/>
        <w:spacing w:line="360" w:lineRule="auto"/>
        <w:ind w:firstLine="448" w:firstLineChars="200"/>
        <w:rPr>
          <w:sz w:val="24"/>
          <w:szCs w:val="24"/>
        </w:rPr>
      </w:pPr>
      <w:r>
        <w:rPr>
          <w:sz w:val="24"/>
          <w:szCs w:val="24"/>
        </w:rPr>
        <w:t>本合同一式</w:t>
      </w:r>
      <w:r>
        <w:rPr>
          <w:sz w:val="24"/>
          <w:szCs w:val="24"/>
          <w:u w:val="single"/>
        </w:rPr>
        <w:t xml:space="preserve">    </w:t>
      </w:r>
      <w:r>
        <w:rPr>
          <w:sz w:val="24"/>
          <w:szCs w:val="24"/>
        </w:rPr>
        <w:t>份，甲方执</w:t>
      </w:r>
      <w:r>
        <w:rPr>
          <w:sz w:val="24"/>
          <w:szCs w:val="24"/>
          <w:u w:val="single"/>
        </w:rPr>
        <w:t xml:space="preserve">    </w:t>
      </w:r>
      <w:r>
        <w:rPr>
          <w:sz w:val="24"/>
          <w:szCs w:val="24"/>
        </w:rPr>
        <w:t>份，乙方执</w:t>
      </w:r>
      <w:r>
        <w:rPr>
          <w:sz w:val="24"/>
          <w:szCs w:val="24"/>
          <w:u w:val="single"/>
        </w:rPr>
        <w:t xml:space="preserve">    </w:t>
      </w:r>
      <w:r>
        <w:rPr>
          <w:sz w:val="24"/>
          <w:szCs w:val="24"/>
        </w:rPr>
        <w:t>份，均具有同等法律效力。</w:t>
      </w:r>
    </w:p>
    <w:p w14:paraId="71AD0373">
      <w:pPr>
        <w:adjustRightInd w:val="0"/>
        <w:snapToGrid w:val="0"/>
        <w:spacing w:line="360" w:lineRule="auto"/>
        <w:ind w:firstLine="448" w:firstLineChars="200"/>
        <w:rPr>
          <w:sz w:val="24"/>
          <w:szCs w:val="24"/>
        </w:rPr>
      </w:pPr>
      <w:r>
        <w:rPr>
          <w:sz w:val="24"/>
          <w:szCs w:val="24"/>
        </w:rPr>
        <w:t>合同订立时间：</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14:paraId="5CE4516F">
      <w:pPr>
        <w:adjustRightInd w:val="0"/>
        <w:snapToGrid w:val="0"/>
        <w:spacing w:line="360" w:lineRule="auto"/>
        <w:ind w:firstLine="448" w:firstLineChars="200"/>
        <w:rPr>
          <w:sz w:val="24"/>
          <w:szCs w:val="24"/>
        </w:rPr>
      </w:pPr>
      <w:r>
        <w:rPr>
          <w:sz w:val="24"/>
          <w:szCs w:val="24"/>
        </w:rPr>
        <w:t>合同订立地点：</w:t>
      </w:r>
      <w:r>
        <w:rPr>
          <w:sz w:val="24"/>
          <w:szCs w:val="24"/>
          <w:u w:val="single"/>
        </w:rPr>
        <w:t xml:space="preserve">                           </w:t>
      </w:r>
    </w:p>
    <w:p w14:paraId="34BF56ED">
      <w:pPr>
        <w:adjustRightInd w:val="0"/>
        <w:snapToGrid w:val="0"/>
        <w:spacing w:line="360" w:lineRule="auto"/>
        <w:ind w:firstLine="448" w:firstLineChars="200"/>
      </w:pPr>
      <w:r>
        <w:rPr>
          <w:sz w:val="24"/>
          <w:szCs w:val="24"/>
        </w:rPr>
        <w:t>附件：具体标的及其技术要求和商务要求、联合协议、分包意向协议等。</w:t>
      </w:r>
    </w:p>
    <w:tbl>
      <w:tblPr>
        <w:tblStyle w:val="18"/>
        <w:tblW w:w="4927" w:type="pct"/>
        <w:jc w:val="center"/>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Layout w:type="autofit"/>
        <w:tblCellMar>
          <w:top w:w="0" w:type="dxa"/>
          <w:left w:w="108" w:type="dxa"/>
          <w:bottom w:w="0" w:type="dxa"/>
          <w:right w:w="108" w:type="dxa"/>
        </w:tblCellMar>
      </w:tblPr>
      <w:tblGrid>
        <w:gridCol w:w="1892"/>
        <w:gridCol w:w="2413"/>
        <w:gridCol w:w="1980"/>
        <w:gridCol w:w="2118"/>
      </w:tblGrid>
      <w:tr w14:paraId="330A6814">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90" w:hRule="atLeast"/>
          <w:jc w:val="center"/>
        </w:trPr>
        <w:tc>
          <w:tcPr>
            <w:tcW w:w="2562" w:type="pct"/>
            <w:gridSpan w:val="2"/>
            <w:tcBorders>
              <w:top w:val="single" w:color="auto" w:sz="4" w:space="0"/>
              <w:left w:val="single" w:color="auto" w:sz="4" w:space="0"/>
              <w:bottom w:val="single" w:color="auto" w:sz="2" w:space="0"/>
              <w:right w:val="single" w:color="auto" w:sz="2" w:space="0"/>
            </w:tcBorders>
            <w:vAlign w:val="center"/>
          </w:tcPr>
          <w:p w14:paraId="792CE94D">
            <w:pPr>
              <w:adjustRightInd w:val="0"/>
              <w:snapToGrid w:val="0"/>
              <w:spacing w:line="300" w:lineRule="exact"/>
              <w:jc w:val="center"/>
              <w:rPr>
                <w:szCs w:val="24"/>
              </w:rPr>
            </w:pPr>
            <w:r>
              <w:rPr>
                <w:szCs w:val="21"/>
              </w:rPr>
              <w:t>甲方（采购人、受采购人委托签订合同的单位或采购文件约定的合同甲方）</w:t>
            </w:r>
          </w:p>
        </w:tc>
        <w:tc>
          <w:tcPr>
            <w:tcW w:w="2437" w:type="pct"/>
            <w:gridSpan w:val="2"/>
            <w:tcBorders>
              <w:top w:val="single" w:color="auto" w:sz="4" w:space="0"/>
              <w:left w:val="single" w:color="auto" w:sz="2" w:space="0"/>
              <w:bottom w:val="single" w:color="auto" w:sz="2" w:space="0"/>
              <w:right w:val="single" w:color="auto" w:sz="4" w:space="0"/>
            </w:tcBorders>
            <w:vAlign w:val="center"/>
          </w:tcPr>
          <w:p w14:paraId="638B6B2B">
            <w:pPr>
              <w:adjustRightInd w:val="0"/>
              <w:snapToGrid w:val="0"/>
              <w:spacing w:line="300" w:lineRule="exact"/>
              <w:jc w:val="center"/>
              <w:rPr>
                <w:szCs w:val="24"/>
              </w:rPr>
            </w:pPr>
            <w:r>
              <w:rPr>
                <w:szCs w:val="21"/>
              </w:rPr>
              <w:t>乙方（供应商）</w:t>
            </w:r>
          </w:p>
        </w:tc>
      </w:tr>
      <w:tr w14:paraId="2CD0F63F">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917"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4D0515C9">
            <w:pPr>
              <w:adjustRightInd w:val="0"/>
              <w:snapToGrid w:val="0"/>
              <w:spacing w:line="300" w:lineRule="exact"/>
              <w:jc w:val="center"/>
              <w:rPr>
                <w:szCs w:val="21"/>
              </w:rPr>
            </w:pPr>
            <w:r>
              <w:rPr>
                <w:szCs w:val="21"/>
              </w:rPr>
              <w:t>单位名称（公章或合同章）</w:t>
            </w:r>
          </w:p>
        </w:tc>
        <w:tc>
          <w:tcPr>
            <w:tcW w:w="1436" w:type="pct"/>
            <w:tcBorders>
              <w:top w:val="single" w:color="auto" w:sz="2" w:space="0"/>
              <w:left w:val="single" w:color="auto" w:sz="2" w:space="0"/>
              <w:bottom w:val="single" w:color="auto" w:sz="2" w:space="0"/>
              <w:right w:val="single" w:color="auto" w:sz="2" w:space="0"/>
            </w:tcBorders>
            <w:vAlign w:val="center"/>
          </w:tcPr>
          <w:p w14:paraId="01E57940">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674324C5">
            <w:pPr>
              <w:adjustRightInd w:val="0"/>
              <w:snapToGrid w:val="0"/>
              <w:spacing w:line="300" w:lineRule="exact"/>
              <w:jc w:val="center"/>
              <w:rPr>
                <w:szCs w:val="21"/>
              </w:rPr>
            </w:pPr>
            <w:r>
              <w:rPr>
                <w:szCs w:val="21"/>
              </w:rPr>
              <w:t>单位名称（公章或合同章）</w:t>
            </w:r>
          </w:p>
        </w:tc>
        <w:tc>
          <w:tcPr>
            <w:tcW w:w="1259" w:type="pct"/>
            <w:tcBorders>
              <w:top w:val="single" w:color="auto" w:sz="2" w:space="0"/>
              <w:left w:val="single" w:color="auto" w:sz="2" w:space="0"/>
              <w:bottom w:val="single" w:color="auto" w:sz="2" w:space="0"/>
              <w:right w:val="single" w:color="auto" w:sz="4" w:space="0"/>
            </w:tcBorders>
            <w:vAlign w:val="center"/>
          </w:tcPr>
          <w:p w14:paraId="730E8547">
            <w:pPr>
              <w:adjustRightInd w:val="0"/>
              <w:snapToGrid w:val="0"/>
              <w:spacing w:line="300" w:lineRule="exact"/>
              <w:jc w:val="center"/>
              <w:rPr>
                <w:spacing w:val="20"/>
                <w:szCs w:val="21"/>
              </w:rPr>
            </w:pPr>
          </w:p>
        </w:tc>
      </w:tr>
      <w:tr w14:paraId="51476ED9">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1171" w:hRule="atLeast"/>
          <w:jc w:val="center"/>
        </w:trPr>
        <w:tc>
          <w:tcPr>
            <w:tcW w:w="1126" w:type="pct"/>
            <w:vMerge w:val="restart"/>
            <w:tcBorders>
              <w:top w:val="single" w:color="auto" w:sz="2" w:space="0"/>
              <w:left w:val="single" w:color="auto" w:sz="4" w:space="0"/>
              <w:bottom w:val="single" w:color="auto" w:sz="2" w:space="0"/>
              <w:right w:val="single" w:color="auto" w:sz="2" w:space="0"/>
            </w:tcBorders>
            <w:vAlign w:val="center"/>
          </w:tcPr>
          <w:p w14:paraId="6939B149">
            <w:pPr>
              <w:adjustRightInd w:val="0"/>
              <w:snapToGrid w:val="0"/>
              <w:spacing w:line="300" w:lineRule="exact"/>
              <w:jc w:val="center"/>
              <w:rPr>
                <w:szCs w:val="21"/>
              </w:rPr>
            </w:pPr>
            <w:r>
              <w:rPr>
                <w:szCs w:val="21"/>
              </w:rPr>
              <w:t>法定代表人</w:t>
            </w:r>
          </w:p>
          <w:p w14:paraId="5816A510">
            <w:pPr>
              <w:adjustRightInd w:val="0"/>
              <w:snapToGrid w:val="0"/>
              <w:spacing w:line="300" w:lineRule="exact"/>
              <w:ind w:firstLine="93" w:firstLineChars="48"/>
              <w:jc w:val="center"/>
              <w:rPr>
                <w:szCs w:val="21"/>
              </w:rPr>
            </w:pPr>
            <w:r>
              <w:rPr>
                <w:szCs w:val="21"/>
              </w:rPr>
              <w:t>或其委托代理人（签章）</w:t>
            </w:r>
          </w:p>
        </w:tc>
        <w:tc>
          <w:tcPr>
            <w:tcW w:w="1436" w:type="pct"/>
            <w:vMerge w:val="restart"/>
            <w:tcBorders>
              <w:top w:val="single" w:color="auto" w:sz="2" w:space="0"/>
              <w:left w:val="single" w:color="auto" w:sz="2" w:space="0"/>
              <w:bottom w:val="single" w:color="auto" w:sz="2" w:space="0"/>
              <w:right w:val="single" w:color="auto" w:sz="2" w:space="0"/>
            </w:tcBorders>
            <w:vAlign w:val="center"/>
          </w:tcPr>
          <w:p w14:paraId="698B610B">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7C25FBB3">
            <w:pPr>
              <w:adjustRightInd w:val="0"/>
              <w:snapToGrid w:val="0"/>
              <w:spacing w:line="300" w:lineRule="exact"/>
              <w:jc w:val="center"/>
              <w:rPr>
                <w:szCs w:val="21"/>
              </w:rPr>
            </w:pPr>
            <w:r>
              <w:rPr>
                <w:szCs w:val="21"/>
              </w:rPr>
              <w:t>法定代表人</w:t>
            </w:r>
          </w:p>
          <w:p w14:paraId="416949A3">
            <w:pPr>
              <w:adjustRightInd w:val="0"/>
              <w:snapToGrid w:val="0"/>
              <w:spacing w:line="300" w:lineRule="exact"/>
              <w:jc w:val="center"/>
              <w:rPr>
                <w:szCs w:val="21"/>
              </w:rPr>
            </w:pPr>
            <w:r>
              <w:rPr>
                <w:szCs w:val="21"/>
              </w:rPr>
              <w:t>或其委托代理人（签章）</w:t>
            </w:r>
          </w:p>
        </w:tc>
        <w:tc>
          <w:tcPr>
            <w:tcW w:w="1259" w:type="pct"/>
            <w:tcBorders>
              <w:top w:val="single" w:color="auto" w:sz="2" w:space="0"/>
              <w:left w:val="single" w:color="auto" w:sz="2" w:space="0"/>
              <w:bottom w:val="single" w:color="auto" w:sz="2" w:space="0"/>
              <w:right w:val="single" w:color="auto" w:sz="4" w:space="0"/>
            </w:tcBorders>
            <w:vAlign w:val="center"/>
          </w:tcPr>
          <w:p w14:paraId="6488C880">
            <w:pPr>
              <w:adjustRightInd w:val="0"/>
              <w:snapToGrid w:val="0"/>
              <w:spacing w:line="300" w:lineRule="exact"/>
              <w:jc w:val="center"/>
              <w:rPr>
                <w:szCs w:val="21"/>
              </w:rPr>
            </w:pPr>
          </w:p>
        </w:tc>
      </w:tr>
      <w:tr w14:paraId="7B186040">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0" w:type="auto"/>
            <w:vMerge w:val="continue"/>
            <w:tcBorders>
              <w:top w:val="single" w:color="auto" w:sz="2" w:space="0"/>
              <w:left w:val="single" w:color="auto" w:sz="4" w:space="0"/>
              <w:bottom w:val="single" w:color="auto" w:sz="2" w:space="0"/>
              <w:right w:val="single" w:color="auto" w:sz="2" w:space="0"/>
            </w:tcBorders>
            <w:vAlign w:val="center"/>
          </w:tcPr>
          <w:p w14:paraId="5078F85F">
            <w:pPr>
              <w:widowControl/>
              <w:jc w:val="left"/>
              <w:rPr>
                <w:szCs w:val="21"/>
              </w:rPr>
            </w:pPr>
          </w:p>
        </w:tc>
        <w:tc>
          <w:tcPr>
            <w:tcW w:w="0" w:type="auto"/>
            <w:vMerge w:val="continue"/>
            <w:tcBorders>
              <w:top w:val="single" w:color="auto" w:sz="2" w:space="0"/>
              <w:left w:val="single" w:color="auto" w:sz="2" w:space="0"/>
              <w:bottom w:val="single" w:color="auto" w:sz="2" w:space="0"/>
              <w:right w:val="single" w:color="auto" w:sz="2" w:space="0"/>
            </w:tcBorders>
            <w:vAlign w:val="center"/>
          </w:tcPr>
          <w:p w14:paraId="546AB090">
            <w:pPr>
              <w:widowControl/>
              <w:jc w:val="left"/>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533D05DB">
            <w:pPr>
              <w:adjustRightInd w:val="0"/>
              <w:snapToGrid w:val="0"/>
              <w:spacing w:line="300" w:lineRule="exact"/>
              <w:jc w:val="center"/>
              <w:rPr>
                <w:szCs w:val="21"/>
              </w:rPr>
            </w:pPr>
            <w:r>
              <w:rPr>
                <w:szCs w:val="21"/>
              </w:rPr>
              <w:t>拥有者性别</w:t>
            </w:r>
          </w:p>
        </w:tc>
        <w:tc>
          <w:tcPr>
            <w:tcW w:w="1259" w:type="pct"/>
            <w:tcBorders>
              <w:top w:val="single" w:color="auto" w:sz="2" w:space="0"/>
              <w:left w:val="single" w:color="auto" w:sz="2" w:space="0"/>
              <w:bottom w:val="single" w:color="auto" w:sz="2" w:space="0"/>
              <w:right w:val="single" w:color="auto" w:sz="4" w:space="0"/>
            </w:tcBorders>
            <w:vAlign w:val="center"/>
          </w:tcPr>
          <w:p w14:paraId="00DABF73">
            <w:pPr>
              <w:adjustRightInd w:val="0"/>
              <w:snapToGrid w:val="0"/>
              <w:spacing w:line="300" w:lineRule="exact"/>
              <w:jc w:val="center"/>
              <w:rPr>
                <w:spacing w:val="20"/>
                <w:szCs w:val="21"/>
              </w:rPr>
            </w:pPr>
          </w:p>
        </w:tc>
      </w:tr>
      <w:tr w14:paraId="1BD2128C">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6076F80C">
            <w:pPr>
              <w:adjustRightInd w:val="0"/>
              <w:snapToGrid w:val="0"/>
              <w:spacing w:line="300" w:lineRule="exact"/>
              <w:jc w:val="center"/>
              <w:rPr>
                <w:szCs w:val="21"/>
              </w:rPr>
            </w:pPr>
            <w:r>
              <w:rPr>
                <w:szCs w:val="21"/>
              </w:rPr>
              <w:t>住  所</w:t>
            </w:r>
          </w:p>
        </w:tc>
        <w:tc>
          <w:tcPr>
            <w:tcW w:w="1436" w:type="pct"/>
            <w:tcBorders>
              <w:top w:val="single" w:color="auto" w:sz="2" w:space="0"/>
              <w:left w:val="single" w:color="auto" w:sz="2" w:space="0"/>
              <w:bottom w:val="single" w:color="auto" w:sz="2" w:space="0"/>
              <w:right w:val="single" w:color="auto" w:sz="2" w:space="0"/>
            </w:tcBorders>
            <w:vAlign w:val="center"/>
          </w:tcPr>
          <w:p w14:paraId="5A8DD0B1">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30F657E4">
            <w:pPr>
              <w:adjustRightInd w:val="0"/>
              <w:snapToGrid w:val="0"/>
              <w:spacing w:line="300" w:lineRule="exact"/>
              <w:jc w:val="center"/>
              <w:rPr>
                <w:szCs w:val="21"/>
              </w:rPr>
            </w:pPr>
            <w:r>
              <w:rPr>
                <w:szCs w:val="21"/>
              </w:rPr>
              <w:t>住  所</w:t>
            </w:r>
          </w:p>
        </w:tc>
        <w:tc>
          <w:tcPr>
            <w:tcW w:w="1259" w:type="pct"/>
            <w:tcBorders>
              <w:top w:val="single" w:color="auto" w:sz="2" w:space="0"/>
              <w:left w:val="single" w:color="auto" w:sz="2" w:space="0"/>
              <w:bottom w:val="single" w:color="auto" w:sz="2" w:space="0"/>
              <w:right w:val="single" w:color="auto" w:sz="4" w:space="0"/>
            </w:tcBorders>
            <w:vAlign w:val="center"/>
          </w:tcPr>
          <w:p w14:paraId="5B2ECA09">
            <w:pPr>
              <w:adjustRightInd w:val="0"/>
              <w:snapToGrid w:val="0"/>
              <w:spacing w:line="300" w:lineRule="exact"/>
              <w:jc w:val="center"/>
              <w:rPr>
                <w:spacing w:val="20"/>
                <w:szCs w:val="21"/>
              </w:rPr>
            </w:pPr>
          </w:p>
        </w:tc>
      </w:tr>
      <w:tr w14:paraId="616F4B9C">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1052692A">
            <w:pPr>
              <w:adjustRightInd w:val="0"/>
              <w:snapToGrid w:val="0"/>
              <w:spacing w:line="300" w:lineRule="exact"/>
              <w:jc w:val="center"/>
              <w:rPr>
                <w:szCs w:val="21"/>
              </w:rPr>
            </w:pPr>
            <w:r>
              <w:rPr>
                <w:szCs w:val="21"/>
              </w:rPr>
              <w:t>联 系 人</w:t>
            </w:r>
          </w:p>
        </w:tc>
        <w:tc>
          <w:tcPr>
            <w:tcW w:w="1436" w:type="pct"/>
            <w:tcBorders>
              <w:top w:val="single" w:color="auto" w:sz="2" w:space="0"/>
              <w:left w:val="single" w:color="auto" w:sz="2" w:space="0"/>
              <w:bottom w:val="single" w:color="auto" w:sz="2" w:space="0"/>
              <w:right w:val="single" w:color="auto" w:sz="2" w:space="0"/>
            </w:tcBorders>
            <w:vAlign w:val="center"/>
          </w:tcPr>
          <w:p w14:paraId="1B5CD7CA">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33E45E0D">
            <w:pPr>
              <w:adjustRightInd w:val="0"/>
              <w:snapToGrid w:val="0"/>
              <w:spacing w:line="300" w:lineRule="exact"/>
              <w:jc w:val="center"/>
              <w:rPr>
                <w:szCs w:val="21"/>
              </w:rPr>
            </w:pPr>
            <w:r>
              <w:rPr>
                <w:szCs w:val="21"/>
              </w:rPr>
              <w:t>联 系 人</w:t>
            </w:r>
          </w:p>
        </w:tc>
        <w:tc>
          <w:tcPr>
            <w:tcW w:w="1259" w:type="pct"/>
            <w:tcBorders>
              <w:top w:val="single" w:color="auto" w:sz="2" w:space="0"/>
              <w:left w:val="single" w:color="auto" w:sz="2" w:space="0"/>
              <w:bottom w:val="single" w:color="auto" w:sz="2" w:space="0"/>
              <w:right w:val="single" w:color="auto" w:sz="4" w:space="0"/>
            </w:tcBorders>
            <w:vAlign w:val="center"/>
          </w:tcPr>
          <w:p w14:paraId="773254E4">
            <w:pPr>
              <w:adjustRightInd w:val="0"/>
              <w:snapToGrid w:val="0"/>
              <w:spacing w:line="300" w:lineRule="exact"/>
              <w:jc w:val="center"/>
              <w:rPr>
                <w:spacing w:val="20"/>
                <w:szCs w:val="21"/>
              </w:rPr>
            </w:pPr>
          </w:p>
        </w:tc>
      </w:tr>
      <w:tr w14:paraId="10F12DE6">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408BCD8D">
            <w:pPr>
              <w:adjustRightInd w:val="0"/>
              <w:snapToGrid w:val="0"/>
              <w:spacing w:line="300" w:lineRule="exact"/>
              <w:jc w:val="center"/>
              <w:rPr>
                <w:szCs w:val="21"/>
              </w:rPr>
            </w:pPr>
            <w:r>
              <w:rPr>
                <w:szCs w:val="21"/>
              </w:rPr>
              <w:t>联系电话</w:t>
            </w:r>
          </w:p>
        </w:tc>
        <w:tc>
          <w:tcPr>
            <w:tcW w:w="1436" w:type="pct"/>
            <w:tcBorders>
              <w:top w:val="single" w:color="auto" w:sz="2" w:space="0"/>
              <w:left w:val="single" w:color="auto" w:sz="2" w:space="0"/>
              <w:bottom w:val="single" w:color="auto" w:sz="2" w:space="0"/>
              <w:right w:val="single" w:color="auto" w:sz="2" w:space="0"/>
            </w:tcBorders>
            <w:vAlign w:val="center"/>
          </w:tcPr>
          <w:p w14:paraId="428E4CED">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41B8592B">
            <w:pPr>
              <w:adjustRightInd w:val="0"/>
              <w:snapToGrid w:val="0"/>
              <w:spacing w:line="300" w:lineRule="exact"/>
              <w:jc w:val="center"/>
              <w:rPr>
                <w:szCs w:val="21"/>
              </w:rPr>
            </w:pPr>
            <w:r>
              <w:rPr>
                <w:szCs w:val="21"/>
              </w:rPr>
              <w:t>联系电话</w:t>
            </w:r>
          </w:p>
        </w:tc>
        <w:tc>
          <w:tcPr>
            <w:tcW w:w="1259" w:type="pct"/>
            <w:tcBorders>
              <w:top w:val="single" w:color="auto" w:sz="2" w:space="0"/>
              <w:left w:val="single" w:color="auto" w:sz="2" w:space="0"/>
              <w:bottom w:val="single" w:color="auto" w:sz="2" w:space="0"/>
              <w:right w:val="single" w:color="auto" w:sz="4" w:space="0"/>
            </w:tcBorders>
            <w:vAlign w:val="center"/>
          </w:tcPr>
          <w:p w14:paraId="5FE071DF">
            <w:pPr>
              <w:adjustRightInd w:val="0"/>
              <w:snapToGrid w:val="0"/>
              <w:spacing w:line="300" w:lineRule="exact"/>
              <w:jc w:val="center"/>
              <w:rPr>
                <w:spacing w:val="20"/>
                <w:szCs w:val="21"/>
              </w:rPr>
            </w:pPr>
          </w:p>
        </w:tc>
      </w:tr>
      <w:tr w14:paraId="607E980B">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6B733087">
            <w:pPr>
              <w:adjustRightInd w:val="0"/>
              <w:snapToGrid w:val="0"/>
              <w:spacing w:line="300" w:lineRule="exact"/>
              <w:jc w:val="center"/>
              <w:rPr>
                <w:szCs w:val="21"/>
              </w:rPr>
            </w:pPr>
            <w:r>
              <w:rPr>
                <w:szCs w:val="21"/>
              </w:rPr>
              <w:t>通信地址</w:t>
            </w:r>
          </w:p>
        </w:tc>
        <w:tc>
          <w:tcPr>
            <w:tcW w:w="1436" w:type="pct"/>
            <w:tcBorders>
              <w:top w:val="single" w:color="auto" w:sz="2" w:space="0"/>
              <w:left w:val="single" w:color="auto" w:sz="2" w:space="0"/>
              <w:bottom w:val="single" w:color="auto" w:sz="2" w:space="0"/>
              <w:right w:val="single" w:color="auto" w:sz="2" w:space="0"/>
            </w:tcBorders>
            <w:vAlign w:val="center"/>
          </w:tcPr>
          <w:p w14:paraId="79FFFEDD">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152B72F2">
            <w:pPr>
              <w:adjustRightInd w:val="0"/>
              <w:snapToGrid w:val="0"/>
              <w:spacing w:line="300" w:lineRule="exact"/>
              <w:jc w:val="center"/>
              <w:rPr>
                <w:szCs w:val="21"/>
              </w:rPr>
            </w:pPr>
            <w:r>
              <w:rPr>
                <w:szCs w:val="21"/>
              </w:rPr>
              <w:t>通信地址</w:t>
            </w:r>
          </w:p>
        </w:tc>
        <w:tc>
          <w:tcPr>
            <w:tcW w:w="1259" w:type="pct"/>
            <w:tcBorders>
              <w:top w:val="single" w:color="auto" w:sz="2" w:space="0"/>
              <w:left w:val="single" w:color="auto" w:sz="2" w:space="0"/>
              <w:bottom w:val="single" w:color="auto" w:sz="2" w:space="0"/>
              <w:right w:val="single" w:color="auto" w:sz="4" w:space="0"/>
            </w:tcBorders>
            <w:vAlign w:val="center"/>
          </w:tcPr>
          <w:p w14:paraId="10735ADF">
            <w:pPr>
              <w:adjustRightInd w:val="0"/>
              <w:snapToGrid w:val="0"/>
              <w:spacing w:line="300" w:lineRule="exact"/>
              <w:jc w:val="center"/>
              <w:rPr>
                <w:spacing w:val="20"/>
                <w:szCs w:val="21"/>
              </w:rPr>
            </w:pPr>
          </w:p>
        </w:tc>
      </w:tr>
      <w:tr w14:paraId="4537D154">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184FF96C">
            <w:pPr>
              <w:adjustRightInd w:val="0"/>
              <w:snapToGrid w:val="0"/>
              <w:spacing w:line="300" w:lineRule="exact"/>
              <w:jc w:val="center"/>
              <w:rPr>
                <w:szCs w:val="21"/>
              </w:rPr>
            </w:pPr>
            <w:r>
              <w:rPr>
                <w:szCs w:val="21"/>
              </w:rPr>
              <w:t>邮政编码</w:t>
            </w:r>
          </w:p>
        </w:tc>
        <w:tc>
          <w:tcPr>
            <w:tcW w:w="1436" w:type="pct"/>
            <w:tcBorders>
              <w:top w:val="single" w:color="auto" w:sz="2" w:space="0"/>
              <w:left w:val="single" w:color="auto" w:sz="2" w:space="0"/>
              <w:bottom w:val="single" w:color="auto" w:sz="2" w:space="0"/>
              <w:right w:val="single" w:color="auto" w:sz="2" w:space="0"/>
            </w:tcBorders>
            <w:vAlign w:val="center"/>
          </w:tcPr>
          <w:p w14:paraId="0BBA46BD">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0C4C54AB">
            <w:pPr>
              <w:adjustRightInd w:val="0"/>
              <w:snapToGrid w:val="0"/>
              <w:spacing w:line="300" w:lineRule="exact"/>
              <w:jc w:val="center"/>
              <w:rPr>
                <w:szCs w:val="21"/>
              </w:rPr>
            </w:pPr>
            <w:r>
              <w:rPr>
                <w:szCs w:val="21"/>
              </w:rPr>
              <w:t>邮政编码</w:t>
            </w:r>
          </w:p>
        </w:tc>
        <w:tc>
          <w:tcPr>
            <w:tcW w:w="1259" w:type="pct"/>
            <w:tcBorders>
              <w:top w:val="single" w:color="auto" w:sz="2" w:space="0"/>
              <w:left w:val="single" w:color="auto" w:sz="2" w:space="0"/>
              <w:bottom w:val="single" w:color="auto" w:sz="2" w:space="0"/>
              <w:right w:val="single" w:color="auto" w:sz="4" w:space="0"/>
            </w:tcBorders>
            <w:vAlign w:val="center"/>
          </w:tcPr>
          <w:p w14:paraId="19A94A1D">
            <w:pPr>
              <w:adjustRightInd w:val="0"/>
              <w:snapToGrid w:val="0"/>
              <w:spacing w:line="300" w:lineRule="exact"/>
              <w:jc w:val="center"/>
              <w:rPr>
                <w:spacing w:val="20"/>
                <w:szCs w:val="21"/>
              </w:rPr>
            </w:pPr>
          </w:p>
        </w:tc>
      </w:tr>
      <w:tr w14:paraId="1C764315">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3ABB5691">
            <w:pPr>
              <w:adjustRightInd w:val="0"/>
              <w:snapToGrid w:val="0"/>
              <w:spacing w:line="300" w:lineRule="exact"/>
              <w:jc w:val="center"/>
              <w:rPr>
                <w:szCs w:val="21"/>
              </w:rPr>
            </w:pPr>
            <w:r>
              <w:rPr>
                <w:szCs w:val="21"/>
              </w:rPr>
              <w:t>电子邮箱</w:t>
            </w:r>
          </w:p>
        </w:tc>
        <w:tc>
          <w:tcPr>
            <w:tcW w:w="1436" w:type="pct"/>
            <w:tcBorders>
              <w:top w:val="single" w:color="auto" w:sz="2" w:space="0"/>
              <w:left w:val="single" w:color="auto" w:sz="2" w:space="0"/>
              <w:bottom w:val="single" w:color="auto" w:sz="2" w:space="0"/>
              <w:right w:val="single" w:color="auto" w:sz="2" w:space="0"/>
            </w:tcBorders>
            <w:vAlign w:val="center"/>
          </w:tcPr>
          <w:p w14:paraId="59C78114">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73C6B6B2">
            <w:pPr>
              <w:adjustRightInd w:val="0"/>
              <w:snapToGrid w:val="0"/>
              <w:spacing w:line="300" w:lineRule="exact"/>
              <w:jc w:val="center"/>
              <w:rPr>
                <w:szCs w:val="21"/>
              </w:rPr>
            </w:pPr>
            <w:r>
              <w:rPr>
                <w:szCs w:val="21"/>
              </w:rPr>
              <w:t>电子邮箱</w:t>
            </w:r>
          </w:p>
        </w:tc>
        <w:tc>
          <w:tcPr>
            <w:tcW w:w="1259" w:type="pct"/>
            <w:tcBorders>
              <w:top w:val="single" w:color="auto" w:sz="2" w:space="0"/>
              <w:left w:val="single" w:color="auto" w:sz="2" w:space="0"/>
              <w:bottom w:val="single" w:color="auto" w:sz="2" w:space="0"/>
              <w:right w:val="single" w:color="auto" w:sz="4" w:space="0"/>
            </w:tcBorders>
            <w:vAlign w:val="center"/>
          </w:tcPr>
          <w:p w14:paraId="52301739">
            <w:pPr>
              <w:adjustRightInd w:val="0"/>
              <w:snapToGrid w:val="0"/>
              <w:spacing w:line="300" w:lineRule="exact"/>
              <w:jc w:val="center"/>
              <w:rPr>
                <w:spacing w:val="20"/>
                <w:szCs w:val="21"/>
              </w:rPr>
            </w:pPr>
          </w:p>
        </w:tc>
      </w:tr>
      <w:tr w14:paraId="7AFB989D">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10A7462B">
            <w:pPr>
              <w:adjustRightInd w:val="0"/>
              <w:snapToGrid w:val="0"/>
              <w:spacing w:line="300" w:lineRule="exact"/>
              <w:jc w:val="center"/>
              <w:rPr>
                <w:szCs w:val="21"/>
              </w:rPr>
            </w:pPr>
            <w:r>
              <w:rPr>
                <w:szCs w:val="21"/>
              </w:rPr>
              <w:t>统一社会信用代码</w:t>
            </w:r>
          </w:p>
        </w:tc>
        <w:tc>
          <w:tcPr>
            <w:tcW w:w="1436" w:type="pct"/>
            <w:tcBorders>
              <w:top w:val="single" w:color="auto" w:sz="2" w:space="0"/>
              <w:left w:val="single" w:color="auto" w:sz="2" w:space="0"/>
              <w:bottom w:val="single" w:color="auto" w:sz="2" w:space="0"/>
              <w:right w:val="single" w:color="auto" w:sz="2" w:space="0"/>
            </w:tcBorders>
            <w:vAlign w:val="center"/>
          </w:tcPr>
          <w:p w14:paraId="16F9BB6B">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7DD2FE04">
            <w:pPr>
              <w:adjustRightInd w:val="0"/>
              <w:snapToGrid w:val="0"/>
              <w:spacing w:line="300" w:lineRule="exact"/>
              <w:jc w:val="center"/>
              <w:rPr>
                <w:szCs w:val="21"/>
              </w:rPr>
            </w:pPr>
            <w:r>
              <w:rPr>
                <w:szCs w:val="21"/>
              </w:rPr>
              <w:t>统一社会信用代码</w:t>
            </w:r>
          </w:p>
        </w:tc>
        <w:tc>
          <w:tcPr>
            <w:tcW w:w="1259" w:type="pct"/>
            <w:tcBorders>
              <w:top w:val="single" w:color="auto" w:sz="2" w:space="0"/>
              <w:left w:val="single" w:color="auto" w:sz="2" w:space="0"/>
              <w:bottom w:val="single" w:color="auto" w:sz="2" w:space="0"/>
              <w:right w:val="single" w:color="auto" w:sz="4" w:space="0"/>
            </w:tcBorders>
            <w:vAlign w:val="center"/>
          </w:tcPr>
          <w:p w14:paraId="1BEB659D">
            <w:pPr>
              <w:adjustRightInd w:val="0"/>
              <w:snapToGrid w:val="0"/>
              <w:spacing w:line="300" w:lineRule="exact"/>
              <w:jc w:val="center"/>
              <w:rPr>
                <w:spacing w:val="20"/>
                <w:szCs w:val="21"/>
              </w:rPr>
            </w:pPr>
          </w:p>
        </w:tc>
      </w:tr>
      <w:tr w14:paraId="4D8DED89">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2F748EAA">
            <w:pPr>
              <w:adjustRightInd w:val="0"/>
              <w:snapToGrid w:val="0"/>
              <w:spacing w:line="300" w:lineRule="exact"/>
              <w:jc w:val="center"/>
              <w:rPr>
                <w:szCs w:val="21"/>
              </w:rPr>
            </w:pPr>
          </w:p>
        </w:tc>
        <w:tc>
          <w:tcPr>
            <w:tcW w:w="1436" w:type="pct"/>
            <w:tcBorders>
              <w:top w:val="single" w:color="auto" w:sz="2" w:space="0"/>
              <w:left w:val="single" w:color="auto" w:sz="2" w:space="0"/>
              <w:bottom w:val="single" w:color="auto" w:sz="2" w:space="0"/>
              <w:right w:val="single" w:color="auto" w:sz="2" w:space="0"/>
            </w:tcBorders>
            <w:vAlign w:val="center"/>
          </w:tcPr>
          <w:p w14:paraId="550A4903">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1E905A5D">
            <w:pPr>
              <w:adjustRightInd w:val="0"/>
              <w:snapToGrid w:val="0"/>
              <w:spacing w:line="300" w:lineRule="exact"/>
              <w:jc w:val="center"/>
              <w:rPr>
                <w:szCs w:val="21"/>
              </w:rPr>
            </w:pPr>
            <w:r>
              <w:rPr>
                <w:szCs w:val="21"/>
              </w:rPr>
              <w:t>开户名称</w:t>
            </w:r>
          </w:p>
        </w:tc>
        <w:tc>
          <w:tcPr>
            <w:tcW w:w="1259" w:type="pct"/>
            <w:tcBorders>
              <w:top w:val="single" w:color="auto" w:sz="2" w:space="0"/>
              <w:left w:val="single" w:color="auto" w:sz="2" w:space="0"/>
              <w:bottom w:val="single" w:color="auto" w:sz="2" w:space="0"/>
              <w:right w:val="single" w:color="auto" w:sz="4" w:space="0"/>
            </w:tcBorders>
            <w:vAlign w:val="center"/>
          </w:tcPr>
          <w:p w14:paraId="1128C961">
            <w:pPr>
              <w:adjustRightInd w:val="0"/>
              <w:snapToGrid w:val="0"/>
              <w:spacing w:line="300" w:lineRule="exact"/>
              <w:jc w:val="center"/>
              <w:rPr>
                <w:spacing w:val="20"/>
                <w:szCs w:val="21"/>
              </w:rPr>
            </w:pPr>
          </w:p>
        </w:tc>
      </w:tr>
      <w:tr w14:paraId="1C3BD6C2">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6A661417">
            <w:pPr>
              <w:adjustRightInd w:val="0"/>
              <w:snapToGrid w:val="0"/>
              <w:spacing w:line="300" w:lineRule="exact"/>
              <w:jc w:val="center"/>
              <w:rPr>
                <w:szCs w:val="21"/>
              </w:rPr>
            </w:pPr>
          </w:p>
        </w:tc>
        <w:tc>
          <w:tcPr>
            <w:tcW w:w="1436" w:type="pct"/>
            <w:tcBorders>
              <w:top w:val="single" w:color="auto" w:sz="2" w:space="0"/>
              <w:left w:val="single" w:color="auto" w:sz="2" w:space="0"/>
              <w:bottom w:val="single" w:color="auto" w:sz="2" w:space="0"/>
              <w:right w:val="single" w:color="auto" w:sz="2" w:space="0"/>
            </w:tcBorders>
            <w:vAlign w:val="center"/>
          </w:tcPr>
          <w:p w14:paraId="7B4FBB54">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7796088C">
            <w:pPr>
              <w:adjustRightInd w:val="0"/>
              <w:snapToGrid w:val="0"/>
              <w:spacing w:line="300" w:lineRule="exact"/>
              <w:jc w:val="center"/>
              <w:rPr>
                <w:szCs w:val="21"/>
              </w:rPr>
            </w:pPr>
            <w:r>
              <w:rPr>
                <w:szCs w:val="21"/>
              </w:rPr>
              <w:t>开户银行</w:t>
            </w:r>
          </w:p>
        </w:tc>
        <w:tc>
          <w:tcPr>
            <w:tcW w:w="1259" w:type="pct"/>
            <w:tcBorders>
              <w:top w:val="single" w:color="auto" w:sz="2" w:space="0"/>
              <w:left w:val="single" w:color="auto" w:sz="2" w:space="0"/>
              <w:bottom w:val="single" w:color="auto" w:sz="2" w:space="0"/>
              <w:right w:val="single" w:color="auto" w:sz="4" w:space="0"/>
            </w:tcBorders>
            <w:vAlign w:val="center"/>
          </w:tcPr>
          <w:p w14:paraId="7F5401D6">
            <w:pPr>
              <w:adjustRightInd w:val="0"/>
              <w:snapToGrid w:val="0"/>
              <w:spacing w:line="300" w:lineRule="exact"/>
              <w:jc w:val="center"/>
              <w:rPr>
                <w:spacing w:val="20"/>
                <w:szCs w:val="21"/>
              </w:rPr>
            </w:pPr>
          </w:p>
        </w:tc>
      </w:tr>
      <w:tr w14:paraId="1A88755C">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65F7E973">
            <w:pPr>
              <w:adjustRightInd w:val="0"/>
              <w:snapToGrid w:val="0"/>
              <w:spacing w:line="300" w:lineRule="exact"/>
              <w:jc w:val="center"/>
              <w:rPr>
                <w:szCs w:val="21"/>
              </w:rPr>
            </w:pPr>
          </w:p>
        </w:tc>
        <w:tc>
          <w:tcPr>
            <w:tcW w:w="1436" w:type="pct"/>
            <w:tcBorders>
              <w:top w:val="single" w:color="auto" w:sz="2" w:space="0"/>
              <w:left w:val="single" w:color="auto" w:sz="2" w:space="0"/>
              <w:bottom w:val="single" w:color="auto" w:sz="2" w:space="0"/>
              <w:right w:val="single" w:color="auto" w:sz="2" w:space="0"/>
            </w:tcBorders>
            <w:vAlign w:val="center"/>
          </w:tcPr>
          <w:p w14:paraId="0ACF3619">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4D1927D0">
            <w:pPr>
              <w:adjustRightInd w:val="0"/>
              <w:snapToGrid w:val="0"/>
              <w:spacing w:line="300" w:lineRule="exact"/>
              <w:jc w:val="center"/>
              <w:rPr>
                <w:szCs w:val="21"/>
              </w:rPr>
            </w:pPr>
            <w:r>
              <w:rPr>
                <w:szCs w:val="21"/>
              </w:rPr>
              <w:t>银行账号</w:t>
            </w:r>
          </w:p>
        </w:tc>
        <w:tc>
          <w:tcPr>
            <w:tcW w:w="1259" w:type="pct"/>
            <w:tcBorders>
              <w:top w:val="single" w:color="auto" w:sz="2" w:space="0"/>
              <w:left w:val="single" w:color="auto" w:sz="2" w:space="0"/>
              <w:bottom w:val="single" w:color="auto" w:sz="2" w:space="0"/>
              <w:right w:val="single" w:color="auto" w:sz="4" w:space="0"/>
            </w:tcBorders>
            <w:vAlign w:val="center"/>
          </w:tcPr>
          <w:p w14:paraId="1AFFF8CE">
            <w:pPr>
              <w:adjustRightInd w:val="0"/>
              <w:snapToGrid w:val="0"/>
              <w:spacing w:line="300" w:lineRule="exact"/>
              <w:jc w:val="center"/>
              <w:rPr>
                <w:spacing w:val="20"/>
                <w:szCs w:val="21"/>
              </w:rPr>
            </w:pPr>
          </w:p>
        </w:tc>
      </w:tr>
      <w:tr w14:paraId="154703C5">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586" w:hRule="atLeast"/>
          <w:jc w:val="center"/>
        </w:trPr>
        <w:tc>
          <w:tcPr>
            <w:tcW w:w="5000" w:type="pct"/>
            <w:gridSpan w:val="4"/>
            <w:tcBorders>
              <w:top w:val="single" w:color="auto" w:sz="2" w:space="0"/>
              <w:left w:val="single" w:color="auto" w:sz="4" w:space="0"/>
              <w:bottom w:val="single" w:color="auto" w:sz="4" w:space="0"/>
              <w:right w:val="single" w:color="auto" w:sz="4" w:space="0"/>
            </w:tcBorders>
            <w:vAlign w:val="center"/>
          </w:tcPr>
          <w:p w14:paraId="3A33EDCB">
            <w:pPr>
              <w:pStyle w:val="6"/>
              <w:adjustRightInd w:val="0"/>
              <w:snapToGrid w:val="0"/>
              <w:spacing w:before="142" w:beforeLines="50" w:line="360" w:lineRule="auto"/>
              <w:rPr>
                <w:spacing w:val="20"/>
                <w:szCs w:val="21"/>
              </w:rPr>
            </w:pPr>
            <w:r>
              <w:rPr>
                <w:szCs w:val="21"/>
              </w:rPr>
              <w:t>注：涉及联合体或其他合同主体的信息应按上表格式加列。</w:t>
            </w:r>
          </w:p>
        </w:tc>
      </w:tr>
    </w:tbl>
    <w:p w14:paraId="1E57C1BE">
      <w:pPr>
        <w:pStyle w:val="2"/>
        <w:adjustRightInd w:val="0"/>
        <w:snapToGrid w:val="0"/>
        <w:spacing w:before="142" w:beforeLines="50"/>
        <w:jc w:val="center"/>
        <w:rPr>
          <w:rFonts w:ascii="Times New Roman" w:hAnsi="Times New Roman" w:eastAsia="黑体" w:cs="Times New Roman"/>
          <w:sz w:val="28"/>
          <w:szCs w:val="28"/>
        </w:rPr>
      </w:pPr>
      <w:r>
        <w:rPr>
          <w:rFonts w:ascii="Times New Roman" w:hAnsi="Times New Roman" w:cs="Times New Roman"/>
          <w:b w:val="0"/>
          <w:bCs w:val="0"/>
          <w:szCs w:val="21"/>
          <w:u w:val="single"/>
        </w:rPr>
        <w:br w:type="page"/>
      </w:r>
      <w:bookmarkStart w:id="8" w:name="_Toc27624"/>
      <w:r>
        <w:rPr>
          <w:rFonts w:ascii="Times New Roman" w:hAnsi="Times New Roman" w:eastAsia="黑体" w:cs="Times New Roman"/>
          <w:b w:val="0"/>
          <w:bCs w:val="0"/>
          <w:sz w:val="28"/>
          <w:szCs w:val="28"/>
        </w:rPr>
        <w:t>第二节 政府采购合同通用条款</w:t>
      </w:r>
      <w:bookmarkEnd w:id="8"/>
    </w:p>
    <w:p w14:paraId="059138D1">
      <w:pPr>
        <w:tabs>
          <w:tab w:val="left" w:pos="8820"/>
          <w:tab w:val="left" w:pos="9345"/>
          <w:tab w:val="left" w:pos="9765"/>
        </w:tabs>
        <w:adjustRightInd w:val="0"/>
        <w:snapToGrid w:val="0"/>
        <w:spacing w:line="360" w:lineRule="auto"/>
        <w:ind w:firstLine="448" w:firstLineChars="200"/>
        <w:jc w:val="left"/>
        <w:rPr>
          <w:b/>
          <w:bCs/>
          <w:sz w:val="24"/>
          <w:szCs w:val="24"/>
        </w:rPr>
      </w:pPr>
      <w:r>
        <w:rPr>
          <w:b/>
          <w:sz w:val="24"/>
          <w:szCs w:val="24"/>
        </w:rPr>
        <w:t xml:space="preserve">1. </w:t>
      </w:r>
      <w:r>
        <w:rPr>
          <w:b/>
          <w:bCs/>
          <w:sz w:val="24"/>
          <w:szCs w:val="24"/>
        </w:rPr>
        <w:t>定义</w:t>
      </w:r>
    </w:p>
    <w:p w14:paraId="016DEE0C">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1.1合同当事人</w:t>
      </w:r>
    </w:p>
    <w:p w14:paraId="23A4FAC6">
      <w:pPr>
        <w:autoSpaceDE w:val="0"/>
        <w:autoSpaceDN w:val="0"/>
        <w:adjustRightInd w:val="0"/>
        <w:snapToGrid w:val="0"/>
        <w:spacing w:line="360" w:lineRule="auto"/>
        <w:ind w:firstLine="448" w:firstLineChars="200"/>
        <w:jc w:val="left"/>
        <w:rPr>
          <w:sz w:val="24"/>
          <w:szCs w:val="24"/>
        </w:rPr>
      </w:pPr>
      <w:r>
        <w:rPr>
          <w:sz w:val="24"/>
          <w:szCs w:val="24"/>
        </w:rPr>
        <w:t>（1）采购人（以下称甲方）是指使用财政性资金，通过政府采购方式向供应商购买货物及其相关服务的国家机关、事业单位、团体组织。</w:t>
      </w:r>
    </w:p>
    <w:p w14:paraId="6B18B001">
      <w:pPr>
        <w:autoSpaceDE w:val="0"/>
        <w:autoSpaceDN w:val="0"/>
        <w:adjustRightInd w:val="0"/>
        <w:snapToGrid w:val="0"/>
        <w:spacing w:line="360" w:lineRule="auto"/>
        <w:ind w:firstLine="448" w:firstLineChars="200"/>
        <w:jc w:val="left"/>
        <w:rPr>
          <w:sz w:val="24"/>
          <w:szCs w:val="24"/>
        </w:rPr>
      </w:pPr>
      <w:r>
        <w:rPr>
          <w:sz w:val="24"/>
          <w:szCs w:val="24"/>
        </w:rPr>
        <w:t>（2）供应商（以下称乙方）是指参加政府采购活动并且中标（成交），向采购人提供合同约定的货物及其相关服务的法人、非法人组织或者自然人。</w:t>
      </w:r>
    </w:p>
    <w:p w14:paraId="5674D71D">
      <w:pPr>
        <w:autoSpaceDE w:val="0"/>
        <w:autoSpaceDN w:val="0"/>
        <w:adjustRightInd w:val="0"/>
        <w:snapToGrid w:val="0"/>
        <w:spacing w:line="360" w:lineRule="auto"/>
        <w:ind w:firstLine="448" w:firstLineChars="200"/>
        <w:jc w:val="left"/>
        <w:rPr>
          <w:sz w:val="24"/>
          <w:szCs w:val="24"/>
        </w:rPr>
      </w:pPr>
      <w:r>
        <w:rPr>
          <w:sz w:val="24"/>
          <w:szCs w:val="24"/>
        </w:rPr>
        <w:t>（3）其他合同主体是指除采购人和供应商以外，</w:t>
      </w:r>
      <w:r>
        <w:rPr>
          <w:bCs/>
          <w:color w:val="000000" w:themeColor="text1"/>
          <w:sz w:val="24"/>
          <w:szCs w:val="24"/>
          <w14:textFill>
            <w14:solidFill>
              <w14:schemeClr w14:val="tx1"/>
            </w14:solidFill>
          </w14:textFill>
        </w:rPr>
        <w:t>依法参与合同缔结或履行，享有权利、承担义务的合同当事人</w:t>
      </w:r>
      <w:r>
        <w:rPr>
          <w:sz w:val="24"/>
          <w:szCs w:val="24"/>
        </w:rPr>
        <w:t>。</w:t>
      </w:r>
    </w:p>
    <w:p w14:paraId="5397A08F">
      <w:pPr>
        <w:tabs>
          <w:tab w:val="left" w:pos="570"/>
          <w:tab w:val="left" w:pos="9240"/>
          <w:tab w:val="left" w:pos="9555"/>
        </w:tabs>
        <w:adjustRightInd w:val="0"/>
        <w:snapToGrid w:val="0"/>
        <w:spacing w:line="360" w:lineRule="auto"/>
        <w:ind w:firstLine="448" w:firstLineChars="200"/>
        <w:jc w:val="left"/>
        <w:rPr>
          <w:sz w:val="24"/>
          <w:szCs w:val="24"/>
        </w:rPr>
      </w:pPr>
      <w:r>
        <w:rPr>
          <w:sz w:val="24"/>
          <w:szCs w:val="24"/>
        </w:rPr>
        <w:t>1.2本合同下列术语应解释为：</w:t>
      </w:r>
    </w:p>
    <w:p w14:paraId="184A0B58">
      <w:pPr>
        <w:adjustRightInd w:val="0"/>
        <w:snapToGrid w:val="0"/>
        <w:spacing w:line="360" w:lineRule="auto"/>
        <w:ind w:firstLine="448" w:firstLineChars="200"/>
        <w:jc w:val="left"/>
        <w:rPr>
          <w:sz w:val="24"/>
          <w:szCs w:val="24"/>
        </w:rPr>
      </w:pPr>
      <w:r>
        <w:rPr>
          <w:sz w:val="24"/>
          <w:szCs w:val="24"/>
        </w:rPr>
        <w:t>（1）“合同”系指</w:t>
      </w:r>
      <w:r>
        <w:rPr>
          <w:bCs/>
          <w:color w:val="000000" w:themeColor="text1"/>
          <w:sz w:val="24"/>
          <w:szCs w:val="24"/>
          <w14:textFill>
            <w14:solidFill>
              <w14:schemeClr w14:val="tx1"/>
            </w14:solidFill>
          </w14:textFill>
        </w:rPr>
        <w:t>合同当事人意思表示达成一致的任何协议，包括签署的</w:t>
      </w:r>
      <w:r>
        <w:rPr>
          <w:sz w:val="24"/>
          <w:szCs w:val="24"/>
        </w:rPr>
        <w:t>政府采购合同协议书及其变更、补充协议，政府采购合同专用条款，政府采购合同通用条款，中标（成交）通知书，投标（响应）文件，采购文件，有关技术文件和图纸，以及</w:t>
      </w:r>
      <w:r>
        <w:rPr>
          <w:color w:val="000000" w:themeColor="text1"/>
          <w:sz w:val="24"/>
          <w:szCs w:val="24"/>
          <w14:textFill>
            <w14:solidFill>
              <w14:schemeClr w14:val="tx1"/>
            </w14:solidFill>
          </w14:textFill>
        </w:rPr>
        <w:t>国家法律、行政法规和规章制度规定或合同约定的作为合同组成部分的其他文件</w:t>
      </w:r>
      <w:r>
        <w:rPr>
          <w:sz w:val="24"/>
          <w:szCs w:val="24"/>
        </w:rPr>
        <w:t>。</w:t>
      </w:r>
    </w:p>
    <w:p w14:paraId="3E9DAB52">
      <w:pPr>
        <w:tabs>
          <w:tab w:val="left" w:pos="570"/>
          <w:tab w:val="left" w:pos="9240"/>
          <w:tab w:val="left" w:pos="9555"/>
        </w:tabs>
        <w:adjustRightInd w:val="0"/>
        <w:snapToGrid w:val="0"/>
        <w:spacing w:line="360" w:lineRule="auto"/>
        <w:ind w:firstLine="448" w:firstLineChars="200"/>
        <w:jc w:val="left"/>
        <w:rPr>
          <w:sz w:val="24"/>
          <w:szCs w:val="24"/>
        </w:rPr>
      </w:pPr>
      <w:r>
        <w:rPr>
          <w:sz w:val="24"/>
          <w:szCs w:val="24"/>
        </w:rPr>
        <w:t>（2）“合同价款”系指根据本合同规定乙方在全面履行合同义务后甲方应支付给乙方的价款。</w:t>
      </w:r>
    </w:p>
    <w:p w14:paraId="3C7C33E5">
      <w:pPr>
        <w:tabs>
          <w:tab w:val="left" w:pos="570"/>
          <w:tab w:val="left" w:pos="9240"/>
          <w:tab w:val="left" w:pos="9555"/>
        </w:tabs>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sz w:val="24"/>
          <w:szCs w:val="24"/>
        </w:rPr>
        <w:t>（3）“货物”系指乙方根据本合同规定须向甲方提供的各种形态和种类的物品，包括原材料、设备、产品（</w:t>
      </w:r>
      <w:r>
        <w:rPr>
          <w:color w:val="000000" w:themeColor="text1"/>
          <w:sz w:val="24"/>
          <w:szCs w:val="24"/>
          <w14:textFill>
            <w14:solidFill>
              <w14:schemeClr w14:val="tx1"/>
            </w14:solidFill>
          </w14:textFill>
        </w:rPr>
        <w:t>包括软件）及相关的其备品备件、工具、手册及</w:t>
      </w:r>
      <w:r>
        <w:rPr>
          <w:color w:val="000000" w:themeColor="text1"/>
          <w:sz w:val="24"/>
          <w:szCs w:val="24"/>
          <w:lang w:val="en"/>
          <w14:textFill>
            <w14:solidFill>
              <w14:schemeClr w14:val="tx1"/>
            </w14:solidFill>
          </w14:textFill>
        </w:rPr>
        <w:t>其他</w:t>
      </w:r>
      <w:r>
        <w:rPr>
          <w:color w:val="000000" w:themeColor="text1"/>
          <w:sz w:val="24"/>
          <w:szCs w:val="24"/>
          <w14:textFill>
            <w14:solidFill>
              <w14:schemeClr w14:val="tx1"/>
            </w14:solidFill>
          </w14:textFill>
        </w:rPr>
        <w:t>技术资料和材料等。</w:t>
      </w:r>
    </w:p>
    <w:p w14:paraId="247C924F">
      <w:pPr>
        <w:adjustRightInd w:val="0"/>
        <w:snapToGrid w:val="0"/>
        <w:spacing w:line="360" w:lineRule="auto"/>
        <w:ind w:firstLine="448" w:firstLineChars="200"/>
        <w:jc w:val="left"/>
        <w:rPr>
          <w:color w:val="000000" w:themeColor="text1"/>
          <w:sz w:val="24"/>
          <w:szCs w:val="24"/>
          <w:highlight w:val="yellow"/>
          <w14:textFill>
            <w14:solidFill>
              <w14:schemeClr w14:val="tx1"/>
            </w14:solidFill>
          </w14:textFill>
        </w:rPr>
      </w:pPr>
      <w:r>
        <w:rPr>
          <w:color w:val="000000" w:themeColor="text1"/>
          <w:sz w:val="24"/>
          <w:szCs w:val="24"/>
          <w14:textFill>
            <w14:solidFill>
              <w14:schemeClr w14:val="tx1"/>
            </w14:solidFill>
          </w14:textFill>
        </w:rPr>
        <w:t>（4）“</w:t>
      </w:r>
      <w:r>
        <w:rPr>
          <w:sz w:val="24"/>
          <w:szCs w:val="24"/>
        </w:rPr>
        <w:t>相关</w:t>
      </w:r>
      <w:r>
        <w:rPr>
          <w:color w:val="000000" w:themeColor="text1"/>
          <w:sz w:val="24"/>
          <w:szCs w:val="24"/>
          <w14:textFill>
            <w14:solidFill>
              <w14:schemeClr w14:val="tx1"/>
            </w14:solidFill>
          </w14:textFill>
        </w:rPr>
        <w:t>服务”系指根据合同规定，乙方应提供的与货物有关的技术、管理和</w:t>
      </w:r>
      <w:r>
        <w:rPr>
          <w:color w:val="000000" w:themeColor="text1"/>
          <w:sz w:val="24"/>
          <w:szCs w:val="24"/>
          <w:lang w:val="en"/>
          <w14:textFill>
            <w14:solidFill>
              <w14:schemeClr w14:val="tx1"/>
            </w14:solidFill>
          </w14:textFill>
        </w:rPr>
        <w:t>其他</w:t>
      </w:r>
      <w:r>
        <w:rPr>
          <w:color w:val="000000" w:themeColor="text1"/>
          <w:sz w:val="24"/>
          <w:szCs w:val="24"/>
          <w14:textFill>
            <w14:solidFill>
              <w14:schemeClr w14:val="tx1"/>
            </w14:solidFill>
          </w14:textFill>
        </w:rPr>
        <w:t>服务，包括但不限于：管理和质量保证、运输、保险、检验、现场准备、安装、集成、调试、培训、维修、废弃处置、技术支持等以及合同中规定乙方应承担的</w:t>
      </w:r>
      <w:r>
        <w:rPr>
          <w:color w:val="000000" w:themeColor="text1"/>
          <w:sz w:val="24"/>
          <w:szCs w:val="24"/>
          <w:lang w:val="en"/>
          <w14:textFill>
            <w14:solidFill>
              <w14:schemeClr w14:val="tx1"/>
            </w14:solidFill>
          </w14:textFill>
        </w:rPr>
        <w:t>其他</w:t>
      </w:r>
      <w:r>
        <w:rPr>
          <w:color w:val="000000" w:themeColor="text1"/>
          <w:sz w:val="24"/>
          <w:szCs w:val="24"/>
          <w14:textFill>
            <w14:solidFill>
              <w14:schemeClr w14:val="tx1"/>
            </w14:solidFill>
          </w14:textFill>
        </w:rPr>
        <w:t>义务。</w:t>
      </w:r>
    </w:p>
    <w:p w14:paraId="68F59671">
      <w:pPr>
        <w:adjustRightInd w:val="0"/>
        <w:snapToGrid w:val="0"/>
        <w:spacing w:line="360" w:lineRule="auto"/>
        <w:ind w:firstLine="448" w:firstLineChars="200"/>
        <w:jc w:val="left"/>
        <w:rPr>
          <w:color w:val="000000" w:themeColor="text1"/>
          <w:sz w:val="24"/>
          <w:szCs w:val="24"/>
          <w:highlight w:val="yellow"/>
          <w14:textFill>
            <w14:solidFill>
              <w14:schemeClr w14:val="tx1"/>
            </w14:solidFill>
          </w14:textFill>
        </w:rPr>
      </w:pPr>
      <w:r>
        <w:rPr>
          <w:color w:val="000000" w:themeColor="text1"/>
          <w:sz w:val="24"/>
          <w:szCs w:val="24"/>
          <w14:textFill>
            <w14:solidFill>
              <w14:schemeClr w14:val="tx1"/>
            </w14:solidFill>
          </w14:textFill>
        </w:rPr>
        <w:t>（5）“分包”系指中标（成交）供应商按采购文件、投标（响应）文件的规定，根据分包意向协议，将中标（成交）项目中的部分履约内容，分给具有相应资质条件的供应商履行合同的行为。</w:t>
      </w:r>
    </w:p>
    <w:p w14:paraId="7D19975C">
      <w:pPr>
        <w:tabs>
          <w:tab w:val="left" w:pos="570"/>
          <w:tab w:val="left" w:pos="9240"/>
          <w:tab w:val="left" w:pos="9555"/>
        </w:tabs>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（6）</w:t>
      </w:r>
      <w:r>
        <w:rPr>
          <w:sz w:val="24"/>
          <w:szCs w:val="24"/>
        </w:rPr>
        <w:t>“联合体”系指由两个以上的自然人、法人或者非法人组织组成，以一个供应商的身份共同参加政府采购的主体</w:t>
      </w:r>
      <w:r>
        <w:rPr>
          <w:color w:val="000000" w:themeColor="text1"/>
          <w:sz w:val="24"/>
          <w:szCs w:val="24"/>
          <w14:textFill>
            <w14:solidFill>
              <w14:schemeClr w14:val="tx1"/>
            </w14:solidFill>
          </w14:textFill>
        </w:rPr>
        <w:t>。联合体各方应在签订合同协议书前向甲方提交联合协议，且明确牵头人及各成员单位的工作分工、权利、义务、责任，联合体各方应共同与甲方签订合同，就合同约定的事项对甲方承担连带责任。联合体具体要求见【</w:t>
      </w:r>
      <w:r>
        <w:rPr>
          <w:b/>
          <w:bCs/>
          <w:color w:val="000000" w:themeColor="text1"/>
          <w:sz w:val="24"/>
          <w:szCs w:val="24"/>
          <w14:textFill>
            <w14:solidFill>
              <w14:schemeClr w14:val="tx1"/>
            </w14:solidFill>
          </w14:textFill>
        </w:rPr>
        <w:t>政府采购合同专用条款</w:t>
      </w:r>
      <w:r>
        <w:rPr>
          <w:color w:val="000000" w:themeColor="text1"/>
          <w:sz w:val="24"/>
          <w:szCs w:val="24"/>
          <w14:textFill>
            <w14:solidFill>
              <w14:schemeClr w14:val="tx1"/>
            </w14:solidFill>
          </w14:textFill>
        </w:rPr>
        <w:t>】。</w:t>
      </w:r>
    </w:p>
    <w:p w14:paraId="736F5935">
      <w:pPr>
        <w:tabs>
          <w:tab w:val="left" w:pos="570"/>
          <w:tab w:val="left" w:pos="9240"/>
          <w:tab w:val="left" w:pos="9555"/>
        </w:tabs>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（7）其他术语解释，见【</w:t>
      </w:r>
      <w:r>
        <w:rPr>
          <w:b/>
          <w:bCs/>
          <w:color w:val="000000" w:themeColor="text1"/>
          <w:sz w:val="24"/>
          <w:szCs w:val="24"/>
          <w14:textFill>
            <w14:solidFill>
              <w14:schemeClr w14:val="tx1"/>
            </w14:solidFill>
          </w14:textFill>
        </w:rPr>
        <w:t>政府采购合同专用条款</w:t>
      </w:r>
      <w:r>
        <w:rPr>
          <w:color w:val="000000" w:themeColor="text1"/>
          <w:sz w:val="24"/>
          <w:szCs w:val="24"/>
          <w14:textFill>
            <w14:solidFill>
              <w14:schemeClr w14:val="tx1"/>
            </w14:solidFill>
          </w14:textFill>
        </w:rPr>
        <w:t>】。</w:t>
      </w:r>
    </w:p>
    <w:p w14:paraId="7F70BBDC">
      <w:pPr>
        <w:numPr>
          <w:ilvl w:val="0"/>
          <w:numId w:val="4"/>
        </w:numPr>
        <w:autoSpaceDE w:val="0"/>
        <w:autoSpaceDN w:val="0"/>
        <w:adjustRightInd w:val="0"/>
        <w:snapToGrid w:val="0"/>
        <w:spacing w:line="360" w:lineRule="auto"/>
        <w:ind w:firstLine="448" w:firstLineChars="200"/>
        <w:jc w:val="left"/>
        <w:rPr>
          <w:b/>
          <w:bCs/>
          <w:color w:val="000000" w:themeColor="text1"/>
          <w:sz w:val="24"/>
          <w:szCs w:val="24"/>
          <w14:textFill>
            <w14:solidFill>
              <w14:schemeClr w14:val="tx1"/>
            </w14:solidFill>
          </w14:textFill>
        </w:rPr>
      </w:pPr>
      <w:r>
        <w:rPr>
          <w:b/>
          <w:color w:val="000000" w:themeColor="text1"/>
          <w:sz w:val="24"/>
          <w:szCs w:val="24"/>
          <w14:textFill>
            <w14:solidFill>
              <w14:schemeClr w14:val="tx1"/>
            </w14:solidFill>
          </w14:textFill>
        </w:rPr>
        <w:t>合同标的及金额</w:t>
      </w:r>
    </w:p>
    <w:p w14:paraId="29AB823F">
      <w:pPr>
        <w:autoSpaceDE w:val="0"/>
        <w:autoSpaceDN w:val="0"/>
        <w:adjustRightInd w:val="0"/>
        <w:snapToGrid w:val="0"/>
        <w:spacing w:line="360" w:lineRule="auto"/>
        <w:ind w:firstLine="448" w:firstLineChars="200"/>
        <w:jc w:val="left"/>
        <w:rPr>
          <w:b/>
          <w:bCs/>
          <w:i/>
          <w:iCs/>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2.1 合同标的及金额应与中标（成交）结果一致。乙方为履行本合同而发生的所有费用均应包含在合同价款中，甲方不再另行支付</w:t>
      </w:r>
      <w:r>
        <w:rPr>
          <w:color w:val="000000" w:themeColor="text1"/>
          <w:sz w:val="24"/>
          <w:szCs w:val="24"/>
          <w:lang w:val="en"/>
          <w14:textFill>
            <w14:solidFill>
              <w14:schemeClr w14:val="tx1"/>
            </w14:solidFill>
          </w14:textFill>
        </w:rPr>
        <w:t>其他</w:t>
      </w:r>
      <w:r>
        <w:rPr>
          <w:color w:val="000000" w:themeColor="text1"/>
          <w:sz w:val="24"/>
          <w:szCs w:val="24"/>
          <w14:textFill>
            <w14:solidFill>
              <w14:schemeClr w14:val="tx1"/>
            </w14:solidFill>
          </w14:textFill>
        </w:rPr>
        <w:t>任何费用。</w:t>
      </w:r>
    </w:p>
    <w:p w14:paraId="17FBCD2B">
      <w:pPr>
        <w:adjustRightInd w:val="0"/>
        <w:snapToGrid w:val="0"/>
        <w:spacing w:line="360" w:lineRule="auto"/>
        <w:ind w:firstLine="448" w:firstLineChars="200"/>
        <w:jc w:val="left"/>
        <w:rPr>
          <w:b/>
          <w:color w:val="000000" w:themeColor="text1"/>
          <w:sz w:val="24"/>
          <w:szCs w:val="24"/>
          <w14:textFill>
            <w14:solidFill>
              <w14:schemeClr w14:val="tx1"/>
            </w14:solidFill>
          </w14:textFill>
        </w:rPr>
      </w:pPr>
      <w:r>
        <w:rPr>
          <w:b/>
          <w:color w:val="000000" w:themeColor="text1"/>
          <w:sz w:val="24"/>
          <w:szCs w:val="24"/>
          <w14:textFill>
            <w14:solidFill>
              <w14:schemeClr w14:val="tx1"/>
            </w14:solidFill>
          </w14:textFill>
        </w:rPr>
        <w:t>3. 履行合同的时间、地点和方式</w:t>
      </w:r>
    </w:p>
    <w:p w14:paraId="11EC70D2">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 xml:space="preserve">3.1 </w:t>
      </w:r>
      <w:r>
        <w:rPr>
          <w:sz w:val="24"/>
          <w:szCs w:val="24"/>
        </w:rPr>
        <w:t>乙方应当在约定的时间、地点，按照约定方式履行合同。</w:t>
      </w:r>
    </w:p>
    <w:p w14:paraId="4A93AB84">
      <w:pPr>
        <w:autoSpaceDE w:val="0"/>
        <w:autoSpaceDN w:val="0"/>
        <w:adjustRightInd w:val="0"/>
        <w:snapToGrid w:val="0"/>
        <w:spacing w:line="360" w:lineRule="auto"/>
        <w:ind w:firstLine="448" w:firstLineChars="200"/>
        <w:jc w:val="left"/>
        <w:rPr>
          <w:b/>
          <w:bCs/>
          <w:color w:val="000000" w:themeColor="text1"/>
          <w:sz w:val="24"/>
          <w:szCs w:val="24"/>
          <w14:textFill>
            <w14:solidFill>
              <w14:schemeClr w14:val="tx1"/>
            </w14:solidFill>
          </w14:textFill>
        </w:rPr>
      </w:pPr>
      <w:r>
        <w:rPr>
          <w:b/>
          <w:bCs/>
          <w:color w:val="000000" w:themeColor="text1"/>
          <w:sz w:val="24"/>
          <w:szCs w:val="24"/>
          <w14:textFill>
            <w14:solidFill>
              <w14:schemeClr w14:val="tx1"/>
            </w14:solidFill>
          </w14:textFill>
        </w:rPr>
        <w:t>4. 甲方的权利和义务</w:t>
      </w:r>
    </w:p>
    <w:p w14:paraId="61D4D3F0">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4.1 签署合同后，甲方应确定项目负责人（或项目联系人），负责与本合同有关的事务。甲方有权对乙方的履约行为进行检查，并及时确认乙方提交的事项。甲方应当配合乙方完成相关项目实施工作。</w:t>
      </w:r>
    </w:p>
    <w:p w14:paraId="511F8CE3">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4.2 甲方有权要求乙方按时提交各阶段有关安排计划，并有权定期核对乙方提供货物数量、规格、质量等内容。甲方有权督促乙方工作并要求乙方更换不符合要求的货物。</w:t>
      </w:r>
    </w:p>
    <w:p w14:paraId="277FB89D">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4.3 甲方有权要求乙方对缺陷部分予以修复，并按合同约定享有货物保修及其他合同约定的权利。</w:t>
      </w:r>
    </w:p>
    <w:p w14:paraId="6BE4F1E0">
      <w:pPr>
        <w:adjustRightInd w:val="0"/>
        <w:snapToGrid w:val="0"/>
        <w:spacing w:line="360" w:lineRule="auto"/>
        <w:ind w:firstLine="448" w:firstLineChars="200"/>
        <w:rPr>
          <w:rFonts w:eastAsia="华文楷体"/>
          <w:sz w:val="24"/>
          <w:szCs w:val="24"/>
        </w:rPr>
      </w:pPr>
      <w:r>
        <w:rPr>
          <w:color w:val="000000" w:themeColor="text1"/>
          <w:sz w:val="24"/>
          <w:szCs w:val="24"/>
          <w14:textFill>
            <w14:solidFill>
              <w14:schemeClr w14:val="tx1"/>
            </w14:solidFill>
          </w14:textFill>
        </w:rPr>
        <w:t>4.4 甲方应当按照合同约定及时对交付的货物进行验收，</w:t>
      </w:r>
      <w:r>
        <w:rPr>
          <w:sz w:val="24"/>
          <w:szCs w:val="24"/>
        </w:rPr>
        <w:t>未</w:t>
      </w:r>
      <w:r>
        <w:rPr>
          <w:color w:val="000000" w:themeColor="text1"/>
          <w:sz w:val="24"/>
          <w:szCs w:val="24"/>
          <w14:textFill>
            <w14:solidFill>
              <w14:schemeClr w14:val="tx1"/>
            </w14:solidFill>
          </w14:textFill>
        </w:rPr>
        <w:t>在</w:t>
      </w:r>
      <w:r>
        <w:rPr>
          <w:b/>
          <w:bCs/>
          <w:sz w:val="24"/>
          <w:szCs w:val="24"/>
        </w:rPr>
        <w:t>【政府采购合同专用条款】</w:t>
      </w:r>
      <w:r>
        <w:rPr>
          <w:sz w:val="24"/>
          <w:szCs w:val="24"/>
        </w:rPr>
        <w:t>约定的期限内对乙方履约提出任何异议或者向乙方作出任何说明的，</w:t>
      </w:r>
      <w:r>
        <w:rPr>
          <w:color w:val="000000" w:themeColor="text1"/>
          <w:sz w:val="24"/>
          <w:szCs w:val="24"/>
          <w14:textFill>
            <w14:solidFill>
              <w14:schemeClr w14:val="tx1"/>
            </w14:solidFill>
          </w14:textFill>
        </w:rPr>
        <w:t>视为验收通过。</w:t>
      </w:r>
    </w:p>
    <w:p w14:paraId="781A7A33">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4.5 甲方应当根据合同约定及时向乙方支付合同价款，不得以内部人员变更、履行内部付款流程等为由，拒绝或迟延支付。</w:t>
      </w:r>
    </w:p>
    <w:p w14:paraId="6BE82CB1">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4.6 国家法律法规规定及</w:t>
      </w:r>
      <w:r>
        <w:rPr>
          <w:b/>
          <w:bCs/>
          <w:sz w:val="24"/>
          <w:szCs w:val="24"/>
        </w:rPr>
        <w:t>【政府采购合同专用条款】</w:t>
      </w:r>
      <w:r>
        <w:rPr>
          <w:color w:val="000000" w:themeColor="text1"/>
          <w:sz w:val="24"/>
          <w:szCs w:val="24"/>
          <w14:textFill>
            <w14:solidFill>
              <w14:schemeClr w14:val="tx1"/>
            </w14:solidFill>
          </w14:textFill>
        </w:rPr>
        <w:t>约定应由甲方承担的其他义务和责任。</w:t>
      </w:r>
    </w:p>
    <w:p w14:paraId="4FDAB29E">
      <w:pPr>
        <w:autoSpaceDE w:val="0"/>
        <w:autoSpaceDN w:val="0"/>
        <w:adjustRightInd w:val="0"/>
        <w:snapToGrid w:val="0"/>
        <w:spacing w:line="360" w:lineRule="auto"/>
        <w:ind w:firstLine="448" w:firstLineChars="200"/>
        <w:jc w:val="left"/>
        <w:rPr>
          <w:b/>
          <w:bCs/>
          <w:color w:val="000000" w:themeColor="text1"/>
          <w:sz w:val="24"/>
          <w:szCs w:val="24"/>
          <w14:textFill>
            <w14:solidFill>
              <w14:schemeClr w14:val="tx1"/>
            </w14:solidFill>
          </w14:textFill>
        </w:rPr>
      </w:pPr>
      <w:r>
        <w:rPr>
          <w:b/>
          <w:bCs/>
          <w:color w:val="000000" w:themeColor="text1"/>
          <w:sz w:val="24"/>
          <w:szCs w:val="24"/>
          <w14:textFill>
            <w14:solidFill>
              <w14:schemeClr w14:val="tx1"/>
            </w14:solidFill>
          </w14:textFill>
        </w:rPr>
        <w:t>5. 乙方的权利和义务</w:t>
      </w:r>
    </w:p>
    <w:p w14:paraId="0EB3E189">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5.1 签署合同后，乙方应确定项目负责人（或项目联系人），负责与本合同有关的事务。</w:t>
      </w:r>
    </w:p>
    <w:p w14:paraId="231C7F86">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5.2 乙方应按照合同要求履约，充分合理安排，确保提供的货物及相关服务符合合同有关要求。接受项目行业管理部门及政府有关部门的指导，配合甲方的履约检查及验收，并负责项目实施过程中的所有协调工作。</w:t>
      </w:r>
    </w:p>
    <w:p w14:paraId="3751D70B">
      <w:pPr>
        <w:pStyle w:val="5"/>
        <w:adjustRightInd w:val="0"/>
        <w:snapToGrid w:val="0"/>
        <w:spacing w:after="0" w:line="360" w:lineRule="auto"/>
        <w:ind w:firstLine="448" w:firstLineChars="200"/>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5.3乙方有权根据合同约定向甲方收取合同价款。</w:t>
      </w:r>
    </w:p>
    <w:p w14:paraId="226D9ACA">
      <w:pPr>
        <w:pStyle w:val="5"/>
        <w:adjustRightInd w:val="0"/>
        <w:snapToGrid w:val="0"/>
        <w:spacing w:after="0" w:line="360" w:lineRule="auto"/>
        <w:ind w:firstLine="448" w:firstLineChars="200"/>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5.4国家法律法规规定及</w:t>
      </w:r>
      <w:r>
        <w:rPr>
          <w:b/>
          <w:bCs/>
          <w:sz w:val="24"/>
          <w:szCs w:val="24"/>
        </w:rPr>
        <w:t>【政府采购合同专用条款】</w:t>
      </w:r>
      <w:r>
        <w:rPr>
          <w:sz w:val="24"/>
          <w:szCs w:val="24"/>
        </w:rPr>
        <w:t>约定应</w:t>
      </w:r>
      <w:r>
        <w:rPr>
          <w:color w:val="000000" w:themeColor="text1"/>
          <w:sz w:val="24"/>
          <w:szCs w:val="24"/>
          <w14:textFill>
            <w14:solidFill>
              <w14:schemeClr w14:val="tx1"/>
            </w14:solidFill>
          </w14:textFill>
        </w:rPr>
        <w:t>由乙方承担的其他义务和责任。</w:t>
      </w:r>
    </w:p>
    <w:p w14:paraId="7B3C4D63">
      <w:pPr>
        <w:numPr>
          <w:ilvl w:val="0"/>
          <w:numId w:val="5"/>
        </w:numPr>
        <w:autoSpaceDE w:val="0"/>
        <w:autoSpaceDN w:val="0"/>
        <w:adjustRightInd w:val="0"/>
        <w:snapToGrid w:val="0"/>
        <w:spacing w:line="360" w:lineRule="auto"/>
        <w:ind w:firstLine="448" w:firstLineChars="200"/>
        <w:jc w:val="left"/>
        <w:rPr>
          <w:b/>
          <w:bCs/>
          <w:color w:val="000000" w:themeColor="text1"/>
          <w:sz w:val="24"/>
          <w:szCs w:val="24"/>
          <w14:textFill>
            <w14:solidFill>
              <w14:schemeClr w14:val="tx1"/>
            </w14:solidFill>
          </w14:textFill>
        </w:rPr>
      </w:pPr>
      <w:r>
        <w:rPr>
          <w:b/>
          <w:bCs/>
          <w:color w:val="000000" w:themeColor="text1"/>
          <w:sz w:val="24"/>
          <w:szCs w:val="24"/>
          <w14:textFill>
            <w14:solidFill>
              <w14:schemeClr w14:val="tx1"/>
            </w14:solidFill>
          </w14:textFill>
        </w:rPr>
        <w:t>合同履行</w:t>
      </w:r>
    </w:p>
    <w:p w14:paraId="642E8B86">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6.1 甲乙双方应当按照</w:t>
      </w:r>
      <w:r>
        <w:rPr>
          <w:b/>
          <w:bCs/>
          <w:sz w:val="24"/>
          <w:szCs w:val="24"/>
        </w:rPr>
        <w:t>【政府采购合同专用条款】</w:t>
      </w:r>
      <w:r>
        <w:rPr>
          <w:color w:val="000000" w:themeColor="text1"/>
          <w:sz w:val="24"/>
          <w:szCs w:val="24"/>
          <w14:textFill>
            <w14:solidFill>
              <w14:schemeClr w14:val="tx1"/>
            </w14:solidFill>
          </w14:textFill>
        </w:rPr>
        <w:t>约定顺序履行合同义务；如果没有先后顺序的，应当同时履行。</w:t>
      </w:r>
    </w:p>
    <w:p w14:paraId="234CC3B0">
      <w:pPr>
        <w:autoSpaceDE w:val="0"/>
        <w:autoSpaceDN w:val="0"/>
        <w:adjustRightInd w:val="0"/>
        <w:snapToGrid w:val="0"/>
        <w:spacing w:line="360" w:lineRule="auto"/>
        <w:ind w:firstLine="448" w:firstLineChars="200"/>
        <w:jc w:val="left"/>
        <w:rPr>
          <w:sz w:val="24"/>
          <w:szCs w:val="24"/>
        </w:rPr>
      </w:pPr>
      <w:r>
        <w:rPr>
          <w:color w:val="000000" w:themeColor="text1"/>
          <w:sz w:val="24"/>
          <w:szCs w:val="24"/>
          <w14:textFill>
            <w14:solidFill>
              <w14:schemeClr w14:val="tx1"/>
            </w14:solidFill>
          </w14:textFill>
        </w:rPr>
        <w:t>6.2 甲乙双方按照合同约定顺序履行合同义务时，应当先履行一方未履行的，后履行一方有权拒绝其履行请求。先履行一方履行不符合约定的，后履行一方有权拒绝其相应的履行请求。</w:t>
      </w:r>
    </w:p>
    <w:p w14:paraId="12386143">
      <w:pPr>
        <w:adjustRightInd w:val="0"/>
        <w:snapToGrid w:val="0"/>
        <w:spacing w:line="360" w:lineRule="auto"/>
        <w:ind w:firstLine="448" w:firstLineChars="200"/>
        <w:jc w:val="left"/>
        <w:rPr>
          <w:b/>
          <w:bCs/>
          <w:color w:val="000000" w:themeColor="text1"/>
          <w:sz w:val="24"/>
          <w:szCs w:val="24"/>
          <w14:textFill>
            <w14:solidFill>
              <w14:schemeClr w14:val="tx1"/>
            </w14:solidFill>
          </w14:textFill>
        </w:rPr>
      </w:pPr>
      <w:r>
        <w:rPr>
          <w:b/>
          <w:bCs/>
          <w:color w:val="000000" w:themeColor="text1"/>
          <w:sz w:val="24"/>
          <w:szCs w:val="24"/>
          <w14:textFill>
            <w14:solidFill>
              <w14:schemeClr w14:val="tx1"/>
            </w14:solidFill>
          </w14:textFill>
        </w:rPr>
        <w:t>7. 货物包装、运输、保险和交付要求</w:t>
      </w:r>
    </w:p>
    <w:p w14:paraId="4CF868E6">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7.1 本合同</w:t>
      </w:r>
      <w:r>
        <w:rPr>
          <w:bCs/>
          <w:color w:val="000000" w:themeColor="text1"/>
          <w:sz w:val="24"/>
          <w:szCs w:val="24"/>
          <w14:textFill>
            <w14:solidFill>
              <w14:schemeClr w14:val="tx1"/>
            </w14:solidFill>
          </w14:textFill>
        </w:rPr>
        <w:t>涉及商品包装、快递包装的，</w:t>
      </w:r>
      <w:r>
        <w:rPr>
          <w:color w:val="000000" w:themeColor="text1"/>
          <w:sz w:val="24"/>
          <w:szCs w:val="24"/>
          <w14:textFill>
            <w14:solidFill>
              <w14:schemeClr w14:val="tx1"/>
            </w14:solidFill>
          </w14:textFill>
        </w:rPr>
        <w:t>除</w:t>
      </w:r>
      <w:r>
        <w:rPr>
          <w:b/>
          <w:color w:val="000000" w:themeColor="text1"/>
          <w:sz w:val="24"/>
          <w:szCs w:val="24"/>
          <w14:textFill>
            <w14:solidFill>
              <w14:schemeClr w14:val="tx1"/>
            </w14:solidFill>
          </w14:textFill>
        </w:rPr>
        <w:t>【政府采购合同专用条款】</w:t>
      </w:r>
      <w:r>
        <w:rPr>
          <w:bCs/>
          <w:color w:val="000000" w:themeColor="text1"/>
          <w:sz w:val="24"/>
          <w:szCs w:val="24"/>
          <w14:textFill>
            <w14:solidFill>
              <w14:schemeClr w14:val="tx1"/>
            </w14:solidFill>
          </w14:textFill>
        </w:rPr>
        <w:t>另有约定外，</w:t>
      </w:r>
      <w:r>
        <w:rPr>
          <w:color w:val="000000" w:themeColor="text1"/>
          <w:sz w:val="24"/>
          <w:szCs w:val="24"/>
          <w14:textFill>
            <w14:solidFill>
              <w14:schemeClr w14:val="tx1"/>
            </w14:solidFill>
          </w14:textFill>
        </w:rPr>
        <w:t>包装应适应远距离运输、防潮、防震、防锈和防野蛮装卸等要求，确保货物安全无损地运抵</w:t>
      </w:r>
      <w:r>
        <w:rPr>
          <w:b/>
          <w:color w:val="000000" w:themeColor="text1"/>
          <w:sz w:val="24"/>
          <w:szCs w:val="24"/>
          <w14:textFill>
            <w14:solidFill>
              <w14:schemeClr w14:val="tx1"/>
            </w14:solidFill>
          </w14:textFill>
        </w:rPr>
        <w:t>【政府采购合同专用条款】</w:t>
      </w:r>
      <w:r>
        <w:rPr>
          <w:bCs/>
          <w:color w:val="000000" w:themeColor="text1"/>
          <w:sz w:val="24"/>
          <w:szCs w:val="24"/>
          <w14:textFill>
            <w14:solidFill>
              <w14:schemeClr w14:val="tx1"/>
            </w14:solidFill>
          </w14:textFill>
        </w:rPr>
        <w:t>约定的</w:t>
      </w:r>
      <w:r>
        <w:rPr>
          <w:color w:val="000000" w:themeColor="text1"/>
          <w:sz w:val="24"/>
          <w:szCs w:val="24"/>
          <w14:textFill>
            <w14:solidFill>
              <w14:schemeClr w14:val="tx1"/>
            </w14:solidFill>
          </w14:textFill>
        </w:rPr>
        <w:t>指定现场。</w:t>
      </w:r>
    </w:p>
    <w:p w14:paraId="1F03D556">
      <w:pPr>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7.2 除</w:t>
      </w:r>
      <w:r>
        <w:rPr>
          <w:b/>
          <w:color w:val="000000" w:themeColor="text1"/>
          <w:sz w:val="24"/>
          <w:szCs w:val="24"/>
          <w14:textFill>
            <w14:solidFill>
              <w14:schemeClr w14:val="tx1"/>
            </w14:solidFill>
          </w14:textFill>
        </w:rPr>
        <w:t>【政府采购合同专用条款】</w:t>
      </w:r>
      <w:r>
        <w:rPr>
          <w:bCs/>
          <w:color w:val="000000" w:themeColor="text1"/>
          <w:sz w:val="24"/>
          <w:szCs w:val="24"/>
          <w14:textFill>
            <w14:solidFill>
              <w14:schemeClr w14:val="tx1"/>
            </w14:solidFill>
          </w14:textFill>
        </w:rPr>
        <w:t>另有约定外，</w:t>
      </w:r>
      <w:r>
        <w:rPr>
          <w:color w:val="000000" w:themeColor="text1"/>
          <w:sz w:val="24"/>
          <w:szCs w:val="24"/>
          <w14:textFill>
            <w14:solidFill>
              <w14:schemeClr w14:val="tx1"/>
            </w14:solidFill>
          </w14:textFill>
        </w:rPr>
        <w:t>乙方负责办理将货物运抵本合同规定的交货地点，并装卸、交付至甲方的一切运输事项，相关费用应包含在合同价款中。</w:t>
      </w:r>
    </w:p>
    <w:p w14:paraId="4EA3E9B1">
      <w:pPr>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7.3 货物保险要求按</w:t>
      </w:r>
      <w:r>
        <w:rPr>
          <w:b/>
          <w:color w:val="000000" w:themeColor="text1"/>
          <w:sz w:val="24"/>
          <w:szCs w:val="24"/>
          <w14:textFill>
            <w14:solidFill>
              <w14:schemeClr w14:val="tx1"/>
            </w14:solidFill>
          </w14:textFill>
        </w:rPr>
        <w:t>【政府采购合同专用条款】</w:t>
      </w:r>
      <w:r>
        <w:rPr>
          <w:bCs/>
          <w:color w:val="000000" w:themeColor="text1"/>
          <w:sz w:val="24"/>
          <w:szCs w:val="24"/>
          <w14:textFill>
            <w14:solidFill>
              <w14:schemeClr w14:val="tx1"/>
            </w14:solidFill>
          </w14:textFill>
        </w:rPr>
        <w:t>规定执行</w:t>
      </w:r>
      <w:r>
        <w:rPr>
          <w:color w:val="000000" w:themeColor="text1"/>
          <w:sz w:val="24"/>
          <w:szCs w:val="24"/>
          <w14:textFill>
            <w14:solidFill>
              <w14:schemeClr w14:val="tx1"/>
            </w14:solidFill>
          </w14:textFill>
        </w:rPr>
        <w:t>。</w:t>
      </w:r>
    </w:p>
    <w:p w14:paraId="4C10E653">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7.4 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14:paraId="34102E39">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 xml:space="preserve">7.5 </w:t>
      </w:r>
      <w:r>
        <w:rPr>
          <w:color w:val="000000"/>
          <w:sz w:val="24"/>
          <w:szCs w:val="24"/>
        </w:rPr>
        <w:t>乙方在运输到达之前应提前通知甲方，并提示货物运输装卸的注意事项，甲方配合乙方做好货物的接收工作。</w:t>
      </w:r>
    </w:p>
    <w:p w14:paraId="7696ABEB">
      <w:pPr>
        <w:pStyle w:val="50"/>
        <w:snapToGrid w:val="0"/>
        <w:spacing w:line="360" w:lineRule="auto"/>
        <w:ind w:firstLine="446"/>
        <w:rPr>
          <w:rFonts w:ascii="Times New Roman" w:hAnsi="Times New Roman" w:cs="Times New Roman"/>
          <w:sz w:val="24"/>
          <w:szCs w:val="24"/>
        </w:rPr>
      </w:pPr>
      <w:r>
        <w:rPr>
          <w:rFonts w:ascii="Times New Roman" w:hAnsi="Times New Roman" w:eastAsia="宋体" w:cs="Times New Roman"/>
          <w:color w:val="000000" w:themeColor="text1"/>
          <w:kern w:val="2"/>
          <w:sz w:val="24"/>
          <w:szCs w:val="24"/>
          <w14:textFill>
            <w14:solidFill>
              <w14:schemeClr w14:val="tx1"/>
            </w14:solidFill>
          </w14:textFill>
        </w:rPr>
        <w:t xml:space="preserve">7.6 </w:t>
      </w:r>
      <w:r>
        <w:rPr>
          <w:rFonts w:ascii="Times New Roman" w:hAnsi="Times New Roman" w:eastAsia="宋体" w:cs="Times New Roman"/>
          <w:color w:val="000000"/>
          <w:kern w:val="2"/>
          <w:sz w:val="24"/>
          <w:szCs w:val="24"/>
        </w:rPr>
        <w:t>如因包装、运输问题导致货物</w:t>
      </w:r>
      <w:r>
        <w:rPr>
          <w:rFonts w:ascii="Times New Roman" w:hAnsi="Times New Roman" w:eastAsia="宋体" w:cs="Times New Roman"/>
          <w:color w:val="000000" w:themeColor="text1"/>
          <w:kern w:val="2"/>
          <w:sz w:val="24"/>
          <w:szCs w:val="24"/>
          <w14:textFill>
            <w14:solidFill>
              <w14:schemeClr w14:val="tx1"/>
            </w14:solidFill>
          </w14:textFill>
        </w:rPr>
        <w:t>损毁、丢失</w:t>
      </w:r>
      <w:r>
        <w:rPr>
          <w:rFonts w:ascii="Times New Roman" w:hAnsi="Times New Roman" w:eastAsia="宋体" w:cs="Times New Roman"/>
          <w:color w:val="000000"/>
          <w:kern w:val="2"/>
          <w:sz w:val="24"/>
          <w:szCs w:val="24"/>
        </w:rPr>
        <w:t>或者品质下降，甲方有权要求降价、换货、拒收部分或整批货物，由此产生的费用和损失，均由乙方承担。</w:t>
      </w:r>
    </w:p>
    <w:p w14:paraId="4F831E0C">
      <w:pPr>
        <w:adjustRightInd w:val="0"/>
        <w:snapToGrid w:val="0"/>
        <w:spacing w:line="360" w:lineRule="auto"/>
        <w:ind w:firstLine="448" w:firstLineChars="200"/>
        <w:jc w:val="left"/>
        <w:rPr>
          <w:b/>
          <w:sz w:val="24"/>
          <w:szCs w:val="24"/>
        </w:rPr>
      </w:pPr>
      <w:r>
        <w:rPr>
          <w:b/>
          <w:color w:val="000000" w:themeColor="text1"/>
          <w:sz w:val="24"/>
          <w:szCs w:val="24"/>
          <w14:textFill>
            <w14:solidFill>
              <w14:schemeClr w14:val="tx1"/>
            </w14:solidFill>
          </w14:textFill>
        </w:rPr>
        <w:t xml:space="preserve">8. </w:t>
      </w:r>
      <w:r>
        <w:rPr>
          <w:b/>
          <w:sz w:val="24"/>
          <w:szCs w:val="24"/>
        </w:rPr>
        <w:t>质量标准和保证</w:t>
      </w:r>
    </w:p>
    <w:p w14:paraId="68DE08B6">
      <w:pPr>
        <w:pStyle w:val="7"/>
        <w:adjustRightInd w:val="0"/>
        <w:snapToGrid w:val="0"/>
        <w:spacing w:line="360" w:lineRule="auto"/>
        <w:ind w:firstLine="448" w:firstLineChars="200"/>
        <w:jc w:val="left"/>
        <w:rPr>
          <w:rFonts w:ascii="Times New Roman" w:hAnsi="Times New Roman"/>
          <w:b/>
          <w:sz w:val="24"/>
          <w:szCs w:val="24"/>
        </w:rPr>
      </w:pPr>
      <w:r>
        <w:rPr>
          <w:rFonts w:ascii="Times New Roman" w:hAnsi="Times New Roman"/>
          <w:sz w:val="24"/>
          <w:szCs w:val="24"/>
        </w:rPr>
        <w:t>8.1 质量标准</w:t>
      </w:r>
    </w:p>
    <w:p w14:paraId="0D96951A">
      <w:pPr>
        <w:autoSpaceDE w:val="0"/>
        <w:autoSpaceDN w:val="0"/>
        <w:adjustRightInd w:val="0"/>
        <w:snapToGrid w:val="0"/>
        <w:spacing w:line="360" w:lineRule="auto"/>
        <w:ind w:firstLine="448" w:firstLineChars="200"/>
        <w:jc w:val="left"/>
        <w:rPr>
          <w:sz w:val="24"/>
          <w:szCs w:val="24"/>
        </w:rPr>
      </w:pPr>
      <w:r>
        <w:rPr>
          <w:sz w:val="24"/>
          <w:szCs w:val="24"/>
        </w:rPr>
        <w:t>（1）本合同下提供的货物应符合合同</w:t>
      </w:r>
      <w:r>
        <w:rPr>
          <w:color w:val="000000"/>
          <w:sz w:val="24"/>
          <w:szCs w:val="24"/>
        </w:rPr>
        <w:t>约定的</w:t>
      </w:r>
      <w:r>
        <w:rPr>
          <w:sz w:val="24"/>
          <w:szCs w:val="24"/>
        </w:rPr>
        <w:t>品牌、规格型号、技术性能、配置、质量、数量等要求。质量要求不明确的，按照强制性国家标准履行；没有强制性国家标准的，按照推荐性国家标准履行；没有推荐性国家标准的，按照行业标准履行；没有国家标准、行业标准的，按照通常标准或者符合合同目的的特定标准履行。</w:t>
      </w:r>
    </w:p>
    <w:p w14:paraId="16811568">
      <w:pPr>
        <w:pStyle w:val="7"/>
        <w:adjustRightInd w:val="0"/>
        <w:snapToGrid w:val="0"/>
        <w:spacing w:line="360" w:lineRule="auto"/>
        <w:ind w:firstLine="448" w:firstLineChars="200"/>
        <w:jc w:val="left"/>
        <w:rPr>
          <w:rFonts w:ascii="Times New Roman" w:hAnsi="Times New Roman"/>
          <w:sz w:val="24"/>
          <w:szCs w:val="24"/>
        </w:rPr>
      </w:pPr>
      <w:r>
        <w:rPr>
          <w:rFonts w:ascii="Times New Roman" w:hAnsi="Times New Roman"/>
          <w:sz w:val="24"/>
          <w:szCs w:val="24"/>
        </w:rPr>
        <w:t>（2）采用中华人民共和国法定计量单位。</w:t>
      </w:r>
    </w:p>
    <w:p w14:paraId="2B216D33">
      <w:pPr>
        <w:autoSpaceDE w:val="0"/>
        <w:autoSpaceDN w:val="0"/>
        <w:adjustRightInd w:val="0"/>
        <w:snapToGrid w:val="0"/>
        <w:spacing w:line="360" w:lineRule="auto"/>
        <w:ind w:firstLine="448" w:firstLineChars="200"/>
        <w:jc w:val="left"/>
        <w:rPr>
          <w:sz w:val="24"/>
          <w:szCs w:val="24"/>
        </w:rPr>
      </w:pPr>
      <w:r>
        <w:rPr>
          <w:sz w:val="24"/>
          <w:szCs w:val="24"/>
        </w:rPr>
        <w:t>（3）乙方所提供的货物应符合国家有关安全、环保、卫生的规定。</w:t>
      </w:r>
    </w:p>
    <w:p w14:paraId="46D3F229">
      <w:pPr>
        <w:autoSpaceDE w:val="0"/>
        <w:autoSpaceDN w:val="0"/>
        <w:adjustRightInd w:val="0"/>
        <w:snapToGrid w:val="0"/>
        <w:spacing w:line="360" w:lineRule="auto"/>
        <w:ind w:firstLine="448" w:firstLineChars="200"/>
        <w:jc w:val="left"/>
        <w:rPr>
          <w:sz w:val="24"/>
          <w:szCs w:val="24"/>
        </w:rPr>
      </w:pPr>
      <w:r>
        <w:rPr>
          <w:sz w:val="24"/>
          <w:szCs w:val="24"/>
        </w:rPr>
        <w:t>（4）乙方应向甲方提交所提供货物的技术文件，包括相应的中文技术文件，如：产品目录、图纸、操作手册、使用说明、维护手册或服务指南等。上述文件应包装好随货物一同发运。</w:t>
      </w:r>
    </w:p>
    <w:p w14:paraId="184828F2">
      <w:pPr>
        <w:autoSpaceDE w:val="0"/>
        <w:autoSpaceDN w:val="0"/>
        <w:adjustRightInd w:val="0"/>
        <w:snapToGrid w:val="0"/>
        <w:spacing w:line="360" w:lineRule="auto"/>
        <w:ind w:firstLine="448" w:firstLineChars="200"/>
        <w:jc w:val="left"/>
        <w:rPr>
          <w:sz w:val="24"/>
          <w:szCs w:val="24"/>
        </w:rPr>
      </w:pPr>
      <w:r>
        <w:rPr>
          <w:sz w:val="24"/>
          <w:szCs w:val="24"/>
        </w:rPr>
        <w:t>8.2 保证</w:t>
      </w:r>
    </w:p>
    <w:p w14:paraId="6816F621">
      <w:pPr>
        <w:autoSpaceDE w:val="0"/>
        <w:autoSpaceDN w:val="0"/>
        <w:adjustRightInd w:val="0"/>
        <w:snapToGrid w:val="0"/>
        <w:spacing w:line="360" w:lineRule="auto"/>
        <w:ind w:firstLine="448" w:firstLineChars="200"/>
        <w:jc w:val="left"/>
        <w:rPr>
          <w:sz w:val="24"/>
          <w:szCs w:val="24"/>
        </w:rPr>
      </w:pPr>
      <w:r>
        <w:rPr>
          <w:sz w:val="24"/>
          <w:szCs w:val="24"/>
        </w:rPr>
        <w:t>（1）乙方应保证提供的货物完全符合合同规定的质量、规格和性能要求。乙方应保证货物在正确安装、正常使用和保养条件下，在其使用寿命期内具备合同约定的性能。存在质量保证期的，货物最终交付验收合格后在</w:t>
      </w:r>
      <w:r>
        <w:rPr>
          <w:b/>
          <w:sz w:val="24"/>
          <w:szCs w:val="24"/>
        </w:rPr>
        <w:t>【政府采购合同专用条款】</w:t>
      </w:r>
      <w:r>
        <w:rPr>
          <w:sz w:val="24"/>
          <w:szCs w:val="24"/>
        </w:rPr>
        <w:t>规定或乙方书面承诺（两者以较长的为准）的质量保证期内，本保证保持有效。</w:t>
      </w:r>
    </w:p>
    <w:p w14:paraId="2DC04021">
      <w:pPr>
        <w:autoSpaceDE w:val="0"/>
        <w:autoSpaceDN w:val="0"/>
        <w:adjustRightInd w:val="0"/>
        <w:snapToGrid w:val="0"/>
        <w:spacing w:line="360" w:lineRule="auto"/>
        <w:ind w:firstLine="448" w:firstLineChars="200"/>
        <w:jc w:val="left"/>
        <w:rPr>
          <w:sz w:val="24"/>
          <w:szCs w:val="24"/>
        </w:rPr>
      </w:pPr>
      <w:r>
        <w:rPr>
          <w:sz w:val="24"/>
          <w:szCs w:val="24"/>
        </w:rPr>
        <w:t>（2）在质量保证期内所发现的缺陷，甲方应尽快以书面形式通知乙方。</w:t>
      </w:r>
    </w:p>
    <w:p w14:paraId="39044EAC">
      <w:pPr>
        <w:autoSpaceDE w:val="0"/>
        <w:autoSpaceDN w:val="0"/>
        <w:adjustRightInd w:val="0"/>
        <w:snapToGrid w:val="0"/>
        <w:spacing w:line="360" w:lineRule="auto"/>
        <w:ind w:firstLine="448" w:firstLineChars="200"/>
        <w:jc w:val="left"/>
        <w:rPr>
          <w:sz w:val="24"/>
          <w:szCs w:val="24"/>
        </w:rPr>
      </w:pPr>
      <w:r>
        <w:rPr>
          <w:sz w:val="24"/>
          <w:szCs w:val="24"/>
        </w:rPr>
        <w:t>（3）乙方收到通知后，应在</w:t>
      </w:r>
      <w:r>
        <w:rPr>
          <w:b/>
          <w:sz w:val="24"/>
          <w:szCs w:val="24"/>
        </w:rPr>
        <w:t>【政府采购合同专用条款】</w:t>
      </w:r>
      <w:r>
        <w:rPr>
          <w:sz w:val="24"/>
          <w:szCs w:val="24"/>
        </w:rPr>
        <w:t>规定的响应时间内以合理的速度免费维修或更换有缺陷的货物或部件。</w:t>
      </w:r>
    </w:p>
    <w:p w14:paraId="5ADE0DB4">
      <w:pPr>
        <w:autoSpaceDE w:val="0"/>
        <w:autoSpaceDN w:val="0"/>
        <w:adjustRightInd w:val="0"/>
        <w:snapToGrid w:val="0"/>
        <w:spacing w:line="360" w:lineRule="auto"/>
        <w:ind w:firstLine="448" w:firstLineChars="200"/>
        <w:jc w:val="left"/>
        <w:rPr>
          <w:sz w:val="24"/>
          <w:szCs w:val="24"/>
        </w:rPr>
      </w:pPr>
      <w:r>
        <w:rPr>
          <w:sz w:val="24"/>
          <w:szCs w:val="24"/>
        </w:rPr>
        <w:t>（4）在质量保证期内，如果货物的质量或规格与合同不符，或证实货物是有缺陷的，包括潜在的缺陷或使用不符合要求的材料等，甲方可以根据本合同第1</w:t>
      </w:r>
      <w:r>
        <w:rPr>
          <w:color w:val="000000" w:themeColor="text1"/>
          <w:sz w:val="24"/>
          <w:szCs w:val="24"/>
          <w14:textFill>
            <w14:solidFill>
              <w14:schemeClr w14:val="tx1"/>
            </w14:solidFill>
          </w14:textFill>
        </w:rPr>
        <w:t>5</w:t>
      </w:r>
      <w:r>
        <w:rPr>
          <w:sz w:val="24"/>
          <w:szCs w:val="24"/>
        </w:rPr>
        <w:t>.1条规定以书面形式</w:t>
      </w:r>
      <w:r>
        <w:rPr>
          <w:color w:val="000000" w:themeColor="text1"/>
          <w:sz w:val="24"/>
          <w:szCs w:val="24"/>
          <w14:textFill>
            <w14:solidFill>
              <w14:schemeClr w14:val="tx1"/>
            </w14:solidFill>
          </w14:textFill>
        </w:rPr>
        <w:t>追究</w:t>
      </w:r>
      <w:r>
        <w:rPr>
          <w:sz w:val="24"/>
          <w:szCs w:val="24"/>
        </w:rPr>
        <w:t>乙方</w:t>
      </w:r>
      <w:r>
        <w:rPr>
          <w:color w:val="000000" w:themeColor="text1"/>
          <w:sz w:val="24"/>
          <w:szCs w:val="24"/>
          <w14:textFill>
            <w14:solidFill>
              <w14:schemeClr w14:val="tx1"/>
            </w14:solidFill>
          </w14:textFill>
        </w:rPr>
        <w:t>的违约责任</w:t>
      </w:r>
      <w:r>
        <w:rPr>
          <w:sz w:val="24"/>
          <w:szCs w:val="24"/>
        </w:rPr>
        <w:t>。</w:t>
      </w:r>
    </w:p>
    <w:p w14:paraId="53DFD4EB">
      <w:pPr>
        <w:adjustRightInd w:val="0"/>
        <w:snapToGrid w:val="0"/>
        <w:spacing w:line="360" w:lineRule="auto"/>
        <w:ind w:firstLine="448" w:firstLineChars="200"/>
        <w:jc w:val="left"/>
        <w:rPr>
          <w:sz w:val="24"/>
          <w:szCs w:val="24"/>
        </w:rPr>
      </w:pPr>
      <w:r>
        <w:rPr>
          <w:sz w:val="24"/>
          <w:szCs w:val="24"/>
        </w:rPr>
        <w:t>（5）乙方在约定的时间内未能弥补缺陷，甲方可采取必要的补救措施，但其风险和费用将由乙方承担，甲方根据合同约定对乙方行使的其他权利不受影响。</w:t>
      </w:r>
    </w:p>
    <w:p w14:paraId="1173CC57">
      <w:pPr>
        <w:adjustRightInd w:val="0"/>
        <w:snapToGrid w:val="0"/>
        <w:spacing w:line="360" w:lineRule="auto"/>
        <w:ind w:firstLine="448" w:firstLineChars="200"/>
        <w:jc w:val="left"/>
        <w:rPr>
          <w:b/>
          <w:bCs/>
          <w:sz w:val="24"/>
          <w:szCs w:val="24"/>
        </w:rPr>
      </w:pPr>
      <w:r>
        <w:rPr>
          <w:b/>
          <w:bCs/>
          <w:color w:val="000000" w:themeColor="text1"/>
          <w:sz w:val="24"/>
          <w:szCs w:val="24"/>
          <w14:textFill>
            <w14:solidFill>
              <w14:schemeClr w14:val="tx1"/>
            </w14:solidFill>
          </w14:textFill>
        </w:rPr>
        <w:t>9</w:t>
      </w:r>
      <w:r>
        <w:rPr>
          <w:b/>
          <w:bCs/>
          <w:sz w:val="24"/>
          <w:szCs w:val="24"/>
        </w:rPr>
        <w:t>.</w:t>
      </w:r>
      <w:r>
        <w:rPr>
          <w:b/>
          <w:bCs/>
          <w:color w:val="000000" w:themeColor="text1"/>
          <w:sz w:val="24"/>
          <w:szCs w:val="24"/>
          <w14:textFill>
            <w14:solidFill>
              <w14:schemeClr w14:val="tx1"/>
            </w14:solidFill>
          </w14:textFill>
        </w:rPr>
        <w:t xml:space="preserve"> </w:t>
      </w:r>
      <w:r>
        <w:rPr>
          <w:b/>
          <w:bCs/>
          <w:sz w:val="24"/>
          <w:szCs w:val="24"/>
        </w:rPr>
        <w:t>权利瑕疵担保</w:t>
      </w:r>
    </w:p>
    <w:p w14:paraId="5A7EE296">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9.1 乙方保证对其出售的货物享有合法的权利。</w:t>
      </w:r>
    </w:p>
    <w:p w14:paraId="6F037CEB">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 xml:space="preserve">9.2 </w:t>
      </w:r>
      <w:r>
        <w:rPr>
          <w:sz w:val="24"/>
          <w:szCs w:val="24"/>
        </w:rPr>
        <w:t>乙方保证在交付的货物上不存在抵押权等担保物权。</w:t>
      </w:r>
    </w:p>
    <w:p w14:paraId="17E1CF96">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9.3 如甲方使用上述货物构成对第三人侵权的，则由乙方承担全部责任。</w:t>
      </w:r>
    </w:p>
    <w:p w14:paraId="50397095">
      <w:pPr>
        <w:autoSpaceDE w:val="0"/>
        <w:autoSpaceDN w:val="0"/>
        <w:adjustRightInd w:val="0"/>
        <w:snapToGrid w:val="0"/>
        <w:spacing w:line="360" w:lineRule="auto"/>
        <w:ind w:firstLine="448" w:firstLineChars="200"/>
        <w:jc w:val="left"/>
        <w:rPr>
          <w:b/>
          <w:bCs/>
          <w:color w:val="000000" w:themeColor="text1"/>
          <w:sz w:val="24"/>
          <w:szCs w:val="24"/>
          <w14:textFill>
            <w14:solidFill>
              <w14:schemeClr w14:val="tx1"/>
            </w14:solidFill>
          </w14:textFill>
        </w:rPr>
      </w:pPr>
      <w:r>
        <w:rPr>
          <w:b/>
          <w:bCs/>
          <w:color w:val="000000" w:themeColor="text1"/>
          <w:sz w:val="24"/>
          <w:szCs w:val="24"/>
          <w14:textFill>
            <w14:solidFill>
              <w14:schemeClr w14:val="tx1"/>
            </w14:solidFill>
          </w14:textFill>
        </w:rPr>
        <w:t>10. 知识产权保护</w:t>
      </w:r>
    </w:p>
    <w:p w14:paraId="53C25EB6">
      <w:pPr>
        <w:autoSpaceDE w:val="0"/>
        <w:autoSpaceDN w:val="0"/>
        <w:adjustRightInd w:val="0"/>
        <w:snapToGrid w:val="0"/>
        <w:spacing w:line="360" w:lineRule="auto"/>
        <w:ind w:firstLine="448" w:firstLineChars="200"/>
        <w:jc w:val="left"/>
        <w:rPr>
          <w:sz w:val="24"/>
          <w:szCs w:val="24"/>
        </w:rPr>
      </w:pPr>
      <w:r>
        <w:rPr>
          <w:color w:val="000000" w:themeColor="text1"/>
          <w:sz w:val="24"/>
          <w:szCs w:val="24"/>
          <w14:textFill>
            <w14:solidFill>
              <w14:schemeClr w14:val="tx1"/>
            </w14:solidFill>
          </w14:textFill>
        </w:rPr>
        <w:t>10.1 乙方对其所销售的货物应当享有知识产权或经权利人合法授权，保证没有侵犯任</w:t>
      </w:r>
      <w:r>
        <w:rPr>
          <w:sz w:val="24"/>
          <w:szCs w:val="24"/>
        </w:rPr>
        <w:t>何第三人的知识产权等权利。</w:t>
      </w:r>
      <w:bookmarkStart w:id="9" w:name="_Hlk163047038"/>
      <w:r>
        <w:rPr>
          <w:sz w:val="24"/>
          <w:szCs w:val="24"/>
        </w:rPr>
        <w:t>因违反前述约定对第三人构成侵权的，应当由乙方向第三人承担法律责任；甲方依法向第三人赔偿后，有权向乙方追偿。甲方有其他损失的，乙方应当赔偿</w:t>
      </w:r>
      <w:bookmarkEnd w:id="9"/>
      <w:r>
        <w:rPr>
          <w:sz w:val="24"/>
          <w:szCs w:val="24"/>
        </w:rPr>
        <w:t>。</w:t>
      </w:r>
    </w:p>
    <w:p w14:paraId="63A9C085">
      <w:pPr>
        <w:autoSpaceDE w:val="0"/>
        <w:autoSpaceDN w:val="0"/>
        <w:adjustRightInd w:val="0"/>
        <w:snapToGrid w:val="0"/>
        <w:spacing w:line="360" w:lineRule="auto"/>
        <w:ind w:firstLine="448" w:firstLineChars="200"/>
        <w:jc w:val="left"/>
        <w:rPr>
          <w:b/>
          <w:bCs/>
          <w:sz w:val="24"/>
          <w:szCs w:val="24"/>
        </w:rPr>
      </w:pPr>
      <w:r>
        <w:rPr>
          <w:b/>
          <w:bCs/>
          <w:sz w:val="24"/>
          <w:szCs w:val="24"/>
        </w:rPr>
        <w:t>11. 保密义务</w:t>
      </w:r>
    </w:p>
    <w:p w14:paraId="2D9B6BC4">
      <w:pPr>
        <w:autoSpaceDE w:val="0"/>
        <w:autoSpaceDN w:val="0"/>
        <w:adjustRightInd w:val="0"/>
        <w:snapToGrid w:val="0"/>
        <w:spacing w:line="360" w:lineRule="auto"/>
        <w:ind w:firstLine="448" w:firstLineChars="200"/>
        <w:jc w:val="left"/>
        <w:rPr>
          <w:sz w:val="24"/>
          <w:szCs w:val="24"/>
        </w:rPr>
      </w:pPr>
      <w:r>
        <w:rPr>
          <w:sz w:val="24"/>
          <w:szCs w:val="24"/>
        </w:rPr>
        <w:t>11.1 甲、乙双方对采购和合同履行过程中所获悉的国家秘密、工作秘密、商业秘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Pr>
          <w:b/>
          <w:bCs/>
          <w:sz w:val="24"/>
          <w:szCs w:val="24"/>
        </w:rPr>
        <w:t>【政府采购合同专用条款】</w:t>
      </w:r>
      <w:r>
        <w:rPr>
          <w:sz w:val="24"/>
          <w:szCs w:val="24"/>
        </w:rPr>
        <w:t>中约定。</w:t>
      </w:r>
    </w:p>
    <w:p w14:paraId="371E1042">
      <w:pPr>
        <w:autoSpaceDE w:val="0"/>
        <w:autoSpaceDN w:val="0"/>
        <w:adjustRightInd w:val="0"/>
        <w:snapToGrid w:val="0"/>
        <w:spacing w:line="360" w:lineRule="auto"/>
        <w:ind w:firstLine="448" w:firstLineChars="200"/>
        <w:jc w:val="left"/>
        <w:rPr>
          <w:b/>
          <w:bCs/>
          <w:sz w:val="24"/>
          <w:szCs w:val="24"/>
        </w:rPr>
      </w:pPr>
      <w:r>
        <w:rPr>
          <w:b/>
          <w:bCs/>
          <w:sz w:val="24"/>
          <w:szCs w:val="24"/>
        </w:rPr>
        <w:t>12. 合同价款支付</w:t>
      </w:r>
    </w:p>
    <w:p w14:paraId="465A0094">
      <w:pPr>
        <w:adjustRightInd w:val="0"/>
        <w:snapToGrid w:val="0"/>
        <w:spacing w:line="360" w:lineRule="auto"/>
        <w:ind w:firstLine="448" w:firstLineChars="200"/>
        <w:jc w:val="left"/>
        <w:rPr>
          <w:sz w:val="24"/>
          <w:szCs w:val="24"/>
        </w:rPr>
      </w:pPr>
      <w:r>
        <w:rPr>
          <w:sz w:val="24"/>
          <w:szCs w:val="24"/>
        </w:rPr>
        <w:t>12.1 合同价款支付按照国库集中支付制度及财政管理相关规定执行。</w:t>
      </w:r>
    </w:p>
    <w:p w14:paraId="7B112464">
      <w:pPr>
        <w:pStyle w:val="2"/>
        <w:adjustRightInd w:val="0"/>
        <w:snapToGrid w:val="0"/>
        <w:spacing w:before="0" w:after="0" w:line="360" w:lineRule="auto"/>
        <w:ind w:firstLine="448" w:firstLineChars="200"/>
        <w:rPr>
          <w:rFonts w:ascii="Times New Roman" w:hAnsi="Times New Roman" w:cs="Times New Roman"/>
          <w:sz w:val="24"/>
          <w:szCs w:val="24"/>
        </w:rPr>
      </w:pPr>
      <w:r>
        <w:rPr>
          <w:rFonts w:ascii="Times New Roman" w:hAnsi="Times New Roman" w:cs="Times New Roman"/>
          <w:b w:val="0"/>
          <w:bCs w:val="0"/>
          <w:sz w:val="24"/>
          <w:szCs w:val="24"/>
        </w:rPr>
        <w:t>12.2 对于满足合同约定支付条件的，甲方原则上应当自收到发票后10个工作日内将资金支付到合同约定的乙方账户，不得以机构变动、人员更替、政策调整等为由迟延付款，不得将采购文件和合同中未规定的义务作为向乙方付款的条件。具体合同价款支付时间在【</w:t>
      </w:r>
      <w:r>
        <w:rPr>
          <w:rFonts w:ascii="Times New Roman" w:hAnsi="Times New Roman" w:cs="Times New Roman"/>
          <w:sz w:val="24"/>
          <w:szCs w:val="24"/>
        </w:rPr>
        <w:t>政府采购合同专用条款</w:t>
      </w:r>
      <w:r>
        <w:rPr>
          <w:rFonts w:ascii="Times New Roman" w:hAnsi="Times New Roman" w:cs="Times New Roman"/>
          <w:b w:val="0"/>
          <w:bCs w:val="0"/>
          <w:sz w:val="24"/>
          <w:szCs w:val="24"/>
        </w:rPr>
        <w:t>】中约定。</w:t>
      </w:r>
    </w:p>
    <w:p w14:paraId="0904BAA8">
      <w:pPr>
        <w:pStyle w:val="5"/>
        <w:adjustRightInd w:val="0"/>
        <w:snapToGrid w:val="0"/>
        <w:spacing w:after="0" w:line="360" w:lineRule="auto"/>
        <w:ind w:firstLine="448" w:firstLineChars="200"/>
        <w:rPr>
          <w:b/>
          <w:bCs/>
          <w:sz w:val="24"/>
          <w:szCs w:val="24"/>
        </w:rPr>
      </w:pPr>
      <w:r>
        <w:rPr>
          <w:b/>
          <w:bCs/>
          <w:sz w:val="24"/>
          <w:szCs w:val="24"/>
        </w:rPr>
        <w:t>13. 履约保证金</w:t>
      </w:r>
    </w:p>
    <w:p w14:paraId="1D614929">
      <w:pPr>
        <w:adjustRightInd w:val="0"/>
        <w:snapToGrid w:val="0"/>
        <w:spacing w:line="360" w:lineRule="auto"/>
        <w:ind w:firstLine="448" w:firstLineChars="200"/>
        <w:jc w:val="left"/>
        <w:rPr>
          <w:sz w:val="24"/>
          <w:szCs w:val="24"/>
        </w:rPr>
      </w:pPr>
      <w:r>
        <w:rPr>
          <w:sz w:val="24"/>
          <w:szCs w:val="24"/>
        </w:rPr>
        <w:t>13.1 乙方应当以支票、汇票、本票或者金融机构、担保机构出具的保函等非现金形式提交。</w:t>
      </w:r>
    </w:p>
    <w:p w14:paraId="10A07D6C">
      <w:pPr>
        <w:adjustRightInd w:val="0"/>
        <w:snapToGrid w:val="0"/>
        <w:spacing w:line="360" w:lineRule="auto"/>
        <w:ind w:firstLine="448" w:firstLineChars="200"/>
        <w:jc w:val="left"/>
        <w:rPr>
          <w:sz w:val="24"/>
          <w:szCs w:val="24"/>
        </w:rPr>
      </w:pPr>
      <w:r>
        <w:rPr>
          <w:sz w:val="24"/>
          <w:szCs w:val="24"/>
        </w:rPr>
        <w:t>13.2 如果乙方出现</w:t>
      </w:r>
      <w:r>
        <w:rPr>
          <w:b/>
          <w:bCs/>
          <w:sz w:val="24"/>
          <w:szCs w:val="24"/>
        </w:rPr>
        <w:t>【政府采购合同专用条款】</w:t>
      </w:r>
      <w:r>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14:paraId="7A5F8C26">
      <w:pPr>
        <w:adjustRightInd w:val="0"/>
        <w:snapToGrid w:val="0"/>
        <w:spacing w:line="360" w:lineRule="auto"/>
        <w:ind w:firstLine="448" w:firstLineChars="200"/>
        <w:rPr>
          <w:sz w:val="24"/>
          <w:szCs w:val="24"/>
        </w:rPr>
      </w:pPr>
      <w:r>
        <w:rPr>
          <w:sz w:val="24"/>
          <w:szCs w:val="24"/>
        </w:rPr>
        <w:t>13.3 甲方在项目通过验收后按照</w:t>
      </w:r>
      <w:r>
        <w:rPr>
          <w:b/>
          <w:sz w:val="24"/>
          <w:szCs w:val="24"/>
        </w:rPr>
        <w:t>【政府采购合同专用条款】</w:t>
      </w:r>
      <w:r>
        <w:rPr>
          <w:sz w:val="24"/>
          <w:szCs w:val="24"/>
        </w:rPr>
        <w:t>规定的时间内将履约保证金退还乙方；逾期退还的，乙方可要求甲方支付违约金，违约金按照</w:t>
      </w:r>
      <w:r>
        <w:rPr>
          <w:b/>
          <w:sz w:val="24"/>
          <w:szCs w:val="24"/>
        </w:rPr>
        <w:t>【政府采购合同专用条款】</w:t>
      </w:r>
      <w:r>
        <w:rPr>
          <w:sz w:val="24"/>
          <w:szCs w:val="24"/>
        </w:rPr>
        <w:t>规定支付。</w:t>
      </w:r>
    </w:p>
    <w:p w14:paraId="26267856">
      <w:pPr>
        <w:autoSpaceDE w:val="0"/>
        <w:autoSpaceDN w:val="0"/>
        <w:adjustRightInd w:val="0"/>
        <w:snapToGrid w:val="0"/>
        <w:spacing w:line="360" w:lineRule="auto"/>
        <w:ind w:firstLine="448" w:firstLineChars="200"/>
        <w:jc w:val="left"/>
        <w:rPr>
          <w:b/>
          <w:sz w:val="24"/>
          <w:szCs w:val="24"/>
        </w:rPr>
      </w:pPr>
      <w:r>
        <w:rPr>
          <w:b/>
          <w:bCs/>
          <w:sz w:val="24"/>
          <w:szCs w:val="24"/>
        </w:rPr>
        <w:t xml:space="preserve">14. </w:t>
      </w:r>
      <w:r>
        <w:rPr>
          <w:b/>
          <w:sz w:val="24"/>
          <w:szCs w:val="24"/>
        </w:rPr>
        <w:t>售后服务</w:t>
      </w:r>
    </w:p>
    <w:p w14:paraId="57B8CCA5">
      <w:pPr>
        <w:autoSpaceDE w:val="0"/>
        <w:autoSpaceDN w:val="0"/>
        <w:adjustRightInd w:val="0"/>
        <w:snapToGrid w:val="0"/>
        <w:spacing w:line="360" w:lineRule="auto"/>
        <w:ind w:firstLine="448" w:firstLineChars="200"/>
        <w:jc w:val="left"/>
        <w:rPr>
          <w:sz w:val="24"/>
          <w:szCs w:val="24"/>
        </w:rPr>
      </w:pPr>
      <w:r>
        <w:rPr>
          <w:sz w:val="24"/>
          <w:szCs w:val="24"/>
        </w:rPr>
        <w:t>14.1 除项目不涉及或采购活动中明确约定无须承担外，乙方还应提供下列服务：</w:t>
      </w:r>
    </w:p>
    <w:p w14:paraId="0447402E">
      <w:pPr>
        <w:autoSpaceDE w:val="0"/>
        <w:autoSpaceDN w:val="0"/>
        <w:adjustRightInd w:val="0"/>
        <w:snapToGrid w:val="0"/>
        <w:spacing w:line="360" w:lineRule="auto"/>
        <w:ind w:firstLine="448" w:firstLineChars="200"/>
        <w:jc w:val="left"/>
        <w:rPr>
          <w:sz w:val="24"/>
          <w:szCs w:val="24"/>
        </w:rPr>
      </w:pPr>
      <w:r>
        <w:rPr>
          <w:sz w:val="24"/>
          <w:szCs w:val="24"/>
        </w:rPr>
        <w:t>（1）货物的现场移动、安装、调试、启动监督及技术支持；</w:t>
      </w:r>
    </w:p>
    <w:p w14:paraId="58A429D3">
      <w:pPr>
        <w:autoSpaceDE w:val="0"/>
        <w:autoSpaceDN w:val="0"/>
        <w:adjustRightInd w:val="0"/>
        <w:snapToGrid w:val="0"/>
        <w:spacing w:line="360" w:lineRule="auto"/>
        <w:ind w:firstLine="448" w:firstLineChars="200"/>
        <w:jc w:val="left"/>
        <w:rPr>
          <w:sz w:val="24"/>
          <w:szCs w:val="24"/>
        </w:rPr>
      </w:pPr>
      <w:r>
        <w:rPr>
          <w:sz w:val="24"/>
          <w:szCs w:val="24"/>
        </w:rPr>
        <w:t>（2）提供货物组装和维修所需的专用工具和辅助材料；</w:t>
      </w:r>
    </w:p>
    <w:p w14:paraId="082B62EF">
      <w:pPr>
        <w:autoSpaceDE w:val="0"/>
        <w:autoSpaceDN w:val="0"/>
        <w:adjustRightInd w:val="0"/>
        <w:snapToGrid w:val="0"/>
        <w:spacing w:line="360" w:lineRule="auto"/>
        <w:ind w:firstLine="448" w:firstLineChars="200"/>
        <w:jc w:val="left"/>
        <w:rPr>
          <w:sz w:val="24"/>
          <w:szCs w:val="24"/>
        </w:rPr>
      </w:pPr>
      <w:r>
        <w:rPr>
          <w:sz w:val="24"/>
          <w:szCs w:val="24"/>
        </w:rPr>
        <w:t>（3）在</w:t>
      </w:r>
      <w:r>
        <w:rPr>
          <w:b/>
          <w:bCs/>
          <w:sz w:val="24"/>
          <w:szCs w:val="24"/>
        </w:rPr>
        <w:t>【政府采购合同专用条款】</w:t>
      </w:r>
      <w:r>
        <w:rPr>
          <w:sz w:val="24"/>
          <w:szCs w:val="24"/>
        </w:rPr>
        <w:t>约定的期限内对所有的货物实施运行监督、维修，但前提条件是该服务并不能免除乙方在质量保证期内所承担的义务；</w:t>
      </w:r>
    </w:p>
    <w:p w14:paraId="1512AB7B">
      <w:pPr>
        <w:autoSpaceDE w:val="0"/>
        <w:autoSpaceDN w:val="0"/>
        <w:adjustRightInd w:val="0"/>
        <w:snapToGrid w:val="0"/>
        <w:spacing w:line="360" w:lineRule="auto"/>
        <w:ind w:firstLine="448" w:firstLineChars="200"/>
        <w:jc w:val="left"/>
        <w:rPr>
          <w:sz w:val="24"/>
          <w:szCs w:val="24"/>
        </w:rPr>
      </w:pPr>
      <w:r>
        <w:rPr>
          <w:sz w:val="24"/>
          <w:szCs w:val="24"/>
        </w:rPr>
        <w:t>（4）在制造商所在地或指定现场就货物的安装、启动、运营、维护、废弃处置等对甲方操作人员进行培训；</w:t>
      </w:r>
    </w:p>
    <w:p w14:paraId="0AEC616F">
      <w:pPr>
        <w:pStyle w:val="50"/>
        <w:snapToGrid w:val="0"/>
        <w:spacing w:line="360" w:lineRule="auto"/>
        <w:ind w:firstLine="446"/>
        <w:rPr>
          <w:rFonts w:ascii="Times New Roman" w:hAnsi="Times New Roman" w:eastAsia="宋体" w:cs="Times New Roman"/>
          <w:sz w:val="24"/>
          <w:szCs w:val="24"/>
        </w:rPr>
      </w:pPr>
      <w:r>
        <w:rPr>
          <w:rFonts w:ascii="Times New Roman" w:hAnsi="Times New Roman" w:eastAsia="宋体" w:cs="Times New Roman"/>
          <w:sz w:val="24"/>
          <w:szCs w:val="24"/>
        </w:rPr>
        <w:t>（5）依照法律、行政法规的规定或者按照</w:t>
      </w:r>
      <w:r>
        <w:rPr>
          <w:rFonts w:ascii="Times New Roman" w:hAnsi="Times New Roman" w:eastAsia="宋体" w:cs="Times New Roman"/>
          <w:b/>
          <w:bCs/>
          <w:sz w:val="24"/>
          <w:szCs w:val="24"/>
        </w:rPr>
        <w:t>【政府采购合同专用条款】</w:t>
      </w:r>
      <w:r>
        <w:rPr>
          <w:rFonts w:ascii="Times New Roman" w:hAnsi="Times New Roman" w:eastAsia="宋体" w:cs="Times New Roman"/>
          <w:sz w:val="24"/>
          <w:szCs w:val="24"/>
        </w:rPr>
        <w:t>约定，货物在有效使用年限届满后应予回收的，乙方负有自行或者委托第三人对货物予以回收的义务；</w:t>
      </w:r>
    </w:p>
    <w:p w14:paraId="0D9D4465">
      <w:pPr>
        <w:autoSpaceDE w:val="0"/>
        <w:autoSpaceDN w:val="0"/>
        <w:adjustRightInd w:val="0"/>
        <w:snapToGrid w:val="0"/>
        <w:spacing w:line="360" w:lineRule="auto"/>
        <w:ind w:firstLine="448" w:firstLineChars="200"/>
        <w:jc w:val="left"/>
        <w:rPr>
          <w:sz w:val="24"/>
          <w:szCs w:val="24"/>
        </w:rPr>
      </w:pPr>
      <w:r>
        <w:rPr>
          <w:sz w:val="24"/>
          <w:szCs w:val="24"/>
        </w:rPr>
        <w:t>（6）</w:t>
      </w:r>
      <w:r>
        <w:rPr>
          <w:b/>
          <w:sz w:val="24"/>
          <w:szCs w:val="24"/>
        </w:rPr>
        <w:t>【政府采购合同专用条款】</w:t>
      </w:r>
      <w:r>
        <w:rPr>
          <w:sz w:val="24"/>
          <w:szCs w:val="24"/>
        </w:rPr>
        <w:t>规定由乙方提供的其他服务。</w:t>
      </w:r>
    </w:p>
    <w:p w14:paraId="00DE1FB1">
      <w:pPr>
        <w:autoSpaceDE w:val="0"/>
        <w:autoSpaceDN w:val="0"/>
        <w:adjustRightInd w:val="0"/>
        <w:snapToGrid w:val="0"/>
        <w:spacing w:line="360" w:lineRule="auto"/>
        <w:ind w:firstLine="448" w:firstLineChars="200"/>
        <w:jc w:val="left"/>
        <w:rPr>
          <w:sz w:val="24"/>
          <w:szCs w:val="24"/>
        </w:rPr>
      </w:pPr>
      <w:r>
        <w:rPr>
          <w:sz w:val="24"/>
          <w:szCs w:val="24"/>
        </w:rPr>
        <w:t>14.2 乙方提供的售后服务的费用已包含在合同价款中，甲方不再另行支付。</w:t>
      </w:r>
    </w:p>
    <w:p w14:paraId="128B046F">
      <w:pPr>
        <w:adjustRightInd w:val="0"/>
        <w:snapToGrid w:val="0"/>
        <w:spacing w:line="360" w:lineRule="auto"/>
        <w:ind w:firstLine="448" w:firstLineChars="200"/>
        <w:jc w:val="left"/>
        <w:rPr>
          <w:b/>
          <w:bCs/>
          <w:sz w:val="24"/>
          <w:szCs w:val="24"/>
        </w:rPr>
      </w:pPr>
      <w:r>
        <w:rPr>
          <w:b/>
          <w:bCs/>
          <w:sz w:val="24"/>
          <w:szCs w:val="24"/>
        </w:rPr>
        <w:t>15. 违约责任</w:t>
      </w:r>
    </w:p>
    <w:p w14:paraId="5FB3C6C1">
      <w:pPr>
        <w:adjustRightInd w:val="0"/>
        <w:snapToGrid w:val="0"/>
        <w:spacing w:line="360" w:lineRule="auto"/>
        <w:ind w:firstLine="448" w:firstLineChars="200"/>
        <w:jc w:val="left"/>
        <w:rPr>
          <w:bCs/>
          <w:sz w:val="24"/>
          <w:szCs w:val="24"/>
        </w:rPr>
      </w:pPr>
      <w:r>
        <w:rPr>
          <w:bCs/>
          <w:sz w:val="24"/>
          <w:szCs w:val="24"/>
        </w:rPr>
        <w:t>15.1质量瑕疵的违约责任</w:t>
      </w:r>
    </w:p>
    <w:p w14:paraId="43AE6712">
      <w:pPr>
        <w:autoSpaceDE w:val="0"/>
        <w:autoSpaceDN w:val="0"/>
        <w:adjustRightInd w:val="0"/>
        <w:snapToGrid w:val="0"/>
        <w:spacing w:line="360" w:lineRule="auto"/>
        <w:ind w:firstLine="448" w:firstLineChars="200"/>
        <w:jc w:val="left"/>
        <w:rPr>
          <w:sz w:val="24"/>
          <w:szCs w:val="24"/>
        </w:rPr>
      </w:pPr>
      <w:r>
        <w:rPr>
          <w:sz w:val="24"/>
          <w:szCs w:val="24"/>
        </w:rPr>
        <w:t>乙方提供的产品不符合合同约定的质量标准或存在产品质量缺陷，甲方有权要求乙方根据</w:t>
      </w:r>
      <w:r>
        <w:rPr>
          <w:b/>
          <w:sz w:val="24"/>
          <w:szCs w:val="24"/>
        </w:rPr>
        <w:t>【政府采购合同专用条款】</w:t>
      </w:r>
      <w:r>
        <w:rPr>
          <w:bCs/>
          <w:sz w:val="24"/>
          <w:szCs w:val="24"/>
        </w:rPr>
        <w:t>要求</w:t>
      </w:r>
      <w:r>
        <w:rPr>
          <w:sz w:val="24"/>
          <w:szCs w:val="24"/>
        </w:rPr>
        <w:t>及时修理、重作、更换，并承担由此给甲方造成的损失。</w:t>
      </w:r>
    </w:p>
    <w:p w14:paraId="2B6B0139">
      <w:pPr>
        <w:autoSpaceDE w:val="0"/>
        <w:autoSpaceDN w:val="0"/>
        <w:adjustRightInd w:val="0"/>
        <w:snapToGrid w:val="0"/>
        <w:spacing w:line="360" w:lineRule="auto"/>
        <w:ind w:firstLine="448" w:firstLineChars="200"/>
        <w:jc w:val="left"/>
        <w:rPr>
          <w:bCs/>
          <w:sz w:val="24"/>
          <w:szCs w:val="24"/>
        </w:rPr>
      </w:pPr>
      <w:r>
        <w:rPr>
          <w:bCs/>
          <w:sz w:val="24"/>
          <w:szCs w:val="24"/>
        </w:rPr>
        <w:t>15.2 迟延交货的违约责任</w:t>
      </w:r>
    </w:p>
    <w:p w14:paraId="6DEF33B8">
      <w:pPr>
        <w:autoSpaceDE w:val="0"/>
        <w:autoSpaceDN w:val="0"/>
        <w:adjustRightInd w:val="0"/>
        <w:snapToGrid w:val="0"/>
        <w:spacing w:line="360" w:lineRule="auto"/>
        <w:ind w:firstLine="448" w:firstLineChars="200"/>
        <w:jc w:val="left"/>
        <w:rPr>
          <w:sz w:val="24"/>
          <w:szCs w:val="24"/>
        </w:rPr>
      </w:pPr>
      <w:r>
        <w:rPr>
          <w:sz w:val="24"/>
          <w:szCs w:val="24"/>
        </w:rPr>
        <w:t>（1）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14:paraId="28300751">
      <w:pPr>
        <w:autoSpaceDE w:val="0"/>
        <w:autoSpaceDN w:val="0"/>
        <w:adjustRightInd w:val="0"/>
        <w:snapToGrid w:val="0"/>
        <w:spacing w:line="360" w:lineRule="auto"/>
        <w:ind w:firstLine="448" w:firstLineChars="200"/>
        <w:jc w:val="left"/>
        <w:rPr>
          <w:sz w:val="24"/>
          <w:szCs w:val="24"/>
        </w:rPr>
      </w:pPr>
      <w:r>
        <w:rPr>
          <w:sz w:val="24"/>
          <w:szCs w:val="24"/>
        </w:rPr>
        <w:t>（2）如果乙方没有按照合同规定的时间交货和提供相关服务，甲方有权从货款中扣除误期赔偿费而不影响合同项下的其他补救方法，赔偿费按</w:t>
      </w:r>
      <w:r>
        <w:rPr>
          <w:b/>
          <w:sz w:val="24"/>
          <w:szCs w:val="24"/>
        </w:rPr>
        <w:t>【政府采购合同专用条款】</w:t>
      </w:r>
      <w:r>
        <w:rPr>
          <w:sz w:val="24"/>
          <w:szCs w:val="24"/>
        </w:rPr>
        <w:t>规定执行。如果涉及公共利益，且赔偿金额无法弥补公共利益损失，甲方可要求继续履行或者采取其他补救措施。</w:t>
      </w:r>
    </w:p>
    <w:p w14:paraId="31896204">
      <w:pPr>
        <w:autoSpaceDE w:val="0"/>
        <w:autoSpaceDN w:val="0"/>
        <w:adjustRightInd w:val="0"/>
        <w:snapToGrid w:val="0"/>
        <w:spacing w:line="360" w:lineRule="auto"/>
        <w:ind w:firstLine="448" w:firstLineChars="200"/>
        <w:jc w:val="left"/>
        <w:rPr>
          <w:sz w:val="24"/>
          <w:szCs w:val="24"/>
        </w:rPr>
      </w:pPr>
      <w:r>
        <w:rPr>
          <w:sz w:val="24"/>
          <w:szCs w:val="24"/>
        </w:rPr>
        <w:t>15.3 迟延支付的违约责任</w:t>
      </w:r>
    </w:p>
    <w:p w14:paraId="06EA3124">
      <w:pPr>
        <w:autoSpaceDE w:val="0"/>
        <w:autoSpaceDN w:val="0"/>
        <w:adjustRightInd w:val="0"/>
        <w:snapToGrid w:val="0"/>
        <w:spacing w:line="360" w:lineRule="auto"/>
        <w:ind w:firstLine="448" w:firstLineChars="200"/>
        <w:jc w:val="left"/>
        <w:rPr>
          <w:sz w:val="24"/>
          <w:szCs w:val="24"/>
        </w:rPr>
      </w:pPr>
      <w:r>
        <w:rPr>
          <w:sz w:val="24"/>
          <w:szCs w:val="24"/>
        </w:rPr>
        <w:t>甲方存在迟延支付乙方合同款项的，应当承担</w:t>
      </w:r>
      <w:r>
        <w:rPr>
          <w:b/>
          <w:bCs/>
          <w:sz w:val="24"/>
          <w:szCs w:val="24"/>
        </w:rPr>
        <w:t>【政府采购合同专用条款】</w:t>
      </w:r>
      <w:r>
        <w:rPr>
          <w:sz w:val="24"/>
          <w:szCs w:val="24"/>
        </w:rPr>
        <w:t>规定的逾期付款利息。</w:t>
      </w:r>
    </w:p>
    <w:p w14:paraId="102F7249">
      <w:pPr>
        <w:adjustRightInd w:val="0"/>
        <w:snapToGrid w:val="0"/>
        <w:spacing w:line="360" w:lineRule="auto"/>
        <w:ind w:firstLine="448" w:firstLineChars="200"/>
        <w:jc w:val="left"/>
        <w:rPr>
          <w:sz w:val="24"/>
          <w:szCs w:val="24"/>
        </w:rPr>
      </w:pPr>
      <w:r>
        <w:rPr>
          <w:bCs/>
          <w:sz w:val="24"/>
          <w:szCs w:val="24"/>
        </w:rPr>
        <w:t>15.4其他违约责任根据项目实际需要按</w:t>
      </w:r>
      <w:r>
        <w:rPr>
          <w:b/>
          <w:bCs/>
          <w:sz w:val="24"/>
          <w:szCs w:val="24"/>
        </w:rPr>
        <w:t>【政府采购合同专用条款】</w:t>
      </w:r>
      <w:r>
        <w:rPr>
          <w:sz w:val="24"/>
          <w:szCs w:val="24"/>
        </w:rPr>
        <w:t>规定执行。</w:t>
      </w:r>
    </w:p>
    <w:p w14:paraId="48F6A127">
      <w:pPr>
        <w:numPr>
          <w:ilvl w:val="0"/>
          <w:numId w:val="6"/>
        </w:numPr>
        <w:autoSpaceDE w:val="0"/>
        <w:autoSpaceDN w:val="0"/>
        <w:adjustRightInd w:val="0"/>
        <w:snapToGrid w:val="0"/>
        <w:spacing w:line="360" w:lineRule="auto"/>
        <w:ind w:firstLine="448" w:firstLineChars="200"/>
        <w:jc w:val="left"/>
        <w:rPr>
          <w:b/>
          <w:sz w:val="24"/>
          <w:szCs w:val="24"/>
        </w:rPr>
      </w:pPr>
      <w:r>
        <w:rPr>
          <w:b/>
          <w:sz w:val="24"/>
          <w:szCs w:val="24"/>
        </w:rPr>
        <w:t>合同变更、中止与终止</w:t>
      </w:r>
    </w:p>
    <w:p w14:paraId="036D449E">
      <w:pPr>
        <w:adjustRightInd w:val="0"/>
        <w:snapToGrid w:val="0"/>
        <w:spacing w:line="360" w:lineRule="auto"/>
        <w:ind w:firstLine="448" w:firstLineChars="200"/>
        <w:jc w:val="left"/>
        <w:rPr>
          <w:sz w:val="24"/>
          <w:szCs w:val="24"/>
        </w:rPr>
      </w:pPr>
      <w:r>
        <w:rPr>
          <w:sz w:val="24"/>
          <w:szCs w:val="24"/>
        </w:rPr>
        <w:t xml:space="preserve">    16.1合同的变更</w:t>
      </w:r>
    </w:p>
    <w:p w14:paraId="58DC271D">
      <w:pPr>
        <w:autoSpaceDE w:val="0"/>
        <w:autoSpaceDN w:val="0"/>
        <w:adjustRightInd w:val="0"/>
        <w:snapToGrid w:val="0"/>
        <w:spacing w:line="360" w:lineRule="auto"/>
        <w:ind w:firstLine="448" w:firstLineChars="200"/>
        <w:jc w:val="left"/>
        <w:rPr>
          <w:sz w:val="24"/>
          <w:szCs w:val="24"/>
        </w:rPr>
      </w:pPr>
      <w:r>
        <w:rPr>
          <w:sz w:val="24"/>
          <w:szCs w:val="24"/>
        </w:rPr>
        <w:t>政府采购合同履行中，在不改变合同其他条款的前提下，甲方可以在合同价款10%的范围内追加与合同标的相同的货物，并就此与乙方协商一致后签订补充协议。</w:t>
      </w:r>
    </w:p>
    <w:p w14:paraId="7A781A60">
      <w:pPr>
        <w:adjustRightInd w:val="0"/>
        <w:snapToGrid w:val="0"/>
        <w:spacing w:line="360" w:lineRule="auto"/>
        <w:ind w:firstLine="448" w:firstLineChars="200"/>
        <w:jc w:val="left"/>
        <w:rPr>
          <w:sz w:val="24"/>
          <w:szCs w:val="24"/>
        </w:rPr>
      </w:pPr>
      <w:r>
        <w:rPr>
          <w:sz w:val="24"/>
          <w:szCs w:val="24"/>
        </w:rPr>
        <w:t>16.2合同的中止</w:t>
      </w:r>
    </w:p>
    <w:p w14:paraId="7B6CAD94">
      <w:pPr>
        <w:autoSpaceDE w:val="0"/>
        <w:autoSpaceDN w:val="0"/>
        <w:adjustRightInd w:val="0"/>
        <w:snapToGrid w:val="0"/>
        <w:spacing w:line="360" w:lineRule="auto"/>
        <w:ind w:firstLine="448" w:firstLineChars="200"/>
        <w:jc w:val="left"/>
        <w:rPr>
          <w:sz w:val="24"/>
          <w:szCs w:val="24"/>
        </w:rPr>
      </w:pPr>
      <w:r>
        <w:rPr>
          <w:sz w:val="24"/>
          <w:szCs w:val="24"/>
        </w:rPr>
        <w:t>（1）合同履行过程中因供应商就采购文件、采购过程或结果提起投诉的，甲方认为有必要的，可以中止合同的履行。</w:t>
      </w:r>
    </w:p>
    <w:p w14:paraId="5F629D26">
      <w:pPr>
        <w:autoSpaceDE w:val="0"/>
        <w:autoSpaceDN w:val="0"/>
        <w:adjustRightInd w:val="0"/>
        <w:snapToGrid w:val="0"/>
        <w:spacing w:line="360" w:lineRule="auto"/>
        <w:ind w:firstLine="448" w:firstLineChars="200"/>
        <w:jc w:val="left"/>
        <w:rPr>
          <w:sz w:val="24"/>
          <w:szCs w:val="24"/>
        </w:rPr>
      </w:pPr>
      <w:r>
        <w:rPr>
          <w:sz w:val="24"/>
          <w:szCs w:val="24"/>
        </w:rPr>
        <w:t>（2）合同履行过程中，如果乙方出现以下情形之一的：1．经营状况严重恶化；2．转移财产、抽逃资金，以逃避债务；3．丧失商业信誉；4．有丧失或者可能丧失履约能力的其他情形，乙方有义务及时告知甲方。甲方有权以书面形式通知乙方中止合同并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14:paraId="5B6C7D6D">
      <w:pPr>
        <w:pStyle w:val="50"/>
        <w:snapToGrid w:val="0"/>
        <w:spacing w:line="360" w:lineRule="auto"/>
        <w:ind w:firstLine="446"/>
        <w:jc w:val="both"/>
        <w:rPr>
          <w:rFonts w:ascii="Times New Roman" w:hAnsi="Times New Roman" w:cs="Times New Roman"/>
          <w:sz w:val="24"/>
          <w:szCs w:val="24"/>
        </w:rPr>
      </w:pPr>
      <w:r>
        <w:rPr>
          <w:rFonts w:ascii="Times New Roman" w:hAnsi="Times New Roman" w:eastAsia="宋体" w:cs="Times New Roman"/>
          <w:sz w:val="24"/>
          <w:szCs w:val="24"/>
        </w:rPr>
        <w:t>（3）乙方分立、合并或者变更住所的，应当及时以书面形式告知甲方。乙方没有及时告知甲方，致使合同履行发生困难的，甲方可以中止合同履行并要求乙方承担由此给甲方造成的损失。</w:t>
      </w:r>
    </w:p>
    <w:p w14:paraId="5F4B891E">
      <w:pPr>
        <w:adjustRightInd w:val="0"/>
        <w:snapToGrid w:val="0"/>
        <w:spacing w:line="360" w:lineRule="auto"/>
        <w:ind w:firstLine="448" w:firstLineChars="200"/>
        <w:jc w:val="left"/>
        <w:rPr>
          <w:sz w:val="24"/>
          <w:szCs w:val="24"/>
        </w:rPr>
      </w:pPr>
      <w:r>
        <w:rPr>
          <w:sz w:val="24"/>
          <w:szCs w:val="24"/>
        </w:rPr>
        <w:t>（4）甲方不得以行政区划调整、政府换届、机构或者职能调整以及相关责任人更替为由中止合同。</w:t>
      </w:r>
    </w:p>
    <w:p w14:paraId="5D8577D3">
      <w:pPr>
        <w:adjustRightInd w:val="0"/>
        <w:snapToGrid w:val="0"/>
        <w:spacing w:line="360" w:lineRule="auto"/>
        <w:ind w:firstLine="448" w:firstLineChars="200"/>
        <w:jc w:val="left"/>
        <w:rPr>
          <w:sz w:val="24"/>
          <w:szCs w:val="24"/>
        </w:rPr>
      </w:pPr>
      <w:r>
        <w:rPr>
          <w:sz w:val="24"/>
          <w:szCs w:val="24"/>
        </w:rPr>
        <w:t>16.3合同的终止</w:t>
      </w:r>
    </w:p>
    <w:p w14:paraId="596C46C1">
      <w:pPr>
        <w:autoSpaceDE w:val="0"/>
        <w:autoSpaceDN w:val="0"/>
        <w:adjustRightInd w:val="0"/>
        <w:snapToGrid w:val="0"/>
        <w:spacing w:line="360" w:lineRule="auto"/>
        <w:ind w:firstLine="448" w:firstLineChars="200"/>
        <w:jc w:val="left"/>
        <w:rPr>
          <w:sz w:val="24"/>
          <w:szCs w:val="24"/>
        </w:rPr>
      </w:pPr>
      <w:r>
        <w:rPr>
          <w:sz w:val="24"/>
          <w:szCs w:val="24"/>
        </w:rPr>
        <w:t>（1）合同因有效期限届满而终止；</w:t>
      </w:r>
    </w:p>
    <w:p w14:paraId="70C8E256">
      <w:pPr>
        <w:adjustRightInd w:val="0"/>
        <w:snapToGrid w:val="0"/>
        <w:spacing w:line="360" w:lineRule="auto"/>
        <w:ind w:firstLine="448" w:firstLineChars="200"/>
        <w:rPr>
          <w:sz w:val="24"/>
          <w:szCs w:val="24"/>
        </w:rPr>
      </w:pPr>
      <w:r>
        <w:rPr>
          <w:sz w:val="24"/>
          <w:szCs w:val="24"/>
        </w:rPr>
        <w:t>（2）乙方未按合同约定履行，构成根本性违约的，甲方有权终止合同，并追究乙方的违约责任。</w:t>
      </w:r>
    </w:p>
    <w:p w14:paraId="35BD9267">
      <w:pPr>
        <w:pStyle w:val="50"/>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 xml:space="preserve">16.4 </w:t>
      </w:r>
      <w:r>
        <w:rPr>
          <w:rFonts w:ascii="Times New Roman" w:hAnsi="Times New Roman" w:eastAsia="宋体" w:cs="Times New Roman"/>
          <w:kern w:val="2"/>
          <w:sz w:val="24"/>
          <w:szCs w:val="24"/>
        </w:rPr>
        <w:t>涉及国家利益、社会公共利益的情形</w:t>
      </w:r>
    </w:p>
    <w:p w14:paraId="50423F68">
      <w:pPr>
        <w:pStyle w:val="50"/>
        <w:snapToGrid w:val="0"/>
        <w:spacing w:line="360" w:lineRule="auto"/>
        <w:ind w:firstLine="446"/>
        <w:jc w:val="both"/>
        <w:rPr>
          <w:rFonts w:ascii="Times New Roman" w:hAnsi="Times New Roman" w:cs="Times New Roman"/>
          <w:sz w:val="24"/>
          <w:szCs w:val="24"/>
        </w:rPr>
      </w:pPr>
      <w:r>
        <w:rPr>
          <w:rFonts w:ascii="Times New Roman" w:hAnsi="Times New Roman" w:eastAsia="宋体"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14:paraId="56E836D7">
      <w:pPr>
        <w:autoSpaceDE w:val="0"/>
        <w:autoSpaceDN w:val="0"/>
        <w:adjustRightInd w:val="0"/>
        <w:snapToGrid w:val="0"/>
        <w:spacing w:line="360" w:lineRule="auto"/>
        <w:ind w:firstLine="448" w:firstLineChars="200"/>
        <w:jc w:val="left"/>
        <w:rPr>
          <w:b/>
          <w:bCs/>
          <w:sz w:val="24"/>
          <w:szCs w:val="24"/>
        </w:rPr>
      </w:pPr>
      <w:r>
        <w:rPr>
          <w:b/>
          <w:bCs/>
          <w:sz w:val="24"/>
          <w:szCs w:val="24"/>
        </w:rPr>
        <w:t>17. 合同分包</w:t>
      </w:r>
    </w:p>
    <w:p w14:paraId="45E1F2C6">
      <w:pPr>
        <w:autoSpaceDE w:val="0"/>
        <w:autoSpaceDN w:val="0"/>
        <w:adjustRightInd w:val="0"/>
        <w:snapToGrid w:val="0"/>
        <w:spacing w:line="360" w:lineRule="auto"/>
        <w:ind w:firstLine="448" w:firstLineChars="200"/>
        <w:jc w:val="left"/>
        <w:rPr>
          <w:sz w:val="24"/>
          <w:szCs w:val="24"/>
        </w:rPr>
      </w:pPr>
      <w:r>
        <w:rPr>
          <w:sz w:val="24"/>
          <w:szCs w:val="24"/>
        </w:rPr>
        <w:t>17.1 乙方不得将合同转包给其他供应商。涉及合同分包的，乙方应根据采购文件和投标（响应）文件规定进行合同分包。</w:t>
      </w:r>
    </w:p>
    <w:p w14:paraId="0BF320CC">
      <w:pPr>
        <w:autoSpaceDE w:val="0"/>
        <w:autoSpaceDN w:val="0"/>
        <w:adjustRightInd w:val="0"/>
        <w:snapToGrid w:val="0"/>
        <w:spacing w:line="360" w:lineRule="auto"/>
        <w:ind w:firstLine="448" w:firstLineChars="200"/>
        <w:jc w:val="left"/>
        <w:rPr>
          <w:sz w:val="24"/>
          <w:szCs w:val="24"/>
        </w:rPr>
      </w:pPr>
      <w:r>
        <w:rPr>
          <w:sz w:val="24"/>
          <w:szCs w:val="24"/>
        </w:rPr>
        <w:t>17.2 乙方执行政府采购政策向中小企业依法分包的，乙方应当按采购文件和投标（响应）文件签订分包意向协议，分包意向协议属于本合同组成部分。</w:t>
      </w:r>
    </w:p>
    <w:p w14:paraId="7F3F1D35">
      <w:pPr>
        <w:autoSpaceDE w:val="0"/>
        <w:autoSpaceDN w:val="0"/>
        <w:adjustRightInd w:val="0"/>
        <w:snapToGrid w:val="0"/>
        <w:spacing w:line="360" w:lineRule="auto"/>
        <w:ind w:firstLine="448" w:firstLineChars="200"/>
        <w:jc w:val="left"/>
        <w:rPr>
          <w:b/>
          <w:bCs/>
          <w:sz w:val="24"/>
          <w:szCs w:val="24"/>
        </w:rPr>
      </w:pPr>
      <w:r>
        <w:rPr>
          <w:b/>
          <w:bCs/>
          <w:sz w:val="24"/>
          <w:szCs w:val="24"/>
        </w:rPr>
        <w:t>18. 不可抗力</w:t>
      </w:r>
    </w:p>
    <w:p w14:paraId="43571EE3">
      <w:pPr>
        <w:autoSpaceDE w:val="0"/>
        <w:autoSpaceDN w:val="0"/>
        <w:adjustRightInd w:val="0"/>
        <w:snapToGrid w:val="0"/>
        <w:spacing w:line="360" w:lineRule="auto"/>
        <w:ind w:firstLine="448" w:firstLineChars="200"/>
        <w:jc w:val="left"/>
        <w:rPr>
          <w:sz w:val="24"/>
          <w:szCs w:val="24"/>
        </w:rPr>
      </w:pPr>
      <w:r>
        <w:rPr>
          <w:sz w:val="24"/>
          <w:szCs w:val="24"/>
        </w:rPr>
        <w:t>18.1 不可抗力是指合同双方不能预见、不能避免且不能克服的客观情况。</w:t>
      </w:r>
    </w:p>
    <w:p w14:paraId="0E53F4F1">
      <w:pPr>
        <w:autoSpaceDE w:val="0"/>
        <w:autoSpaceDN w:val="0"/>
        <w:adjustRightInd w:val="0"/>
        <w:snapToGrid w:val="0"/>
        <w:spacing w:line="360" w:lineRule="auto"/>
        <w:ind w:firstLine="448" w:firstLineChars="200"/>
        <w:jc w:val="left"/>
        <w:rPr>
          <w:sz w:val="24"/>
          <w:szCs w:val="24"/>
        </w:rPr>
      </w:pPr>
      <w:r>
        <w:rPr>
          <w:sz w:val="24"/>
          <w:szCs w:val="24"/>
        </w:rPr>
        <w:t>18.2 任何一方对由于不可抗力造成的部分或全部不能履行合同不承担违约责任。但迟延履行后发生不可抗力的，不能免除责任。</w:t>
      </w:r>
    </w:p>
    <w:p w14:paraId="726B32ED">
      <w:pPr>
        <w:autoSpaceDE w:val="0"/>
        <w:autoSpaceDN w:val="0"/>
        <w:adjustRightInd w:val="0"/>
        <w:snapToGrid w:val="0"/>
        <w:spacing w:line="360" w:lineRule="auto"/>
        <w:ind w:firstLine="448" w:firstLineChars="200"/>
        <w:jc w:val="left"/>
        <w:rPr>
          <w:sz w:val="24"/>
          <w:szCs w:val="24"/>
        </w:rPr>
      </w:pPr>
      <w:r>
        <w:rPr>
          <w:sz w:val="24"/>
          <w:szCs w:val="24"/>
        </w:rPr>
        <w:t>18.3 遇有不可抗力的一方，应及时将事件情况以书面形式告知另一方，并在事件发生后及时向另一方提交合同不能履行或部分不能履行或需要延期履行的详细报告，以及证明不可抗力发生及其持续时间的证据。</w:t>
      </w:r>
    </w:p>
    <w:p w14:paraId="2A843436">
      <w:pPr>
        <w:autoSpaceDE w:val="0"/>
        <w:autoSpaceDN w:val="0"/>
        <w:adjustRightInd w:val="0"/>
        <w:snapToGrid w:val="0"/>
        <w:spacing w:line="360" w:lineRule="auto"/>
        <w:ind w:firstLine="448" w:firstLineChars="200"/>
        <w:jc w:val="left"/>
        <w:rPr>
          <w:b/>
          <w:bCs/>
          <w:sz w:val="24"/>
          <w:szCs w:val="24"/>
        </w:rPr>
      </w:pPr>
      <w:r>
        <w:rPr>
          <w:b/>
          <w:bCs/>
          <w:sz w:val="24"/>
          <w:szCs w:val="24"/>
        </w:rPr>
        <w:t>19. 解决争议的方法</w:t>
      </w:r>
    </w:p>
    <w:p w14:paraId="4704DB2D">
      <w:pPr>
        <w:pStyle w:val="50"/>
        <w:snapToGrid w:val="0"/>
        <w:spacing w:line="360" w:lineRule="auto"/>
        <w:ind w:firstLine="446"/>
        <w:jc w:val="both"/>
        <w:rPr>
          <w:rFonts w:ascii="Times New Roman" w:hAnsi="Times New Roman" w:eastAsia="宋体" w:cs="Times New Roman"/>
          <w:sz w:val="24"/>
          <w:szCs w:val="24"/>
        </w:rPr>
      </w:pPr>
      <w:r>
        <w:rPr>
          <w:rFonts w:ascii="Times New Roman" w:hAnsi="Times New Roman" w:eastAsia="宋体" w:cs="Times New Roman"/>
          <w:sz w:val="24"/>
          <w:szCs w:val="24"/>
        </w:rPr>
        <w:t>19.1 因本合同及合同有关事项发生的争议，由甲乙双方友好协商解决。协商不成时，可以向有关组织申请调解。合同一方或双方不愿调解或调解不成的，可以通过仲裁或诉讼的方式解决争议。</w:t>
      </w:r>
    </w:p>
    <w:p w14:paraId="0BB33A15">
      <w:pPr>
        <w:pStyle w:val="50"/>
        <w:snapToGrid w:val="0"/>
        <w:spacing w:line="360" w:lineRule="auto"/>
        <w:ind w:firstLine="446"/>
        <w:jc w:val="both"/>
        <w:rPr>
          <w:rFonts w:ascii="Times New Roman" w:hAnsi="Times New Roman" w:eastAsia="宋体" w:cs="Times New Roman"/>
          <w:sz w:val="24"/>
          <w:szCs w:val="24"/>
        </w:rPr>
      </w:pPr>
      <w:r>
        <w:rPr>
          <w:rFonts w:ascii="Times New Roman" w:hAnsi="Times New Roman" w:eastAsia="宋体" w:cs="Times New Roman"/>
          <w:sz w:val="24"/>
          <w:szCs w:val="24"/>
        </w:rPr>
        <w:t>19.2 选择仲裁的，应在</w:t>
      </w:r>
      <w:r>
        <w:rPr>
          <w:rFonts w:ascii="Times New Roman" w:hAnsi="Times New Roman" w:eastAsia="宋体" w:cs="Times New Roman"/>
          <w:b/>
          <w:bCs/>
          <w:sz w:val="24"/>
          <w:szCs w:val="24"/>
        </w:rPr>
        <w:t>【政府采购合同专用条款】</w:t>
      </w:r>
      <w:r>
        <w:rPr>
          <w:rFonts w:ascii="Times New Roman" w:hAnsi="Times New Roman" w:eastAsia="宋体" w:cs="Times New Roman"/>
          <w:sz w:val="24"/>
          <w:szCs w:val="24"/>
        </w:rPr>
        <w:t>中明确仲裁机构及仲裁地；通过诉讼方式解决的，可以在</w:t>
      </w:r>
      <w:r>
        <w:rPr>
          <w:rFonts w:ascii="Times New Roman" w:hAnsi="Times New Roman" w:eastAsia="宋体" w:cs="Times New Roman"/>
          <w:b/>
          <w:bCs/>
          <w:sz w:val="24"/>
          <w:szCs w:val="24"/>
        </w:rPr>
        <w:t>【政府采购合同专用条款】</w:t>
      </w:r>
      <w:r>
        <w:rPr>
          <w:rFonts w:ascii="Times New Roman" w:hAnsi="Times New Roman" w:eastAsia="宋体" w:cs="Times New Roman"/>
          <w:sz w:val="24"/>
          <w:szCs w:val="24"/>
        </w:rPr>
        <w:t>中进一步约定选择与争议有实际联系的地点的人民法院管辖，但管辖法院的约定不得违反级别管辖和专属管辖的规定。</w:t>
      </w:r>
    </w:p>
    <w:p w14:paraId="3B1A44FC">
      <w:pPr>
        <w:pStyle w:val="50"/>
        <w:snapToGrid w:val="0"/>
        <w:spacing w:line="360" w:lineRule="auto"/>
        <w:ind w:firstLine="446"/>
        <w:jc w:val="both"/>
        <w:rPr>
          <w:rFonts w:ascii="Times New Roman" w:hAnsi="Times New Roman" w:eastAsia="宋体" w:cs="Times New Roman"/>
          <w:sz w:val="24"/>
          <w:szCs w:val="24"/>
        </w:rPr>
      </w:pPr>
      <w:r>
        <w:rPr>
          <w:rFonts w:ascii="Times New Roman" w:hAnsi="Times New Roman" w:eastAsia="宋体" w:cs="Times New Roman"/>
          <w:sz w:val="24"/>
          <w:szCs w:val="24"/>
        </w:rPr>
        <w:t>19.3 如甲乙双方有争议的事项不影响合同其他部分的履行，在争议解决期间，合同其他部分应当继续履行。</w:t>
      </w:r>
    </w:p>
    <w:p w14:paraId="1A78C349">
      <w:pPr>
        <w:autoSpaceDE w:val="0"/>
        <w:autoSpaceDN w:val="0"/>
        <w:adjustRightInd w:val="0"/>
        <w:snapToGrid w:val="0"/>
        <w:spacing w:line="360" w:lineRule="auto"/>
        <w:ind w:firstLine="448" w:firstLineChars="200"/>
        <w:jc w:val="left"/>
        <w:rPr>
          <w:sz w:val="24"/>
          <w:szCs w:val="24"/>
        </w:rPr>
      </w:pPr>
      <w:r>
        <w:rPr>
          <w:b/>
          <w:sz w:val="24"/>
          <w:szCs w:val="24"/>
        </w:rPr>
        <w:t>20. 政府采购政策</w:t>
      </w:r>
    </w:p>
    <w:p w14:paraId="17B97664">
      <w:pPr>
        <w:autoSpaceDE w:val="0"/>
        <w:autoSpaceDN w:val="0"/>
        <w:adjustRightInd w:val="0"/>
        <w:snapToGrid w:val="0"/>
        <w:spacing w:line="360" w:lineRule="auto"/>
        <w:ind w:firstLine="448" w:firstLineChars="200"/>
        <w:jc w:val="left"/>
        <w:rPr>
          <w:sz w:val="24"/>
          <w:szCs w:val="24"/>
        </w:rPr>
      </w:pPr>
      <w:r>
        <w:rPr>
          <w:sz w:val="24"/>
          <w:szCs w:val="24"/>
        </w:rPr>
        <w:t xml:space="preserve">20.1 </w:t>
      </w:r>
      <w:r>
        <w:rPr>
          <w:sz w:val="24"/>
          <w:szCs w:val="24"/>
          <w:lang w:val="en-GB"/>
        </w:rPr>
        <w:t>本合同应当按照规定执行政府采购政策。</w:t>
      </w:r>
    </w:p>
    <w:p w14:paraId="7290E568">
      <w:pPr>
        <w:autoSpaceDE w:val="0"/>
        <w:autoSpaceDN w:val="0"/>
        <w:adjustRightInd w:val="0"/>
        <w:snapToGrid w:val="0"/>
        <w:spacing w:line="360" w:lineRule="auto"/>
        <w:ind w:firstLine="448" w:firstLineChars="200"/>
        <w:jc w:val="left"/>
        <w:rPr>
          <w:sz w:val="24"/>
          <w:szCs w:val="24"/>
        </w:rPr>
      </w:pPr>
      <w:r>
        <w:rPr>
          <w:sz w:val="24"/>
          <w:szCs w:val="24"/>
        </w:rPr>
        <w:t>20.2 本合同依法执行政府采购政策的方式和内容，属于合同履约验收的范围。甲乙双方</w:t>
      </w:r>
      <w:r>
        <w:rPr>
          <w:sz w:val="24"/>
          <w:szCs w:val="24"/>
          <w:lang w:val="en-GB"/>
        </w:rPr>
        <w:t>未按规定要求执行政府采购政策造成损失的</w:t>
      </w:r>
      <w:r>
        <w:rPr>
          <w:sz w:val="24"/>
          <w:szCs w:val="24"/>
        </w:rPr>
        <w:t>，有过错的一方应当承担赔偿责任，双方都有过错的，各自承担相应的责任。</w:t>
      </w:r>
    </w:p>
    <w:p w14:paraId="13877E2F">
      <w:pPr>
        <w:pStyle w:val="5"/>
        <w:adjustRightInd w:val="0"/>
        <w:snapToGrid w:val="0"/>
        <w:spacing w:after="0" w:line="360" w:lineRule="auto"/>
        <w:ind w:firstLine="448" w:firstLineChars="200"/>
        <w:rPr>
          <w:sz w:val="24"/>
          <w:szCs w:val="24"/>
        </w:rPr>
      </w:pPr>
      <w:r>
        <w:rPr>
          <w:sz w:val="24"/>
          <w:szCs w:val="24"/>
        </w:rPr>
        <w:t>20.3 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14:paraId="241D4892">
      <w:pPr>
        <w:autoSpaceDE w:val="0"/>
        <w:autoSpaceDN w:val="0"/>
        <w:adjustRightInd w:val="0"/>
        <w:snapToGrid w:val="0"/>
        <w:spacing w:line="360" w:lineRule="auto"/>
        <w:ind w:firstLine="448" w:firstLineChars="200"/>
        <w:jc w:val="left"/>
        <w:rPr>
          <w:b/>
          <w:sz w:val="24"/>
          <w:szCs w:val="24"/>
        </w:rPr>
      </w:pPr>
      <w:r>
        <w:rPr>
          <w:b/>
          <w:sz w:val="24"/>
          <w:szCs w:val="24"/>
        </w:rPr>
        <w:t>21. 法律适用</w:t>
      </w:r>
    </w:p>
    <w:p w14:paraId="516DC7D0">
      <w:pPr>
        <w:pStyle w:val="50"/>
        <w:snapToGrid w:val="0"/>
        <w:spacing w:line="360" w:lineRule="auto"/>
        <w:ind w:firstLine="446"/>
        <w:jc w:val="both"/>
        <w:rPr>
          <w:rFonts w:ascii="Times New Roman" w:hAnsi="Times New Roman" w:eastAsia="宋体" w:cs="Times New Roman"/>
          <w:sz w:val="24"/>
          <w:szCs w:val="24"/>
        </w:rPr>
      </w:pPr>
      <w:r>
        <w:rPr>
          <w:rFonts w:ascii="Times New Roman" w:hAnsi="Times New Roman" w:eastAsia="宋体" w:cs="Times New Roman"/>
          <w:sz w:val="24"/>
          <w:szCs w:val="24"/>
        </w:rPr>
        <w:t>21.1 本合同的订立、生效、解释、履行及与本合同有关的争议解决，均适用法律、行政法规。</w:t>
      </w:r>
    </w:p>
    <w:p w14:paraId="494B5A70">
      <w:pPr>
        <w:pStyle w:val="50"/>
        <w:snapToGrid w:val="0"/>
        <w:spacing w:line="360" w:lineRule="auto"/>
        <w:ind w:firstLine="446"/>
        <w:jc w:val="both"/>
        <w:rPr>
          <w:rFonts w:ascii="Times New Roman" w:hAnsi="Times New Roman" w:eastAsia="宋体" w:cs="Times New Roman"/>
          <w:sz w:val="24"/>
          <w:szCs w:val="24"/>
        </w:rPr>
      </w:pPr>
      <w:r>
        <w:rPr>
          <w:rFonts w:ascii="Times New Roman" w:hAnsi="Times New Roman" w:eastAsia="宋体" w:cs="Times New Roman"/>
          <w:sz w:val="24"/>
          <w:szCs w:val="24"/>
        </w:rPr>
        <w:t>21.2 本合同条款与法律、行政法规的强制性规定不一致的，双方当事人应按照法律、行政法规的强制性规定修改本合同的相关条款。</w:t>
      </w:r>
    </w:p>
    <w:p w14:paraId="2B4F2417">
      <w:pPr>
        <w:autoSpaceDE w:val="0"/>
        <w:autoSpaceDN w:val="0"/>
        <w:adjustRightInd w:val="0"/>
        <w:snapToGrid w:val="0"/>
        <w:spacing w:line="360" w:lineRule="auto"/>
        <w:ind w:firstLine="448" w:firstLineChars="200"/>
        <w:jc w:val="left"/>
        <w:rPr>
          <w:b/>
          <w:sz w:val="24"/>
          <w:szCs w:val="24"/>
        </w:rPr>
      </w:pPr>
      <w:r>
        <w:rPr>
          <w:b/>
          <w:sz w:val="24"/>
          <w:szCs w:val="24"/>
        </w:rPr>
        <w:t>22. 通知</w:t>
      </w:r>
    </w:p>
    <w:p w14:paraId="2D2B723E">
      <w:pPr>
        <w:pStyle w:val="50"/>
        <w:snapToGrid w:val="0"/>
        <w:spacing w:line="360" w:lineRule="auto"/>
        <w:ind w:firstLine="446"/>
        <w:jc w:val="both"/>
        <w:rPr>
          <w:rFonts w:ascii="Times New Roman" w:hAnsi="Times New Roman" w:eastAsia="宋体" w:cs="Times New Roman"/>
          <w:sz w:val="24"/>
          <w:szCs w:val="24"/>
        </w:rPr>
      </w:pPr>
      <w:r>
        <w:rPr>
          <w:rFonts w:ascii="Times New Roman" w:hAnsi="Times New Roman" w:eastAsia="宋体" w:cs="Times New Roman"/>
          <w:sz w:val="24"/>
          <w:szCs w:val="24"/>
        </w:rPr>
        <w:t>22.1 本合同任何一方向对方发出的通知、信件、数据电文等，应当发送至本合同第一部分《政府采购合同协议书》所约定的通讯地址、联系人、联系电话或电子邮箱。</w:t>
      </w:r>
    </w:p>
    <w:p w14:paraId="1909A139">
      <w:pPr>
        <w:pStyle w:val="50"/>
        <w:snapToGrid w:val="0"/>
        <w:spacing w:line="360" w:lineRule="auto"/>
        <w:ind w:firstLine="446"/>
        <w:jc w:val="both"/>
        <w:rPr>
          <w:rFonts w:ascii="Times New Roman" w:hAnsi="Times New Roman" w:cs="Times New Roman"/>
          <w:sz w:val="24"/>
          <w:szCs w:val="24"/>
        </w:rPr>
      </w:pPr>
      <w:r>
        <w:rPr>
          <w:rFonts w:ascii="Times New Roman" w:hAnsi="Times New Roman" w:eastAsia="宋体" w:cs="Times New Roman"/>
          <w:sz w:val="24"/>
          <w:szCs w:val="24"/>
        </w:rPr>
        <w:t xml:space="preserve">    22.2 一方当事人变更名称、住所、联系人、联系电话或电子邮箱等信息的，应当在变更后3日内及时书面通知对方，对方实际收到变更通知前的送达仍为有效送达。</w:t>
      </w:r>
    </w:p>
    <w:p w14:paraId="76FC9801">
      <w:pPr>
        <w:adjustRightInd w:val="0"/>
        <w:snapToGrid w:val="0"/>
        <w:spacing w:line="360" w:lineRule="auto"/>
        <w:ind w:firstLine="448" w:firstLineChars="200"/>
        <w:jc w:val="left"/>
        <w:rPr>
          <w:sz w:val="24"/>
          <w:szCs w:val="24"/>
        </w:rPr>
      </w:pPr>
      <w:r>
        <w:rPr>
          <w:sz w:val="24"/>
          <w:szCs w:val="24"/>
        </w:rPr>
        <w:t>22.3本合同一方给另一方的通知均应采用书面形式，传真或快递送到本合同中规定的对方的地址和办理签收手续。</w:t>
      </w:r>
    </w:p>
    <w:p w14:paraId="24449CEA">
      <w:pPr>
        <w:adjustRightInd w:val="0"/>
        <w:snapToGrid w:val="0"/>
        <w:spacing w:line="360" w:lineRule="auto"/>
        <w:ind w:firstLine="448" w:firstLineChars="200"/>
        <w:jc w:val="left"/>
        <w:rPr>
          <w:sz w:val="24"/>
          <w:szCs w:val="24"/>
        </w:rPr>
      </w:pPr>
      <w:r>
        <w:rPr>
          <w:sz w:val="24"/>
          <w:szCs w:val="24"/>
        </w:rPr>
        <w:t>22.4通知以送达之日或通知书中规定的生效之日起生效，两者中以较迟之日为准。</w:t>
      </w:r>
    </w:p>
    <w:p w14:paraId="132D4F10">
      <w:pPr>
        <w:numPr>
          <w:ilvl w:val="0"/>
          <w:numId w:val="7"/>
        </w:numPr>
        <w:adjustRightInd w:val="0"/>
        <w:snapToGrid w:val="0"/>
        <w:spacing w:line="360" w:lineRule="auto"/>
        <w:ind w:firstLine="448" w:firstLineChars="200"/>
        <w:jc w:val="left"/>
        <w:rPr>
          <w:b/>
          <w:bCs/>
          <w:sz w:val="24"/>
          <w:szCs w:val="24"/>
        </w:rPr>
      </w:pPr>
      <w:r>
        <w:rPr>
          <w:b/>
          <w:bCs/>
          <w:sz w:val="24"/>
          <w:szCs w:val="24"/>
        </w:rPr>
        <w:t>合同未尽事项</w:t>
      </w:r>
    </w:p>
    <w:p w14:paraId="195D16A3">
      <w:pPr>
        <w:adjustRightInd w:val="0"/>
        <w:snapToGrid w:val="0"/>
        <w:spacing w:line="360" w:lineRule="auto"/>
        <w:ind w:firstLine="448" w:firstLineChars="200"/>
        <w:jc w:val="left"/>
        <w:rPr>
          <w:bCs/>
          <w:sz w:val="24"/>
          <w:szCs w:val="24"/>
        </w:rPr>
      </w:pPr>
      <w:r>
        <w:rPr>
          <w:bCs/>
          <w:sz w:val="24"/>
          <w:szCs w:val="24"/>
        </w:rPr>
        <w:t>23.1合同未尽事项见</w:t>
      </w:r>
      <w:r>
        <w:rPr>
          <w:b/>
          <w:sz w:val="24"/>
          <w:szCs w:val="24"/>
        </w:rPr>
        <w:t>【政府采购合同专用条款】</w:t>
      </w:r>
      <w:r>
        <w:rPr>
          <w:bCs/>
          <w:sz w:val="24"/>
          <w:szCs w:val="24"/>
        </w:rPr>
        <w:t>。</w:t>
      </w:r>
    </w:p>
    <w:p w14:paraId="79CFA76F">
      <w:pPr>
        <w:adjustRightInd w:val="0"/>
        <w:snapToGrid w:val="0"/>
        <w:spacing w:line="360" w:lineRule="auto"/>
        <w:ind w:firstLine="448" w:firstLineChars="200"/>
        <w:jc w:val="left"/>
        <w:rPr>
          <w:rFonts w:eastAsia="黑体"/>
          <w:sz w:val="24"/>
          <w:szCs w:val="24"/>
        </w:rPr>
      </w:pPr>
      <w:r>
        <w:rPr>
          <w:bCs/>
          <w:sz w:val="24"/>
          <w:szCs w:val="24"/>
        </w:rPr>
        <w:t xml:space="preserve">    23.2 合同附件与合同正文具有同等的法律效力。</w:t>
      </w:r>
      <w:bookmarkStart w:id="10" w:name="_Toc20313"/>
    </w:p>
    <w:p w14:paraId="24F8C031">
      <w:pPr>
        <w:adjustRightInd w:val="0"/>
        <w:snapToGrid w:val="0"/>
        <w:jc w:val="center"/>
        <w:rPr>
          <w:rFonts w:eastAsia="黑体"/>
          <w:sz w:val="28"/>
          <w:szCs w:val="28"/>
        </w:rPr>
      </w:pPr>
    </w:p>
    <w:p w14:paraId="5D80CDE2">
      <w:pPr>
        <w:adjustRightInd w:val="0"/>
        <w:snapToGrid w:val="0"/>
        <w:jc w:val="center"/>
        <w:rPr>
          <w:rFonts w:eastAsia="黑体"/>
          <w:sz w:val="28"/>
          <w:szCs w:val="28"/>
        </w:rPr>
      </w:pPr>
    </w:p>
    <w:p w14:paraId="0D1CDB7A">
      <w:pPr>
        <w:adjustRightInd w:val="0"/>
        <w:snapToGrid w:val="0"/>
        <w:jc w:val="center"/>
        <w:rPr>
          <w:rFonts w:eastAsia="黑体"/>
          <w:sz w:val="28"/>
          <w:szCs w:val="28"/>
        </w:rPr>
      </w:pPr>
      <w:r>
        <w:rPr>
          <w:rFonts w:eastAsia="黑体"/>
          <w:sz w:val="28"/>
          <w:szCs w:val="28"/>
        </w:rPr>
        <w:br w:type="page"/>
      </w:r>
    </w:p>
    <w:p w14:paraId="12FB9019">
      <w:pPr>
        <w:pStyle w:val="2"/>
        <w:adjustRightInd w:val="0"/>
        <w:snapToGrid w:val="0"/>
        <w:jc w:val="center"/>
        <w:rPr>
          <w:rFonts w:ascii="Times New Roman" w:hAnsi="Times New Roman" w:eastAsia="黑体" w:cs="Times New Roman"/>
          <w:b w:val="0"/>
          <w:bCs w:val="0"/>
          <w:sz w:val="28"/>
          <w:szCs w:val="28"/>
        </w:rPr>
      </w:pPr>
      <w:r>
        <w:rPr>
          <w:rFonts w:ascii="Times New Roman" w:hAnsi="Times New Roman" w:eastAsia="黑体" w:cs="Times New Roman"/>
          <w:b w:val="0"/>
          <w:bCs w:val="0"/>
          <w:sz w:val="28"/>
          <w:szCs w:val="28"/>
        </w:rPr>
        <w:t>第三节 政府采购合同专用条款</w:t>
      </w:r>
      <w:bookmarkEnd w:id="10"/>
    </w:p>
    <w:tbl>
      <w:tblPr>
        <w:tblStyle w:val="18"/>
        <w:tblW w:w="8520" w:type="dxa"/>
        <w:tblInd w:w="108" w:type="dxa"/>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Layout w:type="fixed"/>
        <w:tblCellMar>
          <w:top w:w="0" w:type="dxa"/>
          <w:left w:w="108" w:type="dxa"/>
          <w:bottom w:w="0" w:type="dxa"/>
          <w:right w:w="108" w:type="dxa"/>
        </w:tblCellMar>
      </w:tblPr>
      <w:tblGrid>
        <w:gridCol w:w="1607"/>
        <w:gridCol w:w="1742"/>
        <w:gridCol w:w="5171"/>
      </w:tblGrid>
      <w:tr w14:paraId="13819968">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double" w:color="auto" w:sz="4" w:space="0"/>
              <w:left w:val="double" w:color="auto" w:sz="4" w:space="0"/>
              <w:bottom w:val="single" w:color="auto" w:sz="6" w:space="0"/>
              <w:right w:val="single" w:color="auto" w:sz="6" w:space="0"/>
            </w:tcBorders>
            <w:vAlign w:val="center"/>
          </w:tcPr>
          <w:p w14:paraId="41A3AE45">
            <w:pPr>
              <w:adjustRightInd w:val="0"/>
              <w:snapToGrid w:val="0"/>
              <w:jc w:val="center"/>
              <w:rPr>
                <w:szCs w:val="21"/>
              </w:rPr>
            </w:pPr>
            <w:r>
              <w:rPr>
                <w:szCs w:val="21"/>
              </w:rPr>
              <w:t>第二节</w:t>
            </w:r>
          </w:p>
          <w:p w14:paraId="28392271">
            <w:pPr>
              <w:adjustRightInd w:val="0"/>
              <w:snapToGrid w:val="0"/>
              <w:jc w:val="center"/>
              <w:rPr>
                <w:szCs w:val="21"/>
              </w:rPr>
            </w:pPr>
            <w:r>
              <w:rPr>
                <w:szCs w:val="21"/>
              </w:rPr>
              <w:t>第1.2（6）项</w:t>
            </w:r>
          </w:p>
        </w:tc>
        <w:tc>
          <w:tcPr>
            <w:tcW w:w="1742" w:type="dxa"/>
            <w:tcBorders>
              <w:top w:val="double" w:color="auto" w:sz="4" w:space="0"/>
              <w:left w:val="single" w:color="auto" w:sz="6" w:space="0"/>
              <w:bottom w:val="single" w:color="auto" w:sz="6" w:space="0"/>
              <w:right w:val="single" w:color="auto" w:sz="6" w:space="0"/>
            </w:tcBorders>
            <w:vAlign w:val="center"/>
          </w:tcPr>
          <w:p w14:paraId="37F3CDA4">
            <w:pPr>
              <w:adjustRightInd w:val="0"/>
              <w:snapToGrid w:val="0"/>
              <w:jc w:val="left"/>
              <w:rPr>
                <w:szCs w:val="21"/>
              </w:rPr>
            </w:pPr>
            <w:r>
              <w:rPr>
                <w:szCs w:val="21"/>
              </w:rPr>
              <w:t>联合体具体要求</w:t>
            </w:r>
          </w:p>
        </w:tc>
        <w:tc>
          <w:tcPr>
            <w:tcW w:w="5170" w:type="dxa"/>
            <w:tcBorders>
              <w:top w:val="double" w:color="auto" w:sz="4" w:space="0"/>
              <w:left w:val="single" w:color="auto" w:sz="6" w:space="0"/>
              <w:bottom w:val="single" w:color="auto" w:sz="6" w:space="0"/>
              <w:right w:val="double" w:color="auto" w:sz="4" w:space="0"/>
            </w:tcBorders>
            <w:vAlign w:val="center"/>
          </w:tcPr>
          <w:p w14:paraId="68919A3E">
            <w:pPr>
              <w:adjustRightInd w:val="0"/>
              <w:snapToGrid w:val="0"/>
              <w:jc w:val="left"/>
              <w:rPr>
                <w:szCs w:val="21"/>
              </w:rPr>
            </w:pPr>
          </w:p>
        </w:tc>
      </w:tr>
      <w:tr w14:paraId="33C5D3AA">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04" w:hRule="atLeast"/>
        </w:trPr>
        <w:tc>
          <w:tcPr>
            <w:tcW w:w="1607" w:type="dxa"/>
            <w:tcBorders>
              <w:top w:val="single" w:color="auto" w:sz="6" w:space="0"/>
              <w:left w:val="double" w:color="auto" w:sz="4" w:space="0"/>
              <w:bottom w:val="single" w:color="auto" w:sz="6" w:space="0"/>
              <w:right w:val="single" w:color="auto" w:sz="6" w:space="0"/>
            </w:tcBorders>
            <w:vAlign w:val="center"/>
          </w:tcPr>
          <w:p w14:paraId="72A1C72D">
            <w:pPr>
              <w:adjustRightInd w:val="0"/>
              <w:snapToGrid w:val="0"/>
              <w:jc w:val="center"/>
              <w:rPr>
                <w:szCs w:val="21"/>
              </w:rPr>
            </w:pPr>
            <w:r>
              <w:rPr>
                <w:szCs w:val="21"/>
              </w:rPr>
              <w:t>第二节</w:t>
            </w:r>
          </w:p>
          <w:p w14:paraId="0D9251BE">
            <w:pPr>
              <w:adjustRightInd w:val="0"/>
              <w:snapToGrid w:val="0"/>
              <w:jc w:val="center"/>
              <w:rPr>
                <w:szCs w:val="21"/>
              </w:rPr>
            </w:pPr>
            <w:r>
              <w:rPr>
                <w:szCs w:val="21"/>
              </w:rPr>
              <w:t>第1.2（7）项</w:t>
            </w:r>
          </w:p>
        </w:tc>
        <w:tc>
          <w:tcPr>
            <w:tcW w:w="1742" w:type="dxa"/>
            <w:tcBorders>
              <w:top w:val="single" w:color="auto" w:sz="6" w:space="0"/>
              <w:left w:val="single" w:color="auto" w:sz="6" w:space="0"/>
              <w:bottom w:val="single" w:color="auto" w:sz="6" w:space="0"/>
              <w:right w:val="single" w:color="auto" w:sz="6" w:space="0"/>
            </w:tcBorders>
            <w:vAlign w:val="center"/>
          </w:tcPr>
          <w:p w14:paraId="18706C60">
            <w:pPr>
              <w:adjustRightInd w:val="0"/>
              <w:snapToGrid w:val="0"/>
              <w:jc w:val="left"/>
              <w:rPr>
                <w:szCs w:val="21"/>
              </w:rPr>
            </w:pPr>
            <w:r>
              <w:rPr>
                <w:szCs w:val="21"/>
              </w:rPr>
              <w:t>其他术语解释</w:t>
            </w:r>
          </w:p>
        </w:tc>
        <w:tc>
          <w:tcPr>
            <w:tcW w:w="5170" w:type="dxa"/>
            <w:tcBorders>
              <w:top w:val="single" w:color="auto" w:sz="6" w:space="0"/>
              <w:left w:val="single" w:color="auto" w:sz="6" w:space="0"/>
              <w:bottom w:val="single" w:color="auto" w:sz="6" w:space="0"/>
              <w:right w:val="double" w:color="auto" w:sz="4" w:space="0"/>
            </w:tcBorders>
            <w:vAlign w:val="center"/>
          </w:tcPr>
          <w:p w14:paraId="540E378C">
            <w:pPr>
              <w:adjustRightInd w:val="0"/>
              <w:snapToGrid w:val="0"/>
              <w:jc w:val="left"/>
              <w:rPr>
                <w:szCs w:val="21"/>
              </w:rPr>
            </w:pPr>
          </w:p>
        </w:tc>
      </w:tr>
      <w:tr w14:paraId="20BBA284">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43A95D78">
            <w:pPr>
              <w:adjustRightInd w:val="0"/>
              <w:snapToGrid w:val="0"/>
              <w:jc w:val="center"/>
              <w:rPr>
                <w:szCs w:val="21"/>
              </w:rPr>
            </w:pPr>
            <w:r>
              <w:rPr>
                <w:szCs w:val="21"/>
              </w:rPr>
              <w:t>第二节</w:t>
            </w:r>
          </w:p>
          <w:p w14:paraId="465A9DA1">
            <w:pPr>
              <w:adjustRightInd w:val="0"/>
              <w:snapToGrid w:val="0"/>
              <w:jc w:val="center"/>
              <w:rPr>
                <w:szCs w:val="21"/>
              </w:rPr>
            </w:pPr>
            <w:r>
              <w:rPr>
                <w:szCs w:val="21"/>
              </w:rPr>
              <w:t>第4.4款</w:t>
            </w:r>
          </w:p>
        </w:tc>
        <w:tc>
          <w:tcPr>
            <w:tcW w:w="1742" w:type="dxa"/>
            <w:tcBorders>
              <w:top w:val="single" w:color="auto" w:sz="6" w:space="0"/>
              <w:left w:val="single" w:color="auto" w:sz="6" w:space="0"/>
              <w:bottom w:val="single" w:color="auto" w:sz="6" w:space="0"/>
              <w:right w:val="single" w:color="auto" w:sz="6" w:space="0"/>
            </w:tcBorders>
            <w:vAlign w:val="center"/>
          </w:tcPr>
          <w:p w14:paraId="2A47E191">
            <w:pPr>
              <w:adjustRightInd w:val="0"/>
              <w:snapToGrid w:val="0"/>
              <w:jc w:val="left"/>
              <w:rPr>
                <w:szCs w:val="21"/>
              </w:rPr>
            </w:pPr>
            <w:r>
              <w:rPr>
                <w:szCs w:val="21"/>
              </w:rPr>
              <w:t>履约验收中甲方提出异议或作出说明的期限</w:t>
            </w:r>
          </w:p>
        </w:tc>
        <w:tc>
          <w:tcPr>
            <w:tcW w:w="5170" w:type="dxa"/>
            <w:tcBorders>
              <w:top w:val="single" w:color="auto" w:sz="6" w:space="0"/>
              <w:left w:val="single" w:color="auto" w:sz="6" w:space="0"/>
              <w:bottom w:val="single" w:color="auto" w:sz="6" w:space="0"/>
              <w:right w:val="double" w:color="auto" w:sz="4" w:space="0"/>
            </w:tcBorders>
            <w:vAlign w:val="center"/>
          </w:tcPr>
          <w:p w14:paraId="2FF1C260">
            <w:pPr>
              <w:adjustRightInd w:val="0"/>
              <w:snapToGrid w:val="0"/>
              <w:jc w:val="left"/>
              <w:rPr>
                <w:szCs w:val="21"/>
              </w:rPr>
            </w:pPr>
          </w:p>
        </w:tc>
      </w:tr>
      <w:tr w14:paraId="54F90289">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01D6FBC9">
            <w:pPr>
              <w:adjustRightInd w:val="0"/>
              <w:snapToGrid w:val="0"/>
              <w:jc w:val="center"/>
              <w:rPr>
                <w:szCs w:val="21"/>
              </w:rPr>
            </w:pPr>
            <w:r>
              <w:rPr>
                <w:szCs w:val="21"/>
              </w:rPr>
              <w:t>第二节</w:t>
            </w:r>
          </w:p>
          <w:p w14:paraId="5EC6E7BC">
            <w:pPr>
              <w:adjustRightInd w:val="0"/>
              <w:snapToGrid w:val="0"/>
              <w:jc w:val="center"/>
              <w:rPr>
                <w:szCs w:val="21"/>
              </w:rPr>
            </w:pPr>
            <w:r>
              <w:rPr>
                <w:szCs w:val="21"/>
              </w:rPr>
              <w:t>第4.6款</w:t>
            </w:r>
          </w:p>
        </w:tc>
        <w:tc>
          <w:tcPr>
            <w:tcW w:w="1742" w:type="dxa"/>
            <w:tcBorders>
              <w:top w:val="single" w:color="auto" w:sz="6" w:space="0"/>
              <w:left w:val="single" w:color="auto" w:sz="6" w:space="0"/>
              <w:bottom w:val="single" w:color="auto" w:sz="6" w:space="0"/>
              <w:right w:val="single" w:color="auto" w:sz="6" w:space="0"/>
            </w:tcBorders>
            <w:vAlign w:val="center"/>
          </w:tcPr>
          <w:p w14:paraId="7B844DDF">
            <w:pPr>
              <w:adjustRightInd w:val="0"/>
              <w:snapToGrid w:val="0"/>
              <w:jc w:val="left"/>
              <w:rPr>
                <w:szCs w:val="21"/>
              </w:rPr>
            </w:pPr>
            <w:r>
              <w:rPr>
                <w:szCs w:val="21"/>
              </w:rPr>
              <w:t>约定甲方承担的其他义务和责任</w:t>
            </w:r>
          </w:p>
        </w:tc>
        <w:tc>
          <w:tcPr>
            <w:tcW w:w="5170" w:type="dxa"/>
            <w:tcBorders>
              <w:top w:val="single" w:color="auto" w:sz="6" w:space="0"/>
              <w:left w:val="single" w:color="auto" w:sz="6" w:space="0"/>
              <w:bottom w:val="single" w:color="auto" w:sz="6" w:space="0"/>
              <w:right w:val="double" w:color="auto" w:sz="4" w:space="0"/>
            </w:tcBorders>
            <w:vAlign w:val="center"/>
          </w:tcPr>
          <w:p w14:paraId="1F024349">
            <w:pPr>
              <w:adjustRightInd w:val="0"/>
              <w:snapToGrid w:val="0"/>
              <w:jc w:val="left"/>
              <w:rPr>
                <w:szCs w:val="21"/>
              </w:rPr>
            </w:pPr>
          </w:p>
        </w:tc>
      </w:tr>
      <w:tr w14:paraId="3F3181C7">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64BA11B1">
            <w:pPr>
              <w:adjustRightInd w:val="0"/>
              <w:snapToGrid w:val="0"/>
              <w:jc w:val="center"/>
              <w:rPr>
                <w:szCs w:val="21"/>
              </w:rPr>
            </w:pPr>
            <w:r>
              <w:rPr>
                <w:szCs w:val="21"/>
              </w:rPr>
              <w:t>第二节</w:t>
            </w:r>
          </w:p>
          <w:p w14:paraId="1FFEE9E7">
            <w:pPr>
              <w:snapToGrid w:val="0"/>
              <w:jc w:val="center"/>
              <w:rPr>
                <w:szCs w:val="24"/>
              </w:rPr>
            </w:pPr>
            <w:r>
              <w:rPr>
                <w:szCs w:val="21"/>
              </w:rPr>
              <w:t>第5.4款</w:t>
            </w:r>
          </w:p>
        </w:tc>
        <w:tc>
          <w:tcPr>
            <w:tcW w:w="1742" w:type="dxa"/>
            <w:tcBorders>
              <w:top w:val="single" w:color="auto" w:sz="6" w:space="0"/>
              <w:left w:val="single" w:color="auto" w:sz="6" w:space="0"/>
              <w:bottom w:val="single" w:color="auto" w:sz="6" w:space="0"/>
              <w:right w:val="single" w:color="auto" w:sz="6" w:space="0"/>
            </w:tcBorders>
            <w:vAlign w:val="center"/>
          </w:tcPr>
          <w:p w14:paraId="4664232E">
            <w:pPr>
              <w:adjustRightInd w:val="0"/>
              <w:snapToGrid w:val="0"/>
              <w:jc w:val="left"/>
              <w:rPr>
                <w:szCs w:val="21"/>
              </w:rPr>
            </w:pPr>
            <w:r>
              <w:rPr>
                <w:szCs w:val="21"/>
              </w:rPr>
              <w:t>约定乙方承担的其他义务和责任</w:t>
            </w:r>
          </w:p>
        </w:tc>
        <w:tc>
          <w:tcPr>
            <w:tcW w:w="5170" w:type="dxa"/>
            <w:tcBorders>
              <w:top w:val="single" w:color="auto" w:sz="6" w:space="0"/>
              <w:left w:val="single" w:color="auto" w:sz="6" w:space="0"/>
              <w:bottom w:val="single" w:color="auto" w:sz="6" w:space="0"/>
              <w:right w:val="double" w:color="auto" w:sz="4" w:space="0"/>
            </w:tcBorders>
            <w:vAlign w:val="center"/>
          </w:tcPr>
          <w:p w14:paraId="3C03B9D5">
            <w:pPr>
              <w:adjustRightInd w:val="0"/>
              <w:snapToGrid w:val="0"/>
              <w:jc w:val="left"/>
              <w:rPr>
                <w:szCs w:val="21"/>
              </w:rPr>
            </w:pPr>
          </w:p>
        </w:tc>
      </w:tr>
      <w:tr w14:paraId="439AADF1">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3D527466">
            <w:pPr>
              <w:adjustRightInd w:val="0"/>
              <w:snapToGrid w:val="0"/>
              <w:jc w:val="center"/>
              <w:rPr>
                <w:szCs w:val="21"/>
              </w:rPr>
            </w:pPr>
            <w:r>
              <w:rPr>
                <w:szCs w:val="21"/>
              </w:rPr>
              <w:t>第二节</w:t>
            </w:r>
          </w:p>
          <w:p w14:paraId="0979B968">
            <w:pPr>
              <w:snapToGrid w:val="0"/>
              <w:jc w:val="center"/>
              <w:rPr>
                <w:szCs w:val="21"/>
              </w:rPr>
            </w:pPr>
            <w:r>
              <w:rPr>
                <w:szCs w:val="21"/>
              </w:rPr>
              <w:t>第6.1款</w:t>
            </w:r>
          </w:p>
        </w:tc>
        <w:tc>
          <w:tcPr>
            <w:tcW w:w="1742" w:type="dxa"/>
            <w:tcBorders>
              <w:top w:val="single" w:color="auto" w:sz="6" w:space="0"/>
              <w:left w:val="single" w:color="auto" w:sz="6" w:space="0"/>
              <w:bottom w:val="single" w:color="auto" w:sz="6" w:space="0"/>
              <w:right w:val="single" w:color="auto" w:sz="6" w:space="0"/>
            </w:tcBorders>
            <w:vAlign w:val="center"/>
          </w:tcPr>
          <w:p w14:paraId="25C822AA">
            <w:pPr>
              <w:adjustRightInd w:val="0"/>
              <w:snapToGrid w:val="0"/>
              <w:jc w:val="left"/>
              <w:rPr>
                <w:szCs w:val="21"/>
              </w:rPr>
            </w:pPr>
            <w:r>
              <w:rPr>
                <w:szCs w:val="21"/>
              </w:rPr>
              <w:t>履行合同义务的顺序</w:t>
            </w:r>
          </w:p>
        </w:tc>
        <w:tc>
          <w:tcPr>
            <w:tcW w:w="5170" w:type="dxa"/>
            <w:tcBorders>
              <w:top w:val="single" w:color="auto" w:sz="6" w:space="0"/>
              <w:left w:val="single" w:color="auto" w:sz="6" w:space="0"/>
              <w:bottom w:val="single" w:color="auto" w:sz="6" w:space="0"/>
              <w:right w:val="double" w:color="auto" w:sz="4" w:space="0"/>
            </w:tcBorders>
            <w:vAlign w:val="center"/>
          </w:tcPr>
          <w:p w14:paraId="0887DAA0">
            <w:pPr>
              <w:adjustRightInd w:val="0"/>
              <w:snapToGrid w:val="0"/>
              <w:jc w:val="left"/>
              <w:rPr>
                <w:szCs w:val="21"/>
              </w:rPr>
            </w:pPr>
          </w:p>
        </w:tc>
      </w:tr>
      <w:tr w14:paraId="5E39D75B">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67" w:hRule="atLeast"/>
        </w:trPr>
        <w:tc>
          <w:tcPr>
            <w:tcW w:w="1607" w:type="dxa"/>
            <w:vMerge w:val="restart"/>
            <w:tcBorders>
              <w:top w:val="single" w:color="auto" w:sz="6" w:space="0"/>
              <w:left w:val="double" w:color="auto" w:sz="4" w:space="0"/>
              <w:bottom w:val="single" w:color="auto" w:sz="6" w:space="0"/>
              <w:right w:val="single" w:color="auto" w:sz="6" w:space="0"/>
            </w:tcBorders>
            <w:vAlign w:val="center"/>
          </w:tcPr>
          <w:p w14:paraId="684B5BD2">
            <w:pPr>
              <w:adjustRightInd w:val="0"/>
              <w:snapToGrid w:val="0"/>
              <w:jc w:val="center"/>
              <w:rPr>
                <w:szCs w:val="21"/>
              </w:rPr>
            </w:pPr>
            <w:r>
              <w:rPr>
                <w:szCs w:val="21"/>
              </w:rPr>
              <w:t>第二节</w:t>
            </w:r>
          </w:p>
          <w:p w14:paraId="2D03656D">
            <w:pPr>
              <w:adjustRightInd w:val="0"/>
              <w:snapToGrid w:val="0"/>
              <w:jc w:val="center"/>
              <w:rPr>
                <w:szCs w:val="21"/>
              </w:rPr>
            </w:pPr>
            <w:r>
              <w:rPr>
                <w:szCs w:val="21"/>
              </w:rPr>
              <w:t>第7.1款</w:t>
            </w:r>
          </w:p>
        </w:tc>
        <w:tc>
          <w:tcPr>
            <w:tcW w:w="1742" w:type="dxa"/>
            <w:tcBorders>
              <w:top w:val="single" w:color="auto" w:sz="6" w:space="0"/>
              <w:left w:val="single" w:color="auto" w:sz="6" w:space="0"/>
              <w:bottom w:val="single" w:color="auto" w:sz="6" w:space="0"/>
              <w:right w:val="single" w:color="auto" w:sz="6" w:space="0"/>
            </w:tcBorders>
            <w:vAlign w:val="center"/>
          </w:tcPr>
          <w:p w14:paraId="006B2897">
            <w:pPr>
              <w:adjustRightInd w:val="0"/>
              <w:snapToGrid w:val="0"/>
              <w:jc w:val="left"/>
              <w:rPr>
                <w:szCs w:val="21"/>
              </w:rPr>
            </w:pPr>
            <w:r>
              <w:rPr>
                <w:szCs w:val="21"/>
              </w:rPr>
              <w:t>包装特殊要求</w:t>
            </w:r>
          </w:p>
        </w:tc>
        <w:tc>
          <w:tcPr>
            <w:tcW w:w="5170" w:type="dxa"/>
            <w:tcBorders>
              <w:top w:val="single" w:color="auto" w:sz="6" w:space="0"/>
              <w:left w:val="single" w:color="auto" w:sz="6" w:space="0"/>
              <w:bottom w:val="single" w:color="auto" w:sz="6" w:space="0"/>
              <w:right w:val="double" w:color="auto" w:sz="4" w:space="0"/>
            </w:tcBorders>
            <w:vAlign w:val="center"/>
          </w:tcPr>
          <w:p w14:paraId="6CB80295">
            <w:pPr>
              <w:rPr>
                <w:szCs w:val="24"/>
              </w:rPr>
            </w:pPr>
          </w:p>
        </w:tc>
      </w:tr>
      <w:tr w14:paraId="12D8C063">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67" w:hRule="atLeast"/>
        </w:trPr>
        <w:tc>
          <w:tcPr>
            <w:tcW w:w="1607" w:type="dxa"/>
            <w:vMerge w:val="continue"/>
            <w:tcBorders>
              <w:top w:val="single" w:color="auto" w:sz="6" w:space="0"/>
              <w:left w:val="double" w:color="auto" w:sz="4" w:space="0"/>
              <w:bottom w:val="single" w:color="auto" w:sz="6" w:space="0"/>
              <w:right w:val="single" w:color="auto" w:sz="6" w:space="0"/>
            </w:tcBorders>
            <w:vAlign w:val="center"/>
          </w:tcPr>
          <w:p w14:paraId="1A840EE5">
            <w:pPr>
              <w:widowControl/>
              <w:jc w:val="left"/>
              <w:rPr>
                <w:szCs w:val="21"/>
              </w:rPr>
            </w:pPr>
          </w:p>
        </w:tc>
        <w:tc>
          <w:tcPr>
            <w:tcW w:w="1742" w:type="dxa"/>
            <w:tcBorders>
              <w:top w:val="single" w:color="auto" w:sz="6" w:space="0"/>
              <w:left w:val="single" w:color="auto" w:sz="6" w:space="0"/>
              <w:bottom w:val="single" w:color="auto" w:sz="6" w:space="0"/>
              <w:right w:val="single" w:color="auto" w:sz="6" w:space="0"/>
            </w:tcBorders>
            <w:vAlign w:val="center"/>
          </w:tcPr>
          <w:p w14:paraId="05B0CC97">
            <w:pPr>
              <w:adjustRightInd w:val="0"/>
              <w:snapToGrid w:val="0"/>
              <w:jc w:val="left"/>
              <w:rPr>
                <w:szCs w:val="21"/>
              </w:rPr>
            </w:pPr>
            <w:r>
              <w:rPr>
                <w:szCs w:val="21"/>
              </w:rPr>
              <w:t>指定现场</w:t>
            </w:r>
          </w:p>
        </w:tc>
        <w:tc>
          <w:tcPr>
            <w:tcW w:w="5170" w:type="dxa"/>
            <w:tcBorders>
              <w:top w:val="single" w:color="auto" w:sz="6" w:space="0"/>
              <w:left w:val="single" w:color="auto" w:sz="6" w:space="0"/>
              <w:bottom w:val="single" w:color="auto" w:sz="6" w:space="0"/>
              <w:right w:val="double" w:color="auto" w:sz="4" w:space="0"/>
            </w:tcBorders>
            <w:vAlign w:val="center"/>
          </w:tcPr>
          <w:p w14:paraId="1BE24147">
            <w:pPr>
              <w:rPr>
                <w:szCs w:val="24"/>
              </w:rPr>
            </w:pPr>
          </w:p>
        </w:tc>
      </w:tr>
      <w:tr w14:paraId="4BB6E324">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72" w:hRule="atLeast"/>
        </w:trPr>
        <w:tc>
          <w:tcPr>
            <w:tcW w:w="1607" w:type="dxa"/>
            <w:tcBorders>
              <w:top w:val="single" w:color="auto" w:sz="6" w:space="0"/>
              <w:left w:val="double" w:color="auto" w:sz="4" w:space="0"/>
              <w:bottom w:val="single" w:color="auto" w:sz="6" w:space="0"/>
              <w:right w:val="single" w:color="auto" w:sz="6" w:space="0"/>
            </w:tcBorders>
            <w:vAlign w:val="center"/>
          </w:tcPr>
          <w:p w14:paraId="0B6D6423">
            <w:pPr>
              <w:adjustRightInd w:val="0"/>
              <w:snapToGrid w:val="0"/>
              <w:jc w:val="center"/>
              <w:rPr>
                <w:szCs w:val="21"/>
              </w:rPr>
            </w:pPr>
            <w:r>
              <w:rPr>
                <w:szCs w:val="21"/>
              </w:rPr>
              <w:t>第二节</w:t>
            </w:r>
          </w:p>
          <w:p w14:paraId="6A5BD31B">
            <w:pPr>
              <w:adjustRightInd w:val="0"/>
              <w:snapToGrid w:val="0"/>
              <w:jc w:val="center"/>
              <w:rPr>
                <w:szCs w:val="21"/>
              </w:rPr>
            </w:pPr>
            <w:r>
              <w:rPr>
                <w:szCs w:val="21"/>
              </w:rPr>
              <w:t>第7.2款</w:t>
            </w:r>
          </w:p>
        </w:tc>
        <w:tc>
          <w:tcPr>
            <w:tcW w:w="1742" w:type="dxa"/>
            <w:tcBorders>
              <w:top w:val="single" w:color="auto" w:sz="6" w:space="0"/>
              <w:left w:val="single" w:color="auto" w:sz="6" w:space="0"/>
              <w:bottom w:val="single" w:color="auto" w:sz="6" w:space="0"/>
              <w:right w:val="single" w:color="auto" w:sz="6" w:space="0"/>
            </w:tcBorders>
            <w:vAlign w:val="center"/>
          </w:tcPr>
          <w:p w14:paraId="613B2E20">
            <w:pPr>
              <w:adjustRightInd w:val="0"/>
              <w:snapToGrid w:val="0"/>
              <w:jc w:val="left"/>
              <w:rPr>
                <w:szCs w:val="21"/>
              </w:rPr>
            </w:pPr>
            <w:r>
              <w:rPr>
                <w:szCs w:val="21"/>
              </w:rPr>
              <w:t>运输特殊要求</w:t>
            </w:r>
          </w:p>
        </w:tc>
        <w:tc>
          <w:tcPr>
            <w:tcW w:w="5170" w:type="dxa"/>
            <w:tcBorders>
              <w:top w:val="single" w:color="auto" w:sz="6" w:space="0"/>
              <w:left w:val="single" w:color="auto" w:sz="6" w:space="0"/>
              <w:bottom w:val="single" w:color="auto" w:sz="6" w:space="0"/>
              <w:right w:val="double" w:color="auto" w:sz="4" w:space="0"/>
            </w:tcBorders>
            <w:vAlign w:val="center"/>
          </w:tcPr>
          <w:p w14:paraId="4F39069E">
            <w:pPr>
              <w:rPr>
                <w:szCs w:val="24"/>
              </w:rPr>
            </w:pPr>
          </w:p>
        </w:tc>
      </w:tr>
      <w:tr w14:paraId="2A96E0FA">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67" w:hRule="atLeast"/>
        </w:trPr>
        <w:tc>
          <w:tcPr>
            <w:tcW w:w="1607" w:type="dxa"/>
            <w:tcBorders>
              <w:top w:val="single" w:color="auto" w:sz="6" w:space="0"/>
              <w:left w:val="double" w:color="auto" w:sz="4" w:space="0"/>
              <w:bottom w:val="single" w:color="auto" w:sz="6" w:space="0"/>
              <w:right w:val="single" w:color="auto" w:sz="6" w:space="0"/>
            </w:tcBorders>
            <w:vAlign w:val="center"/>
          </w:tcPr>
          <w:p w14:paraId="15894CA1">
            <w:pPr>
              <w:adjustRightInd w:val="0"/>
              <w:snapToGrid w:val="0"/>
              <w:jc w:val="center"/>
              <w:rPr>
                <w:szCs w:val="21"/>
              </w:rPr>
            </w:pPr>
            <w:r>
              <w:rPr>
                <w:szCs w:val="21"/>
              </w:rPr>
              <w:t>第二节</w:t>
            </w:r>
          </w:p>
          <w:p w14:paraId="1FC3FA81">
            <w:pPr>
              <w:adjustRightInd w:val="0"/>
              <w:snapToGrid w:val="0"/>
              <w:jc w:val="center"/>
              <w:rPr>
                <w:szCs w:val="21"/>
              </w:rPr>
            </w:pPr>
            <w:r>
              <w:rPr>
                <w:szCs w:val="21"/>
              </w:rPr>
              <w:t>第7.3款</w:t>
            </w:r>
          </w:p>
        </w:tc>
        <w:tc>
          <w:tcPr>
            <w:tcW w:w="1742" w:type="dxa"/>
            <w:tcBorders>
              <w:top w:val="single" w:color="auto" w:sz="6" w:space="0"/>
              <w:left w:val="single" w:color="auto" w:sz="6" w:space="0"/>
              <w:bottom w:val="single" w:color="auto" w:sz="6" w:space="0"/>
              <w:right w:val="single" w:color="auto" w:sz="6" w:space="0"/>
            </w:tcBorders>
            <w:vAlign w:val="center"/>
          </w:tcPr>
          <w:p w14:paraId="312D8216">
            <w:pPr>
              <w:adjustRightInd w:val="0"/>
              <w:snapToGrid w:val="0"/>
              <w:jc w:val="left"/>
              <w:rPr>
                <w:szCs w:val="21"/>
              </w:rPr>
            </w:pPr>
            <w:r>
              <w:rPr>
                <w:szCs w:val="21"/>
              </w:rPr>
              <w:t>保险要求</w:t>
            </w:r>
          </w:p>
        </w:tc>
        <w:tc>
          <w:tcPr>
            <w:tcW w:w="5170" w:type="dxa"/>
            <w:tcBorders>
              <w:top w:val="single" w:color="auto" w:sz="6" w:space="0"/>
              <w:left w:val="single" w:color="auto" w:sz="6" w:space="0"/>
              <w:bottom w:val="single" w:color="auto" w:sz="6" w:space="0"/>
              <w:right w:val="double" w:color="auto" w:sz="4" w:space="0"/>
            </w:tcBorders>
            <w:vAlign w:val="center"/>
          </w:tcPr>
          <w:p w14:paraId="0124DCC7">
            <w:pPr>
              <w:rPr>
                <w:szCs w:val="24"/>
              </w:rPr>
            </w:pPr>
          </w:p>
        </w:tc>
      </w:tr>
      <w:tr w14:paraId="660E96D2">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69584845">
            <w:pPr>
              <w:adjustRightInd w:val="0"/>
              <w:snapToGrid w:val="0"/>
              <w:jc w:val="center"/>
              <w:rPr>
                <w:szCs w:val="21"/>
              </w:rPr>
            </w:pPr>
            <w:r>
              <w:rPr>
                <w:szCs w:val="21"/>
              </w:rPr>
              <w:t>第二节</w:t>
            </w:r>
          </w:p>
          <w:p w14:paraId="6F67B02B">
            <w:pPr>
              <w:adjustRightInd w:val="0"/>
              <w:snapToGrid w:val="0"/>
              <w:jc w:val="center"/>
              <w:rPr>
                <w:szCs w:val="21"/>
              </w:rPr>
            </w:pPr>
            <w:r>
              <w:rPr>
                <w:szCs w:val="21"/>
              </w:rPr>
              <w:t>第8.2（1）项</w:t>
            </w:r>
          </w:p>
        </w:tc>
        <w:tc>
          <w:tcPr>
            <w:tcW w:w="1742" w:type="dxa"/>
            <w:tcBorders>
              <w:top w:val="single" w:color="auto" w:sz="6" w:space="0"/>
              <w:left w:val="single" w:color="auto" w:sz="6" w:space="0"/>
              <w:bottom w:val="single" w:color="auto" w:sz="6" w:space="0"/>
              <w:right w:val="single" w:color="auto" w:sz="6" w:space="0"/>
            </w:tcBorders>
            <w:vAlign w:val="center"/>
          </w:tcPr>
          <w:p w14:paraId="53E884F5">
            <w:pPr>
              <w:adjustRightInd w:val="0"/>
              <w:snapToGrid w:val="0"/>
              <w:jc w:val="left"/>
              <w:rPr>
                <w:szCs w:val="21"/>
              </w:rPr>
            </w:pPr>
            <w:r>
              <w:rPr>
                <w:szCs w:val="21"/>
              </w:rPr>
              <w:t>质量保证期</w:t>
            </w:r>
          </w:p>
        </w:tc>
        <w:tc>
          <w:tcPr>
            <w:tcW w:w="5170" w:type="dxa"/>
            <w:tcBorders>
              <w:top w:val="single" w:color="auto" w:sz="6" w:space="0"/>
              <w:left w:val="single" w:color="auto" w:sz="6" w:space="0"/>
              <w:bottom w:val="single" w:color="auto" w:sz="6" w:space="0"/>
              <w:right w:val="double" w:color="auto" w:sz="4" w:space="0"/>
            </w:tcBorders>
            <w:vAlign w:val="center"/>
          </w:tcPr>
          <w:p w14:paraId="520E4DE4">
            <w:pPr>
              <w:autoSpaceDE w:val="0"/>
              <w:autoSpaceDN w:val="0"/>
              <w:adjustRightInd w:val="0"/>
              <w:snapToGrid w:val="0"/>
              <w:ind w:firstLine="388" w:firstLineChars="200"/>
              <w:jc w:val="left"/>
              <w:rPr>
                <w:szCs w:val="21"/>
              </w:rPr>
            </w:pPr>
          </w:p>
        </w:tc>
      </w:tr>
      <w:tr w14:paraId="65571A3D">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5A19E8EC">
            <w:pPr>
              <w:adjustRightInd w:val="0"/>
              <w:snapToGrid w:val="0"/>
              <w:jc w:val="center"/>
              <w:rPr>
                <w:szCs w:val="21"/>
              </w:rPr>
            </w:pPr>
            <w:r>
              <w:rPr>
                <w:szCs w:val="21"/>
              </w:rPr>
              <w:t>第二节</w:t>
            </w:r>
          </w:p>
          <w:p w14:paraId="0882B82B">
            <w:pPr>
              <w:adjustRightInd w:val="0"/>
              <w:snapToGrid w:val="0"/>
              <w:jc w:val="center"/>
              <w:rPr>
                <w:szCs w:val="21"/>
              </w:rPr>
            </w:pPr>
            <w:r>
              <w:rPr>
                <w:szCs w:val="21"/>
              </w:rPr>
              <w:t>第8.2（3）项</w:t>
            </w:r>
          </w:p>
        </w:tc>
        <w:tc>
          <w:tcPr>
            <w:tcW w:w="1742" w:type="dxa"/>
            <w:tcBorders>
              <w:top w:val="single" w:color="auto" w:sz="6" w:space="0"/>
              <w:left w:val="single" w:color="auto" w:sz="6" w:space="0"/>
              <w:bottom w:val="single" w:color="auto" w:sz="6" w:space="0"/>
              <w:right w:val="single" w:color="auto" w:sz="6" w:space="0"/>
            </w:tcBorders>
            <w:vAlign w:val="center"/>
          </w:tcPr>
          <w:p w14:paraId="552CEFDF">
            <w:pPr>
              <w:adjustRightInd w:val="0"/>
              <w:snapToGrid w:val="0"/>
              <w:jc w:val="left"/>
              <w:rPr>
                <w:szCs w:val="21"/>
              </w:rPr>
            </w:pPr>
            <w:r>
              <w:rPr>
                <w:szCs w:val="21"/>
              </w:rPr>
              <w:t>货物质量缺陷</w:t>
            </w:r>
          </w:p>
          <w:p w14:paraId="10FA4D4B">
            <w:pPr>
              <w:adjustRightInd w:val="0"/>
              <w:snapToGrid w:val="0"/>
              <w:jc w:val="left"/>
              <w:rPr>
                <w:szCs w:val="21"/>
              </w:rPr>
            </w:pPr>
            <w:r>
              <w:rPr>
                <w:szCs w:val="21"/>
              </w:rPr>
              <w:t>响应时间</w:t>
            </w:r>
          </w:p>
        </w:tc>
        <w:tc>
          <w:tcPr>
            <w:tcW w:w="5170" w:type="dxa"/>
            <w:tcBorders>
              <w:top w:val="single" w:color="auto" w:sz="6" w:space="0"/>
              <w:left w:val="single" w:color="auto" w:sz="6" w:space="0"/>
              <w:bottom w:val="single" w:color="auto" w:sz="6" w:space="0"/>
              <w:right w:val="double" w:color="auto" w:sz="4" w:space="0"/>
            </w:tcBorders>
            <w:vAlign w:val="center"/>
          </w:tcPr>
          <w:p w14:paraId="782379C2">
            <w:pPr>
              <w:adjustRightInd w:val="0"/>
              <w:snapToGrid w:val="0"/>
              <w:jc w:val="left"/>
              <w:rPr>
                <w:szCs w:val="21"/>
              </w:rPr>
            </w:pPr>
          </w:p>
        </w:tc>
      </w:tr>
      <w:tr w14:paraId="2A400A00">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1D38F939">
            <w:pPr>
              <w:snapToGrid w:val="0"/>
              <w:jc w:val="center"/>
              <w:rPr>
                <w:szCs w:val="21"/>
              </w:rPr>
            </w:pPr>
            <w:r>
              <w:rPr>
                <w:szCs w:val="21"/>
              </w:rPr>
              <w:t>第二节</w:t>
            </w:r>
          </w:p>
          <w:p w14:paraId="2BCCA1F7">
            <w:pPr>
              <w:pStyle w:val="50"/>
              <w:ind w:firstLine="0" w:firstLineChars="0"/>
              <w:jc w:val="center"/>
              <w:rPr>
                <w:rFonts w:ascii="Times New Roman" w:hAnsi="Times New Roman" w:cs="Times New Roman"/>
              </w:rPr>
            </w:pPr>
            <w:r>
              <w:rPr>
                <w:rFonts w:ascii="Times New Roman" w:hAnsi="Times New Roman" w:eastAsia="宋体" w:cs="Times New Roman"/>
              </w:rPr>
              <w:t>第11.1款</w:t>
            </w:r>
          </w:p>
        </w:tc>
        <w:tc>
          <w:tcPr>
            <w:tcW w:w="1742" w:type="dxa"/>
            <w:tcBorders>
              <w:top w:val="single" w:color="auto" w:sz="6" w:space="0"/>
              <w:left w:val="single" w:color="auto" w:sz="6" w:space="0"/>
              <w:bottom w:val="single" w:color="auto" w:sz="6" w:space="0"/>
              <w:right w:val="single" w:color="auto" w:sz="6" w:space="0"/>
            </w:tcBorders>
            <w:vAlign w:val="center"/>
          </w:tcPr>
          <w:p w14:paraId="20D636EE">
            <w:pPr>
              <w:adjustRightInd w:val="0"/>
              <w:snapToGrid w:val="0"/>
              <w:rPr>
                <w:szCs w:val="21"/>
              </w:rPr>
            </w:pPr>
            <w:r>
              <w:rPr>
                <w:szCs w:val="21"/>
              </w:rPr>
              <w:t>其他应当保密的信息</w:t>
            </w:r>
          </w:p>
        </w:tc>
        <w:tc>
          <w:tcPr>
            <w:tcW w:w="5170" w:type="dxa"/>
            <w:tcBorders>
              <w:top w:val="single" w:color="auto" w:sz="6" w:space="0"/>
              <w:left w:val="single" w:color="auto" w:sz="6" w:space="0"/>
              <w:bottom w:val="single" w:color="auto" w:sz="6" w:space="0"/>
              <w:right w:val="double" w:color="auto" w:sz="4" w:space="0"/>
            </w:tcBorders>
            <w:vAlign w:val="center"/>
          </w:tcPr>
          <w:p w14:paraId="4B8F1DF2">
            <w:pPr>
              <w:adjustRightInd w:val="0"/>
              <w:snapToGrid w:val="0"/>
              <w:jc w:val="left"/>
              <w:rPr>
                <w:szCs w:val="21"/>
              </w:rPr>
            </w:pPr>
          </w:p>
        </w:tc>
      </w:tr>
      <w:tr w14:paraId="036778E8">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97" w:hRule="atLeast"/>
        </w:trPr>
        <w:tc>
          <w:tcPr>
            <w:tcW w:w="1607" w:type="dxa"/>
            <w:tcBorders>
              <w:top w:val="single" w:color="auto" w:sz="6" w:space="0"/>
              <w:left w:val="double" w:color="auto" w:sz="4" w:space="0"/>
              <w:bottom w:val="single" w:color="auto" w:sz="6" w:space="0"/>
              <w:right w:val="single" w:color="auto" w:sz="6" w:space="0"/>
            </w:tcBorders>
            <w:vAlign w:val="center"/>
          </w:tcPr>
          <w:p w14:paraId="5E159E38">
            <w:pPr>
              <w:adjustRightInd w:val="0"/>
              <w:snapToGrid w:val="0"/>
              <w:jc w:val="center"/>
              <w:rPr>
                <w:szCs w:val="21"/>
              </w:rPr>
            </w:pPr>
            <w:r>
              <w:rPr>
                <w:szCs w:val="21"/>
              </w:rPr>
              <w:t>第二节</w:t>
            </w:r>
          </w:p>
          <w:p w14:paraId="6889D078">
            <w:pPr>
              <w:adjustRightInd w:val="0"/>
              <w:snapToGrid w:val="0"/>
              <w:jc w:val="center"/>
              <w:rPr>
                <w:szCs w:val="21"/>
              </w:rPr>
            </w:pPr>
            <w:r>
              <w:rPr>
                <w:szCs w:val="21"/>
              </w:rPr>
              <w:t>第12.2款</w:t>
            </w:r>
          </w:p>
        </w:tc>
        <w:tc>
          <w:tcPr>
            <w:tcW w:w="1742" w:type="dxa"/>
            <w:tcBorders>
              <w:top w:val="single" w:color="auto" w:sz="6" w:space="0"/>
              <w:left w:val="single" w:color="auto" w:sz="6" w:space="0"/>
              <w:bottom w:val="single" w:color="auto" w:sz="6" w:space="0"/>
              <w:right w:val="single" w:color="auto" w:sz="6" w:space="0"/>
            </w:tcBorders>
            <w:vAlign w:val="center"/>
          </w:tcPr>
          <w:p w14:paraId="182E0508">
            <w:pPr>
              <w:adjustRightInd w:val="0"/>
              <w:snapToGrid w:val="0"/>
              <w:jc w:val="left"/>
              <w:rPr>
                <w:szCs w:val="21"/>
              </w:rPr>
            </w:pPr>
            <w:r>
              <w:rPr>
                <w:szCs w:val="21"/>
              </w:rPr>
              <w:t>合同价款支付时间</w:t>
            </w:r>
          </w:p>
        </w:tc>
        <w:tc>
          <w:tcPr>
            <w:tcW w:w="5170" w:type="dxa"/>
            <w:tcBorders>
              <w:top w:val="single" w:color="auto" w:sz="6" w:space="0"/>
              <w:left w:val="single" w:color="auto" w:sz="6" w:space="0"/>
              <w:bottom w:val="single" w:color="auto" w:sz="6" w:space="0"/>
              <w:right w:val="double" w:color="auto" w:sz="4" w:space="0"/>
            </w:tcBorders>
            <w:vAlign w:val="center"/>
          </w:tcPr>
          <w:p w14:paraId="29E3E70C">
            <w:pPr>
              <w:adjustRightInd w:val="0"/>
              <w:snapToGrid w:val="0"/>
              <w:jc w:val="left"/>
              <w:rPr>
                <w:szCs w:val="21"/>
              </w:rPr>
            </w:pPr>
          </w:p>
        </w:tc>
      </w:tr>
      <w:tr w14:paraId="190D6D69">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97" w:hRule="atLeast"/>
        </w:trPr>
        <w:tc>
          <w:tcPr>
            <w:tcW w:w="1607" w:type="dxa"/>
            <w:tcBorders>
              <w:top w:val="single" w:color="auto" w:sz="6" w:space="0"/>
              <w:left w:val="double" w:color="auto" w:sz="4" w:space="0"/>
              <w:bottom w:val="single" w:color="auto" w:sz="6" w:space="0"/>
              <w:right w:val="single" w:color="auto" w:sz="6" w:space="0"/>
            </w:tcBorders>
            <w:vAlign w:val="center"/>
          </w:tcPr>
          <w:p w14:paraId="30C441DA">
            <w:pPr>
              <w:adjustRightInd w:val="0"/>
              <w:snapToGrid w:val="0"/>
              <w:jc w:val="center"/>
              <w:rPr>
                <w:szCs w:val="21"/>
              </w:rPr>
            </w:pPr>
            <w:r>
              <w:rPr>
                <w:szCs w:val="21"/>
              </w:rPr>
              <w:t>第二节</w:t>
            </w:r>
          </w:p>
          <w:p w14:paraId="0ED16F83">
            <w:pPr>
              <w:adjustRightInd w:val="0"/>
              <w:snapToGrid w:val="0"/>
              <w:jc w:val="center"/>
              <w:rPr>
                <w:szCs w:val="21"/>
              </w:rPr>
            </w:pPr>
            <w:r>
              <w:rPr>
                <w:szCs w:val="21"/>
              </w:rPr>
              <w:t>第13.2款</w:t>
            </w:r>
          </w:p>
        </w:tc>
        <w:tc>
          <w:tcPr>
            <w:tcW w:w="1742" w:type="dxa"/>
            <w:tcBorders>
              <w:top w:val="single" w:color="auto" w:sz="6" w:space="0"/>
              <w:left w:val="single" w:color="auto" w:sz="6" w:space="0"/>
              <w:bottom w:val="single" w:color="auto" w:sz="6" w:space="0"/>
              <w:right w:val="single" w:color="auto" w:sz="6" w:space="0"/>
            </w:tcBorders>
            <w:vAlign w:val="center"/>
          </w:tcPr>
          <w:p w14:paraId="4B90D437">
            <w:pPr>
              <w:adjustRightInd w:val="0"/>
              <w:snapToGrid w:val="0"/>
              <w:jc w:val="left"/>
              <w:rPr>
                <w:szCs w:val="21"/>
              </w:rPr>
            </w:pPr>
            <w:r>
              <w:rPr>
                <w:szCs w:val="21"/>
              </w:rPr>
              <w:t>履约保证金不予退还的情形</w:t>
            </w:r>
          </w:p>
        </w:tc>
        <w:tc>
          <w:tcPr>
            <w:tcW w:w="5170" w:type="dxa"/>
            <w:tcBorders>
              <w:top w:val="single" w:color="auto" w:sz="6" w:space="0"/>
              <w:left w:val="single" w:color="auto" w:sz="6" w:space="0"/>
              <w:bottom w:val="single" w:color="auto" w:sz="6" w:space="0"/>
              <w:right w:val="double" w:color="auto" w:sz="4" w:space="0"/>
            </w:tcBorders>
            <w:vAlign w:val="center"/>
          </w:tcPr>
          <w:p w14:paraId="71F55CF6">
            <w:pPr>
              <w:adjustRightInd w:val="0"/>
              <w:snapToGrid w:val="0"/>
              <w:jc w:val="left"/>
              <w:rPr>
                <w:szCs w:val="21"/>
              </w:rPr>
            </w:pPr>
          </w:p>
        </w:tc>
      </w:tr>
      <w:tr w14:paraId="06F87ECA">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24B3F07B">
            <w:pPr>
              <w:adjustRightInd w:val="0"/>
              <w:snapToGrid w:val="0"/>
              <w:jc w:val="center"/>
              <w:rPr>
                <w:szCs w:val="21"/>
              </w:rPr>
            </w:pPr>
            <w:r>
              <w:rPr>
                <w:szCs w:val="21"/>
              </w:rPr>
              <w:t>第二节</w:t>
            </w:r>
          </w:p>
          <w:p w14:paraId="7D046D3D">
            <w:pPr>
              <w:adjustRightInd w:val="0"/>
              <w:snapToGrid w:val="0"/>
              <w:jc w:val="center"/>
              <w:rPr>
                <w:szCs w:val="21"/>
              </w:rPr>
            </w:pPr>
            <w:r>
              <w:rPr>
                <w:szCs w:val="21"/>
              </w:rPr>
              <w:t>第13.3款</w:t>
            </w:r>
          </w:p>
        </w:tc>
        <w:tc>
          <w:tcPr>
            <w:tcW w:w="1742" w:type="dxa"/>
            <w:tcBorders>
              <w:top w:val="single" w:color="auto" w:sz="6" w:space="0"/>
              <w:left w:val="single" w:color="auto" w:sz="6" w:space="0"/>
              <w:bottom w:val="single" w:color="auto" w:sz="6" w:space="0"/>
              <w:right w:val="single" w:color="auto" w:sz="6" w:space="0"/>
            </w:tcBorders>
            <w:vAlign w:val="center"/>
          </w:tcPr>
          <w:p w14:paraId="3D73F559">
            <w:pPr>
              <w:adjustRightInd w:val="0"/>
              <w:snapToGrid w:val="0"/>
              <w:jc w:val="left"/>
              <w:rPr>
                <w:szCs w:val="21"/>
              </w:rPr>
            </w:pPr>
            <w:r>
              <w:rPr>
                <w:szCs w:val="21"/>
              </w:rPr>
              <w:t>履约保证金退还时间及逾期退还的违约金</w:t>
            </w:r>
          </w:p>
        </w:tc>
        <w:tc>
          <w:tcPr>
            <w:tcW w:w="5170" w:type="dxa"/>
            <w:tcBorders>
              <w:top w:val="single" w:color="auto" w:sz="6" w:space="0"/>
              <w:left w:val="single" w:color="auto" w:sz="6" w:space="0"/>
              <w:bottom w:val="single" w:color="auto" w:sz="6" w:space="0"/>
              <w:right w:val="double" w:color="auto" w:sz="4" w:space="0"/>
            </w:tcBorders>
            <w:vAlign w:val="center"/>
          </w:tcPr>
          <w:p w14:paraId="69E21415">
            <w:pPr>
              <w:adjustRightInd w:val="0"/>
              <w:snapToGrid w:val="0"/>
              <w:jc w:val="left"/>
              <w:rPr>
                <w:szCs w:val="21"/>
              </w:rPr>
            </w:pPr>
          </w:p>
        </w:tc>
      </w:tr>
      <w:tr w14:paraId="38AE01FB">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84" w:hRule="atLeast"/>
        </w:trPr>
        <w:tc>
          <w:tcPr>
            <w:tcW w:w="1607" w:type="dxa"/>
            <w:tcBorders>
              <w:top w:val="single" w:color="auto" w:sz="6" w:space="0"/>
              <w:left w:val="double" w:color="auto" w:sz="4" w:space="0"/>
              <w:bottom w:val="single" w:color="auto" w:sz="6" w:space="0"/>
              <w:right w:val="single" w:color="auto" w:sz="6" w:space="0"/>
            </w:tcBorders>
            <w:vAlign w:val="center"/>
          </w:tcPr>
          <w:p w14:paraId="0B4857BB">
            <w:pPr>
              <w:adjustRightInd w:val="0"/>
              <w:snapToGrid w:val="0"/>
              <w:jc w:val="center"/>
              <w:rPr>
                <w:szCs w:val="21"/>
              </w:rPr>
            </w:pPr>
            <w:r>
              <w:rPr>
                <w:szCs w:val="21"/>
              </w:rPr>
              <w:t>第二节</w:t>
            </w:r>
          </w:p>
          <w:p w14:paraId="28D5A866">
            <w:pPr>
              <w:adjustRightInd w:val="0"/>
              <w:snapToGrid w:val="0"/>
              <w:jc w:val="center"/>
              <w:rPr>
                <w:szCs w:val="21"/>
              </w:rPr>
            </w:pPr>
            <w:r>
              <w:rPr>
                <w:szCs w:val="21"/>
              </w:rPr>
              <w:t>第14.1（3）项</w:t>
            </w:r>
          </w:p>
        </w:tc>
        <w:tc>
          <w:tcPr>
            <w:tcW w:w="1742" w:type="dxa"/>
            <w:tcBorders>
              <w:top w:val="single" w:color="auto" w:sz="6" w:space="0"/>
              <w:left w:val="single" w:color="auto" w:sz="6" w:space="0"/>
              <w:bottom w:val="single" w:color="auto" w:sz="6" w:space="0"/>
              <w:right w:val="single" w:color="auto" w:sz="6" w:space="0"/>
            </w:tcBorders>
            <w:vAlign w:val="center"/>
          </w:tcPr>
          <w:p w14:paraId="5C0BC8D7">
            <w:pPr>
              <w:adjustRightInd w:val="0"/>
              <w:snapToGrid w:val="0"/>
              <w:jc w:val="left"/>
              <w:rPr>
                <w:szCs w:val="21"/>
              </w:rPr>
            </w:pPr>
            <w:r>
              <w:rPr>
                <w:szCs w:val="21"/>
              </w:rPr>
              <w:t>运行监督、维修期限</w:t>
            </w:r>
          </w:p>
        </w:tc>
        <w:tc>
          <w:tcPr>
            <w:tcW w:w="5170" w:type="dxa"/>
            <w:tcBorders>
              <w:top w:val="single" w:color="auto" w:sz="6" w:space="0"/>
              <w:left w:val="single" w:color="auto" w:sz="6" w:space="0"/>
              <w:bottom w:val="single" w:color="auto" w:sz="6" w:space="0"/>
              <w:right w:val="double" w:color="auto" w:sz="4" w:space="0"/>
            </w:tcBorders>
            <w:vAlign w:val="center"/>
          </w:tcPr>
          <w:p w14:paraId="05CD8085">
            <w:pPr>
              <w:adjustRightInd w:val="0"/>
              <w:snapToGrid w:val="0"/>
              <w:jc w:val="left"/>
              <w:rPr>
                <w:szCs w:val="21"/>
              </w:rPr>
            </w:pPr>
          </w:p>
        </w:tc>
      </w:tr>
      <w:tr w14:paraId="2890192D">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84" w:hRule="atLeast"/>
        </w:trPr>
        <w:tc>
          <w:tcPr>
            <w:tcW w:w="1607" w:type="dxa"/>
            <w:tcBorders>
              <w:top w:val="single" w:color="auto" w:sz="6" w:space="0"/>
              <w:left w:val="double" w:color="auto" w:sz="4" w:space="0"/>
              <w:bottom w:val="single" w:color="auto" w:sz="6" w:space="0"/>
              <w:right w:val="single" w:color="auto" w:sz="6" w:space="0"/>
            </w:tcBorders>
            <w:vAlign w:val="center"/>
          </w:tcPr>
          <w:p w14:paraId="4EA5E6BB">
            <w:pPr>
              <w:adjustRightInd w:val="0"/>
              <w:snapToGrid w:val="0"/>
              <w:jc w:val="center"/>
              <w:rPr>
                <w:szCs w:val="21"/>
              </w:rPr>
            </w:pPr>
            <w:r>
              <w:rPr>
                <w:szCs w:val="21"/>
              </w:rPr>
              <w:t>第二节</w:t>
            </w:r>
          </w:p>
          <w:p w14:paraId="559AFAF3">
            <w:pPr>
              <w:adjustRightInd w:val="0"/>
              <w:snapToGrid w:val="0"/>
              <w:jc w:val="center"/>
              <w:rPr>
                <w:szCs w:val="21"/>
              </w:rPr>
            </w:pPr>
            <w:r>
              <w:rPr>
                <w:szCs w:val="21"/>
              </w:rPr>
              <w:t>第14.1（5）项</w:t>
            </w:r>
          </w:p>
        </w:tc>
        <w:tc>
          <w:tcPr>
            <w:tcW w:w="1742" w:type="dxa"/>
            <w:tcBorders>
              <w:top w:val="single" w:color="auto" w:sz="6" w:space="0"/>
              <w:left w:val="single" w:color="auto" w:sz="6" w:space="0"/>
              <w:bottom w:val="single" w:color="auto" w:sz="6" w:space="0"/>
              <w:right w:val="single" w:color="auto" w:sz="6" w:space="0"/>
            </w:tcBorders>
            <w:vAlign w:val="center"/>
          </w:tcPr>
          <w:p w14:paraId="6526628C">
            <w:pPr>
              <w:adjustRightInd w:val="0"/>
              <w:snapToGrid w:val="0"/>
              <w:jc w:val="left"/>
              <w:rPr>
                <w:szCs w:val="21"/>
              </w:rPr>
            </w:pPr>
            <w:r>
              <w:rPr>
                <w:szCs w:val="21"/>
              </w:rPr>
              <w:t>货物回收的约定</w:t>
            </w:r>
          </w:p>
        </w:tc>
        <w:tc>
          <w:tcPr>
            <w:tcW w:w="5170" w:type="dxa"/>
            <w:tcBorders>
              <w:top w:val="single" w:color="auto" w:sz="6" w:space="0"/>
              <w:left w:val="single" w:color="auto" w:sz="6" w:space="0"/>
              <w:bottom w:val="single" w:color="auto" w:sz="6" w:space="0"/>
              <w:right w:val="double" w:color="auto" w:sz="4" w:space="0"/>
            </w:tcBorders>
            <w:vAlign w:val="center"/>
          </w:tcPr>
          <w:p w14:paraId="15EDCA45">
            <w:pPr>
              <w:adjustRightInd w:val="0"/>
              <w:snapToGrid w:val="0"/>
              <w:jc w:val="left"/>
              <w:rPr>
                <w:szCs w:val="21"/>
              </w:rPr>
            </w:pPr>
          </w:p>
        </w:tc>
      </w:tr>
      <w:tr w14:paraId="044E640C">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3F34E5F5">
            <w:pPr>
              <w:adjustRightInd w:val="0"/>
              <w:snapToGrid w:val="0"/>
              <w:jc w:val="center"/>
              <w:rPr>
                <w:szCs w:val="21"/>
              </w:rPr>
            </w:pPr>
            <w:r>
              <w:rPr>
                <w:szCs w:val="21"/>
              </w:rPr>
              <w:t>第二节</w:t>
            </w:r>
          </w:p>
          <w:p w14:paraId="7464CFB0">
            <w:pPr>
              <w:adjustRightInd w:val="0"/>
              <w:snapToGrid w:val="0"/>
              <w:jc w:val="center"/>
              <w:rPr>
                <w:szCs w:val="21"/>
              </w:rPr>
            </w:pPr>
            <w:r>
              <w:rPr>
                <w:szCs w:val="21"/>
              </w:rPr>
              <w:t>第14.1（6）项</w:t>
            </w:r>
          </w:p>
        </w:tc>
        <w:tc>
          <w:tcPr>
            <w:tcW w:w="1742" w:type="dxa"/>
            <w:tcBorders>
              <w:top w:val="single" w:color="auto" w:sz="6" w:space="0"/>
              <w:left w:val="single" w:color="auto" w:sz="6" w:space="0"/>
              <w:bottom w:val="single" w:color="auto" w:sz="6" w:space="0"/>
              <w:right w:val="single" w:color="auto" w:sz="6" w:space="0"/>
            </w:tcBorders>
            <w:vAlign w:val="center"/>
          </w:tcPr>
          <w:p w14:paraId="4B5B0D93">
            <w:pPr>
              <w:adjustRightInd w:val="0"/>
              <w:snapToGrid w:val="0"/>
              <w:jc w:val="left"/>
              <w:rPr>
                <w:szCs w:val="21"/>
              </w:rPr>
            </w:pPr>
            <w:r>
              <w:rPr>
                <w:szCs w:val="21"/>
              </w:rPr>
              <w:t>乙方提供的其他服务</w:t>
            </w:r>
          </w:p>
        </w:tc>
        <w:tc>
          <w:tcPr>
            <w:tcW w:w="5170" w:type="dxa"/>
            <w:tcBorders>
              <w:top w:val="single" w:color="auto" w:sz="6" w:space="0"/>
              <w:left w:val="single" w:color="auto" w:sz="6" w:space="0"/>
              <w:bottom w:val="single" w:color="auto" w:sz="6" w:space="0"/>
              <w:right w:val="double" w:color="auto" w:sz="4" w:space="0"/>
            </w:tcBorders>
            <w:vAlign w:val="center"/>
          </w:tcPr>
          <w:p w14:paraId="4D4119DD">
            <w:pPr>
              <w:adjustRightInd w:val="0"/>
              <w:snapToGrid w:val="0"/>
              <w:jc w:val="left"/>
              <w:rPr>
                <w:szCs w:val="21"/>
              </w:rPr>
            </w:pPr>
          </w:p>
        </w:tc>
      </w:tr>
      <w:tr w14:paraId="19B596EF">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060ECAEF">
            <w:pPr>
              <w:adjustRightInd w:val="0"/>
              <w:snapToGrid w:val="0"/>
              <w:jc w:val="center"/>
              <w:rPr>
                <w:szCs w:val="21"/>
              </w:rPr>
            </w:pPr>
            <w:r>
              <w:rPr>
                <w:szCs w:val="21"/>
              </w:rPr>
              <w:t>第二节</w:t>
            </w:r>
          </w:p>
          <w:p w14:paraId="56C48067">
            <w:pPr>
              <w:adjustRightInd w:val="0"/>
              <w:snapToGrid w:val="0"/>
              <w:jc w:val="center"/>
              <w:rPr>
                <w:szCs w:val="21"/>
              </w:rPr>
            </w:pPr>
            <w:r>
              <w:rPr>
                <w:szCs w:val="21"/>
              </w:rPr>
              <w:t>第15.1款</w:t>
            </w:r>
          </w:p>
        </w:tc>
        <w:tc>
          <w:tcPr>
            <w:tcW w:w="1742" w:type="dxa"/>
            <w:tcBorders>
              <w:top w:val="single" w:color="auto" w:sz="6" w:space="0"/>
              <w:left w:val="single" w:color="auto" w:sz="6" w:space="0"/>
              <w:bottom w:val="single" w:color="auto" w:sz="6" w:space="0"/>
              <w:right w:val="single" w:color="auto" w:sz="6" w:space="0"/>
            </w:tcBorders>
            <w:vAlign w:val="center"/>
          </w:tcPr>
          <w:p w14:paraId="0A8DD083">
            <w:pPr>
              <w:adjustRightInd w:val="0"/>
              <w:snapToGrid w:val="0"/>
              <w:jc w:val="left"/>
              <w:rPr>
                <w:szCs w:val="21"/>
              </w:rPr>
            </w:pPr>
            <w:r>
              <w:rPr>
                <w:szCs w:val="21"/>
              </w:rPr>
              <w:t>修理、重作、更换相关具体规定</w:t>
            </w:r>
          </w:p>
        </w:tc>
        <w:tc>
          <w:tcPr>
            <w:tcW w:w="5170" w:type="dxa"/>
            <w:tcBorders>
              <w:top w:val="single" w:color="auto" w:sz="6" w:space="0"/>
              <w:left w:val="single" w:color="auto" w:sz="6" w:space="0"/>
              <w:bottom w:val="single" w:color="auto" w:sz="6" w:space="0"/>
              <w:right w:val="double" w:color="auto" w:sz="4" w:space="0"/>
            </w:tcBorders>
            <w:vAlign w:val="center"/>
          </w:tcPr>
          <w:p w14:paraId="480DF5E3">
            <w:pPr>
              <w:adjustRightInd w:val="0"/>
              <w:snapToGrid w:val="0"/>
              <w:jc w:val="left"/>
              <w:rPr>
                <w:szCs w:val="21"/>
              </w:rPr>
            </w:pPr>
          </w:p>
        </w:tc>
      </w:tr>
      <w:tr w14:paraId="4E7E8B57">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4FD754FB">
            <w:pPr>
              <w:adjustRightInd w:val="0"/>
              <w:snapToGrid w:val="0"/>
              <w:jc w:val="center"/>
              <w:rPr>
                <w:szCs w:val="21"/>
              </w:rPr>
            </w:pPr>
            <w:r>
              <w:rPr>
                <w:szCs w:val="21"/>
              </w:rPr>
              <w:t>第二节</w:t>
            </w:r>
          </w:p>
          <w:p w14:paraId="6FF55F2B">
            <w:pPr>
              <w:adjustRightInd w:val="0"/>
              <w:snapToGrid w:val="0"/>
              <w:jc w:val="center"/>
              <w:rPr>
                <w:szCs w:val="21"/>
              </w:rPr>
            </w:pPr>
            <w:r>
              <w:rPr>
                <w:szCs w:val="21"/>
              </w:rPr>
              <w:t>第15.2（2）项</w:t>
            </w:r>
          </w:p>
        </w:tc>
        <w:tc>
          <w:tcPr>
            <w:tcW w:w="1742" w:type="dxa"/>
            <w:tcBorders>
              <w:top w:val="single" w:color="auto" w:sz="6" w:space="0"/>
              <w:left w:val="single" w:color="auto" w:sz="6" w:space="0"/>
              <w:bottom w:val="single" w:color="auto" w:sz="6" w:space="0"/>
              <w:right w:val="single" w:color="auto" w:sz="6" w:space="0"/>
            </w:tcBorders>
            <w:vAlign w:val="center"/>
          </w:tcPr>
          <w:p w14:paraId="59D7FACD">
            <w:pPr>
              <w:adjustRightInd w:val="0"/>
              <w:snapToGrid w:val="0"/>
              <w:jc w:val="left"/>
              <w:rPr>
                <w:szCs w:val="21"/>
              </w:rPr>
            </w:pPr>
            <w:r>
              <w:rPr>
                <w:szCs w:val="21"/>
              </w:rPr>
              <w:t>迟延交货赔偿费</w:t>
            </w:r>
          </w:p>
        </w:tc>
        <w:tc>
          <w:tcPr>
            <w:tcW w:w="5170" w:type="dxa"/>
            <w:tcBorders>
              <w:top w:val="single" w:color="auto" w:sz="6" w:space="0"/>
              <w:left w:val="single" w:color="auto" w:sz="6" w:space="0"/>
              <w:bottom w:val="single" w:color="auto" w:sz="6" w:space="0"/>
              <w:right w:val="double" w:color="auto" w:sz="4" w:space="0"/>
            </w:tcBorders>
            <w:vAlign w:val="center"/>
          </w:tcPr>
          <w:p w14:paraId="44C8B3B7">
            <w:pPr>
              <w:adjustRightInd w:val="0"/>
              <w:snapToGrid w:val="0"/>
              <w:jc w:val="left"/>
              <w:rPr>
                <w:szCs w:val="21"/>
                <w:u w:val="single"/>
              </w:rPr>
            </w:pPr>
          </w:p>
        </w:tc>
      </w:tr>
      <w:tr w14:paraId="3177226C">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3BF81963">
            <w:pPr>
              <w:adjustRightInd w:val="0"/>
              <w:snapToGrid w:val="0"/>
              <w:jc w:val="center"/>
              <w:rPr>
                <w:szCs w:val="21"/>
              </w:rPr>
            </w:pPr>
            <w:r>
              <w:rPr>
                <w:szCs w:val="21"/>
              </w:rPr>
              <w:t>第二节</w:t>
            </w:r>
          </w:p>
          <w:p w14:paraId="122CF6B8">
            <w:pPr>
              <w:adjustRightInd w:val="0"/>
              <w:snapToGrid w:val="0"/>
              <w:jc w:val="center"/>
              <w:rPr>
                <w:szCs w:val="21"/>
              </w:rPr>
            </w:pPr>
            <w:r>
              <w:rPr>
                <w:szCs w:val="21"/>
              </w:rPr>
              <w:t>第15.3款</w:t>
            </w:r>
          </w:p>
        </w:tc>
        <w:tc>
          <w:tcPr>
            <w:tcW w:w="1742" w:type="dxa"/>
            <w:tcBorders>
              <w:top w:val="single" w:color="auto" w:sz="6" w:space="0"/>
              <w:left w:val="single" w:color="auto" w:sz="6" w:space="0"/>
              <w:bottom w:val="single" w:color="auto" w:sz="6" w:space="0"/>
              <w:right w:val="single" w:color="auto" w:sz="6" w:space="0"/>
            </w:tcBorders>
            <w:vAlign w:val="center"/>
          </w:tcPr>
          <w:p w14:paraId="09B6B41F">
            <w:pPr>
              <w:adjustRightInd w:val="0"/>
              <w:snapToGrid w:val="0"/>
              <w:jc w:val="left"/>
              <w:rPr>
                <w:szCs w:val="21"/>
              </w:rPr>
            </w:pPr>
            <w:r>
              <w:rPr>
                <w:szCs w:val="21"/>
              </w:rPr>
              <w:t>逾期付款利息</w:t>
            </w:r>
          </w:p>
        </w:tc>
        <w:tc>
          <w:tcPr>
            <w:tcW w:w="5170" w:type="dxa"/>
            <w:tcBorders>
              <w:top w:val="single" w:color="auto" w:sz="6" w:space="0"/>
              <w:left w:val="single" w:color="auto" w:sz="6" w:space="0"/>
              <w:bottom w:val="single" w:color="auto" w:sz="6" w:space="0"/>
              <w:right w:val="double" w:color="auto" w:sz="4" w:space="0"/>
            </w:tcBorders>
            <w:vAlign w:val="center"/>
          </w:tcPr>
          <w:p w14:paraId="2450A101">
            <w:pPr>
              <w:adjustRightInd w:val="0"/>
              <w:snapToGrid w:val="0"/>
              <w:jc w:val="left"/>
              <w:rPr>
                <w:szCs w:val="21"/>
                <w:u w:val="single"/>
              </w:rPr>
            </w:pPr>
          </w:p>
        </w:tc>
      </w:tr>
      <w:tr w14:paraId="4D08FB3A">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876" w:hRule="atLeast"/>
        </w:trPr>
        <w:tc>
          <w:tcPr>
            <w:tcW w:w="1607" w:type="dxa"/>
            <w:tcBorders>
              <w:top w:val="single" w:color="auto" w:sz="6" w:space="0"/>
              <w:left w:val="double" w:color="auto" w:sz="4" w:space="0"/>
              <w:bottom w:val="single" w:color="auto" w:sz="2" w:space="0"/>
              <w:right w:val="single" w:color="auto" w:sz="2" w:space="0"/>
            </w:tcBorders>
            <w:vAlign w:val="center"/>
          </w:tcPr>
          <w:p w14:paraId="001A93CE">
            <w:pPr>
              <w:adjustRightInd w:val="0"/>
              <w:snapToGrid w:val="0"/>
              <w:jc w:val="center"/>
              <w:rPr>
                <w:szCs w:val="21"/>
              </w:rPr>
            </w:pPr>
            <w:r>
              <w:rPr>
                <w:szCs w:val="21"/>
              </w:rPr>
              <w:t>第二节</w:t>
            </w:r>
          </w:p>
          <w:p w14:paraId="6B960BF0">
            <w:pPr>
              <w:adjustRightInd w:val="0"/>
              <w:snapToGrid w:val="0"/>
              <w:jc w:val="center"/>
              <w:rPr>
                <w:szCs w:val="21"/>
              </w:rPr>
            </w:pPr>
            <w:r>
              <w:rPr>
                <w:szCs w:val="21"/>
              </w:rPr>
              <w:t>第15.4款</w:t>
            </w:r>
          </w:p>
        </w:tc>
        <w:tc>
          <w:tcPr>
            <w:tcW w:w="1742" w:type="dxa"/>
            <w:tcBorders>
              <w:top w:val="single" w:color="auto" w:sz="6" w:space="0"/>
              <w:left w:val="single" w:color="auto" w:sz="2" w:space="0"/>
              <w:bottom w:val="single" w:color="auto" w:sz="2" w:space="0"/>
              <w:right w:val="single" w:color="auto" w:sz="2" w:space="0"/>
            </w:tcBorders>
            <w:vAlign w:val="center"/>
          </w:tcPr>
          <w:p w14:paraId="51AC0471">
            <w:pPr>
              <w:adjustRightInd w:val="0"/>
              <w:snapToGrid w:val="0"/>
              <w:jc w:val="left"/>
              <w:rPr>
                <w:szCs w:val="21"/>
              </w:rPr>
            </w:pPr>
            <w:r>
              <w:rPr>
                <w:szCs w:val="21"/>
              </w:rPr>
              <w:t>其他违约责任</w:t>
            </w:r>
          </w:p>
        </w:tc>
        <w:tc>
          <w:tcPr>
            <w:tcW w:w="5170" w:type="dxa"/>
            <w:tcBorders>
              <w:top w:val="single" w:color="auto" w:sz="6" w:space="0"/>
              <w:left w:val="single" w:color="auto" w:sz="2" w:space="0"/>
              <w:bottom w:val="single" w:color="auto" w:sz="2" w:space="0"/>
              <w:right w:val="double" w:color="auto" w:sz="4" w:space="0"/>
            </w:tcBorders>
            <w:vAlign w:val="center"/>
          </w:tcPr>
          <w:p w14:paraId="5A2089E2">
            <w:pPr>
              <w:adjustRightInd w:val="0"/>
              <w:snapToGrid w:val="0"/>
              <w:jc w:val="left"/>
              <w:rPr>
                <w:szCs w:val="21"/>
                <w:u w:val="single"/>
              </w:rPr>
            </w:pPr>
          </w:p>
        </w:tc>
      </w:tr>
      <w:tr w14:paraId="07DDF353">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90" w:hRule="atLeast"/>
        </w:trPr>
        <w:tc>
          <w:tcPr>
            <w:tcW w:w="1607" w:type="dxa"/>
            <w:tcBorders>
              <w:top w:val="single" w:color="auto" w:sz="2" w:space="0"/>
              <w:left w:val="double" w:color="auto" w:sz="4" w:space="0"/>
              <w:bottom w:val="single" w:color="auto" w:sz="6" w:space="0"/>
              <w:right w:val="single" w:color="auto" w:sz="2" w:space="0"/>
            </w:tcBorders>
            <w:vAlign w:val="center"/>
          </w:tcPr>
          <w:p w14:paraId="14E84F8C">
            <w:pPr>
              <w:adjustRightInd w:val="0"/>
              <w:snapToGrid w:val="0"/>
              <w:jc w:val="center"/>
              <w:rPr>
                <w:szCs w:val="21"/>
              </w:rPr>
            </w:pPr>
            <w:r>
              <w:rPr>
                <w:szCs w:val="21"/>
              </w:rPr>
              <w:t>第二节</w:t>
            </w:r>
          </w:p>
          <w:p w14:paraId="7386B377">
            <w:pPr>
              <w:adjustRightInd w:val="0"/>
              <w:snapToGrid w:val="0"/>
              <w:jc w:val="center"/>
              <w:rPr>
                <w:szCs w:val="21"/>
              </w:rPr>
            </w:pPr>
            <w:r>
              <w:rPr>
                <w:szCs w:val="21"/>
              </w:rPr>
              <w:t>第19.2款</w:t>
            </w:r>
          </w:p>
        </w:tc>
        <w:tc>
          <w:tcPr>
            <w:tcW w:w="1742" w:type="dxa"/>
            <w:tcBorders>
              <w:top w:val="single" w:color="auto" w:sz="2" w:space="0"/>
              <w:left w:val="single" w:color="auto" w:sz="2" w:space="0"/>
              <w:bottom w:val="single" w:color="auto" w:sz="6" w:space="0"/>
              <w:right w:val="single" w:color="auto" w:sz="2" w:space="0"/>
            </w:tcBorders>
            <w:vAlign w:val="center"/>
          </w:tcPr>
          <w:p w14:paraId="497DFB4A">
            <w:pPr>
              <w:adjustRightInd w:val="0"/>
              <w:snapToGrid w:val="0"/>
              <w:jc w:val="left"/>
              <w:rPr>
                <w:szCs w:val="21"/>
              </w:rPr>
            </w:pPr>
            <w:r>
              <w:rPr>
                <w:szCs w:val="21"/>
              </w:rPr>
              <w:t>解决争议的方法</w:t>
            </w:r>
          </w:p>
        </w:tc>
        <w:tc>
          <w:tcPr>
            <w:tcW w:w="5170" w:type="dxa"/>
            <w:tcBorders>
              <w:top w:val="single" w:color="auto" w:sz="2" w:space="0"/>
              <w:left w:val="single" w:color="auto" w:sz="2" w:space="0"/>
              <w:bottom w:val="single" w:color="auto" w:sz="6" w:space="0"/>
              <w:right w:val="double" w:color="auto" w:sz="4" w:space="0"/>
            </w:tcBorders>
            <w:vAlign w:val="center"/>
          </w:tcPr>
          <w:p w14:paraId="42ADFFD0">
            <w:pPr>
              <w:autoSpaceDE w:val="0"/>
              <w:autoSpaceDN w:val="0"/>
              <w:adjustRightInd w:val="0"/>
              <w:snapToGrid w:val="0"/>
              <w:spacing w:line="400" w:lineRule="exact"/>
              <w:jc w:val="left"/>
              <w:rPr>
                <w:iCs/>
                <w:szCs w:val="21"/>
              </w:rPr>
            </w:pPr>
            <w:r>
              <w:rPr>
                <w:iCs/>
                <w:szCs w:val="21"/>
              </w:rPr>
              <w:t>因本合同及合同有关事项发生的争议，按下列第</w:t>
            </w:r>
            <w:r>
              <w:rPr>
                <w:iCs/>
                <w:szCs w:val="21"/>
                <w:u w:val="single"/>
              </w:rPr>
              <w:t xml:space="preserve">   </w:t>
            </w:r>
            <w:r>
              <w:rPr>
                <w:iCs/>
                <w:szCs w:val="21"/>
              </w:rPr>
              <w:t>种方式解决：</w:t>
            </w:r>
          </w:p>
          <w:p w14:paraId="11E94885">
            <w:pPr>
              <w:autoSpaceDE w:val="0"/>
              <w:autoSpaceDN w:val="0"/>
              <w:adjustRightInd w:val="0"/>
              <w:snapToGrid w:val="0"/>
              <w:spacing w:line="400" w:lineRule="exact"/>
              <w:jc w:val="left"/>
              <w:rPr>
                <w:iCs/>
                <w:szCs w:val="21"/>
              </w:rPr>
            </w:pPr>
            <w:r>
              <w:rPr>
                <w:iCs/>
                <w:szCs w:val="21"/>
              </w:rPr>
              <w:t>（1）向</w:t>
            </w:r>
            <w:r>
              <w:rPr>
                <w:iCs/>
                <w:szCs w:val="21"/>
                <w:u w:val="single"/>
              </w:rPr>
              <w:t xml:space="preserve">                    </w:t>
            </w:r>
            <w:r>
              <w:rPr>
                <w:iCs/>
                <w:szCs w:val="21"/>
              </w:rPr>
              <w:t>仲裁委员会申请仲裁，仲裁地点为</w:t>
            </w:r>
            <w:r>
              <w:rPr>
                <w:iCs/>
                <w:szCs w:val="21"/>
                <w:u w:val="single"/>
              </w:rPr>
              <w:t xml:space="preserve">           </w:t>
            </w:r>
            <w:r>
              <w:rPr>
                <w:iCs/>
                <w:szCs w:val="21"/>
              </w:rPr>
              <w:t>；</w:t>
            </w:r>
          </w:p>
          <w:p w14:paraId="3E5E451D">
            <w:pPr>
              <w:adjustRightInd w:val="0"/>
              <w:snapToGrid w:val="0"/>
              <w:jc w:val="left"/>
              <w:rPr>
                <w:szCs w:val="21"/>
                <w:u w:val="single"/>
              </w:rPr>
            </w:pPr>
            <w:r>
              <w:rPr>
                <w:iCs/>
                <w:szCs w:val="21"/>
              </w:rPr>
              <w:t>（2）向</w:t>
            </w:r>
            <w:r>
              <w:rPr>
                <w:iCs/>
                <w:szCs w:val="21"/>
                <w:u w:val="single"/>
              </w:rPr>
              <w:t xml:space="preserve">                    </w:t>
            </w:r>
            <w:r>
              <w:rPr>
                <w:iCs/>
                <w:szCs w:val="21"/>
              </w:rPr>
              <w:t>人民法院起诉。</w:t>
            </w:r>
          </w:p>
        </w:tc>
      </w:tr>
      <w:tr w14:paraId="48A16BB0">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70" w:hRule="atLeast"/>
        </w:trPr>
        <w:tc>
          <w:tcPr>
            <w:tcW w:w="1607" w:type="dxa"/>
            <w:tcBorders>
              <w:top w:val="single" w:color="auto" w:sz="6" w:space="0"/>
              <w:left w:val="double" w:color="auto" w:sz="4" w:space="0"/>
              <w:bottom w:val="double" w:color="auto" w:sz="4" w:space="0"/>
              <w:right w:val="single" w:color="auto" w:sz="6" w:space="0"/>
            </w:tcBorders>
            <w:vAlign w:val="center"/>
          </w:tcPr>
          <w:p w14:paraId="15051CD1">
            <w:pPr>
              <w:adjustRightInd w:val="0"/>
              <w:snapToGrid w:val="0"/>
              <w:jc w:val="center"/>
              <w:rPr>
                <w:szCs w:val="21"/>
              </w:rPr>
            </w:pPr>
            <w:r>
              <w:rPr>
                <w:szCs w:val="21"/>
              </w:rPr>
              <w:t>第二节</w:t>
            </w:r>
          </w:p>
          <w:p w14:paraId="0133C248">
            <w:pPr>
              <w:adjustRightInd w:val="0"/>
              <w:snapToGrid w:val="0"/>
              <w:jc w:val="center"/>
              <w:rPr>
                <w:szCs w:val="21"/>
              </w:rPr>
            </w:pPr>
            <w:r>
              <w:rPr>
                <w:szCs w:val="21"/>
              </w:rPr>
              <w:t>第23.1款</w:t>
            </w:r>
          </w:p>
        </w:tc>
        <w:tc>
          <w:tcPr>
            <w:tcW w:w="1742" w:type="dxa"/>
            <w:tcBorders>
              <w:top w:val="single" w:color="auto" w:sz="6" w:space="0"/>
              <w:left w:val="single" w:color="auto" w:sz="6" w:space="0"/>
              <w:bottom w:val="double" w:color="auto" w:sz="4" w:space="0"/>
              <w:right w:val="single" w:color="auto" w:sz="6" w:space="0"/>
            </w:tcBorders>
            <w:vAlign w:val="center"/>
          </w:tcPr>
          <w:p w14:paraId="397677A9">
            <w:pPr>
              <w:adjustRightInd w:val="0"/>
              <w:snapToGrid w:val="0"/>
              <w:jc w:val="left"/>
              <w:rPr>
                <w:szCs w:val="21"/>
              </w:rPr>
            </w:pPr>
            <w:r>
              <w:rPr>
                <w:bCs/>
                <w:szCs w:val="21"/>
              </w:rPr>
              <w:t>其他专用条款</w:t>
            </w:r>
          </w:p>
        </w:tc>
        <w:tc>
          <w:tcPr>
            <w:tcW w:w="5170" w:type="dxa"/>
            <w:tcBorders>
              <w:top w:val="single" w:color="auto" w:sz="6" w:space="0"/>
              <w:left w:val="single" w:color="auto" w:sz="6" w:space="0"/>
              <w:bottom w:val="double" w:color="auto" w:sz="4" w:space="0"/>
              <w:right w:val="double" w:color="auto" w:sz="4" w:space="0"/>
            </w:tcBorders>
            <w:vAlign w:val="center"/>
          </w:tcPr>
          <w:p w14:paraId="25E670D2">
            <w:pPr>
              <w:adjustRightInd w:val="0"/>
              <w:snapToGrid w:val="0"/>
              <w:jc w:val="left"/>
              <w:rPr>
                <w:szCs w:val="21"/>
              </w:rPr>
            </w:pPr>
          </w:p>
        </w:tc>
      </w:tr>
    </w:tbl>
    <w:p w14:paraId="2C7A9D25">
      <w:pPr>
        <w:tabs>
          <w:tab w:val="left" w:pos="360"/>
        </w:tabs>
        <w:spacing w:line="520" w:lineRule="exact"/>
        <w:ind w:firstLine="383" w:firstLineChars="171"/>
        <w:rPr>
          <w:sz w:val="24"/>
          <w:szCs w:val="24"/>
        </w:rPr>
      </w:pPr>
    </w:p>
    <w:p w14:paraId="657C49A0">
      <w:pPr>
        <w:tabs>
          <w:tab w:val="left" w:pos="360"/>
        </w:tabs>
        <w:spacing w:line="520" w:lineRule="exact"/>
        <w:ind w:firstLine="383" w:firstLineChars="171"/>
        <w:rPr>
          <w:sz w:val="24"/>
          <w:szCs w:val="24"/>
        </w:rPr>
      </w:pPr>
    </w:p>
    <w:p w14:paraId="3667BBA3">
      <w:pPr>
        <w:widowControl/>
        <w:jc w:val="left"/>
        <w:rPr>
          <w:b/>
          <w:bCs/>
          <w:kern w:val="28"/>
          <w:sz w:val="32"/>
          <w:szCs w:val="32"/>
          <w:lang w:val="zh-CN" w:eastAsia="zh-CN"/>
        </w:rPr>
      </w:pPr>
      <w:r>
        <w:br w:type="page"/>
      </w:r>
    </w:p>
    <w:p w14:paraId="58000136">
      <w:pPr>
        <w:pStyle w:val="13"/>
        <w:rPr>
          <w:rFonts w:ascii="Times New Roman" w:hAnsi="Times New Roman"/>
        </w:rPr>
      </w:pPr>
      <w:r>
        <w:rPr>
          <w:rFonts w:hint="eastAsia" w:ascii="Times New Roman" w:hAnsi="Times New Roman"/>
        </w:rPr>
        <w:t>第五部分  投标文件格式</w:t>
      </w:r>
    </w:p>
    <w:p w14:paraId="1B2993B0">
      <w:pPr>
        <w:autoSpaceDN w:val="0"/>
        <w:spacing w:line="360" w:lineRule="auto"/>
        <w:jc w:val="center"/>
        <w:rPr>
          <w:b/>
          <w:bCs/>
          <w:sz w:val="24"/>
        </w:rPr>
      </w:pPr>
      <w:r>
        <w:rPr>
          <w:rFonts w:hint="eastAsia"/>
          <w:b/>
          <w:bCs/>
          <w:sz w:val="24"/>
        </w:rPr>
        <w:t>投标文件封面格式</w:t>
      </w:r>
    </w:p>
    <w:p w14:paraId="0A52873B">
      <w:pPr>
        <w:autoSpaceDE w:val="0"/>
        <w:autoSpaceDN w:val="0"/>
        <w:adjustRightInd w:val="0"/>
        <w:spacing w:line="520" w:lineRule="exact"/>
      </w:pPr>
    </w:p>
    <w:p w14:paraId="371EF436">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377BCDF4">
      <w:pPr>
        <w:autoSpaceDE w:val="0"/>
        <w:autoSpaceDN w:val="0"/>
        <w:adjustRightInd w:val="0"/>
        <w:spacing w:line="520" w:lineRule="exact"/>
        <w:rPr>
          <w:b/>
          <w:kern w:val="0"/>
          <w:sz w:val="24"/>
        </w:rPr>
      </w:pPr>
    </w:p>
    <w:p w14:paraId="1E82D89F">
      <w:pPr>
        <w:autoSpaceDE w:val="0"/>
        <w:autoSpaceDN w:val="0"/>
        <w:adjustRightInd w:val="0"/>
        <w:spacing w:line="520" w:lineRule="exact"/>
        <w:rPr>
          <w:b/>
          <w:kern w:val="0"/>
          <w:sz w:val="24"/>
        </w:rPr>
      </w:pPr>
    </w:p>
    <w:p w14:paraId="3810E25D">
      <w:pPr>
        <w:autoSpaceDE w:val="0"/>
        <w:autoSpaceDN w:val="0"/>
        <w:adjustRightInd w:val="0"/>
        <w:jc w:val="center"/>
        <w:rPr>
          <w:kern w:val="0"/>
          <w:sz w:val="144"/>
          <w:szCs w:val="144"/>
        </w:rPr>
      </w:pPr>
      <w:r>
        <w:rPr>
          <w:rFonts w:hint="eastAsia"/>
          <w:sz w:val="160"/>
          <w:szCs w:val="84"/>
        </w:rPr>
        <w:t>投</w:t>
      </w:r>
      <w:r>
        <w:rPr>
          <w:rFonts w:hint="eastAsia"/>
          <w:sz w:val="90"/>
          <w:szCs w:val="90"/>
        </w:rPr>
        <w:t xml:space="preserve"> </w:t>
      </w:r>
      <w:r>
        <w:rPr>
          <w:rFonts w:hint="eastAsia"/>
          <w:sz w:val="160"/>
          <w:szCs w:val="84"/>
        </w:rPr>
        <w:t>标</w:t>
      </w:r>
      <w:r>
        <w:rPr>
          <w:rFonts w:hint="eastAsia"/>
          <w:sz w:val="84"/>
          <w:szCs w:val="84"/>
        </w:rPr>
        <w:t xml:space="preserve"> </w:t>
      </w:r>
      <w:r>
        <w:rPr>
          <w:rFonts w:hint="eastAsia"/>
          <w:sz w:val="160"/>
          <w:szCs w:val="84"/>
        </w:rPr>
        <w:t>文</w:t>
      </w:r>
      <w:r>
        <w:rPr>
          <w:rFonts w:hint="eastAsia"/>
          <w:sz w:val="84"/>
          <w:szCs w:val="84"/>
        </w:rPr>
        <w:t xml:space="preserve"> </w:t>
      </w:r>
      <w:r>
        <w:rPr>
          <w:rFonts w:hint="eastAsia"/>
          <w:sz w:val="160"/>
          <w:szCs w:val="84"/>
        </w:rPr>
        <w:t>件</w:t>
      </w:r>
    </w:p>
    <w:p w14:paraId="45A52652">
      <w:pPr>
        <w:autoSpaceDE w:val="0"/>
        <w:autoSpaceDN w:val="0"/>
        <w:adjustRightInd w:val="0"/>
        <w:spacing w:line="520" w:lineRule="exact"/>
        <w:rPr>
          <w:b/>
          <w:kern w:val="0"/>
          <w:sz w:val="36"/>
          <w:szCs w:val="36"/>
        </w:rPr>
      </w:pPr>
    </w:p>
    <w:p w14:paraId="59483085">
      <w:pPr>
        <w:autoSpaceDE w:val="0"/>
        <w:autoSpaceDN w:val="0"/>
        <w:adjustRightInd w:val="0"/>
        <w:spacing w:line="520" w:lineRule="exact"/>
        <w:jc w:val="center"/>
        <w:rPr>
          <w:b/>
          <w:color w:val="FF0000"/>
          <w:kern w:val="0"/>
          <w:sz w:val="24"/>
        </w:rPr>
      </w:pPr>
      <w:r>
        <w:rPr>
          <w:rFonts w:hint="eastAsia"/>
          <w:b/>
          <w:color w:val="FF0000"/>
          <w:kern w:val="0"/>
          <w:sz w:val="24"/>
        </w:rPr>
        <w:t>（加盖电子签章）</w:t>
      </w:r>
    </w:p>
    <w:p w14:paraId="1EAF017F">
      <w:pPr>
        <w:spacing w:before="85" w:beforeLines="30" w:after="199" w:afterLines="70" w:line="540" w:lineRule="exact"/>
        <w:ind w:left="582" w:leftChars="300"/>
        <w:rPr>
          <w:b/>
          <w:sz w:val="34"/>
          <w:szCs w:val="34"/>
        </w:rPr>
      </w:pPr>
      <w:r>
        <w:rPr>
          <w:rFonts w:hint="eastAsia"/>
          <w:b/>
          <w:sz w:val="34"/>
          <w:szCs w:val="34"/>
        </w:rPr>
        <w:t>项目编号：</w:t>
      </w:r>
    </w:p>
    <w:p w14:paraId="5CE64D5E">
      <w:pPr>
        <w:spacing w:before="85" w:beforeLines="30" w:after="199" w:afterLines="70" w:line="540" w:lineRule="exact"/>
        <w:ind w:left="2027" w:leftChars="300" w:hanging="1445" w:hangingChars="446"/>
        <w:rPr>
          <w:b/>
          <w:sz w:val="34"/>
          <w:szCs w:val="34"/>
        </w:rPr>
      </w:pPr>
      <w:r>
        <w:rPr>
          <w:rFonts w:hint="eastAsia"/>
          <w:b/>
          <w:sz w:val="34"/>
          <w:szCs w:val="34"/>
        </w:rPr>
        <w:t>项目名称：</w:t>
      </w:r>
    </w:p>
    <w:p w14:paraId="71979BC8">
      <w:pPr>
        <w:spacing w:before="85" w:beforeLines="30" w:after="199" w:afterLines="70" w:line="540" w:lineRule="exact"/>
        <w:ind w:left="2027" w:leftChars="300" w:hanging="1445" w:hangingChars="446"/>
        <w:rPr>
          <w:b/>
          <w:sz w:val="34"/>
          <w:szCs w:val="34"/>
        </w:rPr>
      </w:pPr>
      <w:r>
        <w:rPr>
          <w:rFonts w:hint="eastAsia"/>
          <w:b/>
          <w:sz w:val="34"/>
          <w:szCs w:val="34"/>
        </w:rPr>
        <w:t>投标包号：</w:t>
      </w:r>
    </w:p>
    <w:p w14:paraId="520C4E7A">
      <w:pPr>
        <w:spacing w:before="85" w:beforeLines="30" w:after="199" w:afterLines="70" w:line="540" w:lineRule="exact"/>
        <w:ind w:left="582" w:leftChars="300"/>
        <w:rPr>
          <w:b/>
          <w:sz w:val="34"/>
          <w:szCs w:val="34"/>
        </w:rPr>
      </w:pPr>
      <w:r>
        <w:rPr>
          <w:rFonts w:hint="eastAsia"/>
          <w:b/>
          <w:sz w:val="34"/>
          <w:szCs w:val="34"/>
        </w:rPr>
        <w:t>投标单位名称：</w:t>
      </w:r>
    </w:p>
    <w:p w14:paraId="4BE29421">
      <w:pPr>
        <w:spacing w:before="85" w:beforeLines="30" w:after="199" w:afterLines="70" w:line="540" w:lineRule="exact"/>
        <w:ind w:left="582" w:leftChars="300"/>
        <w:rPr>
          <w:b/>
          <w:sz w:val="34"/>
          <w:szCs w:val="34"/>
        </w:rPr>
      </w:pPr>
      <w:r>
        <w:rPr>
          <w:rFonts w:hint="eastAsia"/>
          <w:b/>
          <w:sz w:val="34"/>
          <w:szCs w:val="34"/>
        </w:rPr>
        <w:t>投标单位电话：</w:t>
      </w:r>
    </w:p>
    <w:p w14:paraId="3F399140">
      <w:pPr>
        <w:spacing w:before="85" w:beforeLines="30" w:after="199" w:afterLines="70" w:line="540" w:lineRule="exact"/>
        <w:ind w:left="582" w:leftChars="300"/>
        <w:rPr>
          <w:b/>
          <w:sz w:val="34"/>
          <w:szCs w:val="34"/>
        </w:rPr>
      </w:pPr>
      <w:r>
        <w:rPr>
          <w:rFonts w:hint="eastAsia"/>
          <w:b/>
          <w:sz w:val="34"/>
          <w:szCs w:val="34"/>
        </w:rPr>
        <w:t>投标单位详细地址：</w:t>
      </w:r>
    </w:p>
    <w:p w14:paraId="355AA6C8">
      <w:pPr>
        <w:spacing w:before="85" w:beforeLines="30" w:after="199" w:afterLines="70" w:line="540" w:lineRule="exact"/>
        <w:ind w:left="582" w:leftChars="300"/>
        <w:rPr>
          <w:b/>
          <w:sz w:val="34"/>
          <w:szCs w:val="34"/>
        </w:rPr>
      </w:pPr>
      <w:r>
        <w:rPr>
          <w:rFonts w:hint="eastAsia"/>
          <w:b/>
          <w:kern w:val="0"/>
          <w:sz w:val="34"/>
          <w:szCs w:val="34"/>
        </w:rPr>
        <w:t>投标代表人姓名：</w:t>
      </w:r>
    </w:p>
    <w:p w14:paraId="7063BD8C">
      <w:pPr>
        <w:spacing w:before="85" w:beforeLines="30" w:after="199" w:afterLines="70" w:line="540" w:lineRule="exact"/>
        <w:ind w:left="582" w:leftChars="300"/>
        <w:rPr>
          <w:b/>
          <w:sz w:val="34"/>
          <w:szCs w:val="34"/>
        </w:rPr>
      </w:pPr>
      <w:r>
        <w:rPr>
          <w:rFonts w:hint="eastAsia"/>
          <w:b/>
          <w:sz w:val="34"/>
          <w:szCs w:val="34"/>
        </w:rPr>
        <w:t>法定代表人：</w:t>
      </w:r>
    </w:p>
    <w:p w14:paraId="2D810F4D">
      <w:pPr>
        <w:spacing w:before="85" w:beforeLines="30" w:after="199" w:afterLines="70" w:line="540" w:lineRule="exact"/>
        <w:ind w:left="582" w:leftChars="300"/>
        <w:rPr>
          <w:b/>
          <w:bCs/>
          <w:sz w:val="24"/>
        </w:rPr>
      </w:pPr>
      <w:r>
        <w:rPr>
          <w:rFonts w:hint="eastAsia"/>
          <w:b/>
          <w:sz w:val="34"/>
          <w:szCs w:val="34"/>
        </w:rPr>
        <w:t>投标日期：   年   月   日</w:t>
      </w:r>
    </w:p>
    <w:p w14:paraId="3C58CCA5">
      <w:pPr>
        <w:widowControl/>
        <w:jc w:val="left"/>
        <w:rPr>
          <w:b/>
          <w:bCs/>
          <w:sz w:val="24"/>
        </w:rPr>
      </w:pPr>
      <w:r>
        <w:rPr>
          <w:b/>
          <w:bCs/>
          <w:sz w:val="24"/>
        </w:rPr>
        <w:br w:type="page"/>
      </w:r>
    </w:p>
    <w:p w14:paraId="5D33CD48">
      <w:pPr>
        <w:autoSpaceDN w:val="0"/>
        <w:spacing w:line="360" w:lineRule="auto"/>
        <w:jc w:val="center"/>
        <w:rPr>
          <w:b/>
          <w:bCs/>
          <w:sz w:val="24"/>
        </w:rPr>
      </w:pPr>
      <w:r>
        <w:rPr>
          <w:rFonts w:hint="eastAsia"/>
          <w:b/>
          <w:bCs/>
          <w:sz w:val="24"/>
        </w:rPr>
        <w:t>投标文件目录格式</w:t>
      </w:r>
    </w:p>
    <w:p w14:paraId="388100C6">
      <w:pPr>
        <w:autoSpaceDN w:val="0"/>
        <w:spacing w:line="360" w:lineRule="auto"/>
        <w:jc w:val="center"/>
        <w:rPr>
          <w:b/>
          <w:bCs/>
          <w:sz w:val="24"/>
        </w:rPr>
      </w:pPr>
      <w:r>
        <w:rPr>
          <w:rFonts w:hint="eastAsia"/>
          <w:b/>
          <w:bCs/>
          <w:sz w:val="24"/>
        </w:rPr>
        <w:t>（投标人自行编制）</w:t>
      </w:r>
    </w:p>
    <w:p w14:paraId="73763B20">
      <w:pPr>
        <w:widowControl/>
        <w:jc w:val="center"/>
        <w:rPr>
          <w:b/>
          <w:sz w:val="24"/>
        </w:rPr>
      </w:pPr>
    </w:p>
    <w:p w14:paraId="4318788E">
      <w:pPr>
        <w:widowControl/>
        <w:jc w:val="left"/>
        <w:rPr>
          <w:b/>
          <w:sz w:val="24"/>
        </w:rPr>
      </w:pPr>
      <w:r>
        <w:rPr>
          <w:b/>
          <w:sz w:val="24"/>
        </w:rPr>
        <w:br w:type="page"/>
      </w:r>
    </w:p>
    <w:p w14:paraId="519A5ECC">
      <w:pPr>
        <w:widowControl/>
        <w:jc w:val="center"/>
        <w:rPr>
          <w:b/>
          <w:sz w:val="24"/>
        </w:rPr>
      </w:pPr>
      <w:r>
        <w:rPr>
          <w:rFonts w:hint="eastAsia"/>
          <w:b/>
          <w:sz w:val="24"/>
        </w:rPr>
        <w:t>评分因素及评标标准页码检索</w:t>
      </w:r>
    </w:p>
    <w:p w14:paraId="7F707259">
      <w:pPr>
        <w:widowControl/>
        <w:jc w:val="center"/>
        <w:rPr>
          <w:b/>
          <w:sz w:val="24"/>
        </w:rPr>
      </w:pPr>
      <w:r>
        <w:rPr>
          <w:b/>
          <w:bCs/>
          <w:sz w:val="24"/>
        </w:rPr>
        <w:t>（需投标人按招标文件“评分因素及评标标准”中每个评分项逐项列明页码）</w:t>
      </w:r>
    </w:p>
    <w:p w14:paraId="410265C1">
      <w:pPr>
        <w:widowControl/>
        <w:jc w:val="center"/>
        <w:rPr>
          <w:b/>
          <w:sz w:val="24"/>
        </w:rPr>
      </w:pPr>
    </w:p>
    <w:p w14:paraId="2A7AAD2F">
      <w:pPr>
        <w:widowControl/>
        <w:jc w:val="left"/>
        <w:rPr>
          <w:sz w:val="24"/>
        </w:rPr>
      </w:pPr>
      <w:r>
        <w:rPr>
          <w:sz w:val="24"/>
        </w:rPr>
        <w:br w:type="page"/>
      </w:r>
    </w:p>
    <w:p w14:paraId="2290699A">
      <w:pPr>
        <w:tabs>
          <w:tab w:val="left" w:pos="360"/>
        </w:tabs>
        <w:spacing w:after="285" w:afterLines="100" w:line="360" w:lineRule="auto"/>
        <w:rPr>
          <w:b/>
          <w:sz w:val="24"/>
        </w:rPr>
      </w:pPr>
      <w:r>
        <w:rPr>
          <w:b/>
          <w:sz w:val="24"/>
        </w:rPr>
        <w:t>附件1</w:t>
      </w:r>
    </w:p>
    <w:p w14:paraId="7FFEE43F">
      <w:pPr>
        <w:autoSpaceDN w:val="0"/>
        <w:spacing w:line="360" w:lineRule="auto"/>
        <w:jc w:val="center"/>
        <w:rPr>
          <w:b/>
          <w:bCs/>
          <w:sz w:val="24"/>
        </w:rPr>
      </w:pPr>
      <w:r>
        <w:rPr>
          <w:b/>
          <w:bCs/>
          <w:sz w:val="24"/>
        </w:rPr>
        <w:t>投标书</w:t>
      </w:r>
    </w:p>
    <w:p w14:paraId="2E962F94">
      <w:pPr>
        <w:spacing w:line="360" w:lineRule="auto"/>
        <w:rPr>
          <w:sz w:val="24"/>
        </w:rPr>
      </w:pPr>
      <w:r>
        <w:rPr>
          <w:sz w:val="24"/>
        </w:rPr>
        <w:t>致：天津市政府采购中心</w:t>
      </w:r>
    </w:p>
    <w:p w14:paraId="055C485C">
      <w:pPr>
        <w:spacing w:line="360" w:lineRule="auto"/>
        <w:ind w:firstLine="448" w:firstLineChars="200"/>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网上应答及上传加盖电子签章的投标文件</w:t>
      </w:r>
      <w:r>
        <w:rPr>
          <w:sz w:val="24"/>
        </w:rPr>
        <w:t>。</w:t>
      </w:r>
    </w:p>
    <w:p w14:paraId="74195148">
      <w:pPr>
        <w:spacing w:line="360" w:lineRule="auto"/>
        <w:ind w:firstLine="448" w:firstLineChars="200"/>
        <w:rPr>
          <w:sz w:val="24"/>
        </w:rPr>
      </w:pPr>
      <w:r>
        <w:rPr>
          <w:sz w:val="24"/>
        </w:rPr>
        <w:t>据此函，签字代表宣布同意如下：</w:t>
      </w:r>
    </w:p>
    <w:p w14:paraId="4A9758BD">
      <w:pPr>
        <w:spacing w:line="360" w:lineRule="auto"/>
        <w:ind w:firstLine="448" w:firstLineChars="200"/>
        <w:rPr>
          <w:sz w:val="24"/>
        </w:rPr>
      </w:pPr>
      <w:r>
        <w:rPr>
          <w:rFonts w:hint="eastAsia"/>
          <w:sz w:val="24"/>
        </w:rPr>
        <w:t>1. 所附投标报价表中规定的应提供和交付的货物投标总价为：</w:t>
      </w:r>
    </w:p>
    <w:p w14:paraId="09F32D38">
      <w:pPr>
        <w:spacing w:line="360" w:lineRule="auto"/>
        <w:ind w:firstLine="448" w:firstLineChars="200"/>
        <w:rPr>
          <w:sz w:val="24"/>
        </w:rPr>
      </w:pPr>
      <w:r>
        <w:rPr>
          <w:rFonts w:hint="eastAsia"/>
          <w:sz w:val="24"/>
        </w:rPr>
        <w:t>第一包，￥</w:t>
      </w:r>
      <w:r>
        <w:rPr>
          <w:rFonts w:hint="eastAsia"/>
          <w:sz w:val="24"/>
          <w:u w:val="single"/>
        </w:rPr>
        <w:t xml:space="preserve">      </w:t>
      </w:r>
      <w:r>
        <w:rPr>
          <w:rFonts w:hint="eastAsia"/>
          <w:sz w:val="24"/>
        </w:rPr>
        <w:t>元（人民币），大写</w:t>
      </w:r>
      <w:r>
        <w:rPr>
          <w:rFonts w:hint="eastAsia"/>
          <w:sz w:val="24"/>
          <w:u w:val="single"/>
        </w:rPr>
        <w:t xml:space="preserve">                   </w:t>
      </w:r>
      <w:r>
        <w:rPr>
          <w:rFonts w:hint="eastAsia"/>
          <w:sz w:val="24"/>
        </w:rPr>
        <w:t>。</w:t>
      </w:r>
    </w:p>
    <w:p w14:paraId="7616D195">
      <w:pPr>
        <w:spacing w:line="360" w:lineRule="auto"/>
        <w:ind w:firstLine="448" w:firstLineChars="200"/>
        <w:rPr>
          <w:sz w:val="24"/>
        </w:rPr>
      </w:pPr>
      <w:r>
        <w:rPr>
          <w:sz w:val="24"/>
        </w:rPr>
        <w:t>……</w:t>
      </w:r>
    </w:p>
    <w:p w14:paraId="64FE0549">
      <w:pPr>
        <w:spacing w:line="360" w:lineRule="auto"/>
        <w:ind w:firstLine="448" w:firstLineChars="200"/>
        <w:rPr>
          <w:sz w:val="24"/>
        </w:rPr>
      </w:pPr>
      <w:r>
        <w:rPr>
          <w:sz w:val="24"/>
        </w:rPr>
        <w:t>2.</w:t>
      </w:r>
      <w:r>
        <w:rPr>
          <w:rFonts w:hint="eastAsia"/>
          <w:sz w:val="24"/>
        </w:rPr>
        <w:t xml:space="preserve"> 我公司</w:t>
      </w:r>
      <w:r>
        <w:rPr>
          <w:sz w:val="24"/>
        </w:rPr>
        <w:t>将按招标文件的规定履行合同责任和义务。</w:t>
      </w:r>
    </w:p>
    <w:p w14:paraId="7ECD82C1">
      <w:pPr>
        <w:spacing w:line="360" w:lineRule="auto"/>
        <w:ind w:firstLine="448" w:firstLineChars="200"/>
        <w:rPr>
          <w:sz w:val="24"/>
        </w:rPr>
      </w:pPr>
      <w:r>
        <w:rPr>
          <w:sz w:val="24"/>
        </w:rPr>
        <w:t>3.</w:t>
      </w:r>
      <w:r>
        <w:rPr>
          <w:rFonts w:hint="eastAsia"/>
          <w:sz w:val="24"/>
        </w:rPr>
        <w:t xml:space="preserve"> 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14:paraId="13DD6643">
      <w:pPr>
        <w:spacing w:line="360" w:lineRule="auto"/>
        <w:ind w:firstLine="448" w:firstLineChars="200"/>
        <w:rPr>
          <w:sz w:val="24"/>
        </w:rPr>
      </w:pPr>
      <w:r>
        <w:rPr>
          <w:sz w:val="24"/>
        </w:rPr>
        <w:t>4.</w:t>
      </w:r>
      <w:r>
        <w:rPr>
          <w:rFonts w:hint="eastAsia"/>
          <w:sz w:val="24"/>
        </w:rPr>
        <w:t xml:space="preserve"> 我公司的投标有效期为提交投标文件的截止之日起60天。</w:t>
      </w:r>
    </w:p>
    <w:p w14:paraId="2BD2E4CA">
      <w:pPr>
        <w:spacing w:line="360" w:lineRule="auto"/>
        <w:ind w:firstLine="448" w:firstLineChars="200"/>
        <w:rPr>
          <w:sz w:val="24"/>
        </w:rPr>
      </w:pPr>
      <w:r>
        <w:rPr>
          <w:rFonts w:hint="eastAsia"/>
          <w:sz w:val="24"/>
        </w:rPr>
        <w:t>5</w:t>
      </w:r>
      <w:r>
        <w:rPr>
          <w:sz w:val="24"/>
        </w:rPr>
        <w:t>.</w:t>
      </w:r>
      <w:r>
        <w:rPr>
          <w:rFonts w:hint="eastAsia"/>
          <w:sz w:val="24"/>
        </w:rPr>
        <w:t xml:space="preserve"> 我公司同意按照招标方要求</w:t>
      </w:r>
      <w:r>
        <w:rPr>
          <w:sz w:val="24"/>
        </w:rPr>
        <w:t>提供的与投标有关的一切数据或资料</w:t>
      </w:r>
      <w:r>
        <w:rPr>
          <w:rFonts w:hint="eastAsia"/>
          <w:sz w:val="24"/>
        </w:rPr>
        <w:t>，并声明投标文件及所提供的一切资料均真实有效。由于我公司提供资料不实而造成的责任和后果由我公司自行承担。</w:t>
      </w:r>
    </w:p>
    <w:p w14:paraId="14DE8753">
      <w:pPr>
        <w:spacing w:line="360" w:lineRule="auto"/>
        <w:ind w:firstLine="448" w:firstLineChars="200"/>
        <w:rPr>
          <w:sz w:val="24"/>
        </w:rPr>
      </w:pPr>
      <w:r>
        <w:rPr>
          <w:rFonts w:hint="eastAsia"/>
          <w:sz w:val="24"/>
        </w:rPr>
        <w:t>6. 我公司保证所投产品来自合法的供货渠道，若中标，则有义务向采购人提供其需要的有效书面证明材料。如果提供非法渠道的商品，视为欺诈，并承担相关责任。</w:t>
      </w:r>
    </w:p>
    <w:p w14:paraId="1858652B">
      <w:pPr>
        <w:spacing w:line="360" w:lineRule="auto"/>
        <w:ind w:firstLine="448" w:firstLineChars="200"/>
        <w:rPr>
          <w:sz w:val="24"/>
        </w:rPr>
      </w:pPr>
      <w:r>
        <w:rPr>
          <w:rFonts w:hint="eastAsia"/>
          <w:sz w:val="24"/>
        </w:rPr>
        <w:t>7.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3C40E0B3">
      <w:pPr>
        <w:spacing w:line="360" w:lineRule="auto"/>
        <w:ind w:firstLine="448" w:firstLineChars="200"/>
        <w:rPr>
          <w:sz w:val="24"/>
        </w:rPr>
      </w:pPr>
      <w:r>
        <w:rPr>
          <w:rFonts w:hint="eastAsia"/>
          <w:sz w:val="24"/>
        </w:rPr>
        <w:t>8. 我公司承诺完全符合《政府采购法》、《政府采购法实施条例》等法律法规规定，并随时接受采购人、采购代理机构的检查验证。</w:t>
      </w:r>
      <w:r>
        <w:rPr>
          <w:sz w:val="24"/>
        </w:rPr>
        <w:t>在整个招标过程中，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招标文件</w:t>
      </w:r>
      <w:r>
        <w:rPr>
          <w:rFonts w:hint="eastAsia"/>
          <w:sz w:val="24"/>
        </w:rPr>
        <w:t>的</w:t>
      </w:r>
      <w:r>
        <w:rPr>
          <w:sz w:val="24"/>
        </w:rPr>
        <w:t>规定给予</w:t>
      </w:r>
      <w:r>
        <w:rPr>
          <w:rFonts w:hint="eastAsia"/>
          <w:sz w:val="24"/>
        </w:rPr>
        <w:t>处罚</w:t>
      </w:r>
      <w:r>
        <w:rPr>
          <w:sz w:val="24"/>
        </w:rPr>
        <w:t>。</w:t>
      </w:r>
    </w:p>
    <w:p w14:paraId="68C238F2">
      <w:pPr>
        <w:spacing w:line="360" w:lineRule="auto"/>
        <w:ind w:firstLine="448" w:firstLineChars="200"/>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30F39498">
      <w:pPr>
        <w:spacing w:line="360" w:lineRule="auto"/>
        <w:ind w:firstLine="448" w:firstLineChars="200"/>
        <w:rPr>
          <w:sz w:val="24"/>
        </w:rPr>
      </w:pPr>
      <w:r>
        <w:rPr>
          <w:rFonts w:hint="eastAsia"/>
          <w:sz w:val="24"/>
        </w:rPr>
        <w:t>10</w:t>
      </w:r>
      <w:r>
        <w:rPr>
          <w:sz w:val="24"/>
        </w:rPr>
        <w:t>.</w:t>
      </w:r>
      <w:r>
        <w:rPr>
          <w:rFonts w:hint="eastAsia"/>
          <w:sz w:val="24"/>
        </w:rPr>
        <w:t xml:space="preserve"> </w:t>
      </w:r>
      <w:r>
        <w:rPr>
          <w:sz w:val="24"/>
        </w:rPr>
        <w:t>我公司若中标，本承诺将成为合同不可分割的一部分，与合同具有同等的法律效力。</w:t>
      </w:r>
    </w:p>
    <w:p w14:paraId="309C26DF">
      <w:pPr>
        <w:spacing w:line="360" w:lineRule="auto"/>
        <w:ind w:firstLine="448" w:firstLineChars="200"/>
        <w:rPr>
          <w:sz w:val="24"/>
        </w:rPr>
      </w:pPr>
      <w:r>
        <w:rPr>
          <w:rFonts w:hint="eastAsia"/>
          <w:sz w:val="24"/>
        </w:rPr>
        <w:t>11. 如违反上述承诺，我公司投标无效且接受相关部门依法作出的处罚，并承担通过“天津市政府采购网”等相关媒体予以公布的任何风险和责任。</w:t>
      </w:r>
    </w:p>
    <w:p w14:paraId="15B86EF1">
      <w:pPr>
        <w:spacing w:line="360" w:lineRule="auto"/>
        <w:ind w:firstLine="448" w:firstLineChars="200"/>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14:paraId="155BE01A">
      <w:pPr>
        <w:spacing w:line="360" w:lineRule="auto"/>
        <w:ind w:firstLine="448" w:firstLineChars="200"/>
        <w:rPr>
          <w:sz w:val="24"/>
        </w:rPr>
      </w:pPr>
      <w:r>
        <w:rPr>
          <w:rFonts w:hint="eastAsia"/>
          <w:sz w:val="24"/>
        </w:rPr>
        <w:t>纳税人识别号：</w:t>
      </w:r>
    </w:p>
    <w:p w14:paraId="7DBDE4C3">
      <w:pPr>
        <w:spacing w:line="360" w:lineRule="auto"/>
        <w:ind w:firstLine="448" w:firstLineChars="200"/>
        <w:rPr>
          <w:sz w:val="24"/>
        </w:rPr>
      </w:pPr>
      <w:r>
        <w:rPr>
          <w:rFonts w:hint="eastAsia"/>
          <w:sz w:val="24"/>
        </w:rPr>
        <w:t>地址、电话：</w:t>
      </w:r>
    </w:p>
    <w:p w14:paraId="46FC874C">
      <w:pPr>
        <w:spacing w:line="360" w:lineRule="auto"/>
        <w:ind w:firstLine="448" w:firstLineChars="200"/>
        <w:rPr>
          <w:sz w:val="24"/>
        </w:rPr>
      </w:pPr>
      <w:r>
        <w:rPr>
          <w:rFonts w:hint="eastAsia"/>
          <w:sz w:val="24"/>
        </w:rPr>
        <w:t>开户行及账号：</w:t>
      </w:r>
    </w:p>
    <w:p w14:paraId="5B16F744">
      <w:pPr>
        <w:spacing w:line="360" w:lineRule="auto"/>
        <w:ind w:firstLine="448" w:firstLineChars="200"/>
        <w:rPr>
          <w:sz w:val="24"/>
        </w:rPr>
      </w:pPr>
      <w:r>
        <w:rPr>
          <w:rFonts w:hint="eastAsia"/>
          <w:sz w:val="24"/>
        </w:rPr>
        <w:t>开具发票类型：□增值税专用发票         □增值税普通发票</w:t>
      </w:r>
    </w:p>
    <w:p w14:paraId="0C97E357">
      <w:pPr>
        <w:spacing w:line="360" w:lineRule="auto"/>
        <w:ind w:firstLine="448" w:firstLineChars="200"/>
        <w:rPr>
          <w:sz w:val="24"/>
        </w:rPr>
      </w:pPr>
      <w:r>
        <w:rPr>
          <w:rFonts w:hint="eastAsia"/>
          <w:sz w:val="24"/>
        </w:rPr>
        <w:t>13. 我公司选择招标代理服务费</w:t>
      </w:r>
      <w:r>
        <w:rPr>
          <w:sz w:val="24"/>
        </w:rPr>
        <w:t>发票领取方式（请自行选择以下任一方式并在相应</w:t>
      </w:r>
      <w:r>
        <w:rPr>
          <w:rFonts w:hint="eastAsia"/>
          <w:sz w:val="24"/>
        </w:rPr>
        <w:t>□里划“√”</w:t>
      </w:r>
      <w:r>
        <w:rPr>
          <w:sz w:val="24"/>
        </w:rPr>
        <w:t>）：</w:t>
      </w:r>
    </w:p>
    <w:p w14:paraId="0053A3A8">
      <w:pPr>
        <w:spacing w:line="360" w:lineRule="auto"/>
        <w:ind w:firstLine="448" w:firstLineChars="200"/>
        <w:rPr>
          <w:b/>
          <w:sz w:val="24"/>
        </w:rPr>
      </w:pPr>
      <w:r>
        <w:rPr>
          <w:rFonts w:hint="eastAsia"/>
          <w:b/>
          <w:sz w:val="24"/>
        </w:rPr>
        <w:t>□</w:t>
      </w:r>
      <w:r>
        <w:rPr>
          <w:b/>
          <w:sz w:val="24"/>
        </w:rPr>
        <w:t>上门自取</w:t>
      </w:r>
    </w:p>
    <w:p w14:paraId="60B7F02E">
      <w:pPr>
        <w:spacing w:line="360" w:lineRule="auto"/>
        <w:ind w:firstLine="448" w:firstLineChars="200"/>
        <w:rPr>
          <w:sz w:val="24"/>
        </w:rPr>
      </w:pPr>
    </w:p>
    <w:p w14:paraId="308CD03E">
      <w:pPr>
        <w:spacing w:line="360" w:lineRule="auto"/>
        <w:ind w:firstLine="448" w:firstLineChars="200"/>
        <w:rPr>
          <w:b/>
          <w:sz w:val="24"/>
        </w:rPr>
      </w:pPr>
      <w:r>
        <w:rPr>
          <w:rFonts w:hint="eastAsia"/>
          <w:b/>
          <w:sz w:val="24"/>
        </w:rPr>
        <w:t>□</w:t>
      </w:r>
      <w:r>
        <w:rPr>
          <w:b/>
          <w:sz w:val="24"/>
        </w:rPr>
        <w:t>到付邮寄</w:t>
      </w:r>
    </w:p>
    <w:p w14:paraId="599CBF25">
      <w:pPr>
        <w:spacing w:line="360" w:lineRule="auto"/>
        <w:ind w:firstLine="448" w:firstLineChars="200"/>
        <w:rPr>
          <w:sz w:val="24"/>
        </w:rPr>
      </w:pPr>
      <w:r>
        <w:rPr>
          <w:sz w:val="24"/>
        </w:rPr>
        <w:t>邮寄地址</w:t>
      </w:r>
      <w:r>
        <w:rPr>
          <w:rFonts w:hint="eastAsia"/>
          <w:sz w:val="24"/>
        </w:rPr>
        <w:t>、邮编</w:t>
      </w:r>
      <w:r>
        <w:rPr>
          <w:sz w:val="24"/>
        </w:rPr>
        <w:t>：</w:t>
      </w:r>
    </w:p>
    <w:p w14:paraId="5460055A">
      <w:pPr>
        <w:spacing w:line="360" w:lineRule="auto"/>
        <w:ind w:firstLine="448" w:firstLineChars="200"/>
        <w:rPr>
          <w:sz w:val="24"/>
        </w:rPr>
      </w:pPr>
      <w:r>
        <w:rPr>
          <w:sz w:val="24"/>
        </w:rPr>
        <w:t>邮寄联系人、手机号码：</w:t>
      </w:r>
    </w:p>
    <w:p w14:paraId="61B4F684">
      <w:pPr>
        <w:spacing w:line="360" w:lineRule="auto"/>
        <w:ind w:firstLine="3808" w:firstLineChars="1700"/>
        <w:rPr>
          <w:sz w:val="24"/>
        </w:rPr>
      </w:pPr>
    </w:p>
    <w:p w14:paraId="76504A5F">
      <w:pPr>
        <w:spacing w:line="360" w:lineRule="auto"/>
        <w:ind w:firstLine="3808" w:firstLineChars="1700"/>
        <w:rPr>
          <w:sz w:val="24"/>
        </w:rPr>
      </w:pPr>
      <w:r>
        <w:rPr>
          <w:sz w:val="24"/>
        </w:rPr>
        <w:t>投标人名称：</w:t>
      </w:r>
    </w:p>
    <w:p w14:paraId="38CBD3FE">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D5C5DFE">
      <w:pPr>
        <w:spacing w:line="460" w:lineRule="exact"/>
        <w:rPr>
          <w:sz w:val="24"/>
        </w:rPr>
      </w:pPr>
    </w:p>
    <w:p w14:paraId="1BE44E61">
      <w:pPr>
        <w:widowControl/>
        <w:jc w:val="left"/>
        <w:rPr>
          <w:sz w:val="24"/>
        </w:rPr>
      </w:pPr>
      <w:r>
        <w:rPr>
          <w:sz w:val="24"/>
        </w:rPr>
        <w:br w:type="page"/>
      </w:r>
    </w:p>
    <w:p w14:paraId="40250583">
      <w:pPr>
        <w:tabs>
          <w:tab w:val="left" w:pos="360"/>
        </w:tabs>
        <w:spacing w:after="285" w:afterLines="100" w:line="360" w:lineRule="auto"/>
        <w:rPr>
          <w:b/>
          <w:sz w:val="24"/>
        </w:rPr>
      </w:pPr>
      <w:r>
        <w:rPr>
          <w:b/>
          <w:sz w:val="24"/>
        </w:rPr>
        <w:t>附件</w:t>
      </w:r>
      <w:r>
        <w:rPr>
          <w:rFonts w:hint="eastAsia"/>
          <w:b/>
          <w:sz w:val="24"/>
        </w:rPr>
        <w:t>2-1</w:t>
      </w:r>
    </w:p>
    <w:p w14:paraId="086B76AD">
      <w:pPr>
        <w:autoSpaceDN w:val="0"/>
        <w:spacing w:line="360" w:lineRule="auto"/>
        <w:jc w:val="center"/>
        <w:rPr>
          <w:b/>
          <w:bCs/>
          <w:sz w:val="24"/>
        </w:rPr>
      </w:pPr>
      <w:r>
        <w:rPr>
          <w:rFonts w:hint="eastAsia"/>
          <w:b/>
          <w:bCs/>
          <w:sz w:val="24"/>
        </w:rPr>
        <w:t>供应商资格要求证明文件</w:t>
      </w:r>
    </w:p>
    <w:p w14:paraId="516BF9DC">
      <w:pPr>
        <w:spacing w:line="620" w:lineRule="exact"/>
        <w:rPr>
          <w:sz w:val="24"/>
        </w:rPr>
      </w:pPr>
    </w:p>
    <w:p w14:paraId="63C2ADDB">
      <w:pPr>
        <w:spacing w:line="620" w:lineRule="exact"/>
        <w:rPr>
          <w:sz w:val="24"/>
        </w:rPr>
      </w:pPr>
    </w:p>
    <w:p w14:paraId="7E207464">
      <w:pPr>
        <w:spacing w:line="620" w:lineRule="exact"/>
        <w:rPr>
          <w:sz w:val="24"/>
        </w:rPr>
      </w:pPr>
    </w:p>
    <w:p w14:paraId="243BE482">
      <w:pPr>
        <w:spacing w:line="620" w:lineRule="exact"/>
        <w:rPr>
          <w:sz w:val="24"/>
        </w:rPr>
      </w:pPr>
    </w:p>
    <w:p w14:paraId="791A3308">
      <w:pPr>
        <w:spacing w:line="620" w:lineRule="exact"/>
        <w:rPr>
          <w:sz w:val="24"/>
        </w:rPr>
      </w:pPr>
    </w:p>
    <w:p w14:paraId="1B356845">
      <w:pPr>
        <w:spacing w:line="620" w:lineRule="exact"/>
        <w:rPr>
          <w:sz w:val="24"/>
        </w:rPr>
      </w:pPr>
    </w:p>
    <w:p w14:paraId="42294A05">
      <w:pPr>
        <w:spacing w:line="360" w:lineRule="auto"/>
        <w:ind w:firstLine="672" w:firstLineChars="300"/>
        <w:rPr>
          <w:sz w:val="24"/>
        </w:rPr>
      </w:pPr>
      <w:r>
        <w:rPr>
          <w:sz w:val="24"/>
        </w:rPr>
        <w:t>注：相关证明材料应附在此页后面。</w:t>
      </w:r>
    </w:p>
    <w:p w14:paraId="53B0779B">
      <w:pPr>
        <w:spacing w:line="620" w:lineRule="exact"/>
        <w:rPr>
          <w:sz w:val="24"/>
        </w:rPr>
      </w:pPr>
    </w:p>
    <w:p w14:paraId="46B4B3DB">
      <w:pPr>
        <w:spacing w:line="620" w:lineRule="exact"/>
        <w:rPr>
          <w:sz w:val="24"/>
        </w:rPr>
      </w:pPr>
    </w:p>
    <w:p w14:paraId="514F5605">
      <w:pPr>
        <w:spacing w:line="460" w:lineRule="exact"/>
        <w:rPr>
          <w:sz w:val="24"/>
        </w:rPr>
      </w:pPr>
    </w:p>
    <w:p w14:paraId="6DE05CDE">
      <w:pPr>
        <w:widowControl/>
        <w:jc w:val="left"/>
        <w:rPr>
          <w:sz w:val="24"/>
        </w:rPr>
      </w:pPr>
      <w:r>
        <w:rPr>
          <w:sz w:val="24"/>
        </w:rPr>
        <w:br w:type="page"/>
      </w:r>
    </w:p>
    <w:p w14:paraId="6550C409">
      <w:pPr>
        <w:tabs>
          <w:tab w:val="left" w:pos="360"/>
        </w:tabs>
        <w:spacing w:line="360" w:lineRule="auto"/>
        <w:rPr>
          <w:b/>
          <w:sz w:val="24"/>
        </w:rPr>
      </w:pPr>
      <w:r>
        <w:rPr>
          <w:b/>
          <w:sz w:val="24"/>
        </w:rPr>
        <w:t>附件</w:t>
      </w:r>
      <w:r>
        <w:rPr>
          <w:rFonts w:hint="eastAsia"/>
          <w:b/>
          <w:sz w:val="24"/>
        </w:rPr>
        <w:t>2-2</w:t>
      </w:r>
    </w:p>
    <w:p w14:paraId="2320E4F4">
      <w:pPr>
        <w:tabs>
          <w:tab w:val="left" w:pos="360"/>
        </w:tabs>
        <w:spacing w:line="360" w:lineRule="auto"/>
        <w:jc w:val="center"/>
        <w:rPr>
          <w:b/>
          <w:bCs/>
          <w:sz w:val="24"/>
        </w:rPr>
      </w:pPr>
      <w:r>
        <w:rPr>
          <w:rFonts w:hint="eastAsia"/>
          <w:b/>
          <w:bCs/>
          <w:sz w:val="24"/>
        </w:rPr>
        <w:t>书面</w:t>
      </w:r>
      <w:r>
        <w:rPr>
          <w:b/>
          <w:bCs/>
          <w:sz w:val="24"/>
        </w:rPr>
        <w:t>声明</w:t>
      </w:r>
    </w:p>
    <w:p w14:paraId="2738F140">
      <w:pPr>
        <w:pStyle w:val="30"/>
        <w:tabs>
          <w:tab w:val="left" w:pos="360"/>
        </w:tabs>
        <w:spacing w:line="360" w:lineRule="auto"/>
        <w:ind w:firstLine="446"/>
        <w:rPr>
          <w:sz w:val="24"/>
        </w:rPr>
      </w:pPr>
    </w:p>
    <w:p w14:paraId="31D4405A">
      <w:pPr>
        <w:pStyle w:val="30"/>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14:paraId="0ECD5E43">
      <w:pPr>
        <w:pStyle w:val="30"/>
        <w:tabs>
          <w:tab w:val="left" w:pos="360"/>
        </w:tabs>
        <w:spacing w:line="360" w:lineRule="auto"/>
        <w:ind w:firstLine="446"/>
        <w:rPr>
          <w:sz w:val="24"/>
        </w:rPr>
      </w:pPr>
      <w:r>
        <w:rPr>
          <w:rFonts w:hint="eastAsia"/>
          <w:sz w:val="24"/>
        </w:rPr>
        <w:t>我单位具备良好的商业信誉和健全的财务会计制度，依法缴纳税收和社会保障资金。</w:t>
      </w:r>
    </w:p>
    <w:p w14:paraId="714072F2">
      <w:pPr>
        <w:pStyle w:val="30"/>
        <w:tabs>
          <w:tab w:val="left" w:pos="360"/>
        </w:tabs>
        <w:spacing w:line="360" w:lineRule="auto"/>
        <w:ind w:firstLine="446"/>
        <w:rPr>
          <w:sz w:val="24"/>
        </w:rPr>
      </w:pPr>
    </w:p>
    <w:p w14:paraId="45793E74">
      <w:pPr>
        <w:autoSpaceDE w:val="0"/>
        <w:autoSpaceDN w:val="0"/>
        <w:spacing w:line="500" w:lineRule="exact"/>
        <w:ind w:left="3840"/>
        <w:jc w:val="left"/>
        <w:rPr>
          <w:sz w:val="24"/>
          <w:szCs w:val="24"/>
        </w:rPr>
      </w:pPr>
      <w:r>
        <w:rPr>
          <w:sz w:val="24"/>
          <w:szCs w:val="24"/>
        </w:rPr>
        <w:t>投标人名称：</w:t>
      </w:r>
    </w:p>
    <w:p w14:paraId="3AB482C7">
      <w:pPr>
        <w:autoSpaceDE w:val="0"/>
        <w:autoSpaceDN w:val="0"/>
        <w:spacing w:line="500" w:lineRule="exact"/>
        <w:ind w:left="3840"/>
        <w:jc w:val="left"/>
        <w:rPr>
          <w:sz w:val="24"/>
          <w:szCs w:val="24"/>
        </w:rPr>
      </w:pPr>
    </w:p>
    <w:p w14:paraId="031E9005">
      <w:pPr>
        <w:autoSpaceDE w:val="0"/>
        <w:autoSpaceDN w:val="0"/>
        <w:spacing w:line="500" w:lineRule="exact"/>
        <w:ind w:left="3840"/>
        <w:jc w:val="left"/>
        <w:rPr>
          <w:sz w:val="24"/>
          <w:szCs w:val="24"/>
        </w:rPr>
      </w:pPr>
      <w:r>
        <w:rPr>
          <w:sz w:val="24"/>
          <w:szCs w:val="24"/>
        </w:rPr>
        <w:t>日期：</w:t>
      </w:r>
    </w:p>
    <w:p w14:paraId="1BDC2E3F">
      <w:pPr>
        <w:autoSpaceDE w:val="0"/>
        <w:autoSpaceDN w:val="0"/>
        <w:spacing w:line="500" w:lineRule="exact"/>
        <w:ind w:left="3840"/>
        <w:jc w:val="left"/>
        <w:rPr>
          <w:sz w:val="24"/>
          <w:szCs w:val="24"/>
        </w:rPr>
      </w:pPr>
    </w:p>
    <w:p w14:paraId="0EB9B875">
      <w:pPr>
        <w:pStyle w:val="30"/>
        <w:tabs>
          <w:tab w:val="left" w:pos="360"/>
        </w:tabs>
        <w:spacing w:line="360" w:lineRule="auto"/>
        <w:ind w:firstLine="0" w:firstLineChars="0"/>
        <w:rPr>
          <w:sz w:val="24"/>
          <w:u w:val="single"/>
        </w:rPr>
      </w:pPr>
      <w:r>
        <w:rPr>
          <w:rFonts w:hint="eastAsia"/>
          <w:sz w:val="24"/>
          <w:u w:val="single"/>
        </w:rPr>
        <w:t xml:space="preserve">                                                                     </w:t>
      </w:r>
    </w:p>
    <w:p w14:paraId="126ABFAF">
      <w:pPr>
        <w:pStyle w:val="30"/>
        <w:tabs>
          <w:tab w:val="left" w:pos="360"/>
        </w:tabs>
        <w:spacing w:line="360" w:lineRule="auto"/>
        <w:ind w:firstLine="446"/>
        <w:rPr>
          <w:sz w:val="24"/>
        </w:rPr>
      </w:pPr>
    </w:p>
    <w:p w14:paraId="42B13AE4">
      <w:pPr>
        <w:pStyle w:val="30"/>
        <w:spacing w:line="360" w:lineRule="auto"/>
        <w:ind w:firstLine="0" w:firstLineChars="0"/>
        <w:jc w:val="center"/>
        <w:rPr>
          <w:b/>
          <w:sz w:val="24"/>
        </w:rPr>
      </w:pPr>
    </w:p>
    <w:p w14:paraId="1D44C6D5">
      <w:pPr>
        <w:pStyle w:val="30"/>
        <w:spacing w:line="360" w:lineRule="auto"/>
        <w:ind w:firstLine="0" w:firstLineChars="0"/>
        <w:jc w:val="center"/>
        <w:rPr>
          <w:b/>
          <w:sz w:val="24"/>
        </w:rPr>
      </w:pPr>
    </w:p>
    <w:p w14:paraId="0A6461EE">
      <w:pPr>
        <w:pStyle w:val="30"/>
        <w:spacing w:line="360" w:lineRule="auto"/>
        <w:ind w:firstLine="0" w:firstLineChars="0"/>
        <w:jc w:val="center"/>
        <w:rPr>
          <w:b/>
          <w:sz w:val="24"/>
        </w:rPr>
      </w:pPr>
      <w:r>
        <w:rPr>
          <w:rFonts w:hint="eastAsia"/>
          <w:b/>
          <w:sz w:val="24"/>
        </w:rPr>
        <w:t>证明材料</w:t>
      </w:r>
    </w:p>
    <w:p w14:paraId="26E3D4A7">
      <w:pPr>
        <w:pStyle w:val="30"/>
        <w:tabs>
          <w:tab w:val="left" w:pos="360"/>
        </w:tabs>
        <w:spacing w:line="360" w:lineRule="auto"/>
        <w:ind w:firstLine="446"/>
        <w:rPr>
          <w:sz w:val="24"/>
        </w:rPr>
      </w:pPr>
    </w:p>
    <w:p w14:paraId="0FDF8313">
      <w:pPr>
        <w:pStyle w:val="30"/>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14:paraId="57B33658">
      <w:pPr>
        <w:pStyle w:val="30"/>
        <w:tabs>
          <w:tab w:val="left" w:pos="360"/>
        </w:tabs>
        <w:spacing w:line="360" w:lineRule="auto"/>
        <w:ind w:firstLine="446"/>
        <w:rPr>
          <w:sz w:val="24"/>
        </w:rPr>
      </w:pPr>
    </w:p>
    <w:p w14:paraId="7FAEFDE9">
      <w:pPr>
        <w:autoSpaceDE w:val="0"/>
        <w:autoSpaceDN w:val="0"/>
        <w:spacing w:line="500" w:lineRule="exact"/>
        <w:ind w:left="3840"/>
        <w:jc w:val="left"/>
        <w:rPr>
          <w:sz w:val="24"/>
          <w:szCs w:val="24"/>
        </w:rPr>
      </w:pPr>
    </w:p>
    <w:p w14:paraId="4E107355">
      <w:pPr>
        <w:autoSpaceDE w:val="0"/>
        <w:autoSpaceDN w:val="0"/>
        <w:spacing w:line="500" w:lineRule="exact"/>
        <w:ind w:left="3840"/>
        <w:jc w:val="left"/>
        <w:rPr>
          <w:sz w:val="24"/>
          <w:szCs w:val="24"/>
        </w:rPr>
      </w:pPr>
    </w:p>
    <w:p w14:paraId="7F368DA1">
      <w:pPr>
        <w:autoSpaceDE w:val="0"/>
        <w:autoSpaceDN w:val="0"/>
        <w:spacing w:line="500" w:lineRule="exact"/>
        <w:ind w:left="3840"/>
        <w:jc w:val="left"/>
        <w:rPr>
          <w:sz w:val="24"/>
          <w:szCs w:val="24"/>
        </w:rPr>
      </w:pPr>
      <w:r>
        <w:rPr>
          <w:sz w:val="24"/>
          <w:szCs w:val="24"/>
        </w:rPr>
        <w:t>投标人名称：</w:t>
      </w:r>
    </w:p>
    <w:p w14:paraId="5D455F16">
      <w:pPr>
        <w:autoSpaceDE w:val="0"/>
        <w:autoSpaceDN w:val="0"/>
        <w:spacing w:line="500" w:lineRule="exact"/>
        <w:ind w:left="3840"/>
        <w:jc w:val="left"/>
        <w:rPr>
          <w:sz w:val="24"/>
          <w:szCs w:val="24"/>
        </w:rPr>
      </w:pPr>
    </w:p>
    <w:p w14:paraId="519F1B5F">
      <w:pPr>
        <w:autoSpaceDE w:val="0"/>
        <w:autoSpaceDN w:val="0"/>
        <w:spacing w:line="500" w:lineRule="exact"/>
        <w:ind w:left="3840"/>
        <w:jc w:val="left"/>
        <w:rPr>
          <w:b/>
          <w:sz w:val="24"/>
        </w:rPr>
      </w:pPr>
      <w:r>
        <w:rPr>
          <w:sz w:val="24"/>
          <w:szCs w:val="24"/>
        </w:rPr>
        <w:t>日期：</w:t>
      </w:r>
    </w:p>
    <w:p w14:paraId="6727900F">
      <w:pPr>
        <w:widowControl/>
        <w:jc w:val="left"/>
        <w:rPr>
          <w:b/>
          <w:sz w:val="24"/>
        </w:rPr>
      </w:pPr>
      <w:r>
        <w:rPr>
          <w:b/>
          <w:sz w:val="24"/>
        </w:rPr>
        <w:br w:type="page"/>
      </w:r>
    </w:p>
    <w:p w14:paraId="45E31FD2">
      <w:pPr>
        <w:tabs>
          <w:tab w:val="left" w:pos="360"/>
        </w:tabs>
        <w:spacing w:line="360" w:lineRule="auto"/>
        <w:rPr>
          <w:b/>
          <w:sz w:val="24"/>
        </w:rPr>
      </w:pPr>
      <w:r>
        <w:rPr>
          <w:b/>
          <w:sz w:val="24"/>
        </w:rPr>
        <w:t>附件</w:t>
      </w:r>
      <w:r>
        <w:rPr>
          <w:rFonts w:hint="eastAsia"/>
          <w:b/>
          <w:sz w:val="24"/>
        </w:rPr>
        <w:t>3</w:t>
      </w:r>
    </w:p>
    <w:p w14:paraId="068FC86D">
      <w:pPr>
        <w:autoSpaceDN w:val="0"/>
        <w:spacing w:line="360" w:lineRule="auto"/>
        <w:jc w:val="center"/>
        <w:rPr>
          <w:b/>
          <w:bCs/>
          <w:sz w:val="24"/>
        </w:rPr>
      </w:pPr>
      <w:r>
        <w:rPr>
          <w:rFonts w:hint="eastAsia"/>
          <w:b/>
          <w:bCs/>
          <w:sz w:val="24"/>
        </w:rPr>
        <w:t>投标</w:t>
      </w:r>
      <w:r>
        <w:rPr>
          <w:b/>
          <w:bCs/>
          <w:sz w:val="24"/>
        </w:rPr>
        <w:t>代表人授权书</w:t>
      </w:r>
    </w:p>
    <w:p w14:paraId="6D35EE5B">
      <w:pPr>
        <w:spacing w:line="360" w:lineRule="auto"/>
        <w:rPr>
          <w:sz w:val="24"/>
          <w:szCs w:val="21"/>
        </w:rPr>
      </w:pPr>
    </w:p>
    <w:p w14:paraId="4454FA29">
      <w:pPr>
        <w:spacing w:line="360" w:lineRule="auto"/>
        <w:rPr>
          <w:sz w:val="24"/>
          <w:szCs w:val="21"/>
        </w:rPr>
      </w:pPr>
      <w:r>
        <w:rPr>
          <w:sz w:val="24"/>
          <w:szCs w:val="21"/>
        </w:rPr>
        <w:t>致：天津市政府采购中心</w:t>
      </w:r>
    </w:p>
    <w:p w14:paraId="3063CA1A">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6FD34753">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412ADD57">
      <w:pPr>
        <w:spacing w:line="360" w:lineRule="auto"/>
        <w:ind w:firstLine="448" w:firstLineChars="200"/>
        <w:rPr>
          <w:sz w:val="24"/>
          <w:szCs w:val="21"/>
        </w:rPr>
      </w:pPr>
      <w:r>
        <w:rPr>
          <w:sz w:val="24"/>
          <w:szCs w:val="21"/>
        </w:rPr>
        <w:t>本授权书至投标有效期结束前始终有效。</w:t>
      </w:r>
    </w:p>
    <w:p w14:paraId="45148AEF">
      <w:pPr>
        <w:spacing w:line="360" w:lineRule="auto"/>
        <w:ind w:firstLine="448" w:firstLineChars="200"/>
        <w:rPr>
          <w:sz w:val="24"/>
          <w:szCs w:val="21"/>
        </w:rPr>
      </w:pPr>
      <w:r>
        <w:rPr>
          <w:sz w:val="24"/>
          <w:szCs w:val="21"/>
        </w:rPr>
        <w:t>投标代表人无转委托权，特此委托。</w:t>
      </w:r>
    </w:p>
    <w:p w14:paraId="51A3DAD0">
      <w:pPr>
        <w:spacing w:line="360" w:lineRule="auto"/>
        <w:ind w:firstLine="448" w:firstLineChars="200"/>
        <w:rPr>
          <w:sz w:val="24"/>
        </w:rPr>
      </w:pPr>
    </w:p>
    <w:p w14:paraId="1877AA96">
      <w:pPr>
        <w:spacing w:line="360" w:lineRule="auto"/>
        <w:ind w:firstLine="448" w:firstLineChars="200"/>
        <w:rPr>
          <w:sz w:val="24"/>
        </w:rPr>
      </w:pPr>
    </w:p>
    <w:p w14:paraId="03F882AA">
      <w:pPr>
        <w:spacing w:line="360" w:lineRule="auto"/>
        <w:ind w:firstLine="448" w:firstLineChars="200"/>
        <w:rPr>
          <w:sz w:val="24"/>
        </w:rPr>
      </w:pPr>
    </w:p>
    <w:p w14:paraId="0F71A1EC">
      <w:pPr>
        <w:spacing w:line="360" w:lineRule="auto"/>
        <w:ind w:firstLine="4704" w:firstLineChars="2100"/>
        <w:rPr>
          <w:sz w:val="24"/>
        </w:rPr>
      </w:pPr>
      <w:r>
        <w:rPr>
          <w:sz w:val="24"/>
        </w:rPr>
        <w:t xml:space="preserve">     年   月   日</w:t>
      </w:r>
    </w:p>
    <w:tbl>
      <w:tblPr>
        <w:tblStyle w:val="1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6F1404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488A9F47">
            <w:pPr>
              <w:spacing w:line="360" w:lineRule="auto"/>
              <w:jc w:val="left"/>
              <w:rPr>
                <w:sz w:val="24"/>
              </w:rPr>
            </w:pPr>
            <w:r>
              <w:rPr>
                <w:rFonts w:hint="eastAsia"/>
                <w:sz w:val="24"/>
              </w:rPr>
              <w:t>投标代表人身份证正面</w:t>
            </w:r>
          </w:p>
          <w:p w14:paraId="5692DA9F">
            <w:pPr>
              <w:spacing w:line="360" w:lineRule="auto"/>
              <w:jc w:val="left"/>
              <w:rPr>
                <w:sz w:val="24"/>
              </w:rPr>
            </w:pPr>
          </w:p>
          <w:p w14:paraId="79BC2937">
            <w:pPr>
              <w:spacing w:line="360" w:lineRule="auto"/>
              <w:jc w:val="left"/>
              <w:rPr>
                <w:sz w:val="24"/>
              </w:rPr>
            </w:pPr>
          </w:p>
          <w:p w14:paraId="6E6809A0">
            <w:pPr>
              <w:spacing w:line="360" w:lineRule="auto"/>
              <w:jc w:val="left"/>
              <w:rPr>
                <w:sz w:val="24"/>
              </w:rPr>
            </w:pPr>
          </w:p>
          <w:p w14:paraId="48247FF1">
            <w:pPr>
              <w:spacing w:line="360" w:lineRule="auto"/>
              <w:jc w:val="left"/>
              <w:rPr>
                <w:sz w:val="24"/>
              </w:rPr>
            </w:pPr>
          </w:p>
          <w:p w14:paraId="0CB71DAC">
            <w:pPr>
              <w:spacing w:line="360" w:lineRule="auto"/>
              <w:jc w:val="left"/>
              <w:rPr>
                <w:sz w:val="24"/>
              </w:rPr>
            </w:pPr>
          </w:p>
        </w:tc>
        <w:tc>
          <w:tcPr>
            <w:tcW w:w="4264" w:type="dxa"/>
          </w:tcPr>
          <w:p w14:paraId="278530D6">
            <w:pPr>
              <w:spacing w:line="360" w:lineRule="auto"/>
              <w:jc w:val="left"/>
              <w:rPr>
                <w:sz w:val="24"/>
              </w:rPr>
            </w:pPr>
            <w:r>
              <w:rPr>
                <w:rFonts w:hint="eastAsia"/>
                <w:sz w:val="24"/>
              </w:rPr>
              <w:t>投标代表人身份证背面</w:t>
            </w:r>
          </w:p>
        </w:tc>
      </w:tr>
    </w:tbl>
    <w:p w14:paraId="7DDD3273">
      <w:pPr>
        <w:spacing w:line="360" w:lineRule="auto"/>
        <w:ind w:firstLine="4704" w:firstLineChars="2100"/>
        <w:rPr>
          <w:sz w:val="24"/>
        </w:rPr>
      </w:pPr>
    </w:p>
    <w:p w14:paraId="7CC461C7">
      <w:pPr>
        <w:tabs>
          <w:tab w:val="left" w:pos="360"/>
        </w:tabs>
        <w:spacing w:line="360" w:lineRule="auto"/>
        <w:rPr>
          <w:b/>
          <w:sz w:val="24"/>
        </w:rPr>
      </w:pPr>
      <w:r>
        <w:rPr>
          <w:sz w:val="24"/>
        </w:rPr>
        <w:br w:type="page"/>
      </w:r>
      <w:r>
        <w:rPr>
          <w:b/>
          <w:sz w:val="24"/>
        </w:rPr>
        <w:t>附件</w:t>
      </w:r>
      <w:r>
        <w:rPr>
          <w:rFonts w:hint="eastAsia"/>
          <w:b/>
          <w:sz w:val="24"/>
        </w:rPr>
        <w:t>4</w:t>
      </w:r>
    </w:p>
    <w:p w14:paraId="0B852FE3">
      <w:pPr>
        <w:autoSpaceDN w:val="0"/>
        <w:spacing w:line="360" w:lineRule="auto"/>
        <w:jc w:val="center"/>
        <w:rPr>
          <w:b/>
          <w:bCs/>
          <w:sz w:val="24"/>
        </w:rPr>
      </w:pPr>
      <w:r>
        <w:rPr>
          <w:b/>
          <w:bCs/>
          <w:sz w:val="24"/>
        </w:rPr>
        <w:t>开标一览表</w:t>
      </w:r>
    </w:p>
    <w:p w14:paraId="1A8952AD">
      <w:pPr>
        <w:ind w:right="84"/>
        <w:rPr>
          <w:sz w:val="24"/>
        </w:rPr>
      </w:pPr>
    </w:p>
    <w:p w14:paraId="716753FC">
      <w:pPr>
        <w:spacing w:line="460" w:lineRule="exact"/>
        <w:ind w:left="192"/>
        <w:rPr>
          <w:sz w:val="24"/>
        </w:rPr>
      </w:pPr>
      <w:r>
        <w:rPr>
          <w:sz w:val="24"/>
        </w:rPr>
        <w:t>项目名称：</w:t>
      </w:r>
      <w:r>
        <w:rPr>
          <w:sz w:val="24"/>
          <w:u w:val="single"/>
        </w:rPr>
        <w:t xml:space="preserve">                    </w:t>
      </w:r>
      <w:r>
        <w:rPr>
          <w:sz w:val="24"/>
        </w:rPr>
        <w:t xml:space="preserve">                  </w:t>
      </w:r>
    </w:p>
    <w:p w14:paraId="1BB4890F">
      <w:pPr>
        <w:spacing w:line="460" w:lineRule="exact"/>
        <w:ind w:left="192"/>
        <w:rPr>
          <w:sz w:val="24"/>
        </w:rPr>
      </w:pPr>
      <w:r>
        <w:rPr>
          <w:sz w:val="24"/>
        </w:rPr>
        <w:t>项目编号：</w:t>
      </w:r>
      <w:r>
        <w:rPr>
          <w:sz w:val="24"/>
          <w:u w:val="single"/>
        </w:rPr>
        <w:t xml:space="preserve">                    </w:t>
      </w:r>
      <w:r>
        <w:rPr>
          <w:sz w:val="24"/>
        </w:rPr>
        <w:t xml:space="preserve">                  </w:t>
      </w:r>
    </w:p>
    <w:p w14:paraId="0CBCAA47">
      <w:pPr>
        <w:spacing w:line="460" w:lineRule="exact"/>
        <w:rPr>
          <w:sz w:val="24"/>
        </w:rPr>
      </w:pPr>
      <w:r>
        <w:rPr>
          <w:sz w:val="24"/>
        </w:rPr>
        <w:t xml:space="preserve">                                                       单位：元</w:t>
      </w:r>
    </w:p>
    <w:tbl>
      <w:tblPr>
        <w:tblStyle w:val="18"/>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76"/>
        <w:gridCol w:w="1707"/>
        <w:gridCol w:w="1463"/>
        <w:gridCol w:w="1605"/>
        <w:gridCol w:w="1463"/>
        <w:gridCol w:w="1314"/>
      </w:tblGrid>
      <w:tr w14:paraId="29119B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4D53CD14">
            <w:pPr>
              <w:spacing w:line="460" w:lineRule="exact"/>
              <w:jc w:val="center"/>
              <w:rPr>
                <w:sz w:val="24"/>
              </w:rPr>
            </w:pPr>
            <w:r>
              <w:rPr>
                <w:rFonts w:hint="eastAsia"/>
                <w:sz w:val="24"/>
              </w:rPr>
              <w:t>包</w:t>
            </w:r>
            <w:r>
              <w:rPr>
                <w:sz w:val="24"/>
              </w:rPr>
              <w:t>号</w:t>
            </w:r>
          </w:p>
        </w:tc>
        <w:tc>
          <w:tcPr>
            <w:tcW w:w="1001" w:type="pct"/>
            <w:vAlign w:val="center"/>
          </w:tcPr>
          <w:p w14:paraId="29A96A11">
            <w:pPr>
              <w:spacing w:line="460" w:lineRule="exact"/>
              <w:jc w:val="center"/>
              <w:rPr>
                <w:sz w:val="24"/>
              </w:rPr>
            </w:pPr>
            <w:r>
              <w:rPr>
                <w:rFonts w:hint="eastAsia"/>
                <w:sz w:val="24"/>
              </w:rPr>
              <w:t>包</w:t>
            </w:r>
            <w:r>
              <w:rPr>
                <w:sz w:val="24"/>
              </w:rPr>
              <w:t>名称</w:t>
            </w:r>
          </w:p>
        </w:tc>
        <w:tc>
          <w:tcPr>
            <w:tcW w:w="858" w:type="pct"/>
            <w:vAlign w:val="center"/>
          </w:tcPr>
          <w:p w14:paraId="4BC5F80C">
            <w:pPr>
              <w:spacing w:line="460" w:lineRule="exact"/>
              <w:jc w:val="center"/>
              <w:rPr>
                <w:sz w:val="24"/>
              </w:rPr>
            </w:pPr>
            <w:r>
              <w:rPr>
                <w:sz w:val="24"/>
              </w:rPr>
              <w:t>品牌</w:t>
            </w:r>
          </w:p>
        </w:tc>
        <w:tc>
          <w:tcPr>
            <w:tcW w:w="941" w:type="pct"/>
            <w:vAlign w:val="center"/>
          </w:tcPr>
          <w:p w14:paraId="105A11EA">
            <w:pPr>
              <w:spacing w:line="460" w:lineRule="exact"/>
              <w:jc w:val="center"/>
              <w:rPr>
                <w:sz w:val="24"/>
              </w:rPr>
            </w:pPr>
            <w:r>
              <w:rPr>
                <w:sz w:val="24"/>
              </w:rPr>
              <w:t>投标总价</w:t>
            </w:r>
          </w:p>
        </w:tc>
        <w:tc>
          <w:tcPr>
            <w:tcW w:w="858" w:type="pct"/>
            <w:vAlign w:val="center"/>
          </w:tcPr>
          <w:p w14:paraId="6DE8AE48">
            <w:pPr>
              <w:spacing w:line="460" w:lineRule="exact"/>
              <w:jc w:val="center"/>
              <w:rPr>
                <w:sz w:val="24"/>
              </w:rPr>
            </w:pPr>
            <w:r>
              <w:rPr>
                <w:sz w:val="24"/>
              </w:rPr>
              <w:t>交货期</w:t>
            </w:r>
          </w:p>
        </w:tc>
        <w:tc>
          <w:tcPr>
            <w:tcW w:w="770" w:type="pct"/>
            <w:vAlign w:val="center"/>
          </w:tcPr>
          <w:p w14:paraId="7899B7B9">
            <w:pPr>
              <w:spacing w:line="460" w:lineRule="exact"/>
              <w:jc w:val="center"/>
              <w:rPr>
                <w:sz w:val="24"/>
              </w:rPr>
            </w:pPr>
            <w:r>
              <w:rPr>
                <w:sz w:val="24"/>
              </w:rPr>
              <w:t>备注</w:t>
            </w:r>
          </w:p>
        </w:tc>
      </w:tr>
      <w:tr w14:paraId="158C79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25CE0FF1">
            <w:pPr>
              <w:spacing w:line="460" w:lineRule="exact"/>
              <w:jc w:val="center"/>
              <w:rPr>
                <w:sz w:val="24"/>
              </w:rPr>
            </w:pPr>
            <w:r>
              <w:rPr>
                <w:sz w:val="24"/>
              </w:rPr>
              <w:t>1</w:t>
            </w:r>
          </w:p>
        </w:tc>
        <w:tc>
          <w:tcPr>
            <w:tcW w:w="1001" w:type="pct"/>
            <w:vAlign w:val="center"/>
          </w:tcPr>
          <w:p w14:paraId="4FA7C487">
            <w:pPr>
              <w:spacing w:line="460" w:lineRule="exact"/>
              <w:jc w:val="center"/>
              <w:rPr>
                <w:sz w:val="24"/>
              </w:rPr>
            </w:pPr>
          </w:p>
        </w:tc>
        <w:tc>
          <w:tcPr>
            <w:tcW w:w="858" w:type="pct"/>
            <w:vAlign w:val="center"/>
          </w:tcPr>
          <w:p w14:paraId="40572997">
            <w:pPr>
              <w:spacing w:line="460" w:lineRule="exact"/>
              <w:jc w:val="center"/>
              <w:rPr>
                <w:sz w:val="24"/>
              </w:rPr>
            </w:pPr>
          </w:p>
        </w:tc>
        <w:tc>
          <w:tcPr>
            <w:tcW w:w="941" w:type="pct"/>
            <w:vAlign w:val="center"/>
          </w:tcPr>
          <w:p w14:paraId="03BFCDB9">
            <w:pPr>
              <w:spacing w:line="460" w:lineRule="exact"/>
              <w:jc w:val="center"/>
              <w:rPr>
                <w:sz w:val="24"/>
              </w:rPr>
            </w:pPr>
          </w:p>
        </w:tc>
        <w:tc>
          <w:tcPr>
            <w:tcW w:w="858" w:type="pct"/>
            <w:vAlign w:val="center"/>
          </w:tcPr>
          <w:p w14:paraId="76F07809">
            <w:pPr>
              <w:spacing w:line="460" w:lineRule="exact"/>
              <w:jc w:val="center"/>
              <w:rPr>
                <w:sz w:val="24"/>
              </w:rPr>
            </w:pPr>
          </w:p>
        </w:tc>
        <w:tc>
          <w:tcPr>
            <w:tcW w:w="770" w:type="pct"/>
            <w:vAlign w:val="center"/>
          </w:tcPr>
          <w:p w14:paraId="6F870197">
            <w:pPr>
              <w:spacing w:line="460" w:lineRule="exact"/>
              <w:jc w:val="center"/>
              <w:rPr>
                <w:sz w:val="24"/>
              </w:rPr>
            </w:pPr>
          </w:p>
        </w:tc>
      </w:tr>
      <w:tr w14:paraId="5DC296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1716C12F">
            <w:pPr>
              <w:spacing w:line="460" w:lineRule="exact"/>
              <w:jc w:val="center"/>
              <w:rPr>
                <w:sz w:val="24"/>
              </w:rPr>
            </w:pPr>
            <w:r>
              <w:rPr>
                <w:rFonts w:hint="eastAsia"/>
                <w:sz w:val="24"/>
              </w:rPr>
              <w:t>2</w:t>
            </w:r>
          </w:p>
        </w:tc>
        <w:tc>
          <w:tcPr>
            <w:tcW w:w="1001" w:type="pct"/>
            <w:vAlign w:val="center"/>
          </w:tcPr>
          <w:p w14:paraId="4EF3B81B">
            <w:pPr>
              <w:spacing w:line="460" w:lineRule="exact"/>
              <w:jc w:val="center"/>
              <w:rPr>
                <w:sz w:val="24"/>
              </w:rPr>
            </w:pPr>
          </w:p>
        </w:tc>
        <w:tc>
          <w:tcPr>
            <w:tcW w:w="858" w:type="pct"/>
            <w:vAlign w:val="center"/>
          </w:tcPr>
          <w:p w14:paraId="19C0D7E9">
            <w:pPr>
              <w:spacing w:line="460" w:lineRule="exact"/>
              <w:jc w:val="center"/>
              <w:rPr>
                <w:sz w:val="24"/>
              </w:rPr>
            </w:pPr>
          </w:p>
        </w:tc>
        <w:tc>
          <w:tcPr>
            <w:tcW w:w="941" w:type="pct"/>
            <w:vAlign w:val="center"/>
          </w:tcPr>
          <w:p w14:paraId="0F2F088D">
            <w:pPr>
              <w:spacing w:line="460" w:lineRule="exact"/>
              <w:jc w:val="center"/>
              <w:rPr>
                <w:sz w:val="24"/>
              </w:rPr>
            </w:pPr>
          </w:p>
        </w:tc>
        <w:tc>
          <w:tcPr>
            <w:tcW w:w="858" w:type="pct"/>
            <w:vAlign w:val="center"/>
          </w:tcPr>
          <w:p w14:paraId="62CFDAF5">
            <w:pPr>
              <w:spacing w:line="460" w:lineRule="exact"/>
              <w:jc w:val="center"/>
              <w:rPr>
                <w:sz w:val="24"/>
              </w:rPr>
            </w:pPr>
          </w:p>
        </w:tc>
        <w:tc>
          <w:tcPr>
            <w:tcW w:w="770" w:type="pct"/>
            <w:vAlign w:val="center"/>
          </w:tcPr>
          <w:p w14:paraId="21D024D7">
            <w:pPr>
              <w:spacing w:line="460" w:lineRule="exact"/>
              <w:jc w:val="center"/>
              <w:rPr>
                <w:sz w:val="24"/>
              </w:rPr>
            </w:pPr>
          </w:p>
        </w:tc>
      </w:tr>
      <w:tr w14:paraId="3A2BA0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2AADF8CD">
            <w:pPr>
              <w:spacing w:line="460" w:lineRule="exact"/>
              <w:jc w:val="center"/>
              <w:rPr>
                <w:sz w:val="24"/>
              </w:rPr>
            </w:pPr>
          </w:p>
        </w:tc>
        <w:tc>
          <w:tcPr>
            <w:tcW w:w="1001" w:type="pct"/>
            <w:vAlign w:val="center"/>
          </w:tcPr>
          <w:p w14:paraId="327DE850">
            <w:pPr>
              <w:spacing w:line="460" w:lineRule="exact"/>
              <w:jc w:val="center"/>
              <w:rPr>
                <w:sz w:val="24"/>
              </w:rPr>
            </w:pPr>
          </w:p>
        </w:tc>
        <w:tc>
          <w:tcPr>
            <w:tcW w:w="858" w:type="pct"/>
            <w:vAlign w:val="center"/>
          </w:tcPr>
          <w:p w14:paraId="32D73B62">
            <w:pPr>
              <w:spacing w:line="460" w:lineRule="exact"/>
              <w:jc w:val="center"/>
              <w:rPr>
                <w:sz w:val="24"/>
              </w:rPr>
            </w:pPr>
          </w:p>
        </w:tc>
        <w:tc>
          <w:tcPr>
            <w:tcW w:w="941" w:type="pct"/>
            <w:vAlign w:val="center"/>
          </w:tcPr>
          <w:p w14:paraId="1AD13059">
            <w:pPr>
              <w:spacing w:line="460" w:lineRule="exact"/>
              <w:jc w:val="center"/>
              <w:rPr>
                <w:sz w:val="24"/>
              </w:rPr>
            </w:pPr>
          </w:p>
        </w:tc>
        <w:tc>
          <w:tcPr>
            <w:tcW w:w="858" w:type="pct"/>
            <w:vAlign w:val="center"/>
          </w:tcPr>
          <w:p w14:paraId="0256EEA8">
            <w:pPr>
              <w:spacing w:line="460" w:lineRule="exact"/>
              <w:jc w:val="center"/>
              <w:rPr>
                <w:sz w:val="24"/>
              </w:rPr>
            </w:pPr>
          </w:p>
        </w:tc>
        <w:tc>
          <w:tcPr>
            <w:tcW w:w="770" w:type="pct"/>
            <w:vAlign w:val="center"/>
          </w:tcPr>
          <w:p w14:paraId="5A1AE95B">
            <w:pPr>
              <w:spacing w:line="460" w:lineRule="exact"/>
              <w:jc w:val="center"/>
              <w:rPr>
                <w:sz w:val="24"/>
              </w:rPr>
            </w:pPr>
          </w:p>
        </w:tc>
      </w:tr>
      <w:tr w14:paraId="666399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37324A16">
            <w:pPr>
              <w:spacing w:line="460" w:lineRule="exact"/>
              <w:jc w:val="center"/>
              <w:rPr>
                <w:sz w:val="24"/>
              </w:rPr>
            </w:pPr>
          </w:p>
        </w:tc>
        <w:tc>
          <w:tcPr>
            <w:tcW w:w="1001" w:type="pct"/>
            <w:vAlign w:val="center"/>
          </w:tcPr>
          <w:p w14:paraId="1C4D1614">
            <w:pPr>
              <w:spacing w:line="460" w:lineRule="exact"/>
              <w:jc w:val="center"/>
              <w:rPr>
                <w:sz w:val="24"/>
              </w:rPr>
            </w:pPr>
          </w:p>
        </w:tc>
        <w:tc>
          <w:tcPr>
            <w:tcW w:w="858" w:type="pct"/>
            <w:vAlign w:val="center"/>
          </w:tcPr>
          <w:p w14:paraId="59EED0C1">
            <w:pPr>
              <w:spacing w:line="460" w:lineRule="exact"/>
              <w:jc w:val="center"/>
              <w:rPr>
                <w:sz w:val="24"/>
              </w:rPr>
            </w:pPr>
          </w:p>
        </w:tc>
        <w:tc>
          <w:tcPr>
            <w:tcW w:w="941" w:type="pct"/>
            <w:vAlign w:val="center"/>
          </w:tcPr>
          <w:p w14:paraId="45291688">
            <w:pPr>
              <w:spacing w:line="460" w:lineRule="exact"/>
              <w:jc w:val="center"/>
              <w:rPr>
                <w:sz w:val="24"/>
              </w:rPr>
            </w:pPr>
          </w:p>
        </w:tc>
        <w:tc>
          <w:tcPr>
            <w:tcW w:w="858" w:type="pct"/>
            <w:vAlign w:val="center"/>
          </w:tcPr>
          <w:p w14:paraId="57057443">
            <w:pPr>
              <w:spacing w:line="460" w:lineRule="exact"/>
              <w:jc w:val="center"/>
              <w:rPr>
                <w:sz w:val="24"/>
              </w:rPr>
            </w:pPr>
          </w:p>
        </w:tc>
        <w:tc>
          <w:tcPr>
            <w:tcW w:w="770" w:type="pct"/>
            <w:vAlign w:val="center"/>
          </w:tcPr>
          <w:p w14:paraId="56B90026">
            <w:pPr>
              <w:spacing w:line="460" w:lineRule="exact"/>
              <w:jc w:val="center"/>
              <w:rPr>
                <w:sz w:val="24"/>
              </w:rPr>
            </w:pPr>
          </w:p>
        </w:tc>
      </w:tr>
      <w:tr w14:paraId="47A1BF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597EE359">
            <w:pPr>
              <w:spacing w:line="460" w:lineRule="exact"/>
              <w:jc w:val="center"/>
              <w:rPr>
                <w:sz w:val="24"/>
              </w:rPr>
            </w:pPr>
          </w:p>
        </w:tc>
        <w:tc>
          <w:tcPr>
            <w:tcW w:w="1001" w:type="pct"/>
            <w:vAlign w:val="center"/>
          </w:tcPr>
          <w:p w14:paraId="7372E190">
            <w:pPr>
              <w:spacing w:line="460" w:lineRule="exact"/>
              <w:jc w:val="center"/>
              <w:rPr>
                <w:sz w:val="24"/>
              </w:rPr>
            </w:pPr>
          </w:p>
        </w:tc>
        <w:tc>
          <w:tcPr>
            <w:tcW w:w="858" w:type="pct"/>
            <w:vAlign w:val="center"/>
          </w:tcPr>
          <w:p w14:paraId="7D74C855">
            <w:pPr>
              <w:spacing w:line="460" w:lineRule="exact"/>
              <w:jc w:val="center"/>
              <w:rPr>
                <w:sz w:val="24"/>
              </w:rPr>
            </w:pPr>
          </w:p>
        </w:tc>
        <w:tc>
          <w:tcPr>
            <w:tcW w:w="941" w:type="pct"/>
            <w:vAlign w:val="center"/>
          </w:tcPr>
          <w:p w14:paraId="50D43D3F">
            <w:pPr>
              <w:spacing w:line="460" w:lineRule="exact"/>
              <w:jc w:val="center"/>
              <w:rPr>
                <w:sz w:val="24"/>
              </w:rPr>
            </w:pPr>
          </w:p>
        </w:tc>
        <w:tc>
          <w:tcPr>
            <w:tcW w:w="858" w:type="pct"/>
            <w:vAlign w:val="center"/>
          </w:tcPr>
          <w:p w14:paraId="11C7DF9A">
            <w:pPr>
              <w:spacing w:line="460" w:lineRule="exact"/>
              <w:jc w:val="center"/>
              <w:rPr>
                <w:sz w:val="24"/>
              </w:rPr>
            </w:pPr>
          </w:p>
        </w:tc>
        <w:tc>
          <w:tcPr>
            <w:tcW w:w="770" w:type="pct"/>
            <w:vAlign w:val="center"/>
          </w:tcPr>
          <w:p w14:paraId="14FC1DAD">
            <w:pPr>
              <w:spacing w:line="460" w:lineRule="exact"/>
              <w:jc w:val="center"/>
              <w:rPr>
                <w:sz w:val="24"/>
              </w:rPr>
            </w:pPr>
          </w:p>
        </w:tc>
      </w:tr>
      <w:tr w14:paraId="39DC2C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2B9663B8">
            <w:pPr>
              <w:spacing w:line="460" w:lineRule="exact"/>
              <w:jc w:val="center"/>
              <w:rPr>
                <w:sz w:val="24"/>
              </w:rPr>
            </w:pPr>
          </w:p>
        </w:tc>
        <w:tc>
          <w:tcPr>
            <w:tcW w:w="1001" w:type="pct"/>
            <w:vAlign w:val="center"/>
          </w:tcPr>
          <w:p w14:paraId="2E0AA495">
            <w:pPr>
              <w:spacing w:line="460" w:lineRule="exact"/>
              <w:jc w:val="center"/>
              <w:rPr>
                <w:sz w:val="24"/>
              </w:rPr>
            </w:pPr>
          </w:p>
        </w:tc>
        <w:tc>
          <w:tcPr>
            <w:tcW w:w="858" w:type="pct"/>
            <w:vAlign w:val="center"/>
          </w:tcPr>
          <w:p w14:paraId="4F5444B2">
            <w:pPr>
              <w:spacing w:line="460" w:lineRule="exact"/>
              <w:jc w:val="center"/>
              <w:rPr>
                <w:sz w:val="24"/>
              </w:rPr>
            </w:pPr>
          </w:p>
        </w:tc>
        <w:tc>
          <w:tcPr>
            <w:tcW w:w="941" w:type="pct"/>
            <w:vAlign w:val="center"/>
          </w:tcPr>
          <w:p w14:paraId="576CB5D0">
            <w:pPr>
              <w:spacing w:line="460" w:lineRule="exact"/>
              <w:jc w:val="center"/>
              <w:rPr>
                <w:sz w:val="24"/>
              </w:rPr>
            </w:pPr>
          </w:p>
        </w:tc>
        <w:tc>
          <w:tcPr>
            <w:tcW w:w="858" w:type="pct"/>
            <w:vAlign w:val="center"/>
          </w:tcPr>
          <w:p w14:paraId="579B8FE5">
            <w:pPr>
              <w:spacing w:line="460" w:lineRule="exact"/>
              <w:jc w:val="center"/>
              <w:rPr>
                <w:sz w:val="24"/>
              </w:rPr>
            </w:pPr>
          </w:p>
        </w:tc>
        <w:tc>
          <w:tcPr>
            <w:tcW w:w="770" w:type="pct"/>
            <w:vAlign w:val="center"/>
          </w:tcPr>
          <w:p w14:paraId="25C1702C">
            <w:pPr>
              <w:spacing w:line="460" w:lineRule="exact"/>
              <w:jc w:val="center"/>
              <w:rPr>
                <w:sz w:val="24"/>
              </w:rPr>
            </w:pPr>
          </w:p>
        </w:tc>
      </w:tr>
      <w:tr w14:paraId="4E9282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30161476">
            <w:pPr>
              <w:spacing w:line="460" w:lineRule="exact"/>
              <w:jc w:val="center"/>
              <w:rPr>
                <w:sz w:val="24"/>
              </w:rPr>
            </w:pPr>
          </w:p>
        </w:tc>
        <w:tc>
          <w:tcPr>
            <w:tcW w:w="1001" w:type="pct"/>
            <w:vAlign w:val="center"/>
          </w:tcPr>
          <w:p w14:paraId="04799A16">
            <w:pPr>
              <w:spacing w:line="460" w:lineRule="exact"/>
              <w:jc w:val="center"/>
              <w:rPr>
                <w:sz w:val="24"/>
              </w:rPr>
            </w:pPr>
          </w:p>
        </w:tc>
        <w:tc>
          <w:tcPr>
            <w:tcW w:w="858" w:type="pct"/>
            <w:vAlign w:val="center"/>
          </w:tcPr>
          <w:p w14:paraId="74D7B206">
            <w:pPr>
              <w:spacing w:line="460" w:lineRule="exact"/>
              <w:jc w:val="center"/>
              <w:rPr>
                <w:sz w:val="24"/>
              </w:rPr>
            </w:pPr>
          </w:p>
        </w:tc>
        <w:tc>
          <w:tcPr>
            <w:tcW w:w="941" w:type="pct"/>
            <w:vAlign w:val="center"/>
          </w:tcPr>
          <w:p w14:paraId="4ECA1B5F">
            <w:pPr>
              <w:spacing w:line="460" w:lineRule="exact"/>
              <w:jc w:val="center"/>
              <w:rPr>
                <w:sz w:val="24"/>
              </w:rPr>
            </w:pPr>
          </w:p>
        </w:tc>
        <w:tc>
          <w:tcPr>
            <w:tcW w:w="858" w:type="pct"/>
            <w:vAlign w:val="center"/>
          </w:tcPr>
          <w:p w14:paraId="43FA5A92">
            <w:pPr>
              <w:spacing w:line="460" w:lineRule="exact"/>
              <w:jc w:val="center"/>
              <w:rPr>
                <w:sz w:val="24"/>
              </w:rPr>
            </w:pPr>
          </w:p>
        </w:tc>
        <w:tc>
          <w:tcPr>
            <w:tcW w:w="770" w:type="pct"/>
            <w:vAlign w:val="center"/>
          </w:tcPr>
          <w:p w14:paraId="458529A9">
            <w:pPr>
              <w:spacing w:line="460" w:lineRule="exact"/>
              <w:jc w:val="center"/>
              <w:rPr>
                <w:sz w:val="24"/>
              </w:rPr>
            </w:pPr>
          </w:p>
        </w:tc>
      </w:tr>
      <w:tr w14:paraId="66C6AA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65ED9C41">
            <w:pPr>
              <w:spacing w:line="460" w:lineRule="exact"/>
              <w:jc w:val="center"/>
              <w:rPr>
                <w:sz w:val="24"/>
              </w:rPr>
            </w:pPr>
            <w:r>
              <w:rPr>
                <w:sz w:val="24"/>
              </w:rPr>
              <w:t>…</w:t>
            </w:r>
          </w:p>
        </w:tc>
        <w:tc>
          <w:tcPr>
            <w:tcW w:w="1001" w:type="pct"/>
            <w:vAlign w:val="center"/>
          </w:tcPr>
          <w:p w14:paraId="09EA8A36">
            <w:pPr>
              <w:spacing w:line="460" w:lineRule="exact"/>
              <w:jc w:val="center"/>
              <w:rPr>
                <w:sz w:val="24"/>
              </w:rPr>
            </w:pPr>
          </w:p>
        </w:tc>
        <w:tc>
          <w:tcPr>
            <w:tcW w:w="858" w:type="pct"/>
            <w:vAlign w:val="center"/>
          </w:tcPr>
          <w:p w14:paraId="53FDD676">
            <w:pPr>
              <w:spacing w:line="460" w:lineRule="exact"/>
              <w:jc w:val="center"/>
              <w:rPr>
                <w:sz w:val="24"/>
              </w:rPr>
            </w:pPr>
          </w:p>
        </w:tc>
        <w:tc>
          <w:tcPr>
            <w:tcW w:w="941" w:type="pct"/>
            <w:vAlign w:val="center"/>
          </w:tcPr>
          <w:p w14:paraId="10A0542C">
            <w:pPr>
              <w:spacing w:line="460" w:lineRule="exact"/>
              <w:jc w:val="center"/>
              <w:rPr>
                <w:sz w:val="24"/>
              </w:rPr>
            </w:pPr>
          </w:p>
        </w:tc>
        <w:tc>
          <w:tcPr>
            <w:tcW w:w="858" w:type="pct"/>
            <w:vAlign w:val="center"/>
          </w:tcPr>
          <w:p w14:paraId="60BC0FD1">
            <w:pPr>
              <w:spacing w:line="460" w:lineRule="exact"/>
              <w:jc w:val="center"/>
              <w:rPr>
                <w:sz w:val="24"/>
              </w:rPr>
            </w:pPr>
          </w:p>
        </w:tc>
        <w:tc>
          <w:tcPr>
            <w:tcW w:w="770" w:type="pct"/>
            <w:vAlign w:val="center"/>
          </w:tcPr>
          <w:p w14:paraId="55E4629C">
            <w:pPr>
              <w:spacing w:line="460" w:lineRule="exact"/>
              <w:jc w:val="center"/>
              <w:rPr>
                <w:sz w:val="24"/>
              </w:rPr>
            </w:pPr>
          </w:p>
        </w:tc>
      </w:tr>
      <w:tr w14:paraId="4EE4EC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26163352">
            <w:pPr>
              <w:spacing w:line="460" w:lineRule="exact"/>
              <w:jc w:val="center"/>
              <w:rPr>
                <w:sz w:val="24"/>
              </w:rPr>
            </w:pPr>
          </w:p>
        </w:tc>
        <w:tc>
          <w:tcPr>
            <w:tcW w:w="1001" w:type="pct"/>
            <w:vAlign w:val="center"/>
          </w:tcPr>
          <w:p w14:paraId="7D29130E">
            <w:pPr>
              <w:spacing w:line="460" w:lineRule="exact"/>
              <w:jc w:val="center"/>
              <w:rPr>
                <w:sz w:val="24"/>
              </w:rPr>
            </w:pPr>
          </w:p>
        </w:tc>
        <w:tc>
          <w:tcPr>
            <w:tcW w:w="858" w:type="pct"/>
            <w:vAlign w:val="center"/>
          </w:tcPr>
          <w:p w14:paraId="0CEC1047">
            <w:pPr>
              <w:spacing w:line="460" w:lineRule="exact"/>
              <w:jc w:val="center"/>
              <w:rPr>
                <w:sz w:val="24"/>
              </w:rPr>
            </w:pPr>
          </w:p>
        </w:tc>
        <w:tc>
          <w:tcPr>
            <w:tcW w:w="941" w:type="pct"/>
            <w:vAlign w:val="center"/>
          </w:tcPr>
          <w:p w14:paraId="6D3E8422">
            <w:pPr>
              <w:spacing w:line="460" w:lineRule="exact"/>
              <w:jc w:val="center"/>
              <w:rPr>
                <w:sz w:val="24"/>
              </w:rPr>
            </w:pPr>
          </w:p>
        </w:tc>
        <w:tc>
          <w:tcPr>
            <w:tcW w:w="858" w:type="pct"/>
            <w:vAlign w:val="center"/>
          </w:tcPr>
          <w:p w14:paraId="16E5073B">
            <w:pPr>
              <w:spacing w:line="460" w:lineRule="exact"/>
              <w:jc w:val="center"/>
              <w:rPr>
                <w:sz w:val="24"/>
              </w:rPr>
            </w:pPr>
          </w:p>
        </w:tc>
        <w:tc>
          <w:tcPr>
            <w:tcW w:w="770" w:type="pct"/>
            <w:vAlign w:val="center"/>
          </w:tcPr>
          <w:p w14:paraId="053011A7">
            <w:pPr>
              <w:spacing w:line="460" w:lineRule="exact"/>
              <w:jc w:val="center"/>
              <w:rPr>
                <w:sz w:val="24"/>
              </w:rPr>
            </w:pPr>
          </w:p>
        </w:tc>
      </w:tr>
      <w:tr w14:paraId="089535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34C2767A">
            <w:pPr>
              <w:spacing w:line="460" w:lineRule="exact"/>
              <w:jc w:val="center"/>
              <w:rPr>
                <w:sz w:val="24"/>
              </w:rPr>
            </w:pPr>
          </w:p>
        </w:tc>
        <w:tc>
          <w:tcPr>
            <w:tcW w:w="1001" w:type="pct"/>
            <w:vAlign w:val="center"/>
          </w:tcPr>
          <w:p w14:paraId="27C0365F">
            <w:pPr>
              <w:spacing w:line="460" w:lineRule="exact"/>
              <w:jc w:val="center"/>
              <w:rPr>
                <w:sz w:val="24"/>
              </w:rPr>
            </w:pPr>
          </w:p>
        </w:tc>
        <w:tc>
          <w:tcPr>
            <w:tcW w:w="858" w:type="pct"/>
            <w:vAlign w:val="center"/>
          </w:tcPr>
          <w:p w14:paraId="532E5DED">
            <w:pPr>
              <w:spacing w:line="460" w:lineRule="exact"/>
              <w:jc w:val="center"/>
              <w:rPr>
                <w:sz w:val="24"/>
              </w:rPr>
            </w:pPr>
          </w:p>
        </w:tc>
        <w:tc>
          <w:tcPr>
            <w:tcW w:w="941" w:type="pct"/>
            <w:vAlign w:val="center"/>
          </w:tcPr>
          <w:p w14:paraId="3628336F">
            <w:pPr>
              <w:spacing w:line="460" w:lineRule="exact"/>
              <w:jc w:val="center"/>
              <w:rPr>
                <w:sz w:val="24"/>
              </w:rPr>
            </w:pPr>
          </w:p>
        </w:tc>
        <w:tc>
          <w:tcPr>
            <w:tcW w:w="858" w:type="pct"/>
            <w:vAlign w:val="center"/>
          </w:tcPr>
          <w:p w14:paraId="5DAD80BC">
            <w:pPr>
              <w:spacing w:line="460" w:lineRule="exact"/>
              <w:jc w:val="center"/>
              <w:rPr>
                <w:sz w:val="24"/>
              </w:rPr>
            </w:pPr>
          </w:p>
        </w:tc>
        <w:tc>
          <w:tcPr>
            <w:tcW w:w="770" w:type="pct"/>
            <w:vAlign w:val="center"/>
          </w:tcPr>
          <w:p w14:paraId="368B80DC">
            <w:pPr>
              <w:spacing w:line="460" w:lineRule="exact"/>
              <w:jc w:val="center"/>
              <w:rPr>
                <w:sz w:val="24"/>
              </w:rPr>
            </w:pPr>
          </w:p>
        </w:tc>
      </w:tr>
    </w:tbl>
    <w:p w14:paraId="735F1F5E">
      <w:pPr>
        <w:spacing w:line="360" w:lineRule="auto"/>
        <w:ind w:right="84" w:firstLine="420"/>
        <w:rPr>
          <w:sz w:val="24"/>
        </w:rPr>
      </w:pPr>
    </w:p>
    <w:p w14:paraId="713008E0">
      <w:pPr>
        <w:spacing w:line="360" w:lineRule="auto"/>
        <w:ind w:firstLine="3808" w:firstLineChars="1700"/>
        <w:rPr>
          <w:sz w:val="24"/>
        </w:rPr>
      </w:pPr>
      <w:r>
        <w:rPr>
          <w:sz w:val="24"/>
        </w:rPr>
        <w:t>投标人名称：</w:t>
      </w:r>
    </w:p>
    <w:p w14:paraId="0C295FE5">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9715405">
      <w:pPr>
        <w:spacing w:line="360" w:lineRule="auto"/>
        <w:ind w:right="84" w:firstLine="420"/>
        <w:rPr>
          <w:sz w:val="24"/>
        </w:rPr>
      </w:pPr>
    </w:p>
    <w:p w14:paraId="740041B5">
      <w:pPr>
        <w:widowControl/>
        <w:jc w:val="left"/>
        <w:rPr>
          <w:sz w:val="24"/>
        </w:rPr>
      </w:pPr>
      <w:r>
        <w:rPr>
          <w:sz w:val="24"/>
        </w:rPr>
        <w:br w:type="page"/>
      </w:r>
    </w:p>
    <w:p w14:paraId="6423E021">
      <w:pPr>
        <w:tabs>
          <w:tab w:val="left" w:pos="360"/>
        </w:tabs>
        <w:spacing w:line="360" w:lineRule="auto"/>
        <w:rPr>
          <w:b/>
          <w:sz w:val="24"/>
        </w:rPr>
      </w:pPr>
      <w:r>
        <w:rPr>
          <w:b/>
          <w:sz w:val="24"/>
        </w:rPr>
        <w:t>附件</w:t>
      </w:r>
      <w:r>
        <w:rPr>
          <w:rFonts w:hint="eastAsia"/>
          <w:b/>
          <w:sz w:val="24"/>
        </w:rPr>
        <w:t>5</w:t>
      </w:r>
    </w:p>
    <w:p w14:paraId="6A58012A">
      <w:pPr>
        <w:autoSpaceDN w:val="0"/>
        <w:spacing w:line="360" w:lineRule="auto"/>
        <w:jc w:val="center"/>
        <w:rPr>
          <w:b/>
          <w:bCs/>
          <w:sz w:val="24"/>
        </w:rPr>
      </w:pPr>
      <w:r>
        <w:rPr>
          <w:b/>
          <w:bCs/>
          <w:sz w:val="24"/>
        </w:rPr>
        <w:t>开标分项一览表</w:t>
      </w:r>
    </w:p>
    <w:p w14:paraId="3874DA6D">
      <w:pPr>
        <w:ind w:right="84"/>
        <w:rPr>
          <w:sz w:val="24"/>
        </w:rPr>
      </w:pPr>
    </w:p>
    <w:p w14:paraId="4F4ED7BA">
      <w:pPr>
        <w:spacing w:line="460" w:lineRule="exact"/>
        <w:ind w:left="192"/>
        <w:rPr>
          <w:sz w:val="24"/>
        </w:rPr>
      </w:pPr>
      <w:r>
        <w:rPr>
          <w:sz w:val="24"/>
        </w:rPr>
        <w:t>项目名称：</w:t>
      </w:r>
      <w:r>
        <w:rPr>
          <w:sz w:val="24"/>
          <w:u w:val="single"/>
        </w:rPr>
        <w:t xml:space="preserve">                    </w:t>
      </w:r>
    </w:p>
    <w:p w14:paraId="6BE4541B">
      <w:pPr>
        <w:spacing w:line="460" w:lineRule="exact"/>
        <w:ind w:left="192"/>
        <w:rPr>
          <w:sz w:val="24"/>
        </w:rPr>
      </w:pPr>
      <w:r>
        <w:rPr>
          <w:sz w:val="24"/>
        </w:rPr>
        <w:t>项目编号：</w:t>
      </w:r>
      <w:r>
        <w:rPr>
          <w:sz w:val="24"/>
          <w:u w:val="single"/>
        </w:rPr>
        <w:t xml:space="preserve">                    </w:t>
      </w:r>
    </w:p>
    <w:p w14:paraId="07704558">
      <w:pPr>
        <w:spacing w:line="460" w:lineRule="exact"/>
        <w:ind w:left="192"/>
        <w:rPr>
          <w:sz w:val="24"/>
        </w:rPr>
      </w:pPr>
      <w:r>
        <w:rPr>
          <w:rFonts w:hint="eastAsia"/>
          <w:sz w:val="24"/>
        </w:rPr>
        <w:t>包    号：</w:t>
      </w:r>
      <w:r>
        <w:rPr>
          <w:sz w:val="24"/>
          <w:u w:val="single"/>
        </w:rPr>
        <w:t xml:space="preserve">                    </w:t>
      </w:r>
    </w:p>
    <w:p w14:paraId="4D2A4A66">
      <w:pPr>
        <w:spacing w:line="460" w:lineRule="exact"/>
        <w:ind w:firstLine="6496" w:firstLineChars="2900"/>
        <w:rPr>
          <w:sz w:val="24"/>
        </w:rPr>
      </w:pPr>
      <w:r>
        <w:rPr>
          <w:sz w:val="24"/>
        </w:rPr>
        <w:t>单位：元</w:t>
      </w:r>
    </w:p>
    <w:tbl>
      <w:tblPr>
        <w:tblStyle w:val="18"/>
        <w:tblW w:w="978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13"/>
        <w:gridCol w:w="1348"/>
        <w:gridCol w:w="716"/>
        <w:gridCol w:w="715"/>
        <w:gridCol w:w="1230"/>
        <w:gridCol w:w="715"/>
        <w:gridCol w:w="1235"/>
        <w:gridCol w:w="715"/>
        <w:gridCol w:w="795"/>
        <w:gridCol w:w="767"/>
        <w:gridCol w:w="737"/>
      </w:tblGrid>
      <w:tr w14:paraId="799A2C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10888A37">
            <w:pPr>
              <w:widowControl/>
              <w:jc w:val="center"/>
              <w:rPr>
                <w:bCs/>
                <w:kern w:val="0"/>
                <w:sz w:val="24"/>
                <w:szCs w:val="24"/>
              </w:rPr>
            </w:pPr>
            <w:r>
              <w:rPr>
                <w:bCs/>
                <w:kern w:val="0"/>
                <w:sz w:val="24"/>
                <w:szCs w:val="24"/>
              </w:rPr>
              <w:t>项号</w:t>
            </w:r>
          </w:p>
        </w:tc>
        <w:tc>
          <w:tcPr>
            <w:tcW w:w="1348" w:type="dxa"/>
            <w:vAlign w:val="center"/>
          </w:tcPr>
          <w:p w14:paraId="27E45A20">
            <w:pPr>
              <w:widowControl/>
              <w:jc w:val="center"/>
              <w:rPr>
                <w:bCs/>
                <w:kern w:val="0"/>
                <w:sz w:val="24"/>
                <w:szCs w:val="24"/>
              </w:rPr>
            </w:pPr>
            <w:r>
              <w:rPr>
                <w:rFonts w:hint="eastAsia"/>
                <w:bCs/>
                <w:kern w:val="0"/>
                <w:sz w:val="24"/>
                <w:szCs w:val="24"/>
              </w:rPr>
              <w:t>标的</w:t>
            </w:r>
            <w:r>
              <w:rPr>
                <w:bCs/>
                <w:kern w:val="0"/>
                <w:sz w:val="24"/>
                <w:szCs w:val="24"/>
              </w:rPr>
              <w:t>名称</w:t>
            </w:r>
          </w:p>
        </w:tc>
        <w:tc>
          <w:tcPr>
            <w:tcW w:w="716" w:type="dxa"/>
            <w:vAlign w:val="center"/>
          </w:tcPr>
          <w:p w14:paraId="59778E2B">
            <w:pPr>
              <w:widowControl/>
              <w:jc w:val="center"/>
              <w:rPr>
                <w:bCs/>
                <w:kern w:val="0"/>
                <w:sz w:val="24"/>
                <w:szCs w:val="24"/>
              </w:rPr>
            </w:pPr>
            <w:r>
              <w:rPr>
                <w:bCs/>
                <w:kern w:val="0"/>
                <w:sz w:val="24"/>
                <w:szCs w:val="24"/>
              </w:rPr>
              <w:t>品牌</w:t>
            </w:r>
          </w:p>
        </w:tc>
        <w:tc>
          <w:tcPr>
            <w:tcW w:w="715" w:type="dxa"/>
            <w:vAlign w:val="center"/>
          </w:tcPr>
          <w:p w14:paraId="58488C48">
            <w:pPr>
              <w:widowControl/>
              <w:jc w:val="center"/>
              <w:rPr>
                <w:bCs/>
                <w:kern w:val="0"/>
                <w:sz w:val="24"/>
                <w:szCs w:val="24"/>
              </w:rPr>
            </w:pPr>
            <w:r>
              <w:rPr>
                <w:bCs/>
                <w:kern w:val="0"/>
                <w:sz w:val="24"/>
                <w:szCs w:val="24"/>
              </w:rPr>
              <w:t>规格型号</w:t>
            </w:r>
          </w:p>
        </w:tc>
        <w:tc>
          <w:tcPr>
            <w:tcW w:w="1230" w:type="dxa"/>
            <w:vAlign w:val="center"/>
          </w:tcPr>
          <w:p w14:paraId="17F8EBE5">
            <w:pPr>
              <w:widowControl/>
              <w:jc w:val="center"/>
              <w:rPr>
                <w:bCs/>
                <w:kern w:val="0"/>
                <w:sz w:val="24"/>
                <w:szCs w:val="24"/>
              </w:rPr>
            </w:pPr>
            <w:r>
              <w:rPr>
                <w:bCs/>
                <w:kern w:val="0"/>
                <w:sz w:val="24"/>
                <w:szCs w:val="24"/>
              </w:rPr>
              <w:t>制造商</w:t>
            </w:r>
          </w:p>
        </w:tc>
        <w:tc>
          <w:tcPr>
            <w:tcW w:w="715" w:type="dxa"/>
            <w:vAlign w:val="center"/>
          </w:tcPr>
          <w:p w14:paraId="6F39605D">
            <w:pPr>
              <w:widowControl/>
              <w:jc w:val="center"/>
              <w:rPr>
                <w:bCs/>
                <w:kern w:val="0"/>
                <w:sz w:val="24"/>
                <w:szCs w:val="24"/>
              </w:rPr>
            </w:pPr>
            <w:r>
              <w:rPr>
                <w:bCs/>
                <w:kern w:val="0"/>
                <w:sz w:val="24"/>
                <w:szCs w:val="24"/>
              </w:rPr>
              <w:t>产地</w:t>
            </w:r>
          </w:p>
        </w:tc>
        <w:tc>
          <w:tcPr>
            <w:tcW w:w="1235" w:type="dxa"/>
            <w:vAlign w:val="center"/>
          </w:tcPr>
          <w:p w14:paraId="29A25CAD">
            <w:pPr>
              <w:widowControl/>
              <w:jc w:val="center"/>
              <w:rPr>
                <w:bCs/>
                <w:kern w:val="0"/>
                <w:sz w:val="24"/>
                <w:szCs w:val="24"/>
              </w:rPr>
            </w:pPr>
            <w:r>
              <w:rPr>
                <w:bCs/>
                <w:kern w:val="0"/>
                <w:sz w:val="24"/>
                <w:szCs w:val="24"/>
              </w:rPr>
              <w:t>商品属性</w:t>
            </w:r>
          </w:p>
        </w:tc>
        <w:tc>
          <w:tcPr>
            <w:tcW w:w="715" w:type="dxa"/>
            <w:vAlign w:val="center"/>
          </w:tcPr>
          <w:p w14:paraId="4CF1E0E9">
            <w:pPr>
              <w:widowControl/>
              <w:jc w:val="center"/>
              <w:rPr>
                <w:bCs/>
                <w:kern w:val="0"/>
                <w:sz w:val="24"/>
                <w:szCs w:val="24"/>
              </w:rPr>
            </w:pPr>
            <w:r>
              <w:rPr>
                <w:bCs/>
                <w:kern w:val="0"/>
                <w:sz w:val="24"/>
                <w:szCs w:val="24"/>
              </w:rPr>
              <w:t>单价</w:t>
            </w:r>
          </w:p>
        </w:tc>
        <w:tc>
          <w:tcPr>
            <w:tcW w:w="795" w:type="dxa"/>
            <w:vAlign w:val="center"/>
          </w:tcPr>
          <w:p w14:paraId="754694F8">
            <w:pPr>
              <w:widowControl/>
              <w:jc w:val="center"/>
              <w:rPr>
                <w:bCs/>
                <w:kern w:val="0"/>
                <w:sz w:val="24"/>
                <w:szCs w:val="24"/>
              </w:rPr>
            </w:pPr>
            <w:r>
              <w:rPr>
                <w:bCs/>
                <w:kern w:val="0"/>
                <w:sz w:val="24"/>
                <w:szCs w:val="24"/>
              </w:rPr>
              <w:t>采购数量</w:t>
            </w:r>
          </w:p>
        </w:tc>
        <w:tc>
          <w:tcPr>
            <w:tcW w:w="767" w:type="dxa"/>
            <w:vAlign w:val="center"/>
          </w:tcPr>
          <w:p w14:paraId="29460F91">
            <w:pPr>
              <w:widowControl/>
              <w:jc w:val="center"/>
              <w:rPr>
                <w:bCs/>
                <w:kern w:val="0"/>
                <w:sz w:val="24"/>
                <w:szCs w:val="24"/>
              </w:rPr>
            </w:pPr>
            <w:r>
              <w:rPr>
                <w:bCs/>
                <w:kern w:val="0"/>
                <w:sz w:val="24"/>
                <w:szCs w:val="24"/>
              </w:rPr>
              <w:t>计量单位</w:t>
            </w:r>
          </w:p>
        </w:tc>
        <w:tc>
          <w:tcPr>
            <w:tcW w:w="737" w:type="dxa"/>
            <w:vAlign w:val="center"/>
          </w:tcPr>
          <w:p w14:paraId="20B23C9E">
            <w:pPr>
              <w:widowControl/>
              <w:jc w:val="center"/>
              <w:rPr>
                <w:bCs/>
                <w:kern w:val="0"/>
                <w:sz w:val="24"/>
                <w:szCs w:val="24"/>
              </w:rPr>
            </w:pPr>
            <w:r>
              <w:rPr>
                <w:bCs/>
                <w:kern w:val="0"/>
                <w:sz w:val="24"/>
                <w:szCs w:val="24"/>
              </w:rPr>
              <w:t>总价</w:t>
            </w:r>
          </w:p>
        </w:tc>
      </w:tr>
      <w:tr w14:paraId="256F2E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0F3373F5">
            <w:pPr>
              <w:widowControl/>
              <w:jc w:val="center"/>
              <w:rPr>
                <w:kern w:val="0"/>
                <w:sz w:val="24"/>
                <w:szCs w:val="24"/>
              </w:rPr>
            </w:pPr>
          </w:p>
        </w:tc>
        <w:tc>
          <w:tcPr>
            <w:tcW w:w="1348" w:type="dxa"/>
            <w:noWrap/>
            <w:vAlign w:val="center"/>
          </w:tcPr>
          <w:p w14:paraId="4F4DBDF1">
            <w:pPr>
              <w:widowControl/>
              <w:jc w:val="center"/>
              <w:rPr>
                <w:kern w:val="0"/>
                <w:sz w:val="24"/>
                <w:szCs w:val="24"/>
              </w:rPr>
            </w:pPr>
          </w:p>
        </w:tc>
        <w:tc>
          <w:tcPr>
            <w:tcW w:w="716" w:type="dxa"/>
            <w:noWrap/>
            <w:vAlign w:val="center"/>
          </w:tcPr>
          <w:p w14:paraId="2AC5BE1B">
            <w:pPr>
              <w:widowControl/>
              <w:jc w:val="center"/>
              <w:rPr>
                <w:kern w:val="0"/>
                <w:sz w:val="24"/>
                <w:szCs w:val="24"/>
              </w:rPr>
            </w:pPr>
          </w:p>
        </w:tc>
        <w:tc>
          <w:tcPr>
            <w:tcW w:w="715" w:type="dxa"/>
            <w:noWrap/>
            <w:vAlign w:val="center"/>
          </w:tcPr>
          <w:p w14:paraId="36F56690">
            <w:pPr>
              <w:widowControl/>
              <w:jc w:val="center"/>
              <w:rPr>
                <w:kern w:val="0"/>
                <w:sz w:val="24"/>
                <w:szCs w:val="24"/>
              </w:rPr>
            </w:pPr>
          </w:p>
        </w:tc>
        <w:tc>
          <w:tcPr>
            <w:tcW w:w="1230" w:type="dxa"/>
            <w:noWrap/>
            <w:vAlign w:val="center"/>
          </w:tcPr>
          <w:p w14:paraId="207DA319">
            <w:pPr>
              <w:widowControl/>
              <w:jc w:val="center"/>
              <w:rPr>
                <w:kern w:val="0"/>
                <w:sz w:val="24"/>
                <w:szCs w:val="24"/>
              </w:rPr>
            </w:pPr>
          </w:p>
        </w:tc>
        <w:tc>
          <w:tcPr>
            <w:tcW w:w="715" w:type="dxa"/>
            <w:noWrap/>
            <w:vAlign w:val="center"/>
          </w:tcPr>
          <w:p w14:paraId="5F42A61C">
            <w:pPr>
              <w:widowControl/>
              <w:jc w:val="center"/>
              <w:rPr>
                <w:kern w:val="0"/>
                <w:sz w:val="24"/>
                <w:szCs w:val="24"/>
              </w:rPr>
            </w:pPr>
          </w:p>
        </w:tc>
        <w:tc>
          <w:tcPr>
            <w:tcW w:w="1235" w:type="dxa"/>
            <w:vAlign w:val="center"/>
          </w:tcPr>
          <w:p w14:paraId="7D09D71D">
            <w:pPr>
              <w:widowControl/>
              <w:jc w:val="center"/>
              <w:rPr>
                <w:kern w:val="0"/>
                <w:sz w:val="24"/>
                <w:szCs w:val="18"/>
              </w:rPr>
            </w:pPr>
          </w:p>
        </w:tc>
        <w:tc>
          <w:tcPr>
            <w:tcW w:w="715" w:type="dxa"/>
            <w:vAlign w:val="center"/>
          </w:tcPr>
          <w:p w14:paraId="57DC94B8">
            <w:pPr>
              <w:widowControl/>
              <w:jc w:val="center"/>
              <w:rPr>
                <w:kern w:val="0"/>
                <w:sz w:val="24"/>
                <w:szCs w:val="18"/>
              </w:rPr>
            </w:pPr>
          </w:p>
        </w:tc>
        <w:tc>
          <w:tcPr>
            <w:tcW w:w="795" w:type="dxa"/>
            <w:noWrap/>
            <w:vAlign w:val="center"/>
          </w:tcPr>
          <w:p w14:paraId="6E6B172B">
            <w:pPr>
              <w:widowControl/>
              <w:jc w:val="center"/>
              <w:rPr>
                <w:kern w:val="0"/>
                <w:sz w:val="24"/>
                <w:szCs w:val="24"/>
              </w:rPr>
            </w:pPr>
          </w:p>
        </w:tc>
        <w:tc>
          <w:tcPr>
            <w:tcW w:w="767" w:type="dxa"/>
            <w:noWrap/>
            <w:vAlign w:val="center"/>
          </w:tcPr>
          <w:p w14:paraId="40A7C59D">
            <w:pPr>
              <w:widowControl/>
              <w:jc w:val="center"/>
              <w:rPr>
                <w:kern w:val="0"/>
                <w:sz w:val="24"/>
                <w:szCs w:val="18"/>
              </w:rPr>
            </w:pPr>
          </w:p>
        </w:tc>
        <w:tc>
          <w:tcPr>
            <w:tcW w:w="737" w:type="dxa"/>
            <w:noWrap/>
            <w:vAlign w:val="center"/>
          </w:tcPr>
          <w:p w14:paraId="19963491">
            <w:pPr>
              <w:widowControl/>
              <w:jc w:val="center"/>
              <w:rPr>
                <w:kern w:val="0"/>
                <w:sz w:val="24"/>
                <w:szCs w:val="24"/>
              </w:rPr>
            </w:pPr>
          </w:p>
        </w:tc>
      </w:tr>
      <w:tr w14:paraId="4C0FBB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0DC9812A">
            <w:pPr>
              <w:widowControl/>
              <w:jc w:val="center"/>
              <w:rPr>
                <w:kern w:val="0"/>
                <w:sz w:val="24"/>
                <w:szCs w:val="24"/>
              </w:rPr>
            </w:pPr>
          </w:p>
        </w:tc>
        <w:tc>
          <w:tcPr>
            <w:tcW w:w="1348" w:type="dxa"/>
            <w:noWrap/>
            <w:vAlign w:val="center"/>
          </w:tcPr>
          <w:p w14:paraId="3995485D">
            <w:pPr>
              <w:widowControl/>
              <w:jc w:val="center"/>
              <w:rPr>
                <w:kern w:val="0"/>
                <w:sz w:val="24"/>
                <w:szCs w:val="24"/>
              </w:rPr>
            </w:pPr>
          </w:p>
        </w:tc>
        <w:tc>
          <w:tcPr>
            <w:tcW w:w="716" w:type="dxa"/>
            <w:noWrap/>
            <w:vAlign w:val="center"/>
          </w:tcPr>
          <w:p w14:paraId="0E78DEE6">
            <w:pPr>
              <w:widowControl/>
              <w:jc w:val="center"/>
              <w:rPr>
                <w:kern w:val="0"/>
                <w:sz w:val="24"/>
                <w:szCs w:val="24"/>
              </w:rPr>
            </w:pPr>
          </w:p>
        </w:tc>
        <w:tc>
          <w:tcPr>
            <w:tcW w:w="715" w:type="dxa"/>
            <w:noWrap/>
            <w:vAlign w:val="center"/>
          </w:tcPr>
          <w:p w14:paraId="2B78CD1B">
            <w:pPr>
              <w:widowControl/>
              <w:jc w:val="center"/>
              <w:rPr>
                <w:kern w:val="0"/>
                <w:sz w:val="24"/>
                <w:szCs w:val="24"/>
              </w:rPr>
            </w:pPr>
          </w:p>
        </w:tc>
        <w:tc>
          <w:tcPr>
            <w:tcW w:w="1230" w:type="dxa"/>
            <w:noWrap/>
            <w:vAlign w:val="center"/>
          </w:tcPr>
          <w:p w14:paraId="5CD48829">
            <w:pPr>
              <w:widowControl/>
              <w:jc w:val="center"/>
              <w:rPr>
                <w:kern w:val="0"/>
                <w:sz w:val="24"/>
                <w:szCs w:val="24"/>
              </w:rPr>
            </w:pPr>
          </w:p>
        </w:tc>
        <w:tc>
          <w:tcPr>
            <w:tcW w:w="715" w:type="dxa"/>
            <w:noWrap/>
            <w:vAlign w:val="center"/>
          </w:tcPr>
          <w:p w14:paraId="419C49BC">
            <w:pPr>
              <w:widowControl/>
              <w:jc w:val="center"/>
              <w:rPr>
                <w:kern w:val="0"/>
                <w:sz w:val="24"/>
                <w:szCs w:val="24"/>
              </w:rPr>
            </w:pPr>
          </w:p>
        </w:tc>
        <w:tc>
          <w:tcPr>
            <w:tcW w:w="1235" w:type="dxa"/>
            <w:vAlign w:val="center"/>
          </w:tcPr>
          <w:p w14:paraId="5F6705A7">
            <w:pPr>
              <w:widowControl/>
              <w:jc w:val="center"/>
              <w:rPr>
                <w:kern w:val="0"/>
                <w:sz w:val="24"/>
                <w:szCs w:val="18"/>
              </w:rPr>
            </w:pPr>
          </w:p>
        </w:tc>
        <w:tc>
          <w:tcPr>
            <w:tcW w:w="715" w:type="dxa"/>
            <w:vAlign w:val="center"/>
          </w:tcPr>
          <w:p w14:paraId="1D56D748">
            <w:pPr>
              <w:widowControl/>
              <w:jc w:val="center"/>
              <w:rPr>
                <w:kern w:val="0"/>
                <w:sz w:val="24"/>
                <w:szCs w:val="18"/>
              </w:rPr>
            </w:pPr>
          </w:p>
        </w:tc>
        <w:tc>
          <w:tcPr>
            <w:tcW w:w="795" w:type="dxa"/>
            <w:noWrap/>
            <w:vAlign w:val="center"/>
          </w:tcPr>
          <w:p w14:paraId="2D235D57">
            <w:pPr>
              <w:widowControl/>
              <w:jc w:val="center"/>
              <w:rPr>
                <w:kern w:val="0"/>
                <w:sz w:val="24"/>
                <w:szCs w:val="24"/>
              </w:rPr>
            </w:pPr>
          </w:p>
        </w:tc>
        <w:tc>
          <w:tcPr>
            <w:tcW w:w="767" w:type="dxa"/>
            <w:noWrap/>
            <w:vAlign w:val="center"/>
          </w:tcPr>
          <w:p w14:paraId="37CEEB48">
            <w:pPr>
              <w:widowControl/>
              <w:jc w:val="center"/>
              <w:rPr>
                <w:kern w:val="0"/>
                <w:sz w:val="24"/>
                <w:szCs w:val="24"/>
              </w:rPr>
            </w:pPr>
          </w:p>
        </w:tc>
        <w:tc>
          <w:tcPr>
            <w:tcW w:w="737" w:type="dxa"/>
            <w:noWrap/>
            <w:vAlign w:val="center"/>
          </w:tcPr>
          <w:p w14:paraId="720D7273">
            <w:pPr>
              <w:widowControl/>
              <w:jc w:val="center"/>
              <w:rPr>
                <w:kern w:val="0"/>
                <w:sz w:val="24"/>
                <w:szCs w:val="24"/>
              </w:rPr>
            </w:pPr>
          </w:p>
        </w:tc>
      </w:tr>
      <w:tr w14:paraId="441D09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33F4167F">
            <w:pPr>
              <w:widowControl/>
              <w:jc w:val="center"/>
              <w:rPr>
                <w:kern w:val="0"/>
                <w:sz w:val="24"/>
                <w:szCs w:val="24"/>
              </w:rPr>
            </w:pPr>
          </w:p>
        </w:tc>
        <w:tc>
          <w:tcPr>
            <w:tcW w:w="1348" w:type="dxa"/>
            <w:noWrap/>
            <w:vAlign w:val="center"/>
          </w:tcPr>
          <w:p w14:paraId="399321F7">
            <w:pPr>
              <w:widowControl/>
              <w:jc w:val="center"/>
              <w:rPr>
                <w:kern w:val="0"/>
                <w:sz w:val="24"/>
                <w:szCs w:val="24"/>
              </w:rPr>
            </w:pPr>
          </w:p>
        </w:tc>
        <w:tc>
          <w:tcPr>
            <w:tcW w:w="716" w:type="dxa"/>
            <w:noWrap/>
            <w:vAlign w:val="center"/>
          </w:tcPr>
          <w:p w14:paraId="3CBCC6DD">
            <w:pPr>
              <w:widowControl/>
              <w:jc w:val="center"/>
              <w:rPr>
                <w:kern w:val="0"/>
                <w:sz w:val="24"/>
                <w:szCs w:val="24"/>
              </w:rPr>
            </w:pPr>
          </w:p>
        </w:tc>
        <w:tc>
          <w:tcPr>
            <w:tcW w:w="715" w:type="dxa"/>
            <w:noWrap/>
            <w:vAlign w:val="center"/>
          </w:tcPr>
          <w:p w14:paraId="5049DDFF">
            <w:pPr>
              <w:widowControl/>
              <w:jc w:val="center"/>
              <w:rPr>
                <w:kern w:val="0"/>
                <w:sz w:val="24"/>
                <w:szCs w:val="24"/>
              </w:rPr>
            </w:pPr>
          </w:p>
        </w:tc>
        <w:tc>
          <w:tcPr>
            <w:tcW w:w="1230" w:type="dxa"/>
            <w:noWrap/>
            <w:vAlign w:val="center"/>
          </w:tcPr>
          <w:p w14:paraId="0E6E9121">
            <w:pPr>
              <w:widowControl/>
              <w:jc w:val="center"/>
              <w:rPr>
                <w:kern w:val="0"/>
                <w:sz w:val="24"/>
                <w:szCs w:val="24"/>
              </w:rPr>
            </w:pPr>
          </w:p>
        </w:tc>
        <w:tc>
          <w:tcPr>
            <w:tcW w:w="715" w:type="dxa"/>
            <w:noWrap/>
            <w:vAlign w:val="center"/>
          </w:tcPr>
          <w:p w14:paraId="351BC7F5">
            <w:pPr>
              <w:widowControl/>
              <w:jc w:val="center"/>
              <w:rPr>
                <w:kern w:val="0"/>
                <w:sz w:val="24"/>
                <w:szCs w:val="24"/>
              </w:rPr>
            </w:pPr>
          </w:p>
        </w:tc>
        <w:tc>
          <w:tcPr>
            <w:tcW w:w="1235" w:type="dxa"/>
            <w:vAlign w:val="center"/>
          </w:tcPr>
          <w:p w14:paraId="316DB2C8">
            <w:pPr>
              <w:widowControl/>
              <w:jc w:val="center"/>
              <w:rPr>
                <w:kern w:val="0"/>
                <w:sz w:val="24"/>
                <w:szCs w:val="18"/>
              </w:rPr>
            </w:pPr>
          </w:p>
        </w:tc>
        <w:tc>
          <w:tcPr>
            <w:tcW w:w="715" w:type="dxa"/>
            <w:vAlign w:val="center"/>
          </w:tcPr>
          <w:p w14:paraId="42374679">
            <w:pPr>
              <w:widowControl/>
              <w:jc w:val="center"/>
              <w:rPr>
                <w:kern w:val="0"/>
                <w:sz w:val="24"/>
                <w:szCs w:val="18"/>
              </w:rPr>
            </w:pPr>
          </w:p>
        </w:tc>
        <w:tc>
          <w:tcPr>
            <w:tcW w:w="795" w:type="dxa"/>
            <w:noWrap/>
            <w:vAlign w:val="center"/>
          </w:tcPr>
          <w:p w14:paraId="3BAE1B3D">
            <w:pPr>
              <w:widowControl/>
              <w:jc w:val="center"/>
              <w:rPr>
                <w:kern w:val="0"/>
                <w:sz w:val="24"/>
                <w:szCs w:val="24"/>
              </w:rPr>
            </w:pPr>
          </w:p>
        </w:tc>
        <w:tc>
          <w:tcPr>
            <w:tcW w:w="767" w:type="dxa"/>
            <w:noWrap/>
            <w:vAlign w:val="center"/>
          </w:tcPr>
          <w:p w14:paraId="3FA04428">
            <w:pPr>
              <w:widowControl/>
              <w:jc w:val="center"/>
              <w:rPr>
                <w:kern w:val="0"/>
                <w:sz w:val="24"/>
                <w:szCs w:val="24"/>
              </w:rPr>
            </w:pPr>
          </w:p>
        </w:tc>
        <w:tc>
          <w:tcPr>
            <w:tcW w:w="737" w:type="dxa"/>
            <w:noWrap/>
            <w:vAlign w:val="center"/>
          </w:tcPr>
          <w:p w14:paraId="39753127">
            <w:pPr>
              <w:widowControl/>
              <w:jc w:val="center"/>
              <w:rPr>
                <w:kern w:val="0"/>
                <w:sz w:val="24"/>
                <w:szCs w:val="24"/>
              </w:rPr>
            </w:pPr>
          </w:p>
        </w:tc>
      </w:tr>
      <w:tr w14:paraId="0AA0B6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34CABC42">
            <w:pPr>
              <w:widowControl/>
              <w:jc w:val="center"/>
              <w:rPr>
                <w:kern w:val="0"/>
                <w:sz w:val="24"/>
                <w:szCs w:val="24"/>
              </w:rPr>
            </w:pPr>
          </w:p>
        </w:tc>
        <w:tc>
          <w:tcPr>
            <w:tcW w:w="1348" w:type="dxa"/>
            <w:noWrap/>
            <w:vAlign w:val="center"/>
          </w:tcPr>
          <w:p w14:paraId="067D9C26">
            <w:pPr>
              <w:widowControl/>
              <w:jc w:val="center"/>
              <w:rPr>
                <w:kern w:val="0"/>
                <w:sz w:val="24"/>
                <w:szCs w:val="24"/>
              </w:rPr>
            </w:pPr>
          </w:p>
        </w:tc>
        <w:tc>
          <w:tcPr>
            <w:tcW w:w="716" w:type="dxa"/>
            <w:noWrap/>
            <w:vAlign w:val="center"/>
          </w:tcPr>
          <w:p w14:paraId="3BC64530">
            <w:pPr>
              <w:widowControl/>
              <w:jc w:val="center"/>
              <w:rPr>
                <w:kern w:val="0"/>
                <w:sz w:val="24"/>
                <w:szCs w:val="24"/>
              </w:rPr>
            </w:pPr>
          </w:p>
        </w:tc>
        <w:tc>
          <w:tcPr>
            <w:tcW w:w="715" w:type="dxa"/>
            <w:noWrap/>
            <w:vAlign w:val="center"/>
          </w:tcPr>
          <w:p w14:paraId="4A9394B4">
            <w:pPr>
              <w:widowControl/>
              <w:jc w:val="center"/>
              <w:rPr>
                <w:kern w:val="0"/>
                <w:sz w:val="24"/>
                <w:szCs w:val="24"/>
              </w:rPr>
            </w:pPr>
          </w:p>
        </w:tc>
        <w:tc>
          <w:tcPr>
            <w:tcW w:w="1230" w:type="dxa"/>
            <w:noWrap/>
            <w:vAlign w:val="center"/>
          </w:tcPr>
          <w:p w14:paraId="525BA0AE">
            <w:pPr>
              <w:widowControl/>
              <w:jc w:val="center"/>
              <w:rPr>
                <w:kern w:val="0"/>
                <w:sz w:val="24"/>
                <w:szCs w:val="24"/>
              </w:rPr>
            </w:pPr>
          </w:p>
        </w:tc>
        <w:tc>
          <w:tcPr>
            <w:tcW w:w="715" w:type="dxa"/>
            <w:noWrap/>
            <w:vAlign w:val="center"/>
          </w:tcPr>
          <w:p w14:paraId="0769BB6B">
            <w:pPr>
              <w:widowControl/>
              <w:jc w:val="center"/>
              <w:rPr>
                <w:kern w:val="0"/>
                <w:sz w:val="24"/>
                <w:szCs w:val="24"/>
              </w:rPr>
            </w:pPr>
          </w:p>
        </w:tc>
        <w:tc>
          <w:tcPr>
            <w:tcW w:w="1235" w:type="dxa"/>
            <w:noWrap/>
            <w:vAlign w:val="center"/>
          </w:tcPr>
          <w:p w14:paraId="03170A77">
            <w:pPr>
              <w:widowControl/>
              <w:jc w:val="center"/>
              <w:rPr>
                <w:kern w:val="0"/>
                <w:sz w:val="24"/>
                <w:szCs w:val="18"/>
              </w:rPr>
            </w:pPr>
          </w:p>
        </w:tc>
        <w:tc>
          <w:tcPr>
            <w:tcW w:w="715" w:type="dxa"/>
            <w:noWrap/>
            <w:vAlign w:val="center"/>
          </w:tcPr>
          <w:p w14:paraId="53221A4C">
            <w:pPr>
              <w:widowControl/>
              <w:jc w:val="center"/>
              <w:rPr>
                <w:kern w:val="0"/>
                <w:sz w:val="24"/>
                <w:szCs w:val="24"/>
              </w:rPr>
            </w:pPr>
          </w:p>
        </w:tc>
        <w:tc>
          <w:tcPr>
            <w:tcW w:w="795" w:type="dxa"/>
            <w:noWrap/>
            <w:vAlign w:val="center"/>
          </w:tcPr>
          <w:p w14:paraId="6D2F8E18">
            <w:pPr>
              <w:widowControl/>
              <w:jc w:val="center"/>
              <w:rPr>
                <w:kern w:val="0"/>
                <w:sz w:val="24"/>
                <w:szCs w:val="24"/>
              </w:rPr>
            </w:pPr>
          </w:p>
        </w:tc>
        <w:tc>
          <w:tcPr>
            <w:tcW w:w="767" w:type="dxa"/>
            <w:noWrap/>
            <w:vAlign w:val="center"/>
          </w:tcPr>
          <w:p w14:paraId="38DAC47B">
            <w:pPr>
              <w:widowControl/>
              <w:jc w:val="center"/>
              <w:rPr>
                <w:kern w:val="0"/>
                <w:sz w:val="24"/>
                <w:szCs w:val="24"/>
              </w:rPr>
            </w:pPr>
          </w:p>
        </w:tc>
        <w:tc>
          <w:tcPr>
            <w:tcW w:w="737" w:type="dxa"/>
            <w:noWrap/>
            <w:vAlign w:val="center"/>
          </w:tcPr>
          <w:p w14:paraId="53E941EE">
            <w:pPr>
              <w:widowControl/>
              <w:jc w:val="center"/>
              <w:rPr>
                <w:kern w:val="0"/>
                <w:sz w:val="24"/>
                <w:szCs w:val="24"/>
              </w:rPr>
            </w:pPr>
          </w:p>
        </w:tc>
      </w:tr>
      <w:tr w14:paraId="5DF696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5C7FA947">
            <w:pPr>
              <w:widowControl/>
              <w:jc w:val="center"/>
              <w:rPr>
                <w:kern w:val="0"/>
                <w:sz w:val="24"/>
                <w:szCs w:val="24"/>
              </w:rPr>
            </w:pPr>
          </w:p>
        </w:tc>
        <w:tc>
          <w:tcPr>
            <w:tcW w:w="1348" w:type="dxa"/>
            <w:noWrap/>
            <w:vAlign w:val="center"/>
          </w:tcPr>
          <w:p w14:paraId="25440453">
            <w:pPr>
              <w:widowControl/>
              <w:jc w:val="center"/>
              <w:rPr>
                <w:kern w:val="0"/>
                <w:sz w:val="24"/>
                <w:szCs w:val="24"/>
              </w:rPr>
            </w:pPr>
          </w:p>
        </w:tc>
        <w:tc>
          <w:tcPr>
            <w:tcW w:w="716" w:type="dxa"/>
            <w:noWrap/>
            <w:vAlign w:val="center"/>
          </w:tcPr>
          <w:p w14:paraId="6031D7E2">
            <w:pPr>
              <w:widowControl/>
              <w:jc w:val="center"/>
              <w:rPr>
                <w:kern w:val="0"/>
                <w:sz w:val="24"/>
                <w:szCs w:val="24"/>
              </w:rPr>
            </w:pPr>
          </w:p>
        </w:tc>
        <w:tc>
          <w:tcPr>
            <w:tcW w:w="715" w:type="dxa"/>
            <w:noWrap/>
            <w:vAlign w:val="center"/>
          </w:tcPr>
          <w:p w14:paraId="25584FDA">
            <w:pPr>
              <w:widowControl/>
              <w:jc w:val="center"/>
              <w:rPr>
                <w:kern w:val="0"/>
                <w:sz w:val="24"/>
                <w:szCs w:val="24"/>
              </w:rPr>
            </w:pPr>
          </w:p>
        </w:tc>
        <w:tc>
          <w:tcPr>
            <w:tcW w:w="1230" w:type="dxa"/>
            <w:noWrap/>
            <w:vAlign w:val="center"/>
          </w:tcPr>
          <w:p w14:paraId="738A01FA">
            <w:pPr>
              <w:widowControl/>
              <w:jc w:val="center"/>
              <w:rPr>
                <w:kern w:val="0"/>
                <w:sz w:val="24"/>
                <w:szCs w:val="24"/>
              </w:rPr>
            </w:pPr>
          </w:p>
        </w:tc>
        <w:tc>
          <w:tcPr>
            <w:tcW w:w="715" w:type="dxa"/>
            <w:noWrap/>
            <w:vAlign w:val="center"/>
          </w:tcPr>
          <w:p w14:paraId="353E221B">
            <w:pPr>
              <w:widowControl/>
              <w:jc w:val="center"/>
              <w:rPr>
                <w:kern w:val="0"/>
                <w:sz w:val="24"/>
                <w:szCs w:val="24"/>
              </w:rPr>
            </w:pPr>
          </w:p>
        </w:tc>
        <w:tc>
          <w:tcPr>
            <w:tcW w:w="1235" w:type="dxa"/>
            <w:noWrap/>
            <w:vAlign w:val="center"/>
          </w:tcPr>
          <w:p w14:paraId="0E83C2C0">
            <w:pPr>
              <w:widowControl/>
              <w:jc w:val="center"/>
              <w:rPr>
                <w:kern w:val="0"/>
                <w:sz w:val="24"/>
                <w:szCs w:val="24"/>
              </w:rPr>
            </w:pPr>
          </w:p>
        </w:tc>
        <w:tc>
          <w:tcPr>
            <w:tcW w:w="715" w:type="dxa"/>
            <w:noWrap/>
            <w:vAlign w:val="center"/>
          </w:tcPr>
          <w:p w14:paraId="432C3DBB">
            <w:pPr>
              <w:widowControl/>
              <w:jc w:val="center"/>
              <w:rPr>
                <w:kern w:val="0"/>
                <w:sz w:val="24"/>
                <w:szCs w:val="24"/>
              </w:rPr>
            </w:pPr>
          </w:p>
        </w:tc>
        <w:tc>
          <w:tcPr>
            <w:tcW w:w="795" w:type="dxa"/>
            <w:noWrap/>
            <w:vAlign w:val="center"/>
          </w:tcPr>
          <w:p w14:paraId="388F0D62">
            <w:pPr>
              <w:widowControl/>
              <w:jc w:val="center"/>
              <w:rPr>
                <w:kern w:val="0"/>
                <w:sz w:val="24"/>
                <w:szCs w:val="24"/>
              </w:rPr>
            </w:pPr>
          </w:p>
        </w:tc>
        <w:tc>
          <w:tcPr>
            <w:tcW w:w="767" w:type="dxa"/>
            <w:noWrap/>
            <w:vAlign w:val="center"/>
          </w:tcPr>
          <w:p w14:paraId="1D25A51A">
            <w:pPr>
              <w:widowControl/>
              <w:jc w:val="center"/>
              <w:rPr>
                <w:kern w:val="0"/>
                <w:sz w:val="24"/>
                <w:szCs w:val="24"/>
              </w:rPr>
            </w:pPr>
          </w:p>
        </w:tc>
        <w:tc>
          <w:tcPr>
            <w:tcW w:w="737" w:type="dxa"/>
            <w:noWrap/>
            <w:vAlign w:val="center"/>
          </w:tcPr>
          <w:p w14:paraId="43137F56">
            <w:pPr>
              <w:widowControl/>
              <w:jc w:val="center"/>
              <w:rPr>
                <w:kern w:val="0"/>
                <w:sz w:val="24"/>
                <w:szCs w:val="24"/>
              </w:rPr>
            </w:pPr>
          </w:p>
        </w:tc>
      </w:tr>
      <w:tr w14:paraId="6BC001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5BDD3B18">
            <w:pPr>
              <w:widowControl/>
              <w:jc w:val="center"/>
              <w:rPr>
                <w:kern w:val="0"/>
                <w:sz w:val="24"/>
                <w:szCs w:val="24"/>
              </w:rPr>
            </w:pPr>
          </w:p>
        </w:tc>
        <w:tc>
          <w:tcPr>
            <w:tcW w:w="1348" w:type="dxa"/>
            <w:noWrap/>
            <w:vAlign w:val="center"/>
          </w:tcPr>
          <w:p w14:paraId="064E3956">
            <w:pPr>
              <w:widowControl/>
              <w:jc w:val="center"/>
              <w:rPr>
                <w:kern w:val="0"/>
                <w:sz w:val="24"/>
                <w:szCs w:val="24"/>
              </w:rPr>
            </w:pPr>
          </w:p>
        </w:tc>
        <w:tc>
          <w:tcPr>
            <w:tcW w:w="716" w:type="dxa"/>
            <w:noWrap/>
            <w:vAlign w:val="center"/>
          </w:tcPr>
          <w:p w14:paraId="5C791811">
            <w:pPr>
              <w:widowControl/>
              <w:jc w:val="center"/>
              <w:rPr>
                <w:kern w:val="0"/>
                <w:sz w:val="24"/>
                <w:szCs w:val="24"/>
              </w:rPr>
            </w:pPr>
          </w:p>
        </w:tc>
        <w:tc>
          <w:tcPr>
            <w:tcW w:w="715" w:type="dxa"/>
            <w:noWrap/>
            <w:vAlign w:val="center"/>
          </w:tcPr>
          <w:p w14:paraId="3366B680">
            <w:pPr>
              <w:widowControl/>
              <w:jc w:val="center"/>
              <w:rPr>
                <w:kern w:val="0"/>
                <w:sz w:val="24"/>
                <w:szCs w:val="24"/>
              </w:rPr>
            </w:pPr>
          </w:p>
        </w:tc>
        <w:tc>
          <w:tcPr>
            <w:tcW w:w="1230" w:type="dxa"/>
            <w:noWrap/>
            <w:vAlign w:val="center"/>
          </w:tcPr>
          <w:p w14:paraId="0DA66F73">
            <w:pPr>
              <w:widowControl/>
              <w:jc w:val="center"/>
              <w:rPr>
                <w:kern w:val="0"/>
                <w:sz w:val="24"/>
                <w:szCs w:val="24"/>
              </w:rPr>
            </w:pPr>
          </w:p>
        </w:tc>
        <w:tc>
          <w:tcPr>
            <w:tcW w:w="715" w:type="dxa"/>
            <w:noWrap/>
            <w:vAlign w:val="center"/>
          </w:tcPr>
          <w:p w14:paraId="2E0A5F83">
            <w:pPr>
              <w:widowControl/>
              <w:jc w:val="center"/>
              <w:rPr>
                <w:kern w:val="0"/>
                <w:sz w:val="24"/>
                <w:szCs w:val="24"/>
              </w:rPr>
            </w:pPr>
          </w:p>
        </w:tc>
        <w:tc>
          <w:tcPr>
            <w:tcW w:w="1235" w:type="dxa"/>
            <w:noWrap/>
            <w:vAlign w:val="center"/>
          </w:tcPr>
          <w:p w14:paraId="15A6E76E">
            <w:pPr>
              <w:widowControl/>
              <w:jc w:val="center"/>
              <w:rPr>
                <w:kern w:val="0"/>
                <w:sz w:val="24"/>
                <w:szCs w:val="24"/>
              </w:rPr>
            </w:pPr>
          </w:p>
        </w:tc>
        <w:tc>
          <w:tcPr>
            <w:tcW w:w="715" w:type="dxa"/>
            <w:noWrap/>
            <w:vAlign w:val="center"/>
          </w:tcPr>
          <w:p w14:paraId="75A13F8B">
            <w:pPr>
              <w:widowControl/>
              <w:jc w:val="center"/>
              <w:rPr>
                <w:kern w:val="0"/>
                <w:sz w:val="24"/>
                <w:szCs w:val="24"/>
              </w:rPr>
            </w:pPr>
          </w:p>
        </w:tc>
        <w:tc>
          <w:tcPr>
            <w:tcW w:w="795" w:type="dxa"/>
            <w:noWrap/>
            <w:vAlign w:val="center"/>
          </w:tcPr>
          <w:p w14:paraId="57ACC749">
            <w:pPr>
              <w:widowControl/>
              <w:jc w:val="center"/>
              <w:rPr>
                <w:kern w:val="0"/>
                <w:sz w:val="24"/>
                <w:szCs w:val="24"/>
              </w:rPr>
            </w:pPr>
          </w:p>
        </w:tc>
        <w:tc>
          <w:tcPr>
            <w:tcW w:w="767" w:type="dxa"/>
            <w:noWrap/>
            <w:vAlign w:val="center"/>
          </w:tcPr>
          <w:p w14:paraId="085231C6">
            <w:pPr>
              <w:widowControl/>
              <w:jc w:val="center"/>
              <w:rPr>
                <w:kern w:val="0"/>
                <w:sz w:val="24"/>
                <w:szCs w:val="24"/>
              </w:rPr>
            </w:pPr>
          </w:p>
        </w:tc>
        <w:tc>
          <w:tcPr>
            <w:tcW w:w="737" w:type="dxa"/>
            <w:noWrap/>
            <w:vAlign w:val="center"/>
          </w:tcPr>
          <w:p w14:paraId="29DEA184">
            <w:pPr>
              <w:widowControl/>
              <w:jc w:val="center"/>
              <w:rPr>
                <w:kern w:val="0"/>
                <w:sz w:val="24"/>
                <w:szCs w:val="24"/>
              </w:rPr>
            </w:pPr>
          </w:p>
        </w:tc>
      </w:tr>
      <w:tr w14:paraId="1FC8FA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6039F032">
            <w:pPr>
              <w:widowControl/>
              <w:jc w:val="center"/>
              <w:rPr>
                <w:kern w:val="0"/>
                <w:sz w:val="24"/>
                <w:szCs w:val="24"/>
              </w:rPr>
            </w:pPr>
          </w:p>
        </w:tc>
        <w:tc>
          <w:tcPr>
            <w:tcW w:w="1348" w:type="dxa"/>
            <w:noWrap/>
            <w:vAlign w:val="center"/>
          </w:tcPr>
          <w:p w14:paraId="462585DA">
            <w:pPr>
              <w:widowControl/>
              <w:jc w:val="center"/>
              <w:rPr>
                <w:kern w:val="0"/>
                <w:sz w:val="24"/>
                <w:szCs w:val="24"/>
              </w:rPr>
            </w:pPr>
          </w:p>
        </w:tc>
        <w:tc>
          <w:tcPr>
            <w:tcW w:w="716" w:type="dxa"/>
            <w:noWrap/>
            <w:vAlign w:val="center"/>
          </w:tcPr>
          <w:p w14:paraId="76423EEB">
            <w:pPr>
              <w:widowControl/>
              <w:jc w:val="center"/>
              <w:rPr>
                <w:kern w:val="0"/>
                <w:sz w:val="24"/>
                <w:szCs w:val="24"/>
              </w:rPr>
            </w:pPr>
          </w:p>
        </w:tc>
        <w:tc>
          <w:tcPr>
            <w:tcW w:w="715" w:type="dxa"/>
            <w:noWrap/>
            <w:vAlign w:val="center"/>
          </w:tcPr>
          <w:p w14:paraId="2B270ECA">
            <w:pPr>
              <w:widowControl/>
              <w:jc w:val="center"/>
              <w:rPr>
                <w:kern w:val="0"/>
                <w:sz w:val="24"/>
                <w:szCs w:val="24"/>
              </w:rPr>
            </w:pPr>
          </w:p>
        </w:tc>
        <w:tc>
          <w:tcPr>
            <w:tcW w:w="1230" w:type="dxa"/>
            <w:noWrap/>
            <w:vAlign w:val="center"/>
          </w:tcPr>
          <w:p w14:paraId="5557CDBF">
            <w:pPr>
              <w:widowControl/>
              <w:jc w:val="center"/>
              <w:rPr>
                <w:kern w:val="0"/>
                <w:sz w:val="24"/>
                <w:szCs w:val="24"/>
              </w:rPr>
            </w:pPr>
          </w:p>
        </w:tc>
        <w:tc>
          <w:tcPr>
            <w:tcW w:w="715" w:type="dxa"/>
            <w:noWrap/>
            <w:vAlign w:val="center"/>
          </w:tcPr>
          <w:p w14:paraId="26D8997F">
            <w:pPr>
              <w:widowControl/>
              <w:jc w:val="center"/>
              <w:rPr>
                <w:kern w:val="0"/>
                <w:sz w:val="24"/>
                <w:szCs w:val="24"/>
              </w:rPr>
            </w:pPr>
          </w:p>
        </w:tc>
        <w:tc>
          <w:tcPr>
            <w:tcW w:w="1235" w:type="dxa"/>
            <w:noWrap/>
            <w:vAlign w:val="center"/>
          </w:tcPr>
          <w:p w14:paraId="47BCC742">
            <w:pPr>
              <w:widowControl/>
              <w:jc w:val="center"/>
              <w:rPr>
                <w:kern w:val="0"/>
                <w:sz w:val="24"/>
                <w:szCs w:val="24"/>
              </w:rPr>
            </w:pPr>
          </w:p>
        </w:tc>
        <w:tc>
          <w:tcPr>
            <w:tcW w:w="715" w:type="dxa"/>
            <w:noWrap/>
            <w:vAlign w:val="center"/>
          </w:tcPr>
          <w:p w14:paraId="72345989">
            <w:pPr>
              <w:widowControl/>
              <w:jc w:val="center"/>
              <w:rPr>
                <w:kern w:val="0"/>
                <w:sz w:val="24"/>
                <w:szCs w:val="24"/>
              </w:rPr>
            </w:pPr>
          </w:p>
        </w:tc>
        <w:tc>
          <w:tcPr>
            <w:tcW w:w="795" w:type="dxa"/>
            <w:noWrap/>
            <w:vAlign w:val="center"/>
          </w:tcPr>
          <w:p w14:paraId="25B28499">
            <w:pPr>
              <w:widowControl/>
              <w:jc w:val="center"/>
              <w:rPr>
                <w:kern w:val="0"/>
                <w:sz w:val="24"/>
                <w:szCs w:val="24"/>
              </w:rPr>
            </w:pPr>
          </w:p>
        </w:tc>
        <w:tc>
          <w:tcPr>
            <w:tcW w:w="767" w:type="dxa"/>
            <w:noWrap/>
            <w:vAlign w:val="center"/>
          </w:tcPr>
          <w:p w14:paraId="402C2CA8">
            <w:pPr>
              <w:widowControl/>
              <w:jc w:val="center"/>
              <w:rPr>
                <w:kern w:val="0"/>
                <w:sz w:val="24"/>
                <w:szCs w:val="24"/>
              </w:rPr>
            </w:pPr>
          </w:p>
        </w:tc>
        <w:tc>
          <w:tcPr>
            <w:tcW w:w="737" w:type="dxa"/>
            <w:noWrap/>
            <w:vAlign w:val="center"/>
          </w:tcPr>
          <w:p w14:paraId="2365937E">
            <w:pPr>
              <w:widowControl/>
              <w:jc w:val="center"/>
              <w:rPr>
                <w:kern w:val="0"/>
                <w:sz w:val="24"/>
                <w:szCs w:val="24"/>
              </w:rPr>
            </w:pPr>
          </w:p>
        </w:tc>
      </w:tr>
    </w:tbl>
    <w:p w14:paraId="0DE7FF4B">
      <w:pPr>
        <w:ind w:left="180"/>
        <w:rPr>
          <w:sz w:val="24"/>
        </w:rPr>
      </w:pPr>
    </w:p>
    <w:p w14:paraId="4E57FCA7">
      <w:pPr>
        <w:spacing w:line="360" w:lineRule="auto"/>
        <w:ind w:left="181"/>
        <w:rPr>
          <w:sz w:val="24"/>
          <w:szCs w:val="24"/>
        </w:rPr>
      </w:pPr>
      <w:r>
        <w:rPr>
          <w:sz w:val="24"/>
          <w:szCs w:val="24"/>
        </w:rPr>
        <w:t>注：</w:t>
      </w:r>
    </w:p>
    <w:p w14:paraId="088AFBA8">
      <w:pPr>
        <w:spacing w:line="360" w:lineRule="auto"/>
        <w:ind w:left="181"/>
        <w:rPr>
          <w:sz w:val="24"/>
          <w:szCs w:val="24"/>
        </w:rPr>
      </w:pPr>
      <w:r>
        <w:rPr>
          <w:sz w:val="24"/>
          <w:szCs w:val="24"/>
        </w:rPr>
        <w:t>1. 商品属性应在“环保产品”、“节能、节水产品”、“自主知识产权产品”、“无”四个选择项中选择填写。</w:t>
      </w:r>
    </w:p>
    <w:p w14:paraId="2D7600DD">
      <w:pPr>
        <w:spacing w:line="360" w:lineRule="auto"/>
        <w:ind w:left="181"/>
        <w:rPr>
          <w:sz w:val="24"/>
          <w:szCs w:val="24"/>
        </w:rPr>
      </w:pPr>
      <w:r>
        <w:rPr>
          <w:sz w:val="24"/>
          <w:szCs w:val="24"/>
        </w:rPr>
        <w:t>2. 开标分项一览表中应列明开标一览表中每项的分项内容。</w:t>
      </w:r>
    </w:p>
    <w:p w14:paraId="3D9EFA6A">
      <w:pPr>
        <w:spacing w:line="360" w:lineRule="auto"/>
        <w:ind w:left="181"/>
        <w:rPr>
          <w:sz w:val="24"/>
          <w:szCs w:val="24"/>
        </w:rPr>
      </w:pPr>
      <w:r>
        <w:rPr>
          <w:rFonts w:hint="eastAsia"/>
          <w:sz w:val="24"/>
          <w:szCs w:val="24"/>
        </w:rPr>
        <w:t>3. 如国产产品，产地精确到省级行政区域。如进口产品，产地精确到国家。</w:t>
      </w:r>
    </w:p>
    <w:p w14:paraId="73D1EFBF">
      <w:pPr>
        <w:spacing w:line="360" w:lineRule="auto"/>
        <w:ind w:left="181"/>
        <w:rPr>
          <w:sz w:val="24"/>
          <w:szCs w:val="24"/>
        </w:rPr>
      </w:pPr>
    </w:p>
    <w:p w14:paraId="72F86E91">
      <w:pPr>
        <w:spacing w:line="360" w:lineRule="auto"/>
        <w:ind w:firstLine="3808" w:firstLineChars="1700"/>
        <w:rPr>
          <w:sz w:val="24"/>
        </w:rPr>
      </w:pPr>
      <w:r>
        <w:rPr>
          <w:sz w:val="24"/>
        </w:rPr>
        <w:t>投标人名称：</w:t>
      </w:r>
    </w:p>
    <w:p w14:paraId="0F349644">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ACD8A18">
      <w:pPr>
        <w:widowControl/>
        <w:jc w:val="left"/>
        <w:rPr>
          <w:sz w:val="24"/>
        </w:rPr>
      </w:pPr>
      <w:r>
        <w:rPr>
          <w:sz w:val="24"/>
        </w:rPr>
        <w:br w:type="page"/>
      </w:r>
    </w:p>
    <w:p w14:paraId="219AC34D">
      <w:pPr>
        <w:tabs>
          <w:tab w:val="left" w:pos="360"/>
        </w:tabs>
        <w:spacing w:line="360" w:lineRule="auto"/>
        <w:rPr>
          <w:b/>
          <w:sz w:val="24"/>
        </w:rPr>
      </w:pPr>
      <w:r>
        <w:rPr>
          <w:b/>
          <w:sz w:val="24"/>
        </w:rPr>
        <w:t>附件</w:t>
      </w:r>
      <w:r>
        <w:rPr>
          <w:rFonts w:hint="eastAsia"/>
          <w:b/>
          <w:sz w:val="24"/>
        </w:rPr>
        <w:t>6</w:t>
      </w:r>
      <w:r>
        <w:rPr>
          <w:b/>
          <w:sz w:val="24"/>
        </w:rPr>
        <w:t>-1</w:t>
      </w:r>
    </w:p>
    <w:p w14:paraId="768DF461">
      <w:pPr>
        <w:autoSpaceDN w:val="0"/>
        <w:spacing w:line="360" w:lineRule="auto"/>
        <w:jc w:val="center"/>
        <w:rPr>
          <w:b/>
          <w:bCs/>
          <w:sz w:val="24"/>
        </w:rPr>
      </w:pPr>
      <w:r>
        <w:rPr>
          <w:b/>
          <w:bCs/>
          <w:sz w:val="24"/>
        </w:rPr>
        <w:t>商务要求点对点应答表</w:t>
      </w:r>
    </w:p>
    <w:p w14:paraId="637C76E5">
      <w:pPr>
        <w:spacing w:line="460" w:lineRule="exact"/>
        <w:rPr>
          <w:sz w:val="24"/>
        </w:rPr>
      </w:pPr>
    </w:p>
    <w:p w14:paraId="67E5212F">
      <w:pPr>
        <w:spacing w:line="460" w:lineRule="exact"/>
        <w:rPr>
          <w:sz w:val="24"/>
        </w:rPr>
      </w:pPr>
      <w:r>
        <w:rPr>
          <w:sz w:val="24"/>
        </w:rPr>
        <w:t>项目名称：</w:t>
      </w:r>
      <w:r>
        <w:rPr>
          <w:sz w:val="24"/>
          <w:u w:val="single"/>
        </w:rPr>
        <w:t xml:space="preserve">                    </w:t>
      </w:r>
    </w:p>
    <w:p w14:paraId="28E482A0">
      <w:pPr>
        <w:spacing w:line="460" w:lineRule="exact"/>
        <w:rPr>
          <w:sz w:val="24"/>
        </w:rPr>
      </w:pPr>
      <w:r>
        <w:rPr>
          <w:sz w:val="24"/>
        </w:rPr>
        <w:t>项目编号：</w:t>
      </w:r>
      <w:r>
        <w:rPr>
          <w:sz w:val="24"/>
          <w:u w:val="single"/>
        </w:rPr>
        <w:t xml:space="preserve">                    </w:t>
      </w:r>
    </w:p>
    <w:p w14:paraId="47927FAF">
      <w:pPr>
        <w:spacing w:line="460" w:lineRule="exact"/>
        <w:rPr>
          <w:sz w:val="24"/>
          <w:u w:val="single"/>
        </w:rPr>
      </w:pPr>
      <w:r>
        <w:rPr>
          <w:sz w:val="24"/>
        </w:rPr>
        <w:t>包号：</w:t>
      </w:r>
      <w:r>
        <w:rPr>
          <w:sz w:val="24"/>
          <w:u w:val="single"/>
        </w:rPr>
        <w:t xml:space="preserve">                        </w:t>
      </w:r>
    </w:p>
    <w:p w14:paraId="75292396">
      <w:pPr>
        <w:spacing w:line="460" w:lineRule="exact"/>
        <w:rPr>
          <w:sz w:val="24"/>
          <w:u w:val="single"/>
        </w:rPr>
      </w:pPr>
    </w:p>
    <w:tbl>
      <w:tblPr>
        <w:tblStyle w:val="18"/>
        <w:tblW w:w="94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80"/>
        <w:gridCol w:w="2500"/>
        <w:gridCol w:w="2680"/>
        <w:gridCol w:w="1979"/>
        <w:gridCol w:w="1241"/>
      </w:tblGrid>
      <w:tr w14:paraId="68FCFC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080" w:type="dxa"/>
            <w:shd w:val="clear" w:color="auto" w:fill="auto"/>
            <w:vAlign w:val="center"/>
          </w:tcPr>
          <w:p w14:paraId="2C70E4CE">
            <w:pPr>
              <w:widowControl/>
              <w:snapToGrid w:val="0"/>
              <w:jc w:val="center"/>
              <w:rPr>
                <w:kern w:val="0"/>
                <w:sz w:val="24"/>
                <w:szCs w:val="21"/>
              </w:rPr>
            </w:pPr>
            <w:r>
              <w:rPr>
                <w:kern w:val="0"/>
                <w:sz w:val="24"/>
                <w:szCs w:val="21"/>
              </w:rPr>
              <w:t>序号</w:t>
            </w:r>
          </w:p>
        </w:tc>
        <w:tc>
          <w:tcPr>
            <w:tcW w:w="2500" w:type="dxa"/>
            <w:shd w:val="clear" w:color="auto" w:fill="auto"/>
            <w:vAlign w:val="center"/>
          </w:tcPr>
          <w:p w14:paraId="49881309">
            <w:pPr>
              <w:widowControl/>
              <w:snapToGrid w:val="0"/>
              <w:jc w:val="center"/>
              <w:rPr>
                <w:kern w:val="0"/>
                <w:sz w:val="24"/>
                <w:szCs w:val="21"/>
              </w:rPr>
            </w:pPr>
            <w:r>
              <w:rPr>
                <w:kern w:val="0"/>
                <w:sz w:val="24"/>
                <w:szCs w:val="21"/>
              </w:rPr>
              <w:t>招标要求</w:t>
            </w:r>
          </w:p>
        </w:tc>
        <w:tc>
          <w:tcPr>
            <w:tcW w:w="2680" w:type="dxa"/>
            <w:shd w:val="clear" w:color="auto" w:fill="auto"/>
            <w:vAlign w:val="center"/>
          </w:tcPr>
          <w:p w14:paraId="16052426">
            <w:pPr>
              <w:widowControl/>
              <w:snapToGrid w:val="0"/>
              <w:jc w:val="center"/>
              <w:rPr>
                <w:kern w:val="0"/>
                <w:sz w:val="24"/>
                <w:szCs w:val="21"/>
              </w:rPr>
            </w:pPr>
            <w:r>
              <w:rPr>
                <w:kern w:val="0"/>
                <w:sz w:val="24"/>
                <w:szCs w:val="21"/>
              </w:rPr>
              <w:t>投标应答</w:t>
            </w:r>
          </w:p>
        </w:tc>
        <w:tc>
          <w:tcPr>
            <w:tcW w:w="1979" w:type="dxa"/>
            <w:shd w:val="clear" w:color="auto" w:fill="auto"/>
            <w:vAlign w:val="center"/>
          </w:tcPr>
          <w:p w14:paraId="7C3841CD">
            <w:pPr>
              <w:widowControl/>
              <w:snapToGrid w:val="0"/>
              <w:jc w:val="center"/>
              <w:rPr>
                <w:kern w:val="0"/>
                <w:sz w:val="24"/>
                <w:szCs w:val="21"/>
              </w:rPr>
            </w:pPr>
            <w:r>
              <w:rPr>
                <w:kern w:val="0"/>
                <w:sz w:val="24"/>
                <w:szCs w:val="21"/>
              </w:rPr>
              <w:t>偏离说明</w:t>
            </w:r>
          </w:p>
        </w:tc>
        <w:tc>
          <w:tcPr>
            <w:tcW w:w="1241" w:type="dxa"/>
            <w:shd w:val="clear" w:color="auto" w:fill="auto"/>
            <w:vAlign w:val="center"/>
          </w:tcPr>
          <w:p w14:paraId="7134932F">
            <w:pPr>
              <w:widowControl/>
              <w:snapToGrid w:val="0"/>
              <w:jc w:val="center"/>
              <w:rPr>
                <w:kern w:val="0"/>
                <w:sz w:val="24"/>
                <w:szCs w:val="21"/>
              </w:rPr>
            </w:pPr>
            <w:r>
              <w:rPr>
                <w:kern w:val="0"/>
                <w:sz w:val="24"/>
                <w:szCs w:val="21"/>
              </w:rPr>
              <w:t>备注</w:t>
            </w:r>
          </w:p>
        </w:tc>
      </w:tr>
      <w:tr w14:paraId="6E2626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2CD86C69">
            <w:pPr>
              <w:widowControl/>
              <w:snapToGrid w:val="0"/>
              <w:jc w:val="left"/>
              <w:rPr>
                <w:kern w:val="0"/>
                <w:sz w:val="24"/>
                <w:szCs w:val="21"/>
              </w:rPr>
            </w:pPr>
            <w:r>
              <w:rPr>
                <w:kern w:val="0"/>
                <w:sz w:val="24"/>
                <w:szCs w:val="21"/>
              </w:rPr>
              <w:t>（</w:t>
            </w:r>
            <w:r>
              <w:rPr>
                <w:rFonts w:hint="eastAsia"/>
                <w:kern w:val="0"/>
                <w:sz w:val="24"/>
                <w:szCs w:val="21"/>
              </w:rPr>
              <w:t>一</w:t>
            </w:r>
            <w:r>
              <w:rPr>
                <w:kern w:val="0"/>
                <w:sz w:val="24"/>
                <w:szCs w:val="21"/>
              </w:rPr>
              <w:t>）报价要求</w:t>
            </w:r>
          </w:p>
        </w:tc>
      </w:tr>
      <w:tr w14:paraId="128193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2A8ED9DA">
            <w:pPr>
              <w:widowControl/>
              <w:snapToGrid w:val="0"/>
              <w:jc w:val="center"/>
              <w:rPr>
                <w:kern w:val="0"/>
                <w:sz w:val="24"/>
                <w:szCs w:val="21"/>
              </w:rPr>
            </w:pPr>
          </w:p>
        </w:tc>
        <w:tc>
          <w:tcPr>
            <w:tcW w:w="2500" w:type="dxa"/>
            <w:shd w:val="clear" w:color="auto" w:fill="auto"/>
            <w:vAlign w:val="center"/>
          </w:tcPr>
          <w:p w14:paraId="6722EB1B">
            <w:pPr>
              <w:widowControl/>
              <w:snapToGrid w:val="0"/>
              <w:jc w:val="left"/>
              <w:rPr>
                <w:kern w:val="0"/>
                <w:sz w:val="24"/>
                <w:szCs w:val="21"/>
              </w:rPr>
            </w:pPr>
          </w:p>
        </w:tc>
        <w:tc>
          <w:tcPr>
            <w:tcW w:w="2680" w:type="dxa"/>
            <w:shd w:val="clear" w:color="auto" w:fill="auto"/>
            <w:vAlign w:val="center"/>
          </w:tcPr>
          <w:p w14:paraId="34B55239">
            <w:pPr>
              <w:widowControl/>
              <w:snapToGrid w:val="0"/>
              <w:jc w:val="left"/>
              <w:rPr>
                <w:kern w:val="0"/>
                <w:sz w:val="24"/>
                <w:szCs w:val="21"/>
              </w:rPr>
            </w:pPr>
          </w:p>
        </w:tc>
        <w:tc>
          <w:tcPr>
            <w:tcW w:w="1979" w:type="dxa"/>
            <w:shd w:val="clear" w:color="auto" w:fill="auto"/>
            <w:vAlign w:val="center"/>
          </w:tcPr>
          <w:p w14:paraId="3BD089F3">
            <w:pPr>
              <w:widowControl/>
              <w:snapToGrid w:val="0"/>
              <w:jc w:val="left"/>
              <w:rPr>
                <w:kern w:val="0"/>
                <w:sz w:val="24"/>
                <w:szCs w:val="21"/>
              </w:rPr>
            </w:pPr>
          </w:p>
        </w:tc>
        <w:tc>
          <w:tcPr>
            <w:tcW w:w="1241" w:type="dxa"/>
            <w:shd w:val="clear" w:color="auto" w:fill="auto"/>
            <w:vAlign w:val="center"/>
          </w:tcPr>
          <w:p w14:paraId="78654A52">
            <w:pPr>
              <w:widowControl/>
              <w:snapToGrid w:val="0"/>
              <w:jc w:val="left"/>
              <w:rPr>
                <w:kern w:val="0"/>
                <w:sz w:val="24"/>
                <w:szCs w:val="21"/>
              </w:rPr>
            </w:pPr>
          </w:p>
        </w:tc>
      </w:tr>
      <w:tr w14:paraId="1E14B3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42245D64">
            <w:pPr>
              <w:widowControl/>
              <w:snapToGrid w:val="0"/>
              <w:jc w:val="center"/>
              <w:rPr>
                <w:kern w:val="0"/>
                <w:sz w:val="24"/>
                <w:szCs w:val="21"/>
              </w:rPr>
            </w:pPr>
          </w:p>
        </w:tc>
        <w:tc>
          <w:tcPr>
            <w:tcW w:w="2500" w:type="dxa"/>
            <w:shd w:val="clear" w:color="auto" w:fill="auto"/>
            <w:vAlign w:val="center"/>
          </w:tcPr>
          <w:p w14:paraId="5358F383">
            <w:pPr>
              <w:widowControl/>
              <w:snapToGrid w:val="0"/>
              <w:jc w:val="left"/>
              <w:rPr>
                <w:kern w:val="0"/>
                <w:sz w:val="24"/>
                <w:szCs w:val="21"/>
              </w:rPr>
            </w:pPr>
          </w:p>
        </w:tc>
        <w:tc>
          <w:tcPr>
            <w:tcW w:w="2680" w:type="dxa"/>
            <w:shd w:val="clear" w:color="auto" w:fill="auto"/>
            <w:vAlign w:val="center"/>
          </w:tcPr>
          <w:p w14:paraId="62C6E0E2">
            <w:pPr>
              <w:widowControl/>
              <w:snapToGrid w:val="0"/>
              <w:jc w:val="left"/>
              <w:rPr>
                <w:kern w:val="0"/>
                <w:sz w:val="24"/>
                <w:szCs w:val="21"/>
              </w:rPr>
            </w:pPr>
          </w:p>
        </w:tc>
        <w:tc>
          <w:tcPr>
            <w:tcW w:w="1979" w:type="dxa"/>
            <w:shd w:val="clear" w:color="auto" w:fill="auto"/>
            <w:vAlign w:val="center"/>
          </w:tcPr>
          <w:p w14:paraId="36FABB4A">
            <w:pPr>
              <w:widowControl/>
              <w:snapToGrid w:val="0"/>
              <w:jc w:val="left"/>
              <w:rPr>
                <w:kern w:val="0"/>
                <w:sz w:val="24"/>
                <w:szCs w:val="21"/>
              </w:rPr>
            </w:pPr>
          </w:p>
        </w:tc>
        <w:tc>
          <w:tcPr>
            <w:tcW w:w="1241" w:type="dxa"/>
            <w:shd w:val="clear" w:color="auto" w:fill="auto"/>
            <w:vAlign w:val="center"/>
          </w:tcPr>
          <w:p w14:paraId="0999FE86">
            <w:pPr>
              <w:widowControl/>
              <w:snapToGrid w:val="0"/>
              <w:jc w:val="left"/>
              <w:rPr>
                <w:kern w:val="0"/>
                <w:sz w:val="24"/>
                <w:szCs w:val="21"/>
              </w:rPr>
            </w:pPr>
          </w:p>
        </w:tc>
      </w:tr>
      <w:tr w14:paraId="7CF7B9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763C35F1">
            <w:pPr>
              <w:widowControl/>
              <w:snapToGrid w:val="0"/>
              <w:jc w:val="left"/>
              <w:rPr>
                <w:kern w:val="0"/>
                <w:sz w:val="24"/>
                <w:szCs w:val="21"/>
              </w:rPr>
            </w:pPr>
            <w:r>
              <w:rPr>
                <w:rFonts w:hint="eastAsia"/>
                <w:kern w:val="0"/>
                <w:sz w:val="24"/>
                <w:szCs w:val="21"/>
              </w:rPr>
              <w:t>（二）服务要求</w:t>
            </w:r>
          </w:p>
        </w:tc>
      </w:tr>
      <w:tr w14:paraId="45E29A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5AC97BA6">
            <w:pPr>
              <w:widowControl/>
              <w:snapToGrid w:val="0"/>
              <w:jc w:val="center"/>
              <w:rPr>
                <w:kern w:val="0"/>
                <w:sz w:val="24"/>
                <w:szCs w:val="21"/>
              </w:rPr>
            </w:pPr>
          </w:p>
        </w:tc>
        <w:tc>
          <w:tcPr>
            <w:tcW w:w="2500" w:type="dxa"/>
            <w:shd w:val="clear" w:color="auto" w:fill="auto"/>
            <w:vAlign w:val="center"/>
          </w:tcPr>
          <w:p w14:paraId="5C5EB88E">
            <w:pPr>
              <w:widowControl/>
              <w:snapToGrid w:val="0"/>
              <w:jc w:val="left"/>
              <w:rPr>
                <w:kern w:val="0"/>
                <w:sz w:val="24"/>
                <w:szCs w:val="21"/>
              </w:rPr>
            </w:pPr>
          </w:p>
        </w:tc>
        <w:tc>
          <w:tcPr>
            <w:tcW w:w="2680" w:type="dxa"/>
            <w:shd w:val="clear" w:color="auto" w:fill="auto"/>
            <w:vAlign w:val="center"/>
          </w:tcPr>
          <w:p w14:paraId="732EDC58">
            <w:pPr>
              <w:widowControl/>
              <w:snapToGrid w:val="0"/>
              <w:jc w:val="left"/>
              <w:rPr>
                <w:kern w:val="0"/>
                <w:sz w:val="24"/>
                <w:szCs w:val="21"/>
              </w:rPr>
            </w:pPr>
          </w:p>
        </w:tc>
        <w:tc>
          <w:tcPr>
            <w:tcW w:w="1979" w:type="dxa"/>
            <w:shd w:val="clear" w:color="auto" w:fill="auto"/>
            <w:vAlign w:val="center"/>
          </w:tcPr>
          <w:p w14:paraId="7A3C1783">
            <w:pPr>
              <w:widowControl/>
              <w:snapToGrid w:val="0"/>
              <w:jc w:val="left"/>
              <w:rPr>
                <w:kern w:val="0"/>
                <w:sz w:val="24"/>
                <w:szCs w:val="21"/>
              </w:rPr>
            </w:pPr>
          </w:p>
        </w:tc>
        <w:tc>
          <w:tcPr>
            <w:tcW w:w="1241" w:type="dxa"/>
            <w:shd w:val="clear" w:color="auto" w:fill="auto"/>
            <w:vAlign w:val="center"/>
          </w:tcPr>
          <w:p w14:paraId="7AE669B0">
            <w:pPr>
              <w:widowControl/>
              <w:snapToGrid w:val="0"/>
              <w:jc w:val="left"/>
              <w:rPr>
                <w:kern w:val="0"/>
                <w:sz w:val="24"/>
                <w:szCs w:val="21"/>
              </w:rPr>
            </w:pPr>
          </w:p>
        </w:tc>
      </w:tr>
      <w:tr w14:paraId="62A3AC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16A5316B">
            <w:pPr>
              <w:widowControl/>
              <w:snapToGrid w:val="0"/>
              <w:jc w:val="center"/>
              <w:rPr>
                <w:kern w:val="0"/>
                <w:sz w:val="24"/>
                <w:szCs w:val="21"/>
              </w:rPr>
            </w:pPr>
          </w:p>
        </w:tc>
        <w:tc>
          <w:tcPr>
            <w:tcW w:w="2500" w:type="dxa"/>
            <w:shd w:val="clear" w:color="auto" w:fill="auto"/>
            <w:vAlign w:val="center"/>
          </w:tcPr>
          <w:p w14:paraId="593A42A6">
            <w:pPr>
              <w:widowControl/>
              <w:snapToGrid w:val="0"/>
              <w:jc w:val="left"/>
              <w:rPr>
                <w:kern w:val="0"/>
                <w:sz w:val="24"/>
                <w:szCs w:val="21"/>
              </w:rPr>
            </w:pPr>
          </w:p>
        </w:tc>
        <w:tc>
          <w:tcPr>
            <w:tcW w:w="2680" w:type="dxa"/>
            <w:shd w:val="clear" w:color="auto" w:fill="auto"/>
            <w:vAlign w:val="center"/>
          </w:tcPr>
          <w:p w14:paraId="0666364D">
            <w:pPr>
              <w:widowControl/>
              <w:snapToGrid w:val="0"/>
              <w:jc w:val="left"/>
              <w:rPr>
                <w:kern w:val="0"/>
                <w:sz w:val="24"/>
                <w:szCs w:val="21"/>
              </w:rPr>
            </w:pPr>
          </w:p>
        </w:tc>
        <w:tc>
          <w:tcPr>
            <w:tcW w:w="1979" w:type="dxa"/>
            <w:shd w:val="clear" w:color="auto" w:fill="auto"/>
            <w:vAlign w:val="center"/>
          </w:tcPr>
          <w:p w14:paraId="67007509">
            <w:pPr>
              <w:widowControl/>
              <w:snapToGrid w:val="0"/>
              <w:jc w:val="left"/>
              <w:rPr>
                <w:kern w:val="0"/>
                <w:sz w:val="24"/>
                <w:szCs w:val="21"/>
              </w:rPr>
            </w:pPr>
          </w:p>
        </w:tc>
        <w:tc>
          <w:tcPr>
            <w:tcW w:w="1241" w:type="dxa"/>
            <w:shd w:val="clear" w:color="auto" w:fill="auto"/>
            <w:vAlign w:val="center"/>
          </w:tcPr>
          <w:p w14:paraId="4406EE16">
            <w:pPr>
              <w:widowControl/>
              <w:snapToGrid w:val="0"/>
              <w:jc w:val="left"/>
              <w:rPr>
                <w:kern w:val="0"/>
                <w:sz w:val="24"/>
                <w:szCs w:val="21"/>
              </w:rPr>
            </w:pPr>
          </w:p>
        </w:tc>
      </w:tr>
      <w:tr w14:paraId="3C5F7A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78C83F24">
            <w:pPr>
              <w:widowControl/>
              <w:snapToGrid w:val="0"/>
              <w:jc w:val="left"/>
              <w:rPr>
                <w:kern w:val="0"/>
                <w:sz w:val="24"/>
                <w:szCs w:val="21"/>
              </w:rPr>
            </w:pPr>
            <w:r>
              <w:rPr>
                <w:rFonts w:hint="eastAsia"/>
                <w:kern w:val="0"/>
                <w:sz w:val="24"/>
                <w:szCs w:val="21"/>
              </w:rPr>
              <w:t>（三）交货要求</w:t>
            </w:r>
          </w:p>
        </w:tc>
      </w:tr>
      <w:tr w14:paraId="2DD591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651BAF22">
            <w:pPr>
              <w:widowControl/>
              <w:snapToGrid w:val="0"/>
              <w:jc w:val="center"/>
              <w:rPr>
                <w:kern w:val="0"/>
                <w:sz w:val="24"/>
                <w:szCs w:val="21"/>
              </w:rPr>
            </w:pPr>
          </w:p>
        </w:tc>
        <w:tc>
          <w:tcPr>
            <w:tcW w:w="2500" w:type="dxa"/>
            <w:shd w:val="clear" w:color="auto" w:fill="auto"/>
            <w:vAlign w:val="center"/>
          </w:tcPr>
          <w:p w14:paraId="4A444C21">
            <w:pPr>
              <w:widowControl/>
              <w:snapToGrid w:val="0"/>
              <w:jc w:val="left"/>
              <w:rPr>
                <w:kern w:val="0"/>
                <w:sz w:val="24"/>
                <w:szCs w:val="21"/>
              </w:rPr>
            </w:pPr>
          </w:p>
        </w:tc>
        <w:tc>
          <w:tcPr>
            <w:tcW w:w="2680" w:type="dxa"/>
            <w:shd w:val="clear" w:color="auto" w:fill="auto"/>
            <w:vAlign w:val="center"/>
          </w:tcPr>
          <w:p w14:paraId="5974D895">
            <w:pPr>
              <w:widowControl/>
              <w:snapToGrid w:val="0"/>
              <w:jc w:val="left"/>
              <w:rPr>
                <w:kern w:val="0"/>
                <w:sz w:val="24"/>
                <w:szCs w:val="21"/>
              </w:rPr>
            </w:pPr>
          </w:p>
        </w:tc>
        <w:tc>
          <w:tcPr>
            <w:tcW w:w="1979" w:type="dxa"/>
            <w:shd w:val="clear" w:color="auto" w:fill="auto"/>
            <w:vAlign w:val="center"/>
          </w:tcPr>
          <w:p w14:paraId="55BD40F3">
            <w:pPr>
              <w:widowControl/>
              <w:snapToGrid w:val="0"/>
              <w:jc w:val="left"/>
              <w:rPr>
                <w:kern w:val="0"/>
                <w:sz w:val="24"/>
                <w:szCs w:val="21"/>
              </w:rPr>
            </w:pPr>
          </w:p>
        </w:tc>
        <w:tc>
          <w:tcPr>
            <w:tcW w:w="1241" w:type="dxa"/>
            <w:shd w:val="clear" w:color="auto" w:fill="auto"/>
            <w:vAlign w:val="center"/>
          </w:tcPr>
          <w:p w14:paraId="6DA0E53C">
            <w:pPr>
              <w:widowControl/>
              <w:snapToGrid w:val="0"/>
              <w:jc w:val="left"/>
              <w:rPr>
                <w:kern w:val="0"/>
                <w:sz w:val="24"/>
                <w:szCs w:val="21"/>
              </w:rPr>
            </w:pPr>
          </w:p>
        </w:tc>
      </w:tr>
      <w:tr w14:paraId="6D9B29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5C9B1A08">
            <w:pPr>
              <w:widowControl/>
              <w:snapToGrid w:val="0"/>
              <w:jc w:val="left"/>
              <w:rPr>
                <w:kern w:val="0"/>
                <w:sz w:val="24"/>
                <w:szCs w:val="21"/>
              </w:rPr>
            </w:pPr>
            <w:r>
              <w:rPr>
                <w:kern w:val="0"/>
                <w:sz w:val="24"/>
                <w:szCs w:val="21"/>
              </w:rPr>
              <w:t>（</w:t>
            </w:r>
            <w:r>
              <w:rPr>
                <w:rFonts w:hint="eastAsia"/>
                <w:kern w:val="0"/>
                <w:sz w:val="24"/>
                <w:szCs w:val="21"/>
              </w:rPr>
              <w:t>四</w:t>
            </w:r>
            <w:r>
              <w:rPr>
                <w:kern w:val="0"/>
                <w:sz w:val="24"/>
                <w:szCs w:val="21"/>
              </w:rPr>
              <w:t>）付款方式</w:t>
            </w:r>
          </w:p>
        </w:tc>
      </w:tr>
      <w:tr w14:paraId="6617B6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1B1AB4D4">
            <w:pPr>
              <w:widowControl/>
              <w:snapToGrid w:val="0"/>
              <w:jc w:val="center"/>
              <w:rPr>
                <w:kern w:val="0"/>
                <w:sz w:val="24"/>
                <w:szCs w:val="21"/>
              </w:rPr>
            </w:pPr>
          </w:p>
        </w:tc>
        <w:tc>
          <w:tcPr>
            <w:tcW w:w="2500" w:type="dxa"/>
            <w:shd w:val="clear" w:color="auto" w:fill="auto"/>
            <w:vAlign w:val="center"/>
          </w:tcPr>
          <w:p w14:paraId="0EC34A11">
            <w:pPr>
              <w:widowControl/>
              <w:snapToGrid w:val="0"/>
              <w:jc w:val="left"/>
              <w:rPr>
                <w:kern w:val="0"/>
                <w:sz w:val="24"/>
                <w:szCs w:val="21"/>
              </w:rPr>
            </w:pPr>
          </w:p>
        </w:tc>
        <w:tc>
          <w:tcPr>
            <w:tcW w:w="2680" w:type="dxa"/>
            <w:shd w:val="clear" w:color="auto" w:fill="auto"/>
            <w:vAlign w:val="center"/>
          </w:tcPr>
          <w:p w14:paraId="5643EFE9">
            <w:pPr>
              <w:widowControl/>
              <w:snapToGrid w:val="0"/>
              <w:jc w:val="left"/>
              <w:rPr>
                <w:kern w:val="0"/>
                <w:sz w:val="24"/>
                <w:szCs w:val="21"/>
              </w:rPr>
            </w:pPr>
          </w:p>
        </w:tc>
        <w:tc>
          <w:tcPr>
            <w:tcW w:w="1979" w:type="dxa"/>
            <w:shd w:val="clear" w:color="auto" w:fill="auto"/>
            <w:vAlign w:val="center"/>
          </w:tcPr>
          <w:p w14:paraId="10B8ECFC">
            <w:pPr>
              <w:widowControl/>
              <w:snapToGrid w:val="0"/>
              <w:jc w:val="left"/>
              <w:rPr>
                <w:kern w:val="0"/>
                <w:sz w:val="24"/>
                <w:szCs w:val="21"/>
              </w:rPr>
            </w:pPr>
          </w:p>
        </w:tc>
        <w:tc>
          <w:tcPr>
            <w:tcW w:w="1241" w:type="dxa"/>
            <w:shd w:val="clear" w:color="auto" w:fill="auto"/>
            <w:vAlign w:val="center"/>
          </w:tcPr>
          <w:p w14:paraId="61900D7F">
            <w:pPr>
              <w:widowControl/>
              <w:snapToGrid w:val="0"/>
              <w:jc w:val="left"/>
              <w:rPr>
                <w:kern w:val="0"/>
                <w:sz w:val="24"/>
                <w:szCs w:val="21"/>
              </w:rPr>
            </w:pPr>
          </w:p>
        </w:tc>
      </w:tr>
      <w:tr w14:paraId="2B9A70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16946ED2">
            <w:pPr>
              <w:widowControl/>
              <w:snapToGrid w:val="0"/>
              <w:jc w:val="left"/>
              <w:rPr>
                <w:kern w:val="0"/>
                <w:sz w:val="24"/>
                <w:szCs w:val="21"/>
              </w:rPr>
            </w:pPr>
            <w:r>
              <w:rPr>
                <w:kern w:val="0"/>
                <w:sz w:val="24"/>
                <w:szCs w:val="21"/>
              </w:rPr>
              <w:t>（</w:t>
            </w:r>
            <w:r>
              <w:rPr>
                <w:rFonts w:hint="eastAsia"/>
                <w:kern w:val="0"/>
                <w:sz w:val="24"/>
                <w:szCs w:val="21"/>
              </w:rPr>
              <w:t>五</w:t>
            </w:r>
            <w:r>
              <w:rPr>
                <w:kern w:val="0"/>
                <w:sz w:val="24"/>
                <w:szCs w:val="21"/>
              </w:rPr>
              <w:t>）投标保证金和履约保证金</w:t>
            </w:r>
          </w:p>
        </w:tc>
      </w:tr>
      <w:tr w14:paraId="7407EA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2B45109F">
            <w:pPr>
              <w:widowControl/>
              <w:snapToGrid w:val="0"/>
              <w:jc w:val="center"/>
              <w:rPr>
                <w:kern w:val="0"/>
                <w:sz w:val="24"/>
                <w:szCs w:val="21"/>
              </w:rPr>
            </w:pPr>
          </w:p>
        </w:tc>
        <w:tc>
          <w:tcPr>
            <w:tcW w:w="2500" w:type="dxa"/>
            <w:shd w:val="clear" w:color="auto" w:fill="auto"/>
            <w:vAlign w:val="center"/>
          </w:tcPr>
          <w:p w14:paraId="3C7F12E3">
            <w:pPr>
              <w:widowControl/>
              <w:snapToGrid w:val="0"/>
              <w:jc w:val="left"/>
              <w:rPr>
                <w:kern w:val="0"/>
                <w:sz w:val="24"/>
                <w:szCs w:val="21"/>
              </w:rPr>
            </w:pPr>
          </w:p>
        </w:tc>
        <w:tc>
          <w:tcPr>
            <w:tcW w:w="2680" w:type="dxa"/>
            <w:shd w:val="clear" w:color="auto" w:fill="auto"/>
            <w:vAlign w:val="center"/>
          </w:tcPr>
          <w:p w14:paraId="230B7558">
            <w:pPr>
              <w:widowControl/>
              <w:snapToGrid w:val="0"/>
              <w:jc w:val="left"/>
              <w:rPr>
                <w:kern w:val="0"/>
                <w:sz w:val="24"/>
                <w:szCs w:val="21"/>
              </w:rPr>
            </w:pPr>
          </w:p>
        </w:tc>
        <w:tc>
          <w:tcPr>
            <w:tcW w:w="1979" w:type="dxa"/>
            <w:shd w:val="clear" w:color="auto" w:fill="auto"/>
            <w:vAlign w:val="center"/>
          </w:tcPr>
          <w:p w14:paraId="0C58C8E0">
            <w:pPr>
              <w:widowControl/>
              <w:snapToGrid w:val="0"/>
              <w:jc w:val="left"/>
              <w:rPr>
                <w:kern w:val="0"/>
                <w:sz w:val="24"/>
                <w:szCs w:val="21"/>
              </w:rPr>
            </w:pPr>
          </w:p>
        </w:tc>
        <w:tc>
          <w:tcPr>
            <w:tcW w:w="1241" w:type="dxa"/>
            <w:shd w:val="clear" w:color="auto" w:fill="auto"/>
            <w:vAlign w:val="center"/>
          </w:tcPr>
          <w:p w14:paraId="13CAD4D8">
            <w:pPr>
              <w:widowControl/>
              <w:snapToGrid w:val="0"/>
              <w:jc w:val="left"/>
              <w:rPr>
                <w:kern w:val="0"/>
                <w:sz w:val="24"/>
                <w:szCs w:val="21"/>
              </w:rPr>
            </w:pPr>
          </w:p>
        </w:tc>
      </w:tr>
      <w:tr w14:paraId="7F3DD4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710E7864">
            <w:pPr>
              <w:widowControl/>
              <w:snapToGrid w:val="0"/>
              <w:jc w:val="left"/>
              <w:rPr>
                <w:kern w:val="0"/>
                <w:sz w:val="24"/>
                <w:szCs w:val="21"/>
              </w:rPr>
            </w:pPr>
            <w:r>
              <w:rPr>
                <w:rFonts w:hint="eastAsia"/>
                <w:kern w:val="0"/>
                <w:sz w:val="24"/>
                <w:szCs w:val="21"/>
              </w:rPr>
              <w:t>（六）验收方法及标准</w:t>
            </w:r>
          </w:p>
        </w:tc>
      </w:tr>
      <w:tr w14:paraId="41E81E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0FB6D424">
            <w:pPr>
              <w:widowControl/>
              <w:snapToGrid w:val="0"/>
              <w:jc w:val="center"/>
              <w:rPr>
                <w:kern w:val="0"/>
                <w:sz w:val="24"/>
                <w:szCs w:val="21"/>
              </w:rPr>
            </w:pPr>
          </w:p>
        </w:tc>
        <w:tc>
          <w:tcPr>
            <w:tcW w:w="2500" w:type="dxa"/>
            <w:shd w:val="clear" w:color="auto" w:fill="auto"/>
            <w:vAlign w:val="center"/>
          </w:tcPr>
          <w:p w14:paraId="6DC774BC">
            <w:pPr>
              <w:widowControl/>
              <w:snapToGrid w:val="0"/>
              <w:jc w:val="left"/>
              <w:rPr>
                <w:kern w:val="0"/>
                <w:sz w:val="24"/>
                <w:szCs w:val="21"/>
              </w:rPr>
            </w:pPr>
          </w:p>
        </w:tc>
        <w:tc>
          <w:tcPr>
            <w:tcW w:w="2680" w:type="dxa"/>
            <w:shd w:val="clear" w:color="auto" w:fill="auto"/>
            <w:vAlign w:val="center"/>
          </w:tcPr>
          <w:p w14:paraId="7E56EF09">
            <w:pPr>
              <w:widowControl/>
              <w:snapToGrid w:val="0"/>
              <w:jc w:val="left"/>
              <w:rPr>
                <w:kern w:val="0"/>
                <w:sz w:val="24"/>
                <w:szCs w:val="21"/>
              </w:rPr>
            </w:pPr>
          </w:p>
        </w:tc>
        <w:tc>
          <w:tcPr>
            <w:tcW w:w="1979" w:type="dxa"/>
            <w:shd w:val="clear" w:color="auto" w:fill="auto"/>
            <w:vAlign w:val="center"/>
          </w:tcPr>
          <w:p w14:paraId="2722F533">
            <w:pPr>
              <w:widowControl/>
              <w:snapToGrid w:val="0"/>
              <w:jc w:val="left"/>
              <w:rPr>
                <w:kern w:val="0"/>
                <w:sz w:val="24"/>
                <w:szCs w:val="21"/>
              </w:rPr>
            </w:pPr>
          </w:p>
        </w:tc>
        <w:tc>
          <w:tcPr>
            <w:tcW w:w="1241" w:type="dxa"/>
            <w:shd w:val="clear" w:color="auto" w:fill="auto"/>
            <w:vAlign w:val="center"/>
          </w:tcPr>
          <w:p w14:paraId="6E116E36">
            <w:pPr>
              <w:widowControl/>
              <w:snapToGrid w:val="0"/>
              <w:jc w:val="left"/>
              <w:rPr>
                <w:kern w:val="0"/>
                <w:sz w:val="24"/>
                <w:szCs w:val="21"/>
              </w:rPr>
            </w:pPr>
          </w:p>
        </w:tc>
      </w:tr>
    </w:tbl>
    <w:p w14:paraId="2216158C">
      <w:pPr>
        <w:spacing w:line="620" w:lineRule="exact"/>
        <w:rPr>
          <w:sz w:val="24"/>
        </w:rPr>
      </w:pPr>
      <w:r>
        <w:rPr>
          <w:sz w:val="24"/>
        </w:rPr>
        <w:t>注：</w:t>
      </w:r>
    </w:p>
    <w:p w14:paraId="642A423A">
      <w:pPr>
        <w:spacing w:line="360" w:lineRule="auto"/>
        <w:rPr>
          <w:sz w:val="24"/>
        </w:rPr>
      </w:pPr>
      <w:r>
        <w:rPr>
          <w:sz w:val="24"/>
        </w:rPr>
        <w:t>1. 不如实填写偏离情况的投标文件将视为虚假材料。</w:t>
      </w:r>
    </w:p>
    <w:p w14:paraId="3AD41E2E">
      <w:pPr>
        <w:spacing w:line="360" w:lineRule="auto"/>
        <w:rPr>
          <w:sz w:val="24"/>
        </w:rPr>
      </w:pPr>
      <w:r>
        <w:rPr>
          <w:sz w:val="24"/>
        </w:rPr>
        <w:t>2. 招标要求指招标文件中规定的具体要求，投标应答指</w:t>
      </w:r>
      <w:r>
        <w:rPr>
          <w:rFonts w:hint="eastAsia"/>
          <w:sz w:val="24"/>
        </w:rPr>
        <w:t>投标文件</w:t>
      </w:r>
      <w:r>
        <w:rPr>
          <w:sz w:val="24"/>
        </w:rPr>
        <w:t>的</w:t>
      </w:r>
      <w:r>
        <w:rPr>
          <w:rFonts w:hint="eastAsia"/>
          <w:sz w:val="24"/>
        </w:rPr>
        <w:t>具体内容</w:t>
      </w:r>
      <w:r>
        <w:rPr>
          <w:sz w:val="24"/>
        </w:rPr>
        <w:t>。</w:t>
      </w:r>
    </w:p>
    <w:p w14:paraId="1D62914B">
      <w:pPr>
        <w:spacing w:line="360" w:lineRule="auto"/>
        <w:rPr>
          <w:sz w:val="24"/>
        </w:rPr>
      </w:pPr>
      <w:r>
        <w:rPr>
          <w:sz w:val="24"/>
        </w:rPr>
        <w:t>4. 偏离说明指招标要求与投标应答之间的不同之处。</w:t>
      </w:r>
    </w:p>
    <w:p w14:paraId="3642DF48">
      <w:pPr>
        <w:spacing w:line="360" w:lineRule="auto"/>
        <w:rPr>
          <w:sz w:val="24"/>
        </w:rPr>
      </w:pPr>
    </w:p>
    <w:p w14:paraId="3D246C66">
      <w:pPr>
        <w:spacing w:line="360" w:lineRule="auto"/>
        <w:ind w:firstLine="3808" w:firstLineChars="1700"/>
        <w:rPr>
          <w:sz w:val="24"/>
        </w:rPr>
      </w:pPr>
      <w:r>
        <w:rPr>
          <w:sz w:val="24"/>
        </w:rPr>
        <w:t>投标人名称：</w:t>
      </w:r>
    </w:p>
    <w:p w14:paraId="55322011">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9B217D6">
      <w:pPr>
        <w:tabs>
          <w:tab w:val="left" w:pos="360"/>
        </w:tabs>
        <w:spacing w:line="360" w:lineRule="auto"/>
        <w:rPr>
          <w:b/>
          <w:sz w:val="24"/>
        </w:rPr>
      </w:pPr>
      <w:r>
        <w:rPr>
          <w:sz w:val="24"/>
        </w:rPr>
        <w:br w:type="page"/>
      </w:r>
      <w:r>
        <w:rPr>
          <w:b/>
          <w:sz w:val="24"/>
        </w:rPr>
        <w:t>附件</w:t>
      </w:r>
      <w:r>
        <w:rPr>
          <w:rFonts w:hint="eastAsia"/>
          <w:b/>
          <w:sz w:val="24"/>
        </w:rPr>
        <w:t>6</w:t>
      </w:r>
      <w:r>
        <w:rPr>
          <w:b/>
          <w:sz w:val="24"/>
        </w:rPr>
        <w:t>-2</w:t>
      </w:r>
    </w:p>
    <w:p w14:paraId="33EBBDFC">
      <w:pPr>
        <w:autoSpaceDN w:val="0"/>
        <w:spacing w:line="360" w:lineRule="auto"/>
        <w:jc w:val="center"/>
        <w:rPr>
          <w:b/>
          <w:bCs/>
          <w:sz w:val="24"/>
        </w:rPr>
      </w:pPr>
      <w:r>
        <w:rPr>
          <w:b/>
          <w:bCs/>
          <w:sz w:val="24"/>
        </w:rPr>
        <w:t>技术要求点对点应答表</w:t>
      </w:r>
    </w:p>
    <w:p w14:paraId="6E33442E">
      <w:pPr>
        <w:spacing w:line="460" w:lineRule="exact"/>
        <w:rPr>
          <w:sz w:val="24"/>
        </w:rPr>
      </w:pPr>
      <w:r>
        <w:rPr>
          <w:sz w:val="24"/>
        </w:rPr>
        <w:t>项目名称：</w:t>
      </w:r>
      <w:r>
        <w:rPr>
          <w:sz w:val="24"/>
          <w:u w:val="single"/>
        </w:rPr>
        <w:t xml:space="preserve">                    </w:t>
      </w:r>
    </w:p>
    <w:p w14:paraId="554FBA42">
      <w:pPr>
        <w:spacing w:line="460" w:lineRule="exact"/>
        <w:rPr>
          <w:sz w:val="24"/>
        </w:rPr>
      </w:pPr>
      <w:r>
        <w:rPr>
          <w:sz w:val="24"/>
        </w:rPr>
        <w:t>项目编号：</w:t>
      </w:r>
      <w:r>
        <w:rPr>
          <w:sz w:val="24"/>
          <w:u w:val="single"/>
        </w:rPr>
        <w:t xml:space="preserve">                    </w:t>
      </w:r>
    </w:p>
    <w:p w14:paraId="4D6FB6FF">
      <w:pPr>
        <w:spacing w:line="460" w:lineRule="exact"/>
        <w:rPr>
          <w:sz w:val="24"/>
          <w:u w:val="single"/>
        </w:rPr>
      </w:pPr>
      <w:r>
        <w:rPr>
          <w:sz w:val="24"/>
        </w:rPr>
        <w:t>包号：</w:t>
      </w:r>
      <w:r>
        <w:rPr>
          <w:sz w:val="24"/>
          <w:u w:val="single"/>
        </w:rPr>
        <w:t xml:space="preserve">                        </w:t>
      </w:r>
    </w:p>
    <w:tbl>
      <w:tblPr>
        <w:tblStyle w:val="18"/>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1039"/>
        <w:gridCol w:w="851"/>
        <w:gridCol w:w="1790"/>
        <w:gridCol w:w="2680"/>
        <w:gridCol w:w="1289"/>
        <w:gridCol w:w="1315"/>
      </w:tblGrid>
      <w:tr w14:paraId="7C837E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9807" w:type="dxa"/>
            <w:gridSpan w:val="7"/>
            <w:shd w:val="clear" w:color="auto" w:fill="auto"/>
            <w:vAlign w:val="center"/>
          </w:tcPr>
          <w:p w14:paraId="40CDB7B4">
            <w:pPr>
              <w:widowControl/>
              <w:snapToGrid w:val="0"/>
              <w:rPr>
                <w:b/>
                <w:kern w:val="0"/>
                <w:sz w:val="24"/>
                <w:szCs w:val="21"/>
              </w:rPr>
            </w:pPr>
            <w:r>
              <w:rPr>
                <w:rFonts w:hint="eastAsia"/>
                <w:b/>
                <w:kern w:val="0"/>
                <w:sz w:val="24"/>
                <w:szCs w:val="21"/>
              </w:rPr>
              <w:t>招标文件第二部分技术要求</w:t>
            </w:r>
          </w:p>
        </w:tc>
      </w:tr>
      <w:tr w14:paraId="74C4D6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11C7FFEC">
            <w:pPr>
              <w:widowControl/>
              <w:snapToGrid w:val="0"/>
              <w:jc w:val="center"/>
              <w:rPr>
                <w:kern w:val="0"/>
                <w:sz w:val="24"/>
                <w:szCs w:val="21"/>
              </w:rPr>
            </w:pPr>
            <w:r>
              <w:rPr>
                <w:kern w:val="0"/>
                <w:sz w:val="24"/>
                <w:szCs w:val="21"/>
              </w:rPr>
              <w:t>序号</w:t>
            </w:r>
          </w:p>
        </w:tc>
        <w:tc>
          <w:tcPr>
            <w:tcW w:w="3680" w:type="dxa"/>
            <w:gridSpan w:val="3"/>
            <w:shd w:val="clear" w:color="auto" w:fill="auto"/>
            <w:vAlign w:val="center"/>
          </w:tcPr>
          <w:p w14:paraId="47C3049E">
            <w:pPr>
              <w:widowControl/>
              <w:snapToGrid w:val="0"/>
              <w:jc w:val="center"/>
              <w:rPr>
                <w:kern w:val="0"/>
                <w:sz w:val="24"/>
                <w:szCs w:val="21"/>
              </w:rPr>
            </w:pPr>
            <w:r>
              <w:rPr>
                <w:kern w:val="0"/>
                <w:sz w:val="24"/>
                <w:szCs w:val="21"/>
              </w:rPr>
              <w:t>招标要求</w:t>
            </w:r>
          </w:p>
        </w:tc>
        <w:tc>
          <w:tcPr>
            <w:tcW w:w="2680" w:type="dxa"/>
            <w:shd w:val="clear" w:color="auto" w:fill="auto"/>
            <w:vAlign w:val="center"/>
          </w:tcPr>
          <w:p w14:paraId="407A8627">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63931676">
            <w:pPr>
              <w:widowControl/>
              <w:snapToGrid w:val="0"/>
              <w:jc w:val="center"/>
              <w:rPr>
                <w:kern w:val="0"/>
                <w:sz w:val="24"/>
                <w:szCs w:val="21"/>
              </w:rPr>
            </w:pPr>
            <w:r>
              <w:rPr>
                <w:kern w:val="0"/>
                <w:sz w:val="24"/>
                <w:szCs w:val="21"/>
              </w:rPr>
              <w:t>偏离说明</w:t>
            </w:r>
          </w:p>
        </w:tc>
        <w:tc>
          <w:tcPr>
            <w:tcW w:w="1315" w:type="dxa"/>
            <w:shd w:val="clear" w:color="auto" w:fill="auto"/>
            <w:vAlign w:val="center"/>
          </w:tcPr>
          <w:p w14:paraId="1C726197">
            <w:pPr>
              <w:widowControl/>
              <w:snapToGrid w:val="0"/>
              <w:jc w:val="center"/>
              <w:rPr>
                <w:kern w:val="0"/>
                <w:sz w:val="24"/>
                <w:szCs w:val="21"/>
              </w:rPr>
            </w:pPr>
            <w:r>
              <w:rPr>
                <w:kern w:val="0"/>
                <w:sz w:val="24"/>
                <w:szCs w:val="21"/>
              </w:rPr>
              <w:t>备注</w:t>
            </w:r>
          </w:p>
        </w:tc>
      </w:tr>
      <w:tr w14:paraId="441262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AFDA41A">
            <w:pPr>
              <w:widowControl/>
              <w:snapToGrid w:val="0"/>
              <w:jc w:val="center"/>
              <w:rPr>
                <w:kern w:val="0"/>
                <w:sz w:val="24"/>
                <w:szCs w:val="21"/>
              </w:rPr>
            </w:pPr>
            <w:r>
              <w:rPr>
                <w:kern w:val="0"/>
                <w:sz w:val="24"/>
                <w:szCs w:val="21"/>
              </w:rPr>
              <w:t>1</w:t>
            </w:r>
          </w:p>
        </w:tc>
        <w:tc>
          <w:tcPr>
            <w:tcW w:w="3680" w:type="dxa"/>
            <w:gridSpan w:val="3"/>
            <w:shd w:val="clear" w:color="auto" w:fill="auto"/>
            <w:vAlign w:val="center"/>
          </w:tcPr>
          <w:p w14:paraId="30E04756">
            <w:pPr>
              <w:widowControl/>
              <w:snapToGrid w:val="0"/>
              <w:jc w:val="center"/>
              <w:rPr>
                <w:kern w:val="0"/>
                <w:sz w:val="24"/>
                <w:szCs w:val="21"/>
              </w:rPr>
            </w:pPr>
          </w:p>
        </w:tc>
        <w:tc>
          <w:tcPr>
            <w:tcW w:w="2680" w:type="dxa"/>
            <w:shd w:val="clear" w:color="auto" w:fill="auto"/>
            <w:vAlign w:val="center"/>
          </w:tcPr>
          <w:p w14:paraId="366921B7">
            <w:pPr>
              <w:widowControl/>
              <w:snapToGrid w:val="0"/>
              <w:jc w:val="center"/>
              <w:rPr>
                <w:kern w:val="0"/>
                <w:sz w:val="24"/>
                <w:szCs w:val="21"/>
              </w:rPr>
            </w:pPr>
          </w:p>
        </w:tc>
        <w:tc>
          <w:tcPr>
            <w:tcW w:w="1289" w:type="dxa"/>
            <w:shd w:val="clear" w:color="auto" w:fill="auto"/>
            <w:vAlign w:val="center"/>
          </w:tcPr>
          <w:p w14:paraId="2696089F">
            <w:pPr>
              <w:widowControl/>
              <w:snapToGrid w:val="0"/>
              <w:jc w:val="center"/>
              <w:rPr>
                <w:kern w:val="0"/>
                <w:sz w:val="24"/>
                <w:szCs w:val="21"/>
              </w:rPr>
            </w:pPr>
          </w:p>
        </w:tc>
        <w:tc>
          <w:tcPr>
            <w:tcW w:w="1315" w:type="dxa"/>
            <w:shd w:val="clear" w:color="auto" w:fill="auto"/>
            <w:vAlign w:val="center"/>
          </w:tcPr>
          <w:p w14:paraId="1A56A93C">
            <w:pPr>
              <w:widowControl/>
              <w:snapToGrid w:val="0"/>
              <w:jc w:val="center"/>
              <w:rPr>
                <w:kern w:val="0"/>
                <w:sz w:val="24"/>
                <w:szCs w:val="21"/>
              </w:rPr>
            </w:pPr>
          </w:p>
        </w:tc>
      </w:tr>
      <w:tr w14:paraId="1683A3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C1E199C">
            <w:pPr>
              <w:widowControl/>
              <w:snapToGrid w:val="0"/>
              <w:jc w:val="center"/>
              <w:rPr>
                <w:kern w:val="0"/>
                <w:sz w:val="24"/>
                <w:szCs w:val="21"/>
              </w:rPr>
            </w:pPr>
            <w:r>
              <w:rPr>
                <w:kern w:val="0"/>
                <w:sz w:val="24"/>
                <w:szCs w:val="21"/>
              </w:rPr>
              <w:t>2</w:t>
            </w:r>
          </w:p>
        </w:tc>
        <w:tc>
          <w:tcPr>
            <w:tcW w:w="3680" w:type="dxa"/>
            <w:gridSpan w:val="3"/>
            <w:shd w:val="clear" w:color="auto" w:fill="auto"/>
            <w:vAlign w:val="center"/>
          </w:tcPr>
          <w:p w14:paraId="30BDC31E">
            <w:pPr>
              <w:widowControl/>
              <w:snapToGrid w:val="0"/>
              <w:jc w:val="center"/>
              <w:rPr>
                <w:kern w:val="0"/>
                <w:sz w:val="24"/>
                <w:szCs w:val="21"/>
              </w:rPr>
            </w:pPr>
          </w:p>
        </w:tc>
        <w:tc>
          <w:tcPr>
            <w:tcW w:w="2680" w:type="dxa"/>
            <w:shd w:val="clear" w:color="auto" w:fill="auto"/>
            <w:vAlign w:val="center"/>
          </w:tcPr>
          <w:p w14:paraId="0FDEC0D3">
            <w:pPr>
              <w:widowControl/>
              <w:snapToGrid w:val="0"/>
              <w:jc w:val="center"/>
              <w:rPr>
                <w:kern w:val="0"/>
                <w:sz w:val="24"/>
                <w:szCs w:val="21"/>
              </w:rPr>
            </w:pPr>
          </w:p>
        </w:tc>
        <w:tc>
          <w:tcPr>
            <w:tcW w:w="1289" w:type="dxa"/>
            <w:shd w:val="clear" w:color="auto" w:fill="auto"/>
            <w:vAlign w:val="center"/>
          </w:tcPr>
          <w:p w14:paraId="799E8901">
            <w:pPr>
              <w:widowControl/>
              <w:snapToGrid w:val="0"/>
              <w:jc w:val="center"/>
              <w:rPr>
                <w:kern w:val="0"/>
                <w:sz w:val="24"/>
                <w:szCs w:val="21"/>
              </w:rPr>
            </w:pPr>
          </w:p>
        </w:tc>
        <w:tc>
          <w:tcPr>
            <w:tcW w:w="1315" w:type="dxa"/>
            <w:shd w:val="clear" w:color="auto" w:fill="auto"/>
            <w:vAlign w:val="center"/>
          </w:tcPr>
          <w:p w14:paraId="17BCD657">
            <w:pPr>
              <w:widowControl/>
              <w:snapToGrid w:val="0"/>
              <w:jc w:val="center"/>
              <w:rPr>
                <w:kern w:val="0"/>
                <w:sz w:val="24"/>
                <w:szCs w:val="21"/>
              </w:rPr>
            </w:pPr>
          </w:p>
        </w:tc>
      </w:tr>
      <w:tr w14:paraId="124D6D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D9B634C">
            <w:pPr>
              <w:widowControl/>
              <w:snapToGrid w:val="0"/>
              <w:jc w:val="center"/>
              <w:rPr>
                <w:kern w:val="0"/>
                <w:sz w:val="24"/>
                <w:szCs w:val="21"/>
              </w:rPr>
            </w:pPr>
            <w:r>
              <w:rPr>
                <w:kern w:val="0"/>
                <w:sz w:val="24"/>
                <w:szCs w:val="21"/>
              </w:rPr>
              <w:t>3</w:t>
            </w:r>
          </w:p>
        </w:tc>
        <w:tc>
          <w:tcPr>
            <w:tcW w:w="3680" w:type="dxa"/>
            <w:gridSpan w:val="3"/>
            <w:shd w:val="clear" w:color="auto" w:fill="auto"/>
            <w:vAlign w:val="center"/>
          </w:tcPr>
          <w:p w14:paraId="611C1C52">
            <w:pPr>
              <w:widowControl/>
              <w:snapToGrid w:val="0"/>
              <w:jc w:val="center"/>
              <w:rPr>
                <w:kern w:val="0"/>
                <w:sz w:val="24"/>
                <w:szCs w:val="21"/>
              </w:rPr>
            </w:pPr>
          </w:p>
        </w:tc>
        <w:tc>
          <w:tcPr>
            <w:tcW w:w="2680" w:type="dxa"/>
            <w:shd w:val="clear" w:color="auto" w:fill="auto"/>
            <w:vAlign w:val="center"/>
          </w:tcPr>
          <w:p w14:paraId="084D65AB">
            <w:pPr>
              <w:widowControl/>
              <w:snapToGrid w:val="0"/>
              <w:jc w:val="center"/>
              <w:rPr>
                <w:kern w:val="0"/>
                <w:sz w:val="24"/>
                <w:szCs w:val="21"/>
              </w:rPr>
            </w:pPr>
          </w:p>
        </w:tc>
        <w:tc>
          <w:tcPr>
            <w:tcW w:w="1289" w:type="dxa"/>
            <w:shd w:val="clear" w:color="auto" w:fill="auto"/>
            <w:vAlign w:val="center"/>
          </w:tcPr>
          <w:p w14:paraId="15435B56">
            <w:pPr>
              <w:widowControl/>
              <w:snapToGrid w:val="0"/>
              <w:jc w:val="center"/>
              <w:rPr>
                <w:kern w:val="0"/>
                <w:sz w:val="24"/>
                <w:szCs w:val="21"/>
              </w:rPr>
            </w:pPr>
          </w:p>
        </w:tc>
        <w:tc>
          <w:tcPr>
            <w:tcW w:w="1315" w:type="dxa"/>
            <w:shd w:val="clear" w:color="auto" w:fill="auto"/>
            <w:vAlign w:val="center"/>
          </w:tcPr>
          <w:p w14:paraId="00AC1E31">
            <w:pPr>
              <w:widowControl/>
              <w:snapToGrid w:val="0"/>
              <w:jc w:val="center"/>
              <w:rPr>
                <w:kern w:val="0"/>
                <w:sz w:val="24"/>
                <w:szCs w:val="21"/>
              </w:rPr>
            </w:pPr>
          </w:p>
        </w:tc>
      </w:tr>
      <w:tr w14:paraId="1F1AB9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65E3D35">
            <w:pPr>
              <w:widowControl/>
              <w:snapToGrid w:val="0"/>
              <w:jc w:val="center"/>
              <w:rPr>
                <w:kern w:val="0"/>
                <w:sz w:val="24"/>
                <w:szCs w:val="21"/>
              </w:rPr>
            </w:pPr>
            <w:r>
              <w:rPr>
                <w:rFonts w:hint="eastAsia"/>
                <w:kern w:val="0"/>
                <w:sz w:val="24"/>
                <w:szCs w:val="21"/>
              </w:rPr>
              <w:t>…</w:t>
            </w:r>
          </w:p>
        </w:tc>
        <w:tc>
          <w:tcPr>
            <w:tcW w:w="3680" w:type="dxa"/>
            <w:gridSpan w:val="3"/>
            <w:shd w:val="clear" w:color="auto" w:fill="auto"/>
            <w:vAlign w:val="center"/>
          </w:tcPr>
          <w:p w14:paraId="65BB69AD">
            <w:pPr>
              <w:widowControl/>
              <w:snapToGrid w:val="0"/>
              <w:jc w:val="center"/>
              <w:rPr>
                <w:kern w:val="0"/>
                <w:sz w:val="24"/>
                <w:szCs w:val="21"/>
              </w:rPr>
            </w:pPr>
          </w:p>
        </w:tc>
        <w:tc>
          <w:tcPr>
            <w:tcW w:w="2680" w:type="dxa"/>
            <w:shd w:val="clear" w:color="auto" w:fill="auto"/>
            <w:vAlign w:val="center"/>
          </w:tcPr>
          <w:p w14:paraId="5A36C778">
            <w:pPr>
              <w:widowControl/>
              <w:snapToGrid w:val="0"/>
              <w:jc w:val="center"/>
              <w:rPr>
                <w:kern w:val="0"/>
                <w:sz w:val="24"/>
                <w:szCs w:val="21"/>
              </w:rPr>
            </w:pPr>
          </w:p>
        </w:tc>
        <w:tc>
          <w:tcPr>
            <w:tcW w:w="1289" w:type="dxa"/>
            <w:shd w:val="clear" w:color="auto" w:fill="auto"/>
            <w:vAlign w:val="center"/>
          </w:tcPr>
          <w:p w14:paraId="2F87763F">
            <w:pPr>
              <w:widowControl/>
              <w:snapToGrid w:val="0"/>
              <w:jc w:val="center"/>
              <w:rPr>
                <w:kern w:val="0"/>
                <w:sz w:val="24"/>
                <w:szCs w:val="21"/>
              </w:rPr>
            </w:pPr>
          </w:p>
        </w:tc>
        <w:tc>
          <w:tcPr>
            <w:tcW w:w="1315" w:type="dxa"/>
            <w:shd w:val="clear" w:color="auto" w:fill="auto"/>
            <w:vAlign w:val="center"/>
          </w:tcPr>
          <w:p w14:paraId="043AFC0B">
            <w:pPr>
              <w:widowControl/>
              <w:snapToGrid w:val="0"/>
              <w:jc w:val="center"/>
              <w:rPr>
                <w:kern w:val="0"/>
                <w:sz w:val="24"/>
                <w:szCs w:val="21"/>
              </w:rPr>
            </w:pPr>
          </w:p>
        </w:tc>
      </w:tr>
      <w:tr w14:paraId="6FB82F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07" w:type="dxa"/>
            <w:gridSpan w:val="7"/>
            <w:shd w:val="clear" w:color="auto" w:fill="auto"/>
            <w:vAlign w:val="center"/>
          </w:tcPr>
          <w:p w14:paraId="70E5588A">
            <w:pPr>
              <w:widowControl/>
              <w:snapToGrid w:val="0"/>
              <w:rPr>
                <w:b/>
                <w:kern w:val="0"/>
                <w:sz w:val="24"/>
                <w:szCs w:val="21"/>
              </w:rPr>
            </w:pPr>
            <w:r>
              <w:rPr>
                <w:rFonts w:hint="eastAsia"/>
                <w:b/>
                <w:kern w:val="0"/>
                <w:sz w:val="24"/>
                <w:szCs w:val="21"/>
              </w:rPr>
              <w:t>采购清单技术参数</w:t>
            </w:r>
            <w:r>
              <w:rPr>
                <w:b/>
                <w:kern w:val="0"/>
                <w:sz w:val="24"/>
                <w:szCs w:val="21"/>
              </w:rPr>
              <w:t>（</w:t>
            </w:r>
            <w:r>
              <w:rPr>
                <w:rFonts w:hint="eastAsia"/>
                <w:b/>
                <w:kern w:val="0"/>
                <w:sz w:val="24"/>
                <w:szCs w:val="21"/>
              </w:rPr>
              <w:t>采购清单技术参数</w:t>
            </w:r>
            <w:r>
              <w:rPr>
                <w:b/>
                <w:kern w:val="0"/>
                <w:sz w:val="24"/>
                <w:szCs w:val="21"/>
              </w:rPr>
              <w:t>须逐条应答）</w:t>
            </w:r>
          </w:p>
        </w:tc>
      </w:tr>
      <w:tr w14:paraId="13E2D7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2CD7368">
            <w:pPr>
              <w:widowControl/>
              <w:snapToGrid w:val="0"/>
              <w:jc w:val="center"/>
              <w:rPr>
                <w:kern w:val="0"/>
                <w:sz w:val="24"/>
                <w:szCs w:val="21"/>
              </w:rPr>
            </w:pPr>
            <w:r>
              <w:rPr>
                <w:kern w:val="0"/>
                <w:sz w:val="24"/>
                <w:szCs w:val="21"/>
              </w:rPr>
              <w:t>序号</w:t>
            </w:r>
          </w:p>
        </w:tc>
        <w:tc>
          <w:tcPr>
            <w:tcW w:w="1039" w:type="dxa"/>
            <w:shd w:val="clear" w:color="auto" w:fill="auto"/>
            <w:vAlign w:val="center"/>
          </w:tcPr>
          <w:p w14:paraId="23CFBBD8">
            <w:pPr>
              <w:widowControl/>
              <w:snapToGrid w:val="0"/>
              <w:jc w:val="center"/>
              <w:rPr>
                <w:kern w:val="0"/>
                <w:sz w:val="24"/>
                <w:szCs w:val="21"/>
              </w:rPr>
            </w:pPr>
            <w:r>
              <w:rPr>
                <w:rFonts w:hint="eastAsia"/>
                <w:kern w:val="0"/>
                <w:sz w:val="24"/>
                <w:szCs w:val="21"/>
              </w:rPr>
              <w:t>标的</w:t>
            </w:r>
          </w:p>
          <w:p w14:paraId="57BDF328">
            <w:pPr>
              <w:widowControl/>
              <w:snapToGrid w:val="0"/>
              <w:jc w:val="center"/>
              <w:rPr>
                <w:kern w:val="0"/>
                <w:sz w:val="24"/>
                <w:szCs w:val="21"/>
              </w:rPr>
            </w:pPr>
            <w:r>
              <w:rPr>
                <w:rFonts w:hint="eastAsia"/>
                <w:kern w:val="0"/>
                <w:sz w:val="24"/>
                <w:szCs w:val="21"/>
              </w:rPr>
              <w:t>名称</w:t>
            </w:r>
          </w:p>
        </w:tc>
        <w:tc>
          <w:tcPr>
            <w:tcW w:w="851" w:type="dxa"/>
            <w:shd w:val="clear" w:color="auto" w:fill="auto"/>
            <w:vAlign w:val="center"/>
          </w:tcPr>
          <w:p w14:paraId="733DDF61">
            <w:pPr>
              <w:snapToGrid w:val="0"/>
              <w:jc w:val="center"/>
              <w:rPr>
                <w:rFonts w:cs="宋体"/>
                <w:kern w:val="0"/>
                <w:sz w:val="24"/>
              </w:rPr>
            </w:pPr>
            <w:r>
              <w:rPr>
                <w:rFonts w:hint="eastAsia" w:cs="宋体"/>
                <w:kern w:val="0"/>
                <w:sz w:val="24"/>
              </w:rPr>
              <w:t>条款</w:t>
            </w:r>
          </w:p>
          <w:p w14:paraId="387C173D">
            <w:pPr>
              <w:snapToGrid w:val="0"/>
              <w:jc w:val="center"/>
              <w:rPr>
                <w:kern w:val="0"/>
                <w:sz w:val="24"/>
                <w:szCs w:val="21"/>
              </w:rPr>
            </w:pPr>
            <w:r>
              <w:rPr>
                <w:rFonts w:hint="eastAsia" w:cs="宋体"/>
                <w:kern w:val="0"/>
                <w:sz w:val="24"/>
              </w:rPr>
              <w:t>序号</w:t>
            </w:r>
          </w:p>
        </w:tc>
        <w:tc>
          <w:tcPr>
            <w:tcW w:w="1790" w:type="dxa"/>
            <w:shd w:val="clear" w:color="auto" w:fill="auto"/>
            <w:vAlign w:val="center"/>
          </w:tcPr>
          <w:p w14:paraId="5B6D0B31">
            <w:pPr>
              <w:snapToGrid w:val="0"/>
              <w:jc w:val="center"/>
              <w:rPr>
                <w:kern w:val="0"/>
                <w:sz w:val="24"/>
                <w:szCs w:val="21"/>
              </w:rPr>
            </w:pPr>
            <w:r>
              <w:rPr>
                <w:kern w:val="0"/>
                <w:sz w:val="24"/>
                <w:szCs w:val="21"/>
              </w:rPr>
              <w:t>招标要求</w:t>
            </w:r>
          </w:p>
        </w:tc>
        <w:tc>
          <w:tcPr>
            <w:tcW w:w="2680" w:type="dxa"/>
            <w:shd w:val="clear" w:color="auto" w:fill="auto"/>
            <w:vAlign w:val="center"/>
          </w:tcPr>
          <w:p w14:paraId="1CE0104F">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05AF1766">
            <w:pPr>
              <w:widowControl/>
              <w:snapToGrid w:val="0"/>
              <w:jc w:val="center"/>
              <w:rPr>
                <w:kern w:val="0"/>
                <w:sz w:val="24"/>
                <w:szCs w:val="21"/>
              </w:rPr>
            </w:pPr>
            <w:r>
              <w:rPr>
                <w:kern w:val="0"/>
                <w:sz w:val="24"/>
                <w:szCs w:val="21"/>
              </w:rPr>
              <w:t>偏离</w:t>
            </w:r>
          </w:p>
          <w:p w14:paraId="3DAA5BE5">
            <w:pPr>
              <w:widowControl/>
              <w:snapToGrid w:val="0"/>
              <w:jc w:val="center"/>
              <w:rPr>
                <w:kern w:val="0"/>
                <w:sz w:val="24"/>
                <w:szCs w:val="21"/>
              </w:rPr>
            </w:pPr>
            <w:r>
              <w:rPr>
                <w:kern w:val="0"/>
                <w:sz w:val="24"/>
                <w:szCs w:val="21"/>
              </w:rPr>
              <w:t>说明</w:t>
            </w:r>
          </w:p>
        </w:tc>
        <w:tc>
          <w:tcPr>
            <w:tcW w:w="1315" w:type="dxa"/>
            <w:shd w:val="clear" w:color="auto" w:fill="auto"/>
            <w:vAlign w:val="center"/>
          </w:tcPr>
          <w:p w14:paraId="5109E0A9">
            <w:pPr>
              <w:widowControl/>
              <w:snapToGrid w:val="0"/>
              <w:jc w:val="center"/>
              <w:rPr>
                <w:kern w:val="0"/>
                <w:sz w:val="24"/>
                <w:szCs w:val="21"/>
              </w:rPr>
            </w:pPr>
            <w:r>
              <w:rPr>
                <w:rFonts w:hint="eastAsia"/>
                <w:kern w:val="0"/>
                <w:sz w:val="24"/>
                <w:szCs w:val="21"/>
              </w:rPr>
              <w:t>技术支撑材料所在页码</w:t>
            </w:r>
          </w:p>
        </w:tc>
      </w:tr>
      <w:tr w14:paraId="3CC8C0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F674FF6">
            <w:pPr>
              <w:widowControl/>
              <w:snapToGrid w:val="0"/>
              <w:jc w:val="center"/>
              <w:rPr>
                <w:kern w:val="0"/>
                <w:sz w:val="24"/>
                <w:szCs w:val="21"/>
              </w:rPr>
            </w:pPr>
          </w:p>
        </w:tc>
        <w:tc>
          <w:tcPr>
            <w:tcW w:w="1039" w:type="dxa"/>
            <w:shd w:val="clear" w:color="auto" w:fill="auto"/>
            <w:vAlign w:val="center"/>
          </w:tcPr>
          <w:p w14:paraId="24F7233E">
            <w:pPr>
              <w:widowControl/>
              <w:snapToGrid w:val="0"/>
              <w:jc w:val="center"/>
              <w:rPr>
                <w:kern w:val="0"/>
                <w:sz w:val="24"/>
                <w:szCs w:val="21"/>
              </w:rPr>
            </w:pPr>
          </w:p>
        </w:tc>
        <w:tc>
          <w:tcPr>
            <w:tcW w:w="851" w:type="dxa"/>
            <w:shd w:val="clear" w:color="auto" w:fill="auto"/>
            <w:vAlign w:val="center"/>
          </w:tcPr>
          <w:p w14:paraId="021BF30A">
            <w:pPr>
              <w:widowControl/>
              <w:snapToGrid w:val="0"/>
              <w:jc w:val="center"/>
              <w:rPr>
                <w:kern w:val="0"/>
                <w:sz w:val="24"/>
                <w:szCs w:val="21"/>
              </w:rPr>
            </w:pPr>
          </w:p>
        </w:tc>
        <w:tc>
          <w:tcPr>
            <w:tcW w:w="1790" w:type="dxa"/>
            <w:shd w:val="clear" w:color="auto" w:fill="auto"/>
            <w:vAlign w:val="center"/>
          </w:tcPr>
          <w:p w14:paraId="2BA739C0">
            <w:pPr>
              <w:widowControl/>
              <w:snapToGrid w:val="0"/>
              <w:jc w:val="center"/>
              <w:rPr>
                <w:kern w:val="0"/>
                <w:sz w:val="24"/>
                <w:szCs w:val="21"/>
              </w:rPr>
            </w:pPr>
          </w:p>
        </w:tc>
        <w:tc>
          <w:tcPr>
            <w:tcW w:w="2680" w:type="dxa"/>
            <w:shd w:val="clear" w:color="auto" w:fill="auto"/>
            <w:vAlign w:val="center"/>
          </w:tcPr>
          <w:p w14:paraId="6F7A8460">
            <w:pPr>
              <w:widowControl/>
              <w:snapToGrid w:val="0"/>
              <w:jc w:val="center"/>
              <w:rPr>
                <w:kern w:val="0"/>
                <w:sz w:val="24"/>
                <w:szCs w:val="21"/>
              </w:rPr>
            </w:pPr>
          </w:p>
        </w:tc>
        <w:tc>
          <w:tcPr>
            <w:tcW w:w="1289" w:type="dxa"/>
            <w:shd w:val="clear" w:color="auto" w:fill="auto"/>
            <w:vAlign w:val="center"/>
          </w:tcPr>
          <w:p w14:paraId="5B2E0F8C">
            <w:pPr>
              <w:widowControl/>
              <w:snapToGrid w:val="0"/>
              <w:jc w:val="center"/>
              <w:rPr>
                <w:kern w:val="0"/>
                <w:sz w:val="24"/>
                <w:szCs w:val="21"/>
              </w:rPr>
            </w:pPr>
          </w:p>
        </w:tc>
        <w:tc>
          <w:tcPr>
            <w:tcW w:w="1315" w:type="dxa"/>
            <w:shd w:val="clear" w:color="auto" w:fill="auto"/>
            <w:vAlign w:val="center"/>
          </w:tcPr>
          <w:p w14:paraId="777A032F">
            <w:pPr>
              <w:widowControl/>
              <w:snapToGrid w:val="0"/>
              <w:jc w:val="center"/>
              <w:rPr>
                <w:kern w:val="0"/>
                <w:sz w:val="24"/>
                <w:szCs w:val="21"/>
              </w:rPr>
            </w:pPr>
          </w:p>
        </w:tc>
      </w:tr>
      <w:tr w14:paraId="642253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4F9DC9C">
            <w:pPr>
              <w:widowControl/>
              <w:snapToGrid w:val="0"/>
              <w:jc w:val="center"/>
              <w:rPr>
                <w:kern w:val="0"/>
                <w:sz w:val="24"/>
                <w:szCs w:val="21"/>
              </w:rPr>
            </w:pPr>
          </w:p>
        </w:tc>
        <w:tc>
          <w:tcPr>
            <w:tcW w:w="1039" w:type="dxa"/>
            <w:shd w:val="clear" w:color="auto" w:fill="auto"/>
            <w:vAlign w:val="center"/>
          </w:tcPr>
          <w:p w14:paraId="30E39FB8">
            <w:pPr>
              <w:widowControl/>
              <w:snapToGrid w:val="0"/>
              <w:jc w:val="center"/>
              <w:rPr>
                <w:kern w:val="0"/>
                <w:sz w:val="24"/>
                <w:szCs w:val="21"/>
              </w:rPr>
            </w:pPr>
          </w:p>
        </w:tc>
        <w:tc>
          <w:tcPr>
            <w:tcW w:w="851" w:type="dxa"/>
            <w:shd w:val="clear" w:color="auto" w:fill="auto"/>
            <w:vAlign w:val="center"/>
          </w:tcPr>
          <w:p w14:paraId="3159ED2F">
            <w:pPr>
              <w:widowControl/>
              <w:snapToGrid w:val="0"/>
              <w:jc w:val="center"/>
              <w:rPr>
                <w:kern w:val="0"/>
                <w:sz w:val="24"/>
                <w:szCs w:val="21"/>
              </w:rPr>
            </w:pPr>
          </w:p>
        </w:tc>
        <w:tc>
          <w:tcPr>
            <w:tcW w:w="1790" w:type="dxa"/>
            <w:shd w:val="clear" w:color="auto" w:fill="auto"/>
            <w:vAlign w:val="center"/>
          </w:tcPr>
          <w:p w14:paraId="4182EDFA">
            <w:pPr>
              <w:widowControl/>
              <w:snapToGrid w:val="0"/>
              <w:jc w:val="center"/>
              <w:rPr>
                <w:kern w:val="0"/>
                <w:sz w:val="24"/>
                <w:szCs w:val="21"/>
              </w:rPr>
            </w:pPr>
          </w:p>
        </w:tc>
        <w:tc>
          <w:tcPr>
            <w:tcW w:w="2680" w:type="dxa"/>
            <w:shd w:val="clear" w:color="auto" w:fill="auto"/>
            <w:vAlign w:val="center"/>
          </w:tcPr>
          <w:p w14:paraId="201C06D0">
            <w:pPr>
              <w:widowControl/>
              <w:snapToGrid w:val="0"/>
              <w:jc w:val="center"/>
              <w:rPr>
                <w:kern w:val="0"/>
                <w:sz w:val="24"/>
                <w:szCs w:val="21"/>
              </w:rPr>
            </w:pPr>
          </w:p>
        </w:tc>
        <w:tc>
          <w:tcPr>
            <w:tcW w:w="1289" w:type="dxa"/>
            <w:shd w:val="clear" w:color="auto" w:fill="auto"/>
            <w:vAlign w:val="center"/>
          </w:tcPr>
          <w:p w14:paraId="22783514">
            <w:pPr>
              <w:widowControl/>
              <w:snapToGrid w:val="0"/>
              <w:jc w:val="center"/>
              <w:rPr>
                <w:kern w:val="0"/>
                <w:sz w:val="24"/>
                <w:szCs w:val="21"/>
              </w:rPr>
            </w:pPr>
          </w:p>
        </w:tc>
        <w:tc>
          <w:tcPr>
            <w:tcW w:w="1315" w:type="dxa"/>
            <w:shd w:val="clear" w:color="auto" w:fill="auto"/>
            <w:vAlign w:val="center"/>
          </w:tcPr>
          <w:p w14:paraId="1ED6C8EE">
            <w:pPr>
              <w:widowControl/>
              <w:snapToGrid w:val="0"/>
              <w:jc w:val="center"/>
              <w:rPr>
                <w:kern w:val="0"/>
                <w:sz w:val="24"/>
                <w:szCs w:val="21"/>
              </w:rPr>
            </w:pPr>
          </w:p>
        </w:tc>
      </w:tr>
    </w:tbl>
    <w:p w14:paraId="73FCF85B">
      <w:pPr>
        <w:snapToGrid w:val="0"/>
        <w:spacing w:line="480" w:lineRule="exact"/>
        <w:rPr>
          <w:sz w:val="24"/>
        </w:rPr>
      </w:pPr>
      <w:r>
        <w:rPr>
          <w:sz w:val="24"/>
        </w:rPr>
        <w:t>注：</w:t>
      </w:r>
    </w:p>
    <w:p w14:paraId="16777404">
      <w:pPr>
        <w:snapToGrid w:val="0"/>
        <w:spacing w:line="480" w:lineRule="exact"/>
        <w:rPr>
          <w:sz w:val="24"/>
        </w:rPr>
      </w:pPr>
      <w:r>
        <w:rPr>
          <w:sz w:val="24"/>
        </w:rPr>
        <w:t>1. 不如实填写偏离情况的投标文件将视为虚假材料。</w:t>
      </w:r>
    </w:p>
    <w:p w14:paraId="7F65BEF0">
      <w:pPr>
        <w:snapToGrid w:val="0"/>
        <w:spacing w:line="480" w:lineRule="exact"/>
        <w:rPr>
          <w:sz w:val="24"/>
        </w:rPr>
      </w:pPr>
      <w:r>
        <w:rPr>
          <w:sz w:val="24"/>
        </w:rPr>
        <w:t>2. 招标要求指招标文件中规定的具体要求，投标应答指投标</w:t>
      </w:r>
      <w:r>
        <w:rPr>
          <w:rFonts w:hint="eastAsia"/>
          <w:sz w:val="24"/>
        </w:rPr>
        <w:t>文件</w:t>
      </w:r>
      <w:r>
        <w:rPr>
          <w:sz w:val="24"/>
        </w:rPr>
        <w:t>的</w:t>
      </w:r>
      <w:r>
        <w:rPr>
          <w:rFonts w:hint="eastAsia"/>
          <w:sz w:val="24"/>
        </w:rPr>
        <w:t>具体内容</w:t>
      </w:r>
      <w:r>
        <w:rPr>
          <w:sz w:val="24"/>
        </w:rPr>
        <w:t>。</w:t>
      </w:r>
    </w:p>
    <w:p w14:paraId="59CEECBF">
      <w:pPr>
        <w:snapToGrid w:val="0"/>
        <w:spacing w:line="480" w:lineRule="exact"/>
        <w:rPr>
          <w:sz w:val="24"/>
        </w:rPr>
      </w:pPr>
      <w:r>
        <w:rPr>
          <w:rFonts w:hint="eastAsia"/>
          <w:sz w:val="24"/>
        </w:rPr>
        <w:t>3</w:t>
      </w:r>
      <w:r>
        <w:rPr>
          <w:sz w:val="24"/>
        </w:rPr>
        <w:t>. 偏离说明指招标要求与投标应答之间的不同之处。</w:t>
      </w:r>
    </w:p>
    <w:p w14:paraId="2EF7FAF1">
      <w:pPr>
        <w:snapToGrid w:val="0"/>
        <w:spacing w:line="480" w:lineRule="exact"/>
        <w:rPr>
          <w:sz w:val="24"/>
        </w:rPr>
      </w:pPr>
      <w:r>
        <w:rPr>
          <w:rFonts w:hint="eastAsia"/>
          <w:sz w:val="24"/>
        </w:rPr>
        <w:t>4. 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14:paraId="19D6D36C">
      <w:pPr>
        <w:snapToGrid w:val="0"/>
        <w:rPr>
          <w:sz w:val="24"/>
        </w:rPr>
      </w:pPr>
    </w:p>
    <w:p w14:paraId="4CAC846E">
      <w:pPr>
        <w:snapToGrid w:val="0"/>
        <w:rPr>
          <w:sz w:val="24"/>
        </w:rPr>
      </w:pPr>
    </w:p>
    <w:p w14:paraId="0D62DC22">
      <w:pPr>
        <w:spacing w:line="360" w:lineRule="auto"/>
        <w:ind w:firstLine="3808" w:firstLineChars="1700"/>
        <w:rPr>
          <w:sz w:val="24"/>
        </w:rPr>
      </w:pPr>
      <w:r>
        <w:rPr>
          <w:sz w:val="24"/>
        </w:rPr>
        <w:t>投标人名称：</w:t>
      </w:r>
    </w:p>
    <w:p w14:paraId="2CB13871">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87F7AAC">
      <w:pPr>
        <w:tabs>
          <w:tab w:val="left" w:pos="360"/>
        </w:tabs>
        <w:spacing w:line="360" w:lineRule="auto"/>
        <w:rPr>
          <w:b/>
          <w:sz w:val="24"/>
        </w:rPr>
      </w:pPr>
      <w:r>
        <w:rPr>
          <w:sz w:val="24"/>
        </w:rPr>
        <w:br w:type="page"/>
      </w:r>
      <w:r>
        <w:rPr>
          <w:b/>
          <w:sz w:val="24"/>
        </w:rPr>
        <w:t>附件</w:t>
      </w:r>
      <w:r>
        <w:rPr>
          <w:rFonts w:hint="eastAsia"/>
          <w:b/>
          <w:sz w:val="24"/>
        </w:rPr>
        <w:t>7</w:t>
      </w:r>
    </w:p>
    <w:p w14:paraId="1756CD34">
      <w:pPr>
        <w:autoSpaceDN w:val="0"/>
        <w:spacing w:line="360" w:lineRule="auto"/>
        <w:jc w:val="center"/>
        <w:rPr>
          <w:b/>
          <w:bCs/>
          <w:sz w:val="24"/>
        </w:rPr>
      </w:pPr>
      <w:r>
        <w:rPr>
          <w:rFonts w:hint="eastAsia"/>
          <w:b/>
          <w:bCs/>
          <w:sz w:val="24"/>
        </w:rPr>
        <w:t>业绩</w:t>
      </w:r>
    </w:p>
    <w:p w14:paraId="60A5B9D4">
      <w:pPr>
        <w:spacing w:line="460" w:lineRule="exact"/>
        <w:ind w:left="192"/>
        <w:rPr>
          <w:sz w:val="24"/>
        </w:rPr>
      </w:pPr>
    </w:p>
    <w:p w14:paraId="77971D44">
      <w:pPr>
        <w:spacing w:line="460" w:lineRule="exact"/>
        <w:rPr>
          <w:sz w:val="24"/>
        </w:rPr>
      </w:pPr>
      <w:r>
        <w:rPr>
          <w:sz w:val="24"/>
        </w:rPr>
        <w:t>项目名称：</w:t>
      </w:r>
      <w:r>
        <w:rPr>
          <w:sz w:val="24"/>
          <w:u w:val="single"/>
        </w:rPr>
        <w:t xml:space="preserve">                    </w:t>
      </w:r>
    </w:p>
    <w:p w14:paraId="56AB44FA">
      <w:pPr>
        <w:spacing w:line="460" w:lineRule="exact"/>
        <w:rPr>
          <w:sz w:val="24"/>
        </w:rPr>
      </w:pPr>
      <w:r>
        <w:rPr>
          <w:sz w:val="24"/>
        </w:rPr>
        <w:t>项目编号：</w:t>
      </w:r>
      <w:r>
        <w:rPr>
          <w:sz w:val="24"/>
          <w:u w:val="single"/>
        </w:rPr>
        <w:t xml:space="preserve">                    </w:t>
      </w:r>
    </w:p>
    <w:p w14:paraId="4BA32A8B">
      <w:pPr>
        <w:spacing w:line="460" w:lineRule="exact"/>
        <w:rPr>
          <w:sz w:val="24"/>
          <w:u w:val="single"/>
        </w:rPr>
      </w:pPr>
      <w:r>
        <w:rPr>
          <w:sz w:val="24"/>
        </w:rPr>
        <w:t>包号：</w:t>
      </w:r>
      <w:r>
        <w:rPr>
          <w:sz w:val="24"/>
          <w:u w:val="single"/>
        </w:rPr>
        <w:t xml:space="preserve">                        </w:t>
      </w:r>
    </w:p>
    <w:p w14:paraId="7B18D601">
      <w:pPr>
        <w:spacing w:line="460" w:lineRule="exact"/>
        <w:ind w:left="192"/>
        <w:rPr>
          <w:sz w:val="24"/>
        </w:rPr>
      </w:pPr>
    </w:p>
    <w:tbl>
      <w:tblPr>
        <w:tblStyle w:val="18"/>
        <w:tblW w:w="513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34"/>
        <w:gridCol w:w="890"/>
        <w:gridCol w:w="699"/>
        <w:gridCol w:w="1122"/>
        <w:gridCol w:w="1316"/>
        <w:gridCol w:w="1025"/>
        <w:gridCol w:w="696"/>
        <w:gridCol w:w="2281"/>
      </w:tblGrid>
      <w:tr w14:paraId="0E5B66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54B9BDAC">
            <w:pPr>
              <w:snapToGrid w:val="0"/>
              <w:jc w:val="center"/>
              <w:rPr>
                <w:sz w:val="24"/>
              </w:rPr>
            </w:pPr>
            <w:r>
              <w:rPr>
                <w:sz w:val="24"/>
              </w:rPr>
              <w:t>序号</w:t>
            </w:r>
          </w:p>
        </w:tc>
        <w:tc>
          <w:tcPr>
            <w:tcW w:w="508" w:type="pct"/>
            <w:tcBorders>
              <w:top w:val="single" w:color="auto" w:sz="4" w:space="0"/>
              <w:left w:val="single" w:color="auto" w:sz="4" w:space="0"/>
              <w:bottom w:val="single" w:color="auto" w:sz="4" w:space="0"/>
              <w:right w:val="single" w:color="auto" w:sz="4" w:space="0"/>
            </w:tcBorders>
            <w:vAlign w:val="center"/>
          </w:tcPr>
          <w:p w14:paraId="058FEB86">
            <w:pPr>
              <w:snapToGrid w:val="0"/>
              <w:jc w:val="center"/>
              <w:rPr>
                <w:sz w:val="24"/>
              </w:rPr>
            </w:pPr>
            <w:r>
              <w:rPr>
                <w:sz w:val="24"/>
              </w:rPr>
              <w:t>用户单位名称</w:t>
            </w:r>
          </w:p>
        </w:tc>
        <w:tc>
          <w:tcPr>
            <w:tcW w:w="399" w:type="pct"/>
            <w:tcBorders>
              <w:top w:val="single" w:color="auto" w:sz="4" w:space="0"/>
              <w:left w:val="single" w:color="auto" w:sz="4" w:space="0"/>
              <w:bottom w:val="single" w:color="auto" w:sz="4" w:space="0"/>
              <w:right w:val="single" w:color="auto" w:sz="4" w:space="0"/>
            </w:tcBorders>
            <w:vAlign w:val="center"/>
          </w:tcPr>
          <w:p w14:paraId="48C549CB">
            <w:pPr>
              <w:snapToGrid w:val="0"/>
              <w:jc w:val="center"/>
              <w:rPr>
                <w:sz w:val="24"/>
              </w:rPr>
            </w:pPr>
            <w:r>
              <w:rPr>
                <w:sz w:val="24"/>
              </w:rPr>
              <w:t>项目内容</w:t>
            </w:r>
          </w:p>
        </w:tc>
        <w:tc>
          <w:tcPr>
            <w:tcW w:w="640" w:type="pct"/>
            <w:tcBorders>
              <w:top w:val="single" w:color="auto" w:sz="4" w:space="0"/>
              <w:left w:val="single" w:color="auto" w:sz="4" w:space="0"/>
              <w:bottom w:val="single" w:color="auto" w:sz="4" w:space="0"/>
              <w:right w:val="single" w:color="auto" w:sz="4" w:space="0"/>
            </w:tcBorders>
            <w:vAlign w:val="center"/>
          </w:tcPr>
          <w:p w14:paraId="49848FF2">
            <w:pPr>
              <w:snapToGrid w:val="0"/>
              <w:jc w:val="center"/>
              <w:rPr>
                <w:sz w:val="24"/>
              </w:rPr>
            </w:pPr>
            <w:r>
              <w:rPr>
                <w:sz w:val="24"/>
              </w:rPr>
              <w:t>实施地点</w:t>
            </w:r>
          </w:p>
        </w:tc>
        <w:tc>
          <w:tcPr>
            <w:tcW w:w="751" w:type="pct"/>
            <w:tcBorders>
              <w:top w:val="single" w:color="auto" w:sz="4" w:space="0"/>
              <w:left w:val="single" w:color="auto" w:sz="4" w:space="0"/>
              <w:bottom w:val="single" w:color="auto" w:sz="4" w:space="0"/>
              <w:right w:val="single" w:color="auto" w:sz="4" w:space="0"/>
            </w:tcBorders>
            <w:vAlign w:val="center"/>
          </w:tcPr>
          <w:p w14:paraId="2DB2C07A">
            <w:pPr>
              <w:snapToGrid w:val="0"/>
              <w:jc w:val="center"/>
              <w:rPr>
                <w:sz w:val="24"/>
              </w:rPr>
            </w:pPr>
            <w:r>
              <w:rPr>
                <w:rFonts w:hint="eastAsia"/>
                <w:sz w:val="24"/>
              </w:rPr>
              <w:t>用户</w:t>
            </w:r>
            <w:r>
              <w:rPr>
                <w:sz w:val="24"/>
              </w:rPr>
              <w:t>联系人及联系方式</w:t>
            </w:r>
          </w:p>
        </w:tc>
        <w:tc>
          <w:tcPr>
            <w:tcW w:w="585" w:type="pct"/>
            <w:tcBorders>
              <w:top w:val="single" w:color="auto" w:sz="4" w:space="0"/>
              <w:left w:val="single" w:color="auto" w:sz="4" w:space="0"/>
              <w:bottom w:val="single" w:color="auto" w:sz="4" w:space="0"/>
              <w:right w:val="single" w:color="auto" w:sz="4" w:space="0"/>
            </w:tcBorders>
            <w:vAlign w:val="center"/>
          </w:tcPr>
          <w:p w14:paraId="0CACC0F4">
            <w:pPr>
              <w:snapToGrid w:val="0"/>
              <w:jc w:val="center"/>
              <w:rPr>
                <w:sz w:val="24"/>
              </w:rPr>
            </w:pPr>
            <w:r>
              <w:rPr>
                <w:sz w:val="24"/>
              </w:rPr>
              <w:t>项目起止时间</w:t>
            </w:r>
          </w:p>
        </w:tc>
        <w:tc>
          <w:tcPr>
            <w:tcW w:w="397" w:type="pct"/>
            <w:tcBorders>
              <w:top w:val="single" w:color="auto" w:sz="4" w:space="0"/>
              <w:left w:val="single" w:color="auto" w:sz="4" w:space="0"/>
              <w:bottom w:val="single" w:color="auto" w:sz="4" w:space="0"/>
              <w:right w:val="single" w:color="auto" w:sz="4" w:space="0"/>
            </w:tcBorders>
            <w:vAlign w:val="center"/>
          </w:tcPr>
          <w:p w14:paraId="3030D3E4">
            <w:pPr>
              <w:snapToGrid w:val="0"/>
              <w:jc w:val="center"/>
              <w:rPr>
                <w:sz w:val="24"/>
              </w:rPr>
            </w:pPr>
            <w:r>
              <w:rPr>
                <w:sz w:val="24"/>
              </w:rPr>
              <w:t>合同金额</w:t>
            </w:r>
          </w:p>
        </w:tc>
        <w:tc>
          <w:tcPr>
            <w:tcW w:w="1302" w:type="pct"/>
            <w:tcBorders>
              <w:top w:val="single" w:color="auto" w:sz="4" w:space="0"/>
              <w:left w:val="single" w:color="auto" w:sz="4" w:space="0"/>
              <w:bottom w:val="single" w:color="auto" w:sz="4" w:space="0"/>
              <w:right w:val="single" w:color="auto" w:sz="4" w:space="0"/>
            </w:tcBorders>
            <w:vAlign w:val="center"/>
          </w:tcPr>
          <w:p w14:paraId="1C719376">
            <w:pPr>
              <w:snapToGrid w:val="0"/>
              <w:jc w:val="center"/>
              <w:rPr>
                <w:sz w:val="24"/>
              </w:rPr>
            </w:pPr>
            <w:r>
              <w:rPr>
                <w:rFonts w:hint="eastAsia"/>
                <w:sz w:val="24"/>
              </w:rPr>
              <w:t>用户盖章的成功履行合同的相关证明材料</w:t>
            </w:r>
            <w:r>
              <w:rPr>
                <w:rFonts w:hint="eastAsia"/>
                <w:bCs/>
                <w:sz w:val="24"/>
              </w:rPr>
              <w:t>扫描件所在页码</w:t>
            </w:r>
          </w:p>
        </w:tc>
      </w:tr>
      <w:tr w14:paraId="6CB971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17D5F67E">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66185729">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6EEF40A9">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5193169C">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2E4F800C">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17695AD5">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30D6E8DF">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6187A8AA">
            <w:pPr>
              <w:snapToGrid w:val="0"/>
              <w:jc w:val="center"/>
              <w:rPr>
                <w:sz w:val="24"/>
              </w:rPr>
            </w:pPr>
          </w:p>
        </w:tc>
      </w:tr>
      <w:tr w14:paraId="6A1F9A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24FD03AB">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75D3DD3B">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4353A04A">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5C85F2D5">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714830C8">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7ED39628">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71B419D4">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0FEDA430">
            <w:pPr>
              <w:snapToGrid w:val="0"/>
              <w:jc w:val="center"/>
              <w:rPr>
                <w:sz w:val="24"/>
              </w:rPr>
            </w:pPr>
          </w:p>
        </w:tc>
      </w:tr>
      <w:tr w14:paraId="7B0D50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34884A70">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5DC79E23">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21965FF5">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315BC812">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175BC69C">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1BFA10B8">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054C6FA5">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33D6EAAC">
            <w:pPr>
              <w:snapToGrid w:val="0"/>
              <w:jc w:val="center"/>
              <w:rPr>
                <w:sz w:val="24"/>
              </w:rPr>
            </w:pPr>
          </w:p>
        </w:tc>
      </w:tr>
      <w:tr w14:paraId="1D6F35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45EEBF59">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206D984A">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1A49A126">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0A068A05">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0A5D2CCA">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2128626A">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56ABEE9E">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11F8ED4F">
            <w:pPr>
              <w:snapToGrid w:val="0"/>
              <w:jc w:val="center"/>
              <w:rPr>
                <w:sz w:val="24"/>
              </w:rPr>
            </w:pPr>
          </w:p>
        </w:tc>
      </w:tr>
      <w:tr w14:paraId="2C3878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0E95B6CF">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60B2761D">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3090304F">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6F063B7E">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6809076D">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4395D1B9">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2ABA6D25">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747DE80B">
            <w:pPr>
              <w:snapToGrid w:val="0"/>
              <w:jc w:val="center"/>
              <w:rPr>
                <w:sz w:val="24"/>
              </w:rPr>
            </w:pPr>
          </w:p>
        </w:tc>
      </w:tr>
      <w:tr w14:paraId="6F98AD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1D7278F7">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53212366">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17D6FAD3">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0F4AF9B2">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10C3F6D2">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45FC1CA7">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62C9027B">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5C937529">
            <w:pPr>
              <w:snapToGrid w:val="0"/>
              <w:jc w:val="center"/>
              <w:rPr>
                <w:sz w:val="24"/>
              </w:rPr>
            </w:pPr>
          </w:p>
        </w:tc>
      </w:tr>
      <w:tr w14:paraId="33F12B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0F2D0938">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3CA3B2F9">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7ADEE0E6">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4EFAF013">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0321D746">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0A6E50A5">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725C319C">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3E24E66B">
            <w:pPr>
              <w:snapToGrid w:val="0"/>
              <w:jc w:val="center"/>
              <w:rPr>
                <w:sz w:val="24"/>
              </w:rPr>
            </w:pPr>
          </w:p>
        </w:tc>
      </w:tr>
      <w:tr w14:paraId="0F530F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70E15A10">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6E8931EC">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5ECDAD70">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3A908403">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2FAE43D0">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5816833B">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75F22581">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0A443F11">
            <w:pPr>
              <w:snapToGrid w:val="0"/>
              <w:jc w:val="center"/>
              <w:rPr>
                <w:sz w:val="24"/>
              </w:rPr>
            </w:pPr>
          </w:p>
        </w:tc>
      </w:tr>
      <w:tr w14:paraId="18F7D1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1CEADFB0">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463CBC16">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655A25EB">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66FC4F62">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2FA324EC">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0BB409AB">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2C592ED4">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71B4D026">
            <w:pPr>
              <w:snapToGrid w:val="0"/>
              <w:jc w:val="center"/>
              <w:rPr>
                <w:sz w:val="24"/>
              </w:rPr>
            </w:pPr>
          </w:p>
        </w:tc>
      </w:tr>
      <w:tr w14:paraId="676071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3C3A0D6F">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03412B66">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6D88E024">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086048A0">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1EF09498">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3968AD9A">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1E9540D1">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7C308218">
            <w:pPr>
              <w:snapToGrid w:val="0"/>
              <w:jc w:val="center"/>
              <w:rPr>
                <w:sz w:val="24"/>
              </w:rPr>
            </w:pPr>
          </w:p>
        </w:tc>
      </w:tr>
      <w:tr w14:paraId="7F0E71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5E62B743">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2A5BC9A3">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79CE68EB">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2C636822">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3827BB9E">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1EB008B3">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12707989">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06D7C04C">
            <w:pPr>
              <w:snapToGrid w:val="0"/>
              <w:jc w:val="center"/>
              <w:rPr>
                <w:sz w:val="24"/>
              </w:rPr>
            </w:pPr>
          </w:p>
        </w:tc>
      </w:tr>
    </w:tbl>
    <w:p w14:paraId="0B66407B">
      <w:pPr>
        <w:spacing w:line="560" w:lineRule="exact"/>
        <w:jc w:val="center"/>
        <w:rPr>
          <w:sz w:val="24"/>
        </w:rPr>
      </w:pPr>
    </w:p>
    <w:p w14:paraId="17809930">
      <w:pPr>
        <w:spacing w:line="560" w:lineRule="exact"/>
        <w:rPr>
          <w:sz w:val="24"/>
        </w:rPr>
      </w:pPr>
      <w:r>
        <w:rPr>
          <w:sz w:val="24"/>
        </w:rPr>
        <w:t>备注：若</w:t>
      </w:r>
      <w:r>
        <w:rPr>
          <w:rFonts w:hint="eastAsia"/>
          <w:sz w:val="24"/>
        </w:rPr>
        <w:t>招标文件第二部分评分因素及评标标准中</w:t>
      </w:r>
      <w:r>
        <w:rPr>
          <w:sz w:val="24"/>
        </w:rPr>
        <w:t>要求提供</w:t>
      </w:r>
      <w:r>
        <w:rPr>
          <w:rFonts w:hint="eastAsia"/>
          <w:sz w:val="24"/>
        </w:rPr>
        <w:t>业绩</w:t>
      </w:r>
      <w:r>
        <w:rPr>
          <w:sz w:val="24"/>
        </w:rPr>
        <w:t>的，投标人所列业绩应按其要求将证明材料按顺序附后。</w:t>
      </w:r>
    </w:p>
    <w:p w14:paraId="528FA9F1">
      <w:pPr>
        <w:spacing w:line="560" w:lineRule="exact"/>
        <w:rPr>
          <w:sz w:val="24"/>
        </w:rPr>
      </w:pPr>
    </w:p>
    <w:p w14:paraId="561F4482">
      <w:pPr>
        <w:spacing w:line="360" w:lineRule="auto"/>
        <w:ind w:firstLine="3808" w:firstLineChars="1700"/>
        <w:rPr>
          <w:sz w:val="24"/>
        </w:rPr>
      </w:pPr>
      <w:r>
        <w:rPr>
          <w:sz w:val="24"/>
        </w:rPr>
        <w:t>投标人名称：</w:t>
      </w:r>
    </w:p>
    <w:p w14:paraId="7C298640">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6C55C98">
      <w:pPr>
        <w:spacing w:line="460" w:lineRule="exact"/>
        <w:rPr>
          <w:sz w:val="24"/>
        </w:rPr>
      </w:pPr>
    </w:p>
    <w:p w14:paraId="647FE8E5">
      <w:pPr>
        <w:widowControl/>
        <w:jc w:val="left"/>
        <w:rPr>
          <w:sz w:val="24"/>
        </w:rPr>
      </w:pPr>
      <w:r>
        <w:rPr>
          <w:sz w:val="24"/>
        </w:rPr>
        <w:br w:type="page"/>
      </w:r>
    </w:p>
    <w:p w14:paraId="54CCF5B1">
      <w:pPr>
        <w:tabs>
          <w:tab w:val="left" w:pos="360"/>
        </w:tabs>
        <w:spacing w:line="360" w:lineRule="auto"/>
        <w:rPr>
          <w:b/>
          <w:sz w:val="24"/>
        </w:rPr>
      </w:pPr>
      <w:r>
        <w:rPr>
          <w:rFonts w:hint="eastAsia"/>
          <w:b/>
          <w:sz w:val="24"/>
        </w:rPr>
        <w:t>附件8</w:t>
      </w:r>
    </w:p>
    <w:p w14:paraId="05015E35">
      <w:pPr>
        <w:autoSpaceDN w:val="0"/>
        <w:spacing w:line="360" w:lineRule="auto"/>
        <w:jc w:val="center"/>
        <w:rPr>
          <w:b/>
          <w:bCs/>
          <w:sz w:val="24"/>
        </w:rPr>
      </w:pPr>
      <w:r>
        <w:rPr>
          <w:rFonts w:hint="eastAsia"/>
          <w:b/>
          <w:bCs/>
          <w:sz w:val="24"/>
        </w:rPr>
        <w:t>制造商售后服务承诺</w:t>
      </w:r>
    </w:p>
    <w:p w14:paraId="2F23FA56">
      <w:pPr>
        <w:autoSpaceDE w:val="0"/>
        <w:autoSpaceDN w:val="0"/>
        <w:adjustRightInd w:val="0"/>
        <w:spacing w:line="360" w:lineRule="auto"/>
        <w:ind w:firstLine="448" w:firstLineChars="200"/>
        <w:rPr>
          <w:sz w:val="24"/>
        </w:rPr>
      </w:pPr>
    </w:p>
    <w:tbl>
      <w:tblPr>
        <w:tblStyle w:val="18"/>
        <w:tblW w:w="526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1289"/>
        <w:gridCol w:w="6843"/>
      </w:tblGrid>
      <w:tr w14:paraId="1211D9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18713BC8">
            <w:pPr>
              <w:pStyle w:val="41"/>
              <w:spacing w:line="360" w:lineRule="auto"/>
              <w:jc w:val="center"/>
              <w:rPr>
                <w:rFonts w:cs="Arial"/>
                <w:sz w:val="24"/>
              </w:rPr>
            </w:pPr>
            <w:r>
              <w:rPr>
                <w:rFonts w:hint="eastAsia" w:cs="Arial"/>
                <w:sz w:val="24"/>
              </w:rPr>
              <w:t>序号</w:t>
            </w:r>
          </w:p>
        </w:tc>
        <w:tc>
          <w:tcPr>
            <w:tcW w:w="718" w:type="pct"/>
            <w:tcBorders>
              <w:top w:val="single" w:color="auto" w:sz="4" w:space="0"/>
              <w:left w:val="single" w:color="auto" w:sz="4" w:space="0"/>
              <w:bottom w:val="single" w:color="auto" w:sz="4" w:space="0"/>
              <w:right w:val="single" w:color="auto" w:sz="4" w:space="0"/>
            </w:tcBorders>
            <w:vAlign w:val="center"/>
          </w:tcPr>
          <w:p w14:paraId="4ED6A699">
            <w:pPr>
              <w:pStyle w:val="41"/>
              <w:spacing w:line="360" w:lineRule="auto"/>
              <w:jc w:val="center"/>
              <w:rPr>
                <w:rFonts w:cs="Arial"/>
                <w:sz w:val="24"/>
              </w:rPr>
            </w:pPr>
            <w:r>
              <w:rPr>
                <w:rFonts w:hint="eastAsia" w:cs="Arial"/>
                <w:sz w:val="24"/>
              </w:rPr>
              <w:t>项目</w:t>
            </w:r>
          </w:p>
        </w:tc>
        <w:tc>
          <w:tcPr>
            <w:tcW w:w="3812" w:type="pct"/>
            <w:tcBorders>
              <w:top w:val="single" w:color="auto" w:sz="4" w:space="0"/>
              <w:left w:val="single" w:color="auto" w:sz="4" w:space="0"/>
              <w:bottom w:val="single" w:color="auto" w:sz="4" w:space="0"/>
              <w:right w:val="single" w:color="auto" w:sz="4" w:space="0"/>
            </w:tcBorders>
            <w:vAlign w:val="center"/>
          </w:tcPr>
          <w:p w14:paraId="01B0FB02">
            <w:pPr>
              <w:pStyle w:val="41"/>
              <w:spacing w:line="360" w:lineRule="auto"/>
              <w:jc w:val="center"/>
              <w:rPr>
                <w:rFonts w:cs="Arial"/>
                <w:sz w:val="24"/>
              </w:rPr>
            </w:pPr>
            <w:r>
              <w:rPr>
                <w:rFonts w:hint="eastAsia" w:cs="Arial"/>
                <w:sz w:val="24"/>
              </w:rPr>
              <w:t>承诺内容</w:t>
            </w:r>
          </w:p>
        </w:tc>
      </w:tr>
      <w:tr w14:paraId="741170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18" w:hRule="atLeast"/>
          <w:jc w:val="center"/>
        </w:trPr>
        <w:tc>
          <w:tcPr>
            <w:tcW w:w="470" w:type="pct"/>
            <w:tcBorders>
              <w:top w:val="single" w:color="auto" w:sz="4" w:space="0"/>
              <w:left w:val="single" w:color="auto" w:sz="4" w:space="0"/>
              <w:bottom w:val="single" w:color="auto" w:sz="4" w:space="0"/>
              <w:right w:val="single" w:color="auto" w:sz="4" w:space="0"/>
            </w:tcBorders>
            <w:vAlign w:val="center"/>
          </w:tcPr>
          <w:p w14:paraId="7FC4B104">
            <w:pPr>
              <w:pStyle w:val="41"/>
              <w:spacing w:line="360" w:lineRule="auto"/>
              <w:jc w:val="center"/>
              <w:rPr>
                <w:rFonts w:cs="Arial"/>
                <w:bCs/>
                <w:sz w:val="24"/>
              </w:rPr>
            </w:pPr>
            <w:r>
              <w:rPr>
                <w:rFonts w:hint="eastAsia" w:cs="Arial"/>
                <w:bCs/>
                <w:sz w:val="24"/>
              </w:rPr>
              <w:t>1</w:t>
            </w:r>
          </w:p>
        </w:tc>
        <w:tc>
          <w:tcPr>
            <w:tcW w:w="718" w:type="pct"/>
            <w:tcBorders>
              <w:top w:val="single" w:color="auto" w:sz="4" w:space="0"/>
              <w:left w:val="single" w:color="auto" w:sz="4" w:space="0"/>
              <w:bottom w:val="single" w:color="auto" w:sz="4" w:space="0"/>
              <w:right w:val="single" w:color="auto" w:sz="4" w:space="0"/>
            </w:tcBorders>
            <w:vAlign w:val="center"/>
          </w:tcPr>
          <w:p w14:paraId="15F418C8">
            <w:pPr>
              <w:pStyle w:val="41"/>
              <w:spacing w:line="360" w:lineRule="auto"/>
              <w:jc w:val="center"/>
              <w:rPr>
                <w:rFonts w:cs="Arial"/>
                <w:bCs/>
                <w:sz w:val="24"/>
              </w:rPr>
            </w:pPr>
            <w:r>
              <w:rPr>
                <w:rFonts w:hint="eastAsia" w:cs="Arial"/>
                <w:bCs/>
                <w:sz w:val="24"/>
              </w:rPr>
              <w:t>保修期内</w:t>
            </w:r>
          </w:p>
        </w:tc>
        <w:tc>
          <w:tcPr>
            <w:tcW w:w="3812" w:type="pct"/>
            <w:tcBorders>
              <w:top w:val="single" w:color="auto" w:sz="4" w:space="0"/>
              <w:left w:val="single" w:color="auto" w:sz="4" w:space="0"/>
              <w:right w:val="single" w:color="auto" w:sz="4" w:space="0"/>
            </w:tcBorders>
            <w:vAlign w:val="center"/>
          </w:tcPr>
          <w:p w14:paraId="709A52BB">
            <w:pPr>
              <w:pStyle w:val="41"/>
              <w:spacing w:line="360" w:lineRule="auto"/>
              <w:rPr>
                <w:rFonts w:cs="Arial"/>
                <w:bCs/>
                <w:sz w:val="24"/>
              </w:rPr>
            </w:pPr>
          </w:p>
        </w:tc>
      </w:tr>
      <w:tr w14:paraId="37B17E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18" w:hRule="atLeast"/>
          <w:jc w:val="center"/>
        </w:trPr>
        <w:tc>
          <w:tcPr>
            <w:tcW w:w="470" w:type="pct"/>
            <w:tcBorders>
              <w:top w:val="single" w:color="auto" w:sz="4" w:space="0"/>
              <w:left w:val="single" w:color="auto" w:sz="4" w:space="0"/>
              <w:right w:val="single" w:color="auto" w:sz="4" w:space="0"/>
            </w:tcBorders>
            <w:vAlign w:val="center"/>
          </w:tcPr>
          <w:p w14:paraId="14D32A5F">
            <w:pPr>
              <w:pStyle w:val="41"/>
              <w:spacing w:line="360" w:lineRule="auto"/>
              <w:jc w:val="center"/>
              <w:rPr>
                <w:rFonts w:cs="Arial"/>
                <w:bCs/>
                <w:sz w:val="24"/>
              </w:rPr>
            </w:pPr>
            <w:r>
              <w:rPr>
                <w:rFonts w:hint="eastAsia" w:cs="Arial"/>
                <w:bCs/>
                <w:sz w:val="24"/>
              </w:rPr>
              <w:t>2</w:t>
            </w:r>
          </w:p>
        </w:tc>
        <w:tc>
          <w:tcPr>
            <w:tcW w:w="718" w:type="pct"/>
            <w:tcBorders>
              <w:top w:val="single" w:color="auto" w:sz="4" w:space="0"/>
              <w:left w:val="single" w:color="auto" w:sz="4" w:space="0"/>
              <w:right w:val="single" w:color="auto" w:sz="4" w:space="0"/>
            </w:tcBorders>
            <w:vAlign w:val="center"/>
          </w:tcPr>
          <w:p w14:paraId="5FD4ED59">
            <w:pPr>
              <w:pStyle w:val="41"/>
              <w:spacing w:line="360" w:lineRule="auto"/>
              <w:jc w:val="center"/>
              <w:rPr>
                <w:rFonts w:cs="Arial"/>
                <w:bCs/>
                <w:sz w:val="24"/>
              </w:rPr>
            </w:pPr>
            <w:r>
              <w:rPr>
                <w:rFonts w:hint="eastAsia" w:cs="Arial"/>
                <w:bCs/>
                <w:sz w:val="24"/>
              </w:rPr>
              <w:t>保修期后</w:t>
            </w:r>
          </w:p>
        </w:tc>
        <w:tc>
          <w:tcPr>
            <w:tcW w:w="3812" w:type="pct"/>
            <w:tcBorders>
              <w:top w:val="single" w:color="auto" w:sz="4" w:space="0"/>
              <w:left w:val="single" w:color="auto" w:sz="4" w:space="0"/>
              <w:right w:val="single" w:color="auto" w:sz="4" w:space="0"/>
            </w:tcBorders>
            <w:vAlign w:val="center"/>
          </w:tcPr>
          <w:p w14:paraId="5F5DDA03">
            <w:pPr>
              <w:pStyle w:val="41"/>
              <w:spacing w:line="360" w:lineRule="auto"/>
              <w:rPr>
                <w:rFonts w:cs="Arial"/>
                <w:bCs/>
                <w:sz w:val="24"/>
              </w:rPr>
            </w:pPr>
          </w:p>
        </w:tc>
      </w:tr>
      <w:tr w14:paraId="03EB48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6400D727">
            <w:pPr>
              <w:pStyle w:val="41"/>
              <w:spacing w:line="360" w:lineRule="auto"/>
              <w:jc w:val="center"/>
              <w:rPr>
                <w:rFonts w:cs="Arial"/>
                <w:bCs/>
                <w:sz w:val="24"/>
              </w:rPr>
            </w:pPr>
            <w:r>
              <w:rPr>
                <w:rFonts w:hint="eastAsia" w:cs="Arial"/>
                <w:bCs/>
                <w:sz w:val="24"/>
              </w:rPr>
              <w:t>3</w:t>
            </w:r>
          </w:p>
        </w:tc>
        <w:tc>
          <w:tcPr>
            <w:tcW w:w="718" w:type="pct"/>
            <w:tcBorders>
              <w:top w:val="single" w:color="auto" w:sz="4" w:space="0"/>
              <w:left w:val="single" w:color="auto" w:sz="4" w:space="0"/>
              <w:bottom w:val="single" w:color="auto" w:sz="4" w:space="0"/>
              <w:right w:val="single" w:color="auto" w:sz="4" w:space="0"/>
            </w:tcBorders>
            <w:vAlign w:val="center"/>
          </w:tcPr>
          <w:p w14:paraId="0AF4D1FE">
            <w:pPr>
              <w:pStyle w:val="41"/>
              <w:spacing w:line="360" w:lineRule="auto"/>
              <w:jc w:val="center"/>
              <w:rPr>
                <w:rFonts w:cs="Arial"/>
                <w:bCs/>
                <w:sz w:val="24"/>
              </w:rPr>
            </w:pPr>
            <w:r>
              <w:rPr>
                <w:rFonts w:hint="eastAsia" w:cs="Arial"/>
                <w:bCs/>
                <w:sz w:val="24"/>
              </w:rPr>
              <w:t>培训方案</w:t>
            </w:r>
          </w:p>
        </w:tc>
        <w:tc>
          <w:tcPr>
            <w:tcW w:w="3812" w:type="pct"/>
            <w:tcBorders>
              <w:top w:val="single" w:color="auto" w:sz="4" w:space="0"/>
              <w:left w:val="single" w:color="auto" w:sz="4" w:space="0"/>
              <w:bottom w:val="single" w:color="auto" w:sz="4" w:space="0"/>
              <w:right w:val="single" w:color="auto" w:sz="4" w:space="0"/>
            </w:tcBorders>
            <w:vAlign w:val="center"/>
          </w:tcPr>
          <w:p w14:paraId="0BEEAD33">
            <w:pPr>
              <w:pStyle w:val="41"/>
              <w:spacing w:line="360" w:lineRule="auto"/>
              <w:rPr>
                <w:rFonts w:cs="Arial"/>
                <w:bCs/>
                <w:sz w:val="24"/>
              </w:rPr>
            </w:pPr>
          </w:p>
          <w:p w14:paraId="275254F9">
            <w:pPr>
              <w:pStyle w:val="41"/>
              <w:spacing w:line="360" w:lineRule="auto"/>
              <w:rPr>
                <w:rFonts w:cs="Arial"/>
                <w:bCs/>
                <w:sz w:val="24"/>
              </w:rPr>
            </w:pPr>
          </w:p>
        </w:tc>
      </w:tr>
      <w:tr w14:paraId="481D74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5B440261">
            <w:pPr>
              <w:pStyle w:val="41"/>
              <w:spacing w:line="360" w:lineRule="auto"/>
              <w:jc w:val="center"/>
              <w:rPr>
                <w:rFonts w:cs="Arial"/>
                <w:bCs/>
                <w:sz w:val="24"/>
              </w:rPr>
            </w:pPr>
            <w:r>
              <w:rPr>
                <w:rFonts w:hint="eastAsia" w:cs="Arial"/>
                <w:bCs/>
                <w:sz w:val="24"/>
              </w:rPr>
              <w:t>4</w:t>
            </w:r>
          </w:p>
        </w:tc>
        <w:tc>
          <w:tcPr>
            <w:tcW w:w="718" w:type="pct"/>
            <w:tcBorders>
              <w:top w:val="single" w:color="auto" w:sz="4" w:space="0"/>
              <w:left w:val="single" w:color="auto" w:sz="4" w:space="0"/>
              <w:bottom w:val="single" w:color="auto" w:sz="4" w:space="0"/>
              <w:right w:val="single" w:color="auto" w:sz="4" w:space="0"/>
            </w:tcBorders>
            <w:vAlign w:val="center"/>
          </w:tcPr>
          <w:p w14:paraId="314789F3">
            <w:pPr>
              <w:pStyle w:val="41"/>
              <w:spacing w:line="360" w:lineRule="auto"/>
              <w:jc w:val="center"/>
              <w:rPr>
                <w:rFonts w:cs="Arial"/>
                <w:bCs/>
                <w:sz w:val="24"/>
              </w:rPr>
            </w:pPr>
            <w:r>
              <w:rPr>
                <w:rFonts w:hint="eastAsia" w:cs="Arial"/>
                <w:bCs/>
                <w:sz w:val="24"/>
              </w:rPr>
              <w:t>其他内容</w:t>
            </w:r>
          </w:p>
        </w:tc>
        <w:tc>
          <w:tcPr>
            <w:tcW w:w="3812" w:type="pct"/>
            <w:tcBorders>
              <w:top w:val="single" w:color="auto" w:sz="4" w:space="0"/>
              <w:left w:val="single" w:color="auto" w:sz="4" w:space="0"/>
              <w:bottom w:val="single" w:color="auto" w:sz="4" w:space="0"/>
              <w:right w:val="single" w:color="auto" w:sz="4" w:space="0"/>
            </w:tcBorders>
            <w:vAlign w:val="center"/>
          </w:tcPr>
          <w:p w14:paraId="273E57FD">
            <w:pPr>
              <w:pStyle w:val="41"/>
              <w:spacing w:line="360" w:lineRule="auto"/>
              <w:rPr>
                <w:rFonts w:cs="Arial"/>
                <w:bCs/>
                <w:sz w:val="24"/>
              </w:rPr>
            </w:pPr>
          </w:p>
          <w:p w14:paraId="447874E3">
            <w:pPr>
              <w:pStyle w:val="41"/>
              <w:spacing w:line="360" w:lineRule="auto"/>
              <w:rPr>
                <w:rFonts w:cs="Arial"/>
                <w:bCs/>
                <w:sz w:val="24"/>
              </w:rPr>
            </w:pPr>
          </w:p>
        </w:tc>
      </w:tr>
    </w:tbl>
    <w:p w14:paraId="18ED5B87">
      <w:pPr>
        <w:spacing w:line="620" w:lineRule="exact"/>
        <w:rPr>
          <w:sz w:val="24"/>
        </w:rPr>
      </w:pPr>
    </w:p>
    <w:p w14:paraId="30DBEC62">
      <w:pPr>
        <w:spacing w:line="360" w:lineRule="auto"/>
        <w:ind w:firstLine="3808" w:firstLineChars="1700"/>
        <w:rPr>
          <w:sz w:val="24"/>
        </w:rPr>
      </w:pPr>
      <w:r>
        <w:rPr>
          <w:rFonts w:hint="eastAsia"/>
          <w:sz w:val="24"/>
        </w:rPr>
        <w:t>制造商（加盖制造商公章）：</w:t>
      </w:r>
    </w:p>
    <w:p w14:paraId="64993A18">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0247A74">
      <w:pPr>
        <w:snapToGrid w:val="0"/>
        <w:spacing w:line="360" w:lineRule="auto"/>
        <w:rPr>
          <w:sz w:val="24"/>
          <w:szCs w:val="21"/>
        </w:rPr>
      </w:pPr>
    </w:p>
    <w:p w14:paraId="2CB31577">
      <w:pPr>
        <w:snapToGrid w:val="0"/>
        <w:spacing w:line="360" w:lineRule="auto"/>
        <w:rPr>
          <w:sz w:val="24"/>
          <w:szCs w:val="21"/>
        </w:rPr>
      </w:pPr>
      <w:r>
        <w:rPr>
          <w:rFonts w:hint="eastAsia"/>
          <w:sz w:val="24"/>
          <w:szCs w:val="21"/>
        </w:rPr>
        <w:t>注：制造商售后服务承诺须加盖制造商公章原件扫描后放入电子投标文件，否则不予认定。</w:t>
      </w:r>
    </w:p>
    <w:p w14:paraId="36DB9F3B"/>
    <w:p w14:paraId="14699D60">
      <w:pPr>
        <w:widowControl/>
        <w:jc w:val="left"/>
        <w:rPr>
          <w:b/>
          <w:bCs/>
          <w:sz w:val="24"/>
        </w:rPr>
      </w:pPr>
      <w:r>
        <w:rPr>
          <w:b/>
          <w:bCs/>
          <w:sz w:val="24"/>
        </w:rPr>
        <w:br w:type="page"/>
      </w:r>
    </w:p>
    <w:p w14:paraId="341AE1C4">
      <w:pPr>
        <w:autoSpaceDN w:val="0"/>
        <w:spacing w:line="360" w:lineRule="auto"/>
        <w:jc w:val="center"/>
        <w:rPr>
          <w:b/>
          <w:bCs/>
          <w:sz w:val="24"/>
        </w:rPr>
      </w:pPr>
      <w:r>
        <w:rPr>
          <w:rFonts w:hint="eastAsia"/>
          <w:b/>
          <w:bCs/>
          <w:sz w:val="24"/>
        </w:rPr>
        <w:t>投标人售后服务承诺</w:t>
      </w:r>
    </w:p>
    <w:p w14:paraId="044F496F">
      <w:pPr>
        <w:autoSpaceDE w:val="0"/>
        <w:autoSpaceDN w:val="0"/>
        <w:adjustRightInd w:val="0"/>
        <w:spacing w:line="360" w:lineRule="auto"/>
        <w:ind w:firstLine="448" w:firstLineChars="200"/>
        <w:rPr>
          <w:sz w:val="24"/>
        </w:rPr>
      </w:pPr>
    </w:p>
    <w:tbl>
      <w:tblPr>
        <w:tblStyle w:val="18"/>
        <w:tblW w:w="526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1289"/>
        <w:gridCol w:w="6843"/>
      </w:tblGrid>
      <w:tr w14:paraId="11F525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259EB5A6">
            <w:pPr>
              <w:pStyle w:val="41"/>
              <w:spacing w:line="360" w:lineRule="auto"/>
              <w:jc w:val="center"/>
              <w:rPr>
                <w:rFonts w:cs="Arial"/>
                <w:sz w:val="24"/>
              </w:rPr>
            </w:pPr>
            <w:r>
              <w:rPr>
                <w:rFonts w:hint="eastAsia" w:cs="Arial"/>
                <w:sz w:val="24"/>
              </w:rPr>
              <w:t>序号</w:t>
            </w:r>
          </w:p>
        </w:tc>
        <w:tc>
          <w:tcPr>
            <w:tcW w:w="718" w:type="pct"/>
            <w:tcBorders>
              <w:top w:val="single" w:color="auto" w:sz="4" w:space="0"/>
              <w:left w:val="single" w:color="auto" w:sz="4" w:space="0"/>
              <w:bottom w:val="single" w:color="auto" w:sz="4" w:space="0"/>
              <w:right w:val="single" w:color="auto" w:sz="4" w:space="0"/>
            </w:tcBorders>
            <w:vAlign w:val="center"/>
          </w:tcPr>
          <w:p w14:paraId="0E49EAEF">
            <w:pPr>
              <w:pStyle w:val="41"/>
              <w:spacing w:line="360" w:lineRule="auto"/>
              <w:jc w:val="center"/>
              <w:rPr>
                <w:rFonts w:cs="Arial"/>
                <w:sz w:val="24"/>
              </w:rPr>
            </w:pPr>
            <w:r>
              <w:rPr>
                <w:rFonts w:hint="eastAsia" w:cs="Arial"/>
                <w:sz w:val="24"/>
              </w:rPr>
              <w:t>项目</w:t>
            </w:r>
          </w:p>
        </w:tc>
        <w:tc>
          <w:tcPr>
            <w:tcW w:w="3812" w:type="pct"/>
            <w:tcBorders>
              <w:top w:val="single" w:color="auto" w:sz="4" w:space="0"/>
              <w:left w:val="single" w:color="auto" w:sz="4" w:space="0"/>
              <w:bottom w:val="single" w:color="auto" w:sz="4" w:space="0"/>
              <w:right w:val="single" w:color="auto" w:sz="4" w:space="0"/>
            </w:tcBorders>
            <w:vAlign w:val="center"/>
          </w:tcPr>
          <w:p w14:paraId="62A19EDD">
            <w:pPr>
              <w:pStyle w:val="41"/>
              <w:spacing w:line="360" w:lineRule="auto"/>
              <w:jc w:val="center"/>
              <w:rPr>
                <w:rFonts w:cs="Arial"/>
                <w:sz w:val="24"/>
              </w:rPr>
            </w:pPr>
            <w:r>
              <w:rPr>
                <w:rFonts w:hint="eastAsia" w:cs="Arial"/>
                <w:sz w:val="24"/>
              </w:rPr>
              <w:t>承诺内容</w:t>
            </w:r>
          </w:p>
        </w:tc>
      </w:tr>
      <w:tr w14:paraId="383261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18" w:hRule="atLeast"/>
          <w:jc w:val="center"/>
        </w:trPr>
        <w:tc>
          <w:tcPr>
            <w:tcW w:w="470" w:type="pct"/>
            <w:tcBorders>
              <w:top w:val="single" w:color="auto" w:sz="4" w:space="0"/>
              <w:left w:val="single" w:color="auto" w:sz="4" w:space="0"/>
              <w:bottom w:val="single" w:color="auto" w:sz="4" w:space="0"/>
              <w:right w:val="single" w:color="auto" w:sz="4" w:space="0"/>
            </w:tcBorders>
            <w:vAlign w:val="center"/>
          </w:tcPr>
          <w:p w14:paraId="30D89ED1">
            <w:pPr>
              <w:pStyle w:val="41"/>
              <w:spacing w:line="360" w:lineRule="auto"/>
              <w:jc w:val="center"/>
              <w:rPr>
                <w:rFonts w:cs="Arial"/>
                <w:bCs/>
                <w:sz w:val="24"/>
              </w:rPr>
            </w:pPr>
            <w:r>
              <w:rPr>
                <w:rFonts w:hint="eastAsia" w:cs="Arial"/>
                <w:bCs/>
                <w:sz w:val="24"/>
              </w:rPr>
              <w:t>1</w:t>
            </w:r>
          </w:p>
        </w:tc>
        <w:tc>
          <w:tcPr>
            <w:tcW w:w="718" w:type="pct"/>
            <w:tcBorders>
              <w:top w:val="single" w:color="auto" w:sz="4" w:space="0"/>
              <w:left w:val="single" w:color="auto" w:sz="4" w:space="0"/>
              <w:bottom w:val="single" w:color="auto" w:sz="4" w:space="0"/>
              <w:right w:val="single" w:color="auto" w:sz="4" w:space="0"/>
            </w:tcBorders>
            <w:vAlign w:val="center"/>
          </w:tcPr>
          <w:p w14:paraId="6A944736">
            <w:pPr>
              <w:pStyle w:val="41"/>
              <w:spacing w:line="360" w:lineRule="auto"/>
              <w:jc w:val="center"/>
              <w:rPr>
                <w:rFonts w:cs="Arial"/>
                <w:bCs/>
                <w:sz w:val="24"/>
              </w:rPr>
            </w:pPr>
            <w:r>
              <w:rPr>
                <w:rFonts w:hint="eastAsia" w:cs="Arial"/>
                <w:bCs/>
                <w:sz w:val="24"/>
              </w:rPr>
              <w:t>保修期内</w:t>
            </w:r>
          </w:p>
        </w:tc>
        <w:tc>
          <w:tcPr>
            <w:tcW w:w="3812" w:type="pct"/>
            <w:tcBorders>
              <w:top w:val="single" w:color="auto" w:sz="4" w:space="0"/>
              <w:left w:val="single" w:color="auto" w:sz="4" w:space="0"/>
              <w:right w:val="single" w:color="auto" w:sz="4" w:space="0"/>
            </w:tcBorders>
            <w:vAlign w:val="center"/>
          </w:tcPr>
          <w:p w14:paraId="64C62DE2">
            <w:pPr>
              <w:pStyle w:val="41"/>
              <w:spacing w:line="360" w:lineRule="auto"/>
              <w:rPr>
                <w:rFonts w:cs="Arial"/>
                <w:bCs/>
                <w:sz w:val="24"/>
              </w:rPr>
            </w:pPr>
          </w:p>
        </w:tc>
      </w:tr>
      <w:tr w14:paraId="1F3B64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18" w:hRule="atLeast"/>
          <w:jc w:val="center"/>
        </w:trPr>
        <w:tc>
          <w:tcPr>
            <w:tcW w:w="470" w:type="pct"/>
            <w:tcBorders>
              <w:top w:val="single" w:color="auto" w:sz="4" w:space="0"/>
              <w:left w:val="single" w:color="auto" w:sz="4" w:space="0"/>
              <w:right w:val="single" w:color="auto" w:sz="4" w:space="0"/>
            </w:tcBorders>
            <w:vAlign w:val="center"/>
          </w:tcPr>
          <w:p w14:paraId="0E817E33">
            <w:pPr>
              <w:pStyle w:val="41"/>
              <w:spacing w:line="360" w:lineRule="auto"/>
              <w:jc w:val="center"/>
              <w:rPr>
                <w:rFonts w:cs="Arial"/>
                <w:bCs/>
                <w:sz w:val="24"/>
              </w:rPr>
            </w:pPr>
            <w:r>
              <w:rPr>
                <w:rFonts w:hint="eastAsia" w:cs="Arial"/>
                <w:bCs/>
                <w:sz w:val="24"/>
              </w:rPr>
              <w:t>2</w:t>
            </w:r>
          </w:p>
        </w:tc>
        <w:tc>
          <w:tcPr>
            <w:tcW w:w="718" w:type="pct"/>
            <w:tcBorders>
              <w:top w:val="single" w:color="auto" w:sz="4" w:space="0"/>
              <w:left w:val="single" w:color="auto" w:sz="4" w:space="0"/>
              <w:right w:val="single" w:color="auto" w:sz="4" w:space="0"/>
            </w:tcBorders>
            <w:vAlign w:val="center"/>
          </w:tcPr>
          <w:p w14:paraId="1777BFE9">
            <w:pPr>
              <w:pStyle w:val="41"/>
              <w:spacing w:line="360" w:lineRule="auto"/>
              <w:jc w:val="center"/>
              <w:rPr>
                <w:rFonts w:cs="Arial"/>
                <w:bCs/>
                <w:sz w:val="24"/>
              </w:rPr>
            </w:pPr>
            <w:r>
              <w:rPr>
                <w:rFonts w:hint="eastAsia" w:cs="Arial"/>
                <w:bCs/>
                <w:sz w:val="24"/>
              </w:rPr>
              <w:t>保修期后</w:t>
            </w:r>
          </w:p>
        </w:tc>
        <w:tc>
          <w:tcPr>
            <w:tcW w:w="3812" w:type="pct"/>
            <w:tcBorders>
              <w:top w:val="single" w:color="auto" w:sz="4" w:space="0"/>
              <w:left w:val="single" w:color="auto" w:sz="4" w:space="0"/>
              <w:right w:val="single" w:color="auto" w:sz="4" w:space="0"/>
            </w:tcBorders>
            <w:vAlign w:val="center"/>
          </w:tcPr>
          <w:p w14:paraId="1F491A48">
            <w:pPr>
              <w:pStyle w:val="41"/>
              <w:spacing w:line="360" w:lineRule="auto"/>
              <w:rPr>
                <w:rFonts w:cs="Arial"/>
                <w:bCs/>
                <w:sz w:val="24"/>
              </w:rPr>
            </w:pPr>
          </w:p>
        </w:tc>
      </w:tr>
      <w:tr w14:paraId="248120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52EE87E2">
            <w:pPr>
              <w:pStyle w:val="41"/>
              <w:spacing w:line="360" w:lineRule="auto"/>
              <w:jc w:val="center"/>
              <w:rPr>
                <w:rFonts w:cs="Arial"/>
                <w:bCs/>
                <w:sz w:val="24"/>
              </w:rPr>
            </w:pPr>
            <w:r>
              <w:rPr>
                <w:rFonts w:hint="eastAsia" w:cs="Arial"/>
                <w:bCs/>
                <w:sz w:val="24"/>
              </w:rPr>
              <w:t>3</w:t>
            </w:r>
          </w:p>
        </w:tc>
        <w:tc>
          <w:tcPr>
            <w:tcW w:w="718" w:type="pct"/>
            <w:tcBorders>
              <w:top w:val="single" w:color="auto" w:sz="4" w:space="0"/>
              <w:left w:val="single" w:color="auto" w:sz="4" w:space="0"/>
              <w:bottom w:val="single" w:color="auto" w:sz="4" w:space="0"/>
              <w:right w:val="single" w:color="auto" w:sz="4" w:space="0"/>
            </w:tcBorders>
            <w:vAlign w:val="center"/>
          </w:tcPr>
          <w:p w14:paraId="5FC81CF5">
            <w:pPr>
              <w:pStyle w:val="41"/>
              <w:spacing w:line="360" w:lineRule="auto"/>
              <w:jc w:val="center"/>
              <w:rPr>
                <w:rFonts w:cs="Arial"/>
                <w:bCs/>
                <w:sz w:val="24"/>
              </w:rPr>
            </w:pPr>
            <w:r>
              <w:rPr>
                <w:rFonts w:hint="eastAsia" w:cs="Arial"/>
                <w:bCs/>
                <w:sz w:val="24"/>
              </w:rPr>
              <w:t>培训方案</w:t>
            </w:r>
          </w:p>
        </w:tc>
        <w:tc>
          <w:tcPr>
            <w:tcW w:w="3812" w:type="pct"/>
            <w:tcBorders>
              <w:top w:val="single" w:color="auto" w:sz="4" w:space="0"/>
              <w:left w:val="single" w:color="auto" w:sz="4" w:space="0"/>
              <w:bottom w:val="single" w:color="auto" w:sz="4" w:space="0"/>
              <w:right w:val="single" w:color="auto" w:sz="4" w:space="0"/>
            </w:tcBorders>
            <w:vAlign w:val="center"/>
          </w:tcPr>
          <w:p w14:paraId="38B59730">
            <w:pPr>
              <w:pStyle w:val="41"/>
              <w:spacing w:line="360" w:lineRule="auto"/>
              <w:rPr>
                <w:rFonts w:cs="Arial"/>
                <w:bCs/>
                <w:sz w:val="24"/>
              </w:rPr>
            </w:pPr>
          </w:p>
          <w:p w14:paraId="20E0B235">
            <w:pPr>
              <w:pStyle w:val="41"/>
              <w:spacing w:line="360" w:lineRule="auto"/>
              <w:rPr>
                <w:rFonts w:cs="Arial"/>
                <w:bCs/>
                <w:sz w:val="24"/>
              </w:rPr>
            </w:pPr>
          </w:p>
        </w:tc>
      </w:tr>
      <w:tr w14:paraId="6CA5CB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318D7C09">
            <w:pPr>
              <w:pStyle w:val="41"/>
              <w:spacing w:line="360" w:lineRule="auto"/>
              <w:jc w:val="center"/>
              <w:rPr>
                <w:rFonts w:cs="Arial"/>
                <w:bCs/>
                <w:sz w:val="24"/>
              </w:rPr>
            </w:pPr>
            <w:r>
              <w:rPr>
                <w:rFonts w:hint="eastAsia" w:cs="Arial"/>
                <w:bCs/>
                <w:sz w:val="24"/>
              </w:rPr>
              <w:t>4</w:t>
            </w:r>
          </w:p>
        </w:tc>
        <w:tc>
          <w:tcPr>
            <w:tcW w:w="718" w:type="pct"/>
            <w:tcBorders>
              <w:top w:val="single" w:color="auto" w:sz="4" w:space="0"/>
              <w:left w:val="single" w:color="auto" w:sz="4" w:space="0"/>
              <w:bottom w:val="single" w:color="auto" w:sz="4" w:space="0"/>
              <w:right w:val="single" w:color="auto" w:sz="4" w:space="0"/>
            </w:tcBorders>
            <w:vAlign w:val="center"/>
          </w:tcPr>
          <w:p w14:paraId="65A2EEC8">
            <w:pPr>
              <w:pStyle w:val="41"/>
              <w:spacing w:line="360" w:lineRule="auto"/>
              <w:jc w:val="center"/>
              <w:rPr>
                <w:rFonts w:cs="Arial"/>
                <w:bCs/>
                <w:sz w:val="24"/>
              </w:rPr>
            </w:pPr>
            <w:r>
              <w:rPr>
                <w:rFonts w:hint="eastAsia" w:cs="Arial"/>
                <w:bCs/>
                <w:sz w:val="24"/>
              </w:rPr>
              <w:t>其他内容</w:t>
            </w:r>
          </w:p>
        </w:tc>
        <w:tc>
          <w:tcPr>
            <w:tcW w:w="3812" w:type="pct"/>
            <w:tcBorders>
              <w:top w:val="single" w:color="auto" w:sz="4" w:space="0"/>
              <w:left w:val="single" w:color="auto" w:sz="4" w:space="0"/>
              <w:bottom w:val="single" w:color="auto" w:sz="4" w:space="0"/>
              <w:right w:val="single" w:color="auto" w:sz="4" w:space="0"/>
            </w:tcBorders>
            <w:vAlign w:val="center"/>
          </w:tcPr>
          <w:p w14:paraId="1B0ABA6E">
            <w:pPr>
              <w:pStyle w:val="41"/>
              <w:spacing w:line="360" w:lineRule="auto"/>
              <w:rPr>
                <w:rFonts w:cs="Arial"/>
                <w:bCs/>
                <w:sz w:val="24"/>
              </w:rPr>
            </w:pPr>
          </w:p>
          <w:p w14:paraId="12192B0B">
            <w:pPr>
              <w:pStyle w:val="41"/>
              <w:spacing w:line="360" w:lineRule="auto"/>
              <w:rPr>
                <w:rFonts w:cs="Arial"/>
                <w:bCs/>
                <w:sz w:val="24"/>
              </w:rPr>
            </w:pPr>
          </w:p>
        </w:tc>
      </w:tr>
    </w:tbl>
    <w:p w14:paraId="6F5C194E">
      <w:pPr>
        <w:spacing w:line="620" w:lineRule="exact"/>
        <w:rPr>
          <w:sz w:val="24"/>
        </w:rPr>
      </w:pPr>
    </w:p>
    <w:p w14:paraId="4D1D7681">
      <w:pPr>
        <w:spacing w:line="360" w:lineRule="auto"/>
        <w:ind w:firstLine="3808" w:firstLineChars="1700"/>
        <w:rPr>
          <w:sz w:val="24"/>
        </w:rPr>
      </w:pPr>
      <w:r>
        <w:rPr>
          <w:sz w:val="24"/>
        </w:rPr>
        <w:t>投标人名称：</w:t>
      </w:r>
    </w:p>
    <w:p w14:paraId="65EF1A43">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F983E8B">
      <w:pPr>
        <w:spacing w:line="620" w:lineRule="exact"/>
        <w:rPr>
          <w:sz w:val="24"/>
        </w:rPr>
      </w:pPr>
    </w:p>
    <w:p w14:paraId="4AB2B0C4">
      <w:pPr>
        <w:widowControl/>
        <w:jc w:val="left"/>
        <w:rPr>
          <w:sz w:val="24"/>
        </w:rPr>
      </w:pPr>
      <w:r>
        <w:rPr>
          <w:sz w:val="24"/>
        </w:rPr>
        <w:br w:type="page"/>
      </w:r>
    </w:p>
    <w:p w14:paraId="3FAB495E">
      <w:pPr>
        <w:tabs>
          <w:tab w:val="left" w:pos="360"/>
        </w:tabs>
        <w:spacing w:line="360" w:lineRule="auto"/>
        <w:rPr>
          <w:b/>
          <w:sz w:val="24"/>
        </w:rPr>
      </w:pPr>
      <w:r>
        <w:rPr>
          <w:rFonts w:hint="eastAsia"/>
          <w:b/>
          <w:sz w:val="24"/>
        </w:rPr>
        <w:t>附件9</w:t>
      </w:r>
    </w:p>
    <w:p w14:paraId="67363FD0">
      <w:pPr>
        <w:autoSpaceDN w:val="0"/>
        <w:spacing w:line="360" w:lineRule="auto"/>
        <w:jc w:val="center"/>
        <w:rPr>
          <w:b/>
          <w:bCs/>
          <w:sz w:val="24"/>
        </w:rPr>
      </w:pPr>
      <w:r>
        <w:rPr>
          <w:b/>
          <w:bCs/>
          <w:sz w:val="24"/>
        </w:rPr>
        <w:t>投标产品配置清单</w:t>
      </w:r>
    </w:p>
    <w:p w14:paraId="0D288DA9">
      <w:pPr>
        <w:spacing w:line="460" w:lineRule="exact"/>
        <w:rPr>
          <w:sz w:val="24"/>
        </w:rPr>
      </w:pPr>
    </w:p>
    <w:p w14:paraId="43B5C204">
      <w:pPr>
        <w:spacing w:line="460" w:lineRule="exact"/>
        <w:rPr>
          <w:sz w:val="24"/>
        </w:rPr>
      </w:pPr>
      <w:r>
        <w:rPr>
          <w:sz w:val="24"/>
        </w:rPr>
        <w:t>项目名称：</w:t>
      </w:r>
      <w:r>
        <w:rPr>
          <w:sz w:val="24"/>
          <w:u w:val="single"/>
        </w:rPr>
        <w:t xml:space="preserve">                    </w:t>
      </w:r>
    </w:p>
    <w:p w14:paraId="190A6578">
      <w:pPr>
        <w:spacing w:line="460" w:lineRule="exact"/>
        <w:rPr>
          <w:sz w:val="24"/>
        </w:rPr>
      </w:pPr>
      <w:r>
        <w:rPr>
          <w:sz w:val="24"/>
        </w:rPr>
        <w:t>项目编号：</w:t>
      </w:r>
      <w:r>
        <w:rPr>
          <w:sz w:val="24"/>
          <w:u w:val="single"/>
        </w:rPr>
        <w:t xml:space="preserve">                    </w:t>
      </w:r>
    </w:p>
    <w:p w14:paraId="53AB92D9">
      <w:pPr>
        <w:spacing w:line="460" w:lineRule="exact"/>
        <w:rPr>
          <w:sz w:val="24"/>
          <w:u w:val="single"/>
        </w:rPr>
      </w:pPr>
      <w:r>
        <w:rPr>
          <w:sz w:val="24"/>
        </w:rPr>
        <w:t>包号：</w:t>
      </w:r>
      <w:r>
        <w:rPr>
          <w:sz w:val="24"/>
          <w:u w:val="single"/>
        </w:rPr>
        <w:t xml:space="preserve">                        </w:t>
      </w:r>
    </w:p>
    <w:p w14:paraId="657CC06E">
      <w:pPr>
        <w:spacing w:line="460" w:lineRule="exact"/>
        <w:rPr>
          <w:sz w:val="24"/>
          <w:u w:val="single"/>
        </w:rPr>
      </w:pPr>
    </w:p>
    <w:tbl>
      <w:tblPr>
        <w:tblStyle w:val="18"/>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61"/>
        <w:gridCol w:w="1699"/>
        <w:gridCol w:w="1561"/>
        <w:gridCol w:w="4307"/>
      </w:tblGrid>
      <w:tr w14:paraId="494670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4" w:type="pct"/>
            <w:shd w:val="clear" w:color="auto" w:fill="auto"/>
            <w:vAlign w:val="center"/>
          </w:tcPr>
          <w:p w14:paraId="1B994F5C">
            <w:pPr>
              <w:spacing w:line="560" w:lineRule="exact"/>
              <w:jc w:val="center"/>
              <w:rPr>
                <w:sz w:val="24"/>
              </w:rPr>
            </w:pPr>
            <w:r>
              <w:rPr>
                <w:sz w:val="24"/>
              </w:rPr>
              <w:t>序号</w:t>
            </w:r>
          </w:p>
        </w:tc>
        <w:tc>
          <w:tcPr>
            <w:tcW w:w="996" w:type="pct"/>
            <w:shd w:val="clear" w:color="auto" w:fill="auto"/>
            <w:vAlign w:val="center"/>
          </w:tcPr>
          <w:p w14:paraId="6CF56DC9">
            <w:pPr>
              <w:spacing w:line="560" w:lineRule="exact"/>
              <w:jc w:val="center"/>
              <w:rPr>
                <w:sz w:val="24"/>
              </w:rPr>
            </w:pPr>
            <w:r>
              <w:rPr>
                <w:sz w:val="24"/>
              </w:rPr>
              <w:t>设备名称</w:t>
            </w:r>
          </w:p>
        </w:tc>
        <w:tc>
          <w:tcPr>
            <w:tcW w:w="915" w:type="pct"/>
            <w:shd w:val="clear" w:color="auto" w:fill="auto"/>
            <w:vAlign w:val="center"/>
          </w:tcPr>
          <w:p w14:paraId="454CDA77">
            <w:pPr>
              <w:spacing w:line="560" w:lineRule="exact"/>
              <w:jc w:val="center"/>
              <w:rPr>
                <w:sz w:val="24"/>
              </w:rPr>
            </w:pPr>
            <w:r>
              <w:rPr>
                <w:sz w:val="24"/>
              </w:rPr>
              <w:t>规格型号</w:t>
            </w:r>
          </w:p>
        </w:tc>
        <w:tc>
          <w:tcPr>
            <w:tcW w:w="2525" w:type="pct"/>
            <w:shd w:val="clear" w:color="auto" w:fill="auto"/>
            <w:vAlign w:val="center"/>
          </w:tcPr>
          <w:p w14:paraId="3114FA47">
            <w:pPr>
              <w:spacing w:line="560" w:lineRule="exact"/>
              <w:jc w:val="center"/>
              <w:rPr>
                <w:sz w:val="24"/>
              </w:rPr>
            </w:pPr>
            <w:r>
              <w:rPr>
                <w:sz w:val="24"/>
              </w:rPr>
              <w:t>详细配置及技术标准</w:t>
            </w:r>
          </w:p>
        </w:tc>
      </w:tr>
      <w:tr w14:paraId="0C0A1E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4" w:type="pct"/>
            <w:shd w:val="clear" w:color="auto" w:fill="auto"/>
            <w:vAlign w:val="center"/>
          </w:tcPr>
          <w:p w14:paraId="1F5DE0BF">
            <w:pPr>
              <w:spacing w:line="560" w:lineRule="exact"/>
              <w:jc w:val="center"/>
              <w:rPr>
                <w:sz w:val="24"/>
              </w:rPr>
            </w:pPr>
            <w:r>
              <w:rPr>
                <w:sz w:val="24"/>
              </w:rPr>
              <w:t>1</w:t>
            </w:r>
          </w:p>
        </w:tc>
        <w:tc>
          <w:tcPr>
            <w:tcW w:w="996" w:type="pct"/>
            <w:shd w:val="clear" w:color="auto" w:fill="auto"/>
            <w:vAlign w:val="center"/>
          </w:tcPr>
          <w:p w14:paraId="1304E934">
            <w:pPr>
              <w:spacing w:line="560" w:lineRule="exact"/>
              <w:jc w:val="center"/>
              <w:rPr>
                <w:sz w:val="24"/>
              </w:rPr>
            </w:pPr>
          </w:p>
        </w:tc>
        <w:tc>
          <w:tcPr>
            <w:tcW w:w="915" w:type="pct"/>
            <w:shd w:val="clear" w:color="auto" w:fill="auto"/>
            <w:vAlign w:val="center"/>
          </w:tcPr>
          <w:p w14:paraId="7F25EAED">
            <w:pPr>
              <w:spacing w:line="560" w:lineRule="exact"/>
              <w:jc w:val="center"/>
              <w:rPr>
                <w:sz w:val="24"/>
              </w:rPr>
            </w:pPr>
          </w:p>
        </w:tc>
        <w:tc>
          <w:tcPr>
            <w:tcW w:w="2525" w:type="pct"/>
            <w:shd w:val="clear" w:color="auto" w:fill="auto"/>
            <w:vAlign w:val="center"/>
          </w:tcPr>
          <w:p w14:paraId="0BB98CA1">
            <w:pPr>
              <w:spacing w:line="560" w:lineRule="exact"/>
              <w:jc w:val="center"/>
              <w:rPr>
                <w:sz w:val="24"/>
              </w:rPr>
            </w:pPr>
          </w:p>
        </w:tc>
      </w:tr>
      <w:tr w14:paraId="783AF9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4" w:type="pct"/>
            <w:shd w:val="clear" w:color="auto" w:fill="auto"/>
            <w:vAlign w:val="center"/>
          </w:tcPr>
          <w:p w14:paraId="2A1BE017">
            <w:pPr>
              <w:spacing w:line="560" w:lineRule="exact"/>
              <w:jc w:val="center"/>
              <w:rPr>
                <w:sz w:val="24"/>
              </w:rPr>
            </w:pPr>
            <w:r>
              <w:rPr>
                <w:sz w:val="24"/>
              </w:rPr>
              <w:t>2</w:t>
            </w:r>
          </w:p>
        </w:tc>
        <w:tc>
          <w:tcPr>
            <w:tcW w:w="996" w:type="pct"/>
            <w:shd w:val="clear" w:color="auto" w:fill="auto"/>
            <w:vAlign w:val="center"/>
          </w:tcPr>
          <w:p w14:paraId="45A5B942">
            <w:pPr>
              <w:spacing w:line="560" w:lineRule="exact"/>
              <w:jc w:val="center"/>
              <w:rPr>
                <w:sz w:val="24"/>
              </w:rPr>
            </w:pPr>
          </w:p>
        </w:tc>
        <w:tc>
          <w:tcPr>
            <w:tcW w:w="915" w:type="pct"/>
            <w:shd w:val="clear" w:color="auto" w:fill="auto"/>
            <w:vAlign w:val="center"/>
          </w:tcPr>
          <w:p w14:paraId="2D09BB1D">
            <w:pPr>
              <w:spacing w:line="560" w:lineRule="exact"/>
              <w:jc w:val="center"/>
              <w:rPr>
                <w:sz w:val="24"/>
              </w:rPr>
            </w:pPr>
          </w:p>
        </w:tc>
        <w:tc>
          <w:tcPr>
            <w:tcW w:w="2525" w:type="pct"/>
            <w:shd w:val="clear" w:color="auto" w:fill="auto"/>
            <w:vAlign w:val="center"/>
          </w:tcPr>
          <w:p w14:paraId="1BFA2316">
            <w:pPr>
              <w:spacing w:line="560" w:lineRule="exact"/>
              <w:jc w:val="center"/>
              <w:rPr>
                <w:sz w:val="24"/>
              </w:rPr>
            </w:pPr>
          </w:p>
        </w:tc>
      </w:tr>
      <w:tr w14:paraId="4CDFF2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4" w:type="pct"/>
            <w:shd w:val="clear" w:color="auto" w:fill="auto"/>
            <w:vAlign w:val="center"/>
          </w:tcPr>
          <w:p w14:paraId="171DA744">
            <w:pPr>
              <w:spacing w:line="560" w:lineRule="exact"/>
              <w:jc w:val="center"/>
              <w:rPr>
                <w:sz w:val="24"/>
              </w:rPr>
            </w:pPr>
            <w:r>
              <w:rPr>
                <w:sz w:val="24"/>
              </w:rPr>
              <w:t>3</w:t>
            </w:r>
          </w:p>
        </w:tc>
        <w:tc>
          <w:tcPr>
            <w:tcW w:w="996" w:type="pct"/>
            <w:shd w:val="clear" w:color="auto" w:fill="auto"/>
            <w:vAlign w:val="center"/>
          </w:tcPr>
          <w:p w14:paraId="19B0E9A6">
            <w:pPr>
              <w:spacing w:line="560" w:lineRule="exact"/>
              <w:jc w:val="center"/>
              <w:rPr>
                <w:sz w:val="24"/>
              </w:rPr>
            </w:pPr>
          </w:p>
        </w:tc>
        <w:tc>
          <w:tcPr>
            <w:tcW w:w="915" w:type="pct"/>
            <w:shd w:val="clear" w:color="auto" w:fill="auto"/>
            <w:vAlign w:val="center"/>
          </w:tcPr>
          <w:p w14:paraId="350C8551">
            <w:pPr>
              <w:spacing w:line="560" w:lineRule="exact"/>
              <w:jc w:val="center"/>
              <w:rPr>
                <w:sz w:val="24"/>
              </w:rPr>
            </w:pPr>
          </w:p>
        </w:tc>
        <w:tc>
          <w:tcPr>
            <w:tcW w:w="2525" w:type="pct"/>
            <w:shd w:val="clear" w:color="auto" w:fill="auto"/>
            <w:vAlign w:val="center"/>
          </w:tcPr>
          <w:p w14:paraId="512C7303">
            <w:pPr>
              <w:spacing w:line="560" w:lineRule="exact"/>
              <w:jc w:val="center"/>
              <w:rPr>
                <w:sz w:val="24"/>
              </w:rPr>
            </w:pPr>
          </w:p>
        </w:tc>
      </w:tr>
      <w:tr w14:paraId="6C0515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4" w:type="pct"/>
            <w:shd w:val="clear" w:color="auto" w:fill="auto"/>
            <w:vAlign w:val="center"/>
          </w:tcPr>
          <w:p w14:paraId="72FCF6AA">
            <w:pPr>
              <w:spacing w:line="560" w:lineRule="exact"/>
              <w:jc w:val="center"/>
              <w:rPr>
                <w:sz w:val="24"/>
              </w:rPr>
            </w:pPr>
            <w:r>
              <w:rPr>
                <w:sz w:val="24"/>
              </w:rPr>
              <w:t>…</w:t>
            </w:r>
          </w:p>
        </w:tc>
        <w:tc>
          <w:tcPr>
            <w:tcW w:w="996" w:type="pct"/>
            <w:shd w:val="clear" w:color="auto" w:fill="auto"/>
            <w:vAlign w:val="center"/>
          </w:tcPr>
          <w:p w14:paraId="083D6B3B">
            <w:pPr>
              <w:spacing w:line="560" w:lineRule="exact"/>
              <w:jc w:val="center"/>
              <w:rPr>
                <w:sz w:val="24"/>
              </w:rPr>
            </w:pPr>
          </w:p>
        </w:tc>
        <w:tc>
          <w:tcPr>
            <w:tcW w:w="915" w:type="pct"/>
            <w:shd w:val="clear" w:color="auto" w:fill="auto"/>
            <w:vAlign w:val="center"/>
          </w:tcPr>
          <w:p w14:paraId="29A3CEEA">
            <w:pPr>
              <w:spacing w:line="560" w:lineRule="exact"/>
              <w:jc w:val="center"/>
              <w:rPr>
                <w:sz w:val="24"/>
              </w:rPr>
            </w:pPr>
          </w:p>
        </w:tc>
        <w:tc>
          <w:tcPr>
            <w:tcW w:w="2525" w:type="pct"/>
            <w:shd w:val="clear" w:color="auto" w:fill="auto"/>
            <w:vAlign w:val="center"/>
          </w:tcPr>
          <w:p w14:paraId="1562BA39">
            <w:pPr>
              <w:spacing w:line="560" w:lineRule="exact"/>
              <w:jc w:val="center"/>
              <w:rPr>
                <w:sz w:val="24"/>
              </w:rPr>
            </w:pPr>
          </w:p>
        </w:tc>
      </w:tr>
    </w:tbl>
    <w:p w14:paraId="56C4CAA6">
      <w:pPr>
        <w:spacing w:line="560" w:lineRule="exact"/>
        <w:jc w:val="left"/>
        <w:rPr>
          <w:sz w:val="24"/>
        </w:rPr>
      </w:pPr>
    </w:p>
    <w:p w14:paraId="69C2C311">
      <w:pPr>
        <w:spacing w:line="560" w:lineRule="exact"/>
        <w:jc w:val="left"/>
        <w:rPr>
          <w:sz w:val="24"/>
        </w:rPr>
      </w:pPr>
    </w:p>
    <w:p w14:paraId="0E4B8663">
      <w:pPr>
        <w:spacing w:line="560" w:lineRule="exact"/>
        <w:jc w:val="left"/>
        <w:rPr>
          <w:sz w:val="24"/>
        </w:rPr>
      </w:pPr>
    </w:p>
    <w:p w14:paraId="03427296">
      <w:pPr>
        <w:spacing w:line="560" w:lineRule="exact"/>
        <w:jc w:val="left"/>
        <w:rPr>
          <w:sz w:val="24"/>
        </w:rPr>
      </w:pPr>
    </w:p>
    <w:p w14:paraId="6410F5DE">
      <w:pPr>
        <w:spacing w:line="560" w:lineRule="exact"/>
        <w:jc w:val="left"/>
        <w:rPr>
          <w:sz w:val="24"/>
        </w:rPr>
      </w:pPr>
    </w:p>
    <w:p w14:paraId="1EA59EBF">
      <w:pPr>
        <w:spacing w:line="360" w:lineRule="auto"/>
        <w:ind w:firstLine="3808" w:firstLineChars="1700"/>
        <w:rPr>
          <w:sz w:val="24"/>
        </w:rPr>
      </w:pPr>
      <w:r>
        <w:rPr>
          <w:sz w:val="24"/>
        </w:rPr>
        <w:t>投标人名称：</w:t>
      </w:r>
    </w:p>
    <w:p w14:paraId="0A97BD36">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EDAFEF6">
      <w:pPr>
        <w:tabs>
          <w:tab w:val="left" w:pos="210"/>
        </w:tabs>
        <w:autoSpaceDE w:val="0"/>
        <w:autoSpaceDN w:val="0"/>
        <w:adjustRightInd w:val="0"/>
        <w:spacing w:line="460" w:lineRule="exact"/>
        <w:ind w:firstLine="448" w:firstLineChars="200"/>
        <w:rPr>
          <w:sz w:val="24"/>
        </w:rPr>
      </w:pPr>
      <w:r>
        <w:rPr>
          <w:sz w:val="24"/>
        </w:rPr>
        <w:br w:type="page"/>
      </w:r>
    </w:p>
    <w:p w14:paraId="23C3E127">
      <w:pPr>
        <w:tabs>
          <w:tab w:val="left" w:pos="360"/>
        </w:tabs>
        <w:spacing w:line="360" w:lineRule="auto"/>
        <w:rPr>
          <w:b/>
          <w:sz w:val="24"/>
        </w:rPr>
      </w:pPr>
      <w:r>
        <w:rPr>
          <w:b/>
          <w:sz w:val="24"/>
        </w:rPr>
        <w:t>附件</w:t>
      </w:r>
      <w:r>
        <w:rPr>
          <w:rFonts w:hint="eastAsia"/>
          <w:b/>
          <w:sz w:val="24"/>
        </w:rPr>
        <w:t>10</w:t>
      </w:r>
    </w:p>
    <w:p w14:paraId="711FF62A">
      <w:pPr>
        <w:autoSpaceDE w:val="0"/>
        <w:autoSpaceDN w:val="0"/>
        <w:spacing w:line="480" w:lineRule="auto"/>
        <w:jc w:val="center"/>
        <w:rPr>
          <w:b/>
          <w:sz w:val="24"/>
          <w:szCs w:val="24"/>
        </w:rPr>
      </w:pPr>
      <w:r>
        <w:rPr>
          <w:b/>
          <w:sz w:val="24"/>
          <w:szCs w:val="24"/>
        </w:rPr>
        <w:t>中小企业声明函（货物）</w:t>
      </w:r>
    </w:p>
    <w:p w14:paraId="49A7B83C">
      <w:pPr>
        <w:widowControl/>
        <w:spacing w:line="500" w:lineRule="exact"/>
        <w:ind w:firstLine="448" w:firstLineChars="200"/>
        <w:jc w:val="left"/>
        <w:rPr>
          <w:sz w:val="24"/>
          <w:szCs w:val="24"/>
        </w:rPr>
      </w:pPr>
      <w:r>
        <w:rPr>
          <w:sz w:val="24"/>
          <w:szCs w:val="24"/>
        </w:rPr>
        <w:t>本公司（联合体）郑重声明，针对本项目提供的货物</w:t>
      </w:r>
      <w:r>
        <w:rPr>
          <w:sz w:val="24"/>
          <w:szCs w:val="24"/>
          <w:u w:val="single"/>
        </w:rPr>
        <w:t xml:space="preserve">      （</w:t>
      </w:r>
      <w:r>
        <w:rPr>
          <w:b/>
          <w:sz w:val="24"/>
          <w:szCs w:val="24"/>
        </w:rPr>
        <w:t>请填写有/无）</w:t>
      </w:r>
      <w:r>
        <w:rPr>
          <w:sz w:val="24"/>
          <w:szCs w:val="24"/>
        </w:rPr>
        <w:t>大型企业制造的货物。</w:t>
      </w:r>
      <w:r>
        <w:rPr>
          <w:b/>
          <w:sz w:val="24"/>
          <w:szCs w:val="24"/>
        </w:rPr>
        <w:t>（若有大型企业制造的货物，则无需填写以下内容；若无大型企业制造的货物，则继续填写以下内容）</w:t>
      </w:r>
    </w:p>
    <w:p w14:paraId="11692065">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rPr>
        <w:t>请填写项目名称）</w:t>
      </w:r>
      <w:r>
        <w:rPr>
          <w:sz w:val="24"/>
          <w:szCs w:val="24"/>
        </w:rPr>
        <w:t>采购活动，提供的货物全部由符合政策要求的中小企业制造。相关企业（含联合体中的中小企业、签订分包意向协议的中小企业）的具体情况如下：</w:t>
      </w:r>
    </w:p>
    <w:p w14:paraId="68FBFC0C">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rFonts w:hint="eastAsia"/>
          <w:sz w:val="24"/>
          <w:szCs w:val="24"/>
          <w:u w:val="single"/>
        </w:rPr>
        <w:t>工业</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74B08346">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713A9975">
      <w:pPr>
        <w:autoSpaceDE w:val="0"/>
        <w:autoSpaceDN w:val="0"/>
        <w:spacing w:line="500" w:lineRule="exact"/>
        <w:ind w:left="641"/>
        <w:jc w:val="left"/>
        <w:rPr>
          <w:sz w:val="24"/>
          <w:szCs w:val="24"/>
        </w:rPr>
      </w:pPr>
      <w:r>
        <w:rPr>
          <w:sz w:val="24"/>
          <w:szCs w:val="24"/>
        </w:rPr>
        <w:t>……</w:t>
      </w:r>
    </w:p>
    <w:p w14:paraId="3A5598BC">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0747FF67">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0F5A0927">
      <w:pPr>
        <w:autoSpaceDE w:val="0"/>
        <w:autoSpaceDN w:val="0"/>
        <w:spacing w:line="500" w:lineRule="exact"/>
        <w:ind w:left="3840"/>
        <w:jc w:val="left"/>
        <w:rPr>
          <w:sz w:val="24"/>
          <w:szCs w:val="24"/>
        </w:rPr>
      </w:pPr>
      <w:r>
        <w:rPr>
          <w:sz w:val="24"/>
          <w:szCs w:val="24"/>
        </w:rPr>
        <w:t>投标人名称：</w:t>
      </w:r>
    </w:p>
    <w:p w14:paraId="685F7F72">
      <w:pPr>
        <w:autoSpaceDE w:val="0"/>
        <w:autoSpaceDN w:val="0"/>
        <w:spacing w:line="500" w:lineRule="exact"/>
        <w:ind w:left="3840"/>
        <w:jc w:val="left"/>
        <w:rPr>
          <w:b/>
          <w:sz w:val="24"/>
          <w:szCs w:val="24"/>
        </w:rPr>
      </w:pPr>
      <w:r>
        <w:rPr>
          <w:sz w:val="24"/>
          <w:szCs w:val="24"/>
        </w:rPr>
        <w:t>日期：</w:t>
      </w:r>
    </w:p>
    <w:p w14:paraId="1469E860">
      <w:pPr>
        <w:spacing w:line="360" w:lineRule="auto"/>
        <w:ind w:right="84" w:firstLine="224" w:firstLineChars="100"/>
        <w:rPr>
          <w:b/>
          <w:sz w:val="24"/>
          <w:szCs w:val="24"/>
        </w:rPr>
      </w:pPr>
      <w:r>
        <w:rPr>
          <w:b/>
          <w:sz w:val="24"/>
          <w:szCs w:val="24"/>
        </w:rPr>
        <w:t>注：</w:t>
      </w:r>
    </w:p>
    <w:p w14:paraId="3A39CD89">
      <w:pPr>
        <w:spacing w:line="360" w:lineRule="auto"/>
        <w:ind w:right="84" w:firstLine="224" w:firstLineChars="100"/>
        <w:rPr>
          <w:b/>
          <w:sz w:val="24"/>
          <w:szCs w:val="24"/>
        </w:rPr>
      </w:pPr>
      <w:r>
        <w:rPr>
          <w:b/>
          <w:sz w:val="24"/>
          <w:szCs w:val="24"/>
        </w:rPr>
        <w:t>1.标的名称须按照采购文件“采购清单”中明确的标的名称进行填写；所属行业须按照采购文件中明确的所属行业进行填写，否则不享受中小企业扶持政策。</w:t>
      </w:r>
    </w:p>
    <w:p w14:paraId="19C9A26E">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60F7A9B9">
      <w:pPr>
        <w:spacing w:line="360" w:lineRule="auto"/>
        <w:ind w:right="84" w:firstLine="224" w:firstLineChars="100"/>
        <w:rPr>
          <w:b/>
          <w:sz w:val="24"/>
          <w:szCs w:val="21"/>
        </w:rPr>
      </w:pPr>
      <w:r>
        <w:rPr>
          <w:b/>
          <w:sz w:val="24"/>
          <w:szCs w:val="21"/>
        </w:rPr>
        <w:t>3.中标（成交）供应商享受中小企业扶持政策的，将随中标（成交）结果同时公告其《中小企业声明函》，接受社会监督。</w:t>
      </w:r>
    </w:p>
    <w:p w14:paraId="53BC7F54">
      <w:pPr>
        <w:widowControl/>
        <w:jc w:val="left"/>
        <w:rPr>
          <w:sz w:val="24"/>
          <w:szCs w:val="21"/>
        </w:rPr>
      </w:pPr>
    </w:p>
    <w:p w14:paraId="322E813F">
      <w:pPr>
        <w:widowControl/>
        <w:jc w:val="left"/>
        <w:rPr>
          <w:sz w:val="24"/>
          <w:szCs w:val="21"/>
        </w:rPr>
      </w:pPr>
    </w:p>
    <w:p w14:paraId="2817CFF5">
      <w:pPr>
        <w:widowControl/>
        <w:jc w:val="left"/>
        <w:rPr>
          <w:sz w:val="24"/>
          <w:szCs w:val="21"/>
        </w:rPr>
      </w:pPr>
    </w:p>
    <w:p w14:paraId="434F530F">
      <w:pPr>
        <w:widowControl/>
        <w:jc w:val="left"/>
        <w:rPr>
          <w:b/>
          <w:kern w:val="0"/>
          <w:sz w:val="24"/>
          <w:szCs w:val="21"/>
        </w:rPr>
      </w:pPr>
      <w:r>
        <w:rPr>
          <w:b/>
          <w:kern w:val="0"/>
          <w:sz w:val="24"/>
          <w:szCs w:val="21"/>
        </w:rPr>
        <w:br w:type="page"/>
      </w:r>
    </w:p>
    <w:p w14:paraId="28F1CD71">
      <w:pPr>
        <w:autoSpaceDN w:val="0"/>
        <w:spacing w:line="360" w:lineRule="auto"/>
        <w:rPr>
          <w:b/>
          <w:kern w:val="0"/>
          <w:sz w:val="24"/>
          <w:szCs w:val="21"/>
        </w:rPr>
      </w:pPr>
      <w:r>
        <w:rPr>
          <w:rFonts w:hint="eastAsia"/>
          <w:b/>
          <w:kern w:val="0"/>
          <w:sz w:val="24"/>
          <w:szCs w:val="21"/>
        </w:rPr>
        <w:t>附件11</w:t>
      </w:r>
    </w:p>
    <w:p w14:paraId="4778D216">
      <w:pPr>
        <w:autoSpaceDN w:val="0"/>
        <w:spacing w:line="360" w:lineRule="auto"/>
        <w:jc w:val="left"/>
        <w:rPr>
          <w:b/>
          <w:bCs/>
          <w:sz w:val="24"/>
        </w:rPr>
      </w:pPr>
      <w:r>
        <w:rPr>
          <w:rFonts w:hint="eastAsia"/>
          <w:b/>
          <w:kern w:val="0"/>
          <w:sz w:val="24"/>
          <w:szCs w:val="21"/>
        </w:rPr>
        <w:t>若不是残疾人福利性单位，投标文件中可不提供此声明函</w:t>
      </w:r>
    </w:p>
    <w:p w14:paraId="5FFFF270">
      <w:pPr>
        <w:autoSpaceDN w:val="0"/>
        <w:spacing w:line="360" w:lineRule="auto"/>
        <w:jc w:val="center"/>
        <w:rPr>
          <w:b/>
          <w:bCs/>
          <w:sz w:val="24"/>
        </w:rPr>
      </w:pPr>
    </w:p>
    <w:p w14:paraId="087ECF48">
      <w:pPr>
        <w:snapToGrid w:val="0"/>
        <w:spacing w:line="360" w:lineRule="auto"/>
        <w:jc w:val="center"/>
        <w:rPr>
          <w:b/>
          <w:bCs/>
          <w:sz w:val="24"/>
        </w:rPr>
      </w:pPr>
      <w:r>
        <w:rPr>
          <w:rFonts w:hint="eastAsia"/>
          <w:b/>
          <w:bCs/>
          <w:sz w:val="24"/>
        </w:rPr>
        <w:t>残疾人福利性单位声明函</w:t>
      </w:r>
    </w:p>
    <w:p w14:paraId="3930FB6B">
      <w:pPr>
        <w:snapToGrid w:val="0"/>
        <w:spacing w:line="360" w:lineRule="auto"/>
        <w:ind w:firstLine="448" w:firstLineChars="200"/>
        <w:jc w:val="left"/>
        <w:rPr>
          <w:b/>
          <w:bCs/>
          <w:sz w:val="24"/>
        </w:rPr>
      </w:pPr>
    </w:p>
    <w:p w14:paraId="33ECC615">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4C616AB3">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5EC7A525">
      <w:pPr>
        <w:snapToGrid w:val="0"/>
        <w:spacing w:line="360" w:lineRule="auto"/>
        <w:ind w:firstLine="448" w:firstLineChars="200"/>
        <w:jc w:val="left"/>
        <w:rPr>
          <w:bCs/>
          <w:sz w:val="24"/>
        </w:rPr>
      </w:pPr>
    </w:p>
    <w:p w14:paraId="1C504410">
      <w:pPr>
        <w:snapToGrid w:val="0"/>
        <w:spacing w:line="360" w:lineRule="auto"/>
        <w:ind w:firstLine="448" w:firstLineChars="200"/>
        <w:jc w:val="left"/>
        <w:rPr>
          <w:bCs/>
          <w:sz w:val="24"/>
        </w:rPr>
      </w:pPr>
    </w:p>
    <w:p w14:paraId="3BBD90F9">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4E4FFA83">
      <w:pPr>
        <w:snapToGrid w:val="0"/>
        <w:spacing w:line="360" w:lineRule="auto"/>
        <w:ind w:firstLine="448" w:firstLineChars="200"/>
        <w:jc w:val="left"/>
        <w:rPr>
          <w:bCs/>
          <w:sz w:val="24"/>
        </w:rPr>
      </w:pPr>
    </w:p>
    <w:p w14:paraId="4A034EFA">
      <w:pPr>
        <w:snapToGrid w:val="0"/>
        <w:spacing w:line="360" w:lineRule="auto"/>
        <w:ind w:firstLine="448" w:firstLineChars="200"/>
        <w:jc w:val="left"/>
        <w:rPr>
          <w:sz w:val="24"/>
          <w:szCs w:val="21"/>
        </w:rPr>
      </w:pPr>
      <w:r>
        <w:rPr>
          <w:rFonts w:hint="eastAsia"/>
          <w:bCs/>
          <w:sz w:val="24"/>
        </w:rPr>
        <w:t xml:space="preserve">               日  期：</w:t>
      </w:r>
    </w:p>
    <w:p w14:paraId="002EF184">
      <w:pPr>
        <w:snapToGrid w:val="0"/>
        <w:spacing w:line="360" w:lineRule="auto"/>
        <w:ind w:firstLine="448" w:firstLineChars="200"/>
        <w:jc w:val="left"/>
        <w:rPr>
          <w:sz w:val="24"/>
          <w:szCs w:val="21"/>
        </w:rPr>
      </w:pPr>
    </w:p>
    <w:p w14:paraId="6DDCAF82">
      <w:pPr>
        <w:snapToGrid w:val="0"/>
        <w:spacing w:line="360" w:lineRule="auto"/>
        <w:ind w:firstLine="448" w:firstLineChars="200"/>
        <w:rPr>
          <w:sz w:val="24"/>
          <w:szCs w:val="21"/>
        </w:rPr>
      </w:pPr>
      <w:r>
        <w:rPr>
          <w:sz w:val="24"/>
          <w:szCs w:val="21"/>
        </w:rPr>
        <w:t>注：</w:t>
      </w:r>
    </w:p>
    <w:p w14:paraId="356DF529">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0A8232DF">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5DFE611B">
      <w:pPr>
        <w:snapToGrid w:val="0"/>
        <w:spacing w:line="360" w:lineRule="auto"/>
        <w:rPr>
          <w:color w:val="FF0000"/>
          <w:sz w:val="24"/>
          <w:szCs w:val="21"/>
        </w:rPr>
      </w:pPr>
    </w:p>
    <w:p w14:paraId="61D4EE39">
      <w:pPr>
        <w:widowControl/>
        <w:jc w:val="left"/>
        <w:rPr>
          <w:sz w:val="24"/>
        </w:rPr>
      </w:pPr>
      <w:r>
        <w:rPr>
          <w:sz w:val="24"/>
        </w:rPr>
        <w:br w:type="page"/>
      </w:r>
    </w:p>
    <w:p w14:paraId="02C2B1D5">
      <w:pPr>
        <w:tabs>
          <w:tab w:val="left" w:pos="360"/>
        </w:tabs>
        <w:spacing w:line="360" w:lineRule="auto"/>
        <w:rPr>
          <w:b/>
          <w:sz w:val="24"/>
        </w:rPr>
      </w:pPr>
      <w:r>
        <w:rPr>
          <w:rFonts w:hint="eastAsia"/>
          <w:b/>
          <w:sz w:val="24"/>
        </w:rPr>
        <w:t>附件12</w:t>
      </w:r>
    </w:p>
    <w:p w14:paraId="22C4CE18">
      <w:pPr>
        <w:autoSpaceDN w:val="0"/>
        <w:spacing w:line="360" w:lineRule="auto"/>
        <w:jc w:val="center"/>
        <w:rPr>
          <w:b/>
          <w:bCs/>
          <w:sz w:val="24"/>
        </w:rPr>
      </w:pPr>
      <w:r>
        <w:rPr>
          <w:b/>
          <w:bCs/>
          <w:sz w:val="24"/>
        </w:rPr>
        <w:t>投标人认为需要提供的其他资料</w:t>
      </w:r>
    </w:p>
    <w:sectPr>
      <w:footerReference r:id="rId7"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
    <w:altName w:val="宋体"/>
    <w:panose1 w:val="00000000000000000000"/>
    <w:charset w:val="86"/>
    <w:family w:val="roman"/>
    <w:pitch w:val="default"/>
    <w:sig w:usb0="00000000" w:usb1="00000000" w:usb2="00000010" w:usb3="00000000" w:csb0="00040000" w:csb1="00000000"/>
  </w:font>
  <w:font w:name="华文楷体">
    <w:panose1 w:val="02010600040101010101"/>
    <w:charset w:val="86"/>
    <w:family w:val="auto"/>
    <w:pitch w:val="default"/>
    <w:sig w:usb0="00000287" w:usb1="080F0000" w:usb2="00000000" w:usb3="00000000" w:csb0="0004009F" w:csb1="DFD70000"/>
  </w:font>
  <w:font w:name="仿宋_GB2312">
    <w:panose1 w:val="02010609030101010101"/>
    <w:charset w:val="86"/>
    <w:family w:val="modern"/>
    <w:pitch w:val="default"/>
    <w:sig w:usb0="00000001" w:usb1="080E0000" w:usb2="00000000" w:usb3="00000000" w:csb0="00040000" w:csb1="00000000"/>
  </w:font>
  <w:font w:name="方正小标宋简体">
    <w:panose1 w:val="02010601030101010101"/>
    <w:charset w:val="86"/>
    <w:family w:val="script"/>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0C61D2">
    <w:pPr>
      <w:pStyle w:val="11"/>
      <w:jc w:val="center"/>
    </w:pPr>
  </w:p>
  <w:p w14:paraId="5EA80E20">
    <w:pPr>
      <w:pStyle w:val="11"/>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1AED13">
    <w:pPr>
      <w:pStyle w:val="11"/>
      <w:jc w:val="center"/>
    </w:pPr>
  </w:p>
  <w:p w14:paraId="2A86D9E3">
    <w:pPr>
      <w:pStyle w:val="11"/>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843081406"/>
      <w:docPartObj>
        <w:docPartGallery w:val="autotext"/>
      </w:docPartObj>
    </w:sdtPr>
    <w:sdtContent>
      <w:p w14:paraId="367D4907">
        <w:pPr>
          <w:pStyle w:val="11"/>
          <w:jc w:val="center"/>
        </w:pPr>
        <w:r>
          <w:fldChar w:fldCharType="begin"/>
        </w:r>
        <w:r>
          <w:instrText xml:space="preserve">PAGE   \* MERGEFORMAT</w:instrText>
        </w:r>
        <w:r>
          <w:fldChar w:fldCharType="separate"/>
        </w:r>
        <w:r>
          <w:rPr>
            <w:lang w:val="zh-CN"/>
          </w:rPr>
          <w:t>1</w:t>
        </w:r>
        <w:r>
          <w:fldChar w:fldCharType="end"/>
        </w:r>
      </w:p>
    </w:sdtContent>
  </w:sdt>
  <w:p w14:paraId="663E0256">
    <w:pPr>
      <w:pStyle w:val="11"/>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62CFDF">
    <w:pPr>
      <w:pStyle w:val="11"/>
      <w:jc w:val="center"/>
    </w:pPr>
    <w:r>
      <w:rPr>
        <w:b/>
      </w:rPr>
      <w:fldChar w:fldCharType="begin"/>
    </w:r>
    <w:r>
      <w:rPr>
        <w:b/>
      </w:rPr>
      <w:instrText xml:space="preserve">PAGE  \* Arabic  \* MERGEFORMAT</w:instrText>
    </w:r>
    <w:r>
      <w:rPr>
        <w:b/>
      </w:rPr>
      <w:fldChar w:fldCharType="separate"/>
    </w:r>
    <w:r>
      <w:rPr>
        <w:b/>
        <w:lang w:val="zh-CN"/>
      </w:rPr>
      <w:t>1</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2AF3B0">
    <w:pPr>
      <w:pStyle w:val="12"/>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F6BC116"/>
    <w:multiLevelType w:val="singleLevel"/>
    <w:tmpl w:val="BF6BC116"/>
    <w:lvl w:ilvl="0" w:tentative="0">
      <w:start w:val="16"/>
      <w:numFmt w:val="decimal"/>
      <w:suff w:val="space"/>
      <w:lvlText w:val="%1."/>
      <w:lvlJc w:val="left"/>
      <w:pPr>
        <w:ind w:left="0" w:firstLine="0"/>
      </w:pPr>
    </w:lvl>
  </w:abstractNum>
  <w:abstractNum w:abstractNumId="1">
    <w:nsid w:val="CFE7C3F8"/>
    <w:multiLevelType w:val="singleLevel"/>
    <w:tmpl w:val="CFE7C3F8"/>
    <w:lvl w:ilvl="0" w:tentative="0">
      <w:start w:val="1"/>
      <w:numFmt w:val="decimal"/>
      <w:suff w:val="nothing"/>
      <w:lvlText w:val="（%1）"/>
      <w:lvlJc w:val="left"/>
      <w:pPr>
        <w:ind w:left="0" w:firstLine="0"/>
      </w:pPr>
    </w:lvl>
  </w:abstractNum>
  <w:abstractNum w:abstractNumId="2">
    <w:nsid w:val="DDECD3BC"/>
    <w:multiLevelType w:val="singleLevel"/>
    <w:tmpl w:val="DDECD3BC"/>
    <w:lvl w:ilvl="0" w:tentative="0">
      <w:start w:val="6"/>
      <w:numFmt w:val="decimal"/>
      <w:suff w:val="space"/>
      <w:lvlText w:val="%1."/>
      <w:lvlJc w:val="left"/>
      <w:pPr>
        <w:ind w:left="0" w:firstLine="0"/>
      </w:pPr>
    </w:lvl>
  </w:abstractNum>
  <w:abstractNum w:abstractNumId="3">
    <w:nsid w:val="DE759F4B"/>
    <w:multiLevelType w:val="singleLevel"/>
    <w:tmpl w:val="DE759F4B"/>
    <w:lvl w:ilvl="0" w:tentative="0">
      <w:start w:val="2"/>
      <w:numFmt w:val="decimal"/>
      <w:suff w:val="space"/>
      <w:lvlText w:val="%1."/>
      <w:lvlJc w:val="left"/>
      <w:pPr>
        <w:ind w:left="0" w:firstLine="0"/>
      </w:pPr>
    </w:lvl>
  </w:abstractNum>
  <w:abstractNum w:abstractNumId="4">
    <w:nsid w:val="DEABE1DB"/>
    <w:multiLevelType w:val="singleLevel"/>
    <w:tmpl w:val="DEABE1DB"/>
    <w:lvl w:ilvl="0" w:tentative="0">
      <w:start w:val="23"/>
      <w:numFmt w:val="decimal"/>
      <w:suff w:val="space"/>
      <w:lvlText w:val="%1."/>
      <w:lvlJc w:val="left"/>
      <w:pPr>
        <w:ind w:left="0" w:firstLine="0"/>
      </w:pPr>
    </w:lvl>
  </w:abstractNum>
  <w:abstractNum w:abstractNumId="5">
    <w:nsid w:val="FFEFC674"/>
    <w:multiLevelType w:val="singleLevel"/>
    <w:tmpl w:val="FFEFC674"/>
    <w:lvl w:ilvl="0" w:tentative="0">
      <w:start w:val="1"/>
      <w:numFmt w:val="decimal"/>
      <w:suff w:val="nothing"/>
      <w:lvlText w:val="（%1）"/>
      <w:lvlJc w:val="left"/>
      <w:pPr>
        <w:ind w:left="0" w:firstLine="0"/>
      </w:pPr>
    </w:lvl>
  </w:abstractNum>
  <w:abstractNum w:abstractNumId="6">
    <w:nsid w:val="7A0F6431"/>
    <w:multiLevelType w:val="singleLevel"/>
    <w:tmpl w:val="7A0F6431"/>
    <w:lvl w:ilvl="0" w:tentative="0">
      <w:start w:val="1"/>
      <w:numFmt w:val="decimal"/>
      <w:suff w:val="space"/>
      <w:lvlText w:val="%1."/>
      <w:lvlJc w:val="left"/>
      <w:pPr>
        <w:ind w:left="0" w:firstLine="0"/>
      </w:pPr>
    </w:lvl>
  </w:abstractNum>
  <w:num w:numId="1">
    <w:abstractNumId w:val="6"/>
    <w:lvlOverride w:ilvl="0">
      <w:startOverride w:val="1"/>
    </w:lvlOverride>
  </w:num>
  <w:num w:numId="2">
    <w:abstractNumId w:val="1"/>
    <w:lvlOverride w:ilvl="0">
      <w:startOverride w:val="1"/>
    </w:lvlOverride>
  </w:num>
  <w:num w:numId="3">
    <w:abstractNumId w:val="5"/>
    <w:lvlOverride w:ilvl="0">
      <w:startOverride w:val="1"/>
    </w:lvlOverride>
  </w:num>
  <w:num w:numId="4">
    <w:abstractNumId w:val="3"/>
    <w:lvlOverride w:ilvl="0">
      <w:startOverride w:val="2"/>
    </w:lvlOverride>
  </w:num>
  <w:num w:numId="5">
    <w:abstractNumId w:val="2"/>
    <w:lvlOverride w:ilvl="0">
      <w:startOverride w:val="6"/>
    </w:lvlOverride>
  </w:num>
  <w:num w:numId="6">
    <w:abstractNumId w:val="0"/>
    <w:lvlOverride w:ilvl="0">
      <w:startOverride w:val="16"/>
    </w:lvlOverride>
  </w:num>
  <w:num w:numId="7">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hideSpellingErrors/>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C5A"/>
    <w:rsid w:val="00001FD1"/>
    <w:rsid w:val="0000395D"/>
    <w:rsid w:val="00010DCF"/>
    <w:rsid w:val="00011B73"/>
    <w:rsid w:val="00013068"/>
    <w:rsid w:val="00013701"/>
    <w:rsid w:val="00014723"/>
    <w:rsid w:val="00015213"/>
    <w:rsid w:val="00015BDB"/>
    <w:rsid w:val="00017C2D"/>
    <w:rsid w:val="00020A5D"/>
    <w:rsid w:val="000227B2"/>
    <w:rsid w:val="00025E3C"/>
    <w:rsid w:val="00025ECE"/>
    <w:rsid w:val="00026AF4"/>
    <w:rsid w:val="00027099"/>
    <w:rsid w:val="000308AC"/>
    <w:rsid w:val="00030BD8"/>
    <w:rsid w:val="00032015"/>
    <w:rsid w:val="00033B62"/>
    <w:rsid w:val="00033D1E"/>
    <w:rsid w:val="000361B9"/>
    <w:rsid w:val="00036A32"/>
    <w:rsid w:val="00037BDD"/>
    <w:rsid w:val="00037CB3"/>
    <w:rsid w:val="000403B6"/>
    <w:rsid w:val="0004130F"/>
    <w:rsid w:val="00042FFE"/>
    <w:rsid w:val="00043BA7"/>
    <w:rsid w:val="00044850"/>
    <w:rsid w:val="00045048"/>
    <w:rsid w:val="00050365"/>
    <w:rsid w:val="00050608"/>
    <w:rsid w:val="00056208"/>
    <w:rsid w:val="0005643C"/>
    <w:rsid w:val="00056D6F"/>
    <w:rsid w:val="00056EF3"/>
    <w:rsid w:val="000570E8"/>
    <w:rsid w:val="000606CC"/>
    <w:rsid w:val="000607D4"/>
    <w:rsid w:val="0006090A"/>
    <w:rsid w:val="000629C9"/>
    <w:rsid w:val="00062C9A"/>
    <w:rsid w:val="00063218"/>
    <w:rsid w:val="0006565D"/>
    <w:rsid w:val="00065BDD"/>
    <w:rsid w:val="000671A1"/>
    <w:rsid w:val="000677BF"/>
    <w:rsid w:val="0007081F"/>
    <w:rsid w:val="00071F3B"/>
    <w:rsid w:val="00072543"/>
    <w:rsid w:val="00072D74"/>
    <w:rsid w:val="0007349A"/>
    <w:rsid w:val="0007354F"/>
    <w:rsid w:val="00074F44"/>
    <w:rsid w:val="000756A0"/>
    <w:rsid w:val="00075BCB"/>
    <w:rsid w:val="00075C85"/>
    <w:rsid w:val="00076010"/>
    <w:rsid w:val="00076BA5"/>
    <w:rsid w:val="000775F5"/>
    <w:rsid w:val="00081168"/>
    <w:rsid w:val="000822B1"/>
    <w:rsid w:val="00082307"/>
    <w:rsid w:val="000826F9"/>
    <w:rsid w:val="00085F8A"/>
    <w:rsid w:val="00086EBE"/>
    <w:rsid w:val="00087842"/>
    <w:rsid w:val="00090A07"/>
    <w:rsid w:val="00092400"/>
    <w:rsid w:val="00094021"/>
    <w:rsid w:val="00096774"/>
    <w:rsid w:val="000974B3"/>
    <w:rsid w:val="000A0277"/>
    <w:rsid w:val="000A2E57"/>
    <w:rsid w:val="000A3F59"/>
    <w:rsid w:val="000A4DC9"/>
    <w:rsid w:val="000A5CEA"/>
    <w:rsid w:val="000B0D7B"/>
    <w:rsid w:val="000B21CD"/>
    <w:rsid w:val="000B2506"/>
    <w:rsid w:val="000B2975"/>
    <w:rsid w:val="000B29CB"/>
    <w:rsid w:val="000B31DE"/>
    <w:rsid w:val="000B4C9D"/>
    <w:rsid w:val="000B540E"/>
    <w:rsid w:val="000B72CD"/>
    <w:rsid w:val="000C01FF"/>
    <w:rsid w:val="000C103D"/>
    <w:rsid w:val="000C337F"/>
    <w:rsid w:val="000C6CA8"/>
    <w:rsid w:val="000C7A3F"/>
    <w:rsid w:val="000D1C81"/>
    <w:rsid w:val="000D26D7"/>
    <w:rsid w:val="000D2F5A"/>
    <w:rsid w:val="000D514E"/>
    <w:rsid w:val="000D54DD"/>
    <w:rsid w:val="000D601F"/>
    <w:rsid w:val="000D6F7A"/>
    <w:rsid w:val="000D7FC5"/>
    <w:rsid w:val="000E45F4"/>
    <w:rsid w:val="000E50F9"/>
    <w:rsid w:val="000E6A76"/>
    <w:rsid w:val="000F106F"/>
    <w:rsid w:val="000F1202"/>
    <w:rsid w:val="000F1454"/>
    <w:rsid w:val="000F420D"/>
    <w:rsid w:val="000F4727"/>
    <w:rsid w:val="000F48D9"/>
    <w:rsid w:val="000F53CB"/>
    <w:rsid w:val="000F5C82"/>
    <w:rsid w:val="000F6957"/>
    <w:rsid w:val="000F6A01"/>
    <w:rsid w:val="001001A6"/>
    <w:rsid w:val="00104096"/>
    <w:rsid w:val="00104EFC"/>
    <w:rsid w:val="0010588B"/>
    <w:rsid w:val="00106540"/>
    <w:rsid w:val="00107778"/>
    <w:rsid w:val="001106F6"/>
    <w:rsid w:val="001165C6"/>
    <w:rsid w:val="00121CDE"/>
    <w:rsid w:val="001256ED"/>
    <w:rsid w:val="001274EC"/>
    <w:rsid w:val="00130A31"/>
    <w:rsid w:val="00132C05"/>
    <w:rsid w:val="00132D32"/>
    <w:rsid w:val="00132DE7"/>
    <w:rsid w:val="00133EF2"/>
    <w:rsid w:val="001351F5"/>
    <w:rsid w:val="00135D96"/>
    <w:rsid w:val="0013648C"/>
    <w:rsid w:val="00136F51"/>
    <w:rsid w:val="001411F4"/>
    <w:rsid w:val="0014156B"/>
    <w:rsid w:val="00141664"/>
    <w:rsid w:val="00141B0C"/>
    <w:rsid w:val="00143B4D"/>
    <w:rsid w:val="001447F4"/>
    <w:rsid w:val="00145E32"/>
    <w:rsid w:val="0014634C"/>
    <w:rsid w:val="00147CBE"/>
    <w:rsid w:val="001515D5"/>
    <w:rsid w:val="001524A8"/>
    <w:rsid w:val="00154232"/>
    <w:rsid w:val="00155128"/>
    <w:rsid w:val="00156E5D"/>
    <w:rsid w:val="00157876"/>
    <w:rsid w:val="001659F0"/>
    <w:rsid w:val="00167D3B"/>
    <w:rsid w:val="001707F2"/>
    <w:rsid w:val="00170A8D"/>
    <w:rsid w:val="00170F27"/>
    <w:rsid w:val="00171166"/>
    <w:rsid w:val="00171213"/>
    <w:rsid w:val="00172B5E"/>
    <w:rsid w:val="00172CCC"/>
    <w:rsid w:val="00172F6B"/>
    <w:rsid w:val="00173561"/>
    <w:rsid w:val="00174A5C"/>
    <w:rsid w:val="00175016"/>
    <w:rsid w:val="001760DF"/>
    <w:rsid w:val="00176AB1"/>
    <w:rsid w:val="00181ED5"/>
    <w:rsid w:val="00182296"/>
    <w:rsid w:val="00182D9D"/>
    <w:rsid w:val="001834DA"/>
    <w:rsid w:val="00184CCB"/>
    <w:rsid w:val="00193BCD"/>
    <w:rsid w:val="0019431D"/>
    <w:rsid w:val="00194FBC"/>
    <w:rsid w:val="00196D6B"/>
    <w:rsid w:val="00196DEC"/>
    <w:rsid w:val="00196E07"/>
    <w:rsid w:val="00197438"/>
    <w:rsid w:val="001A2919"/>
    <w:rsid w:val="001A2A8A"/>
    <w:rsid w:val="001A3DE3"/>
    <w:rsid w:val="001A3DF5"/>
    <w:rsid w:val="001A46F9"/>
    <w:rsid w:val="001A575B"/>
    <w:rsid w:val="001B105C"/>
    <w:rsid w:val="001B5BEA"/>
    <w:rsid w:val="001C07D1"/>
    <w:rsid w:val="001C0E64"/>
    <w:rsid w:val="001C1981"/>
    <w:rsid w:val="001C50CC"/>
    <w:rsid w:val="001C7255"/>
    <w:rsid w:val="001D0626"/>
    <w:rsid w:val="001D085A"/>
    <w:rsid w:val="001D1850"/>
    <w:rsid w:val="001E3CB7"/>
    <w:rsid w:val="001E50CB"/>
    <w:rsid w:val="001E5960"/>
    <w:rsid w:val="001E60D0"/>
    <w:rsid w:val="001F29BC"/>
    <w:rsid w:val="001F2B50"/>
    <w:rsid w:val="001F3072"/>
    <w:rsid w:val="001F345B"/>
    <w:rsid w:val="001F65EF"/>
    <w:rsid w:val="00200D66"/>
    <w:rsid w:val="002027E3"/>
    <w:rsid w:val="002038E8"/>
    <w:rsid w:val="00204D75"/>
    <w:rsid w:val="00205E15"/>
    <w:rsid w:val="0020642D"/>
    <w:rsid w:val="002069A9"/>
    <w:rsid w:val="002069C9"/>
    <w:rsid w:val="0020728D"/>
    <w:rsid w:val="002109B5"/>
    <w:rsid w:val="00210D0A"/>
    <w:rsid w:val="002113A2"/>
    <w:rsid w:val="00212E26"/>
    <w:rsid w:val="00212FB4"/>
    <w:rsid w:val="00214D65"/>
    <w:rsid w:val="00215D4A"/>
    <w:rsid w:val="0021638D"/>
    <w:rsid w:val="00217746"/>
    <w:rsid w:val="00217960"/>
    <w:rsid w:val="002257BA"/>
    <w:rsid w:val="00225C2F"/>
    <w:rsid w:val="00226572"/>
    <w:rsid w:val="00227A0F"/>
    <w:rsid w:val="00230077"/>
    <w:rsid w:val="00230690"/>
    <w:rsid w:val="0023075E"/>
    <w:rsid w:val="002314E2"/>
    <w:rsid w:val="00232BC6"/>
    <w:rsid w:val="00233239"/>
    <w:rsid w:val="00243DC1"/>
    <w:rsid w:val="00244482"/>
    <w:rsid w:val="0024790F"/>
    <w:rsid w:val="00251ED7"/>
    <w:rsid w:val="0025218F"/>
    <w:rsid w:val="00261C83"/>
    <w:rsid w:val="0026492F"/>
    <w:rsid w:val="00264DF9"/>
    <w:rsid w:val="00264E75"/>
    <w:rsid w:val="00264E8A"/>
    <w:rsid w:val="00265B2C"/>
    <w:rsid w:val="00266956"/>
    <w:rsid w:val="002729BD"/>
    <w:rsid w:val="00272A86"/>
    <w:rsid w:val="00272D63"/>
    <w:rsid w:val="00274CF5"/>
    <w:rsid w:val="00277427"/>
    <w:rsid w:val="00277F5E"/>
    <w:rsid w:val="002804EC"/>
    <w:rsid w:val="002825B2"/>
    <w:rsid w:val="00283423"/>
    <w:rsid w:val="002926DE"/>
    <w:rsid w:val="00292BE5"/>
    <w:rsid w:val="00293728"/>
    <w:rsid w:val="0029386D"/>
    <w:rsid w:val="00293B4A"/>
    <w:rsid w:val="002948B5"/>
    <w:rsid w:val="00294986"/>
    <w:rsid w:val="00294EAF"/>
    <w:rsid w:val="0029610C"/>
    <w:rsid w:val="0029775E"/>
    <w:rsid w:val="00297EAE"/>
    <w:rsid w:val="002A4B3C"/>
    <w:rsid w:val="002B3BB4"/>
    <w:rsid w:val="002C0F2A"/>
    <w:rsid w:val="002C3C8C"/>
    <w:rsid w:val="002C4E11"/>
    <w:rsid w:val="002C696D"/>
    <w:rsid w:val="002C7FE4"/>
    <w:rsid w:val="002D09CD"/>
    <w:rsid w:val="002D1100"/>
    <w:rsid w:val="002D1260"/>
    <w:rsid w:val="002D17E4"/>
    <w:rsid w:val="002D5606"/>
    <w:rsid w:val="002D57F1"/>
    <w:rsid w:val="002D5B4E"/>
    <w:rsid w:val="002D660E"/>
    <w:rsid w:val="002D6B22"/>
    <w:rsid w:val="002D6B57"/>
    <w:rsid w:val="002E4011"/>
    <w:rsid w:val="002E568D"/>
    <w:rsid w:val="002E65F8"/>
    <w:rsid w:val="002E7C08"/>
    <w:rsid w:val="002F1119"/>
    <w:rsid w:val="002F245E"/>
    <w:rsid w:val="002F4792"/>
    <w:rsid w:val="002F6037"/>
    <w:rsid w:val="002F75BC"/>
    <w:rsid w:val="003066A9"/>
    <w:rsid w:val="0031086D"/>
    <w:rsid w:val="00315341"/>
    <w:rsid w:val="00321DA5"/>
    <w:rsid w:val="003221D8"/>
    <w:rsid w:val="00322EA4"/>
    <w:rsid w:val="00323692"/>
    <w:rsid w:val="00324EB9"/>
    <w:rsid w:val="0032567E"/>
    <w:rsid w:val="00325832"/>
    <w:rsid w:val="003265E2"/>
    <w:rsid w:val="003337F2"/>
    <w:rsid w:val="00333A1D"/>
    <w:rsid w:val="00335A65"/>
    <w:rsid w:val="0034183E"/>
    <w:rsid w:val="00343849"/>
    <w:rsid w:val="00345AC5"/>
    <w:rsid w:val="003477F1"/>
    <w:rsid w:val="003505E3"/>
    <w:rsid w:val="00351958"/>
    <w:rsid w:val="0035257E"/>
    <w:rsid w:val="0035599B"/>
    <w:rsid w:val="00355EEA"/>
    <w:rsid w:val="003562E3"/>
    <w:rsid w:val="00361368"/>
    <w:rsid w:val="00363D42"/>
    <w:rsid w:val="00363F2E"/>
    <w:rsid w:val="00364265"/>
    <w:rsid w:val="003663EE"/>
    <w:rsid w:val="00366C53"/>
    <w:rsid w:val="003672D3"/>
    <w:rsid w:val="0037085F"/>
    <w:rsid w:val="0037342A"/>
    <w:rsid w:val="00374230"/>
    <w:rsid w:val="00374D2C"/>
    <w:rsid w:val="00377781"/>
    <w:rsid w:val="00377EF3"/>
    <w:rsid w:val="003801AB"/>
    <w:rsid w:val="00380538"/>
    <w:rsid w:val="0038382B"/>
    <w:rsid w:val="00383878"/>
    <w:rsid w:val="003839AE"/>
    <w:rsid w:val="00383A58"/>
    <w:rsid w:val="00383B18"/>
    <w:rsid w:val="00384631"/>
    <w:rsid w:val="003860F9"/>
    <w:rsid w:val="00386875"/>
    <w:rsid w:val="0039145C"/>
    <w:rsid w:val="003918BD"/>
    <w:rsid w:val="00391FD0"/>
    <w:rsid w:val="0039235B"/>
    <w:rsid w:val="00393F48"/>
    <w:rsid w:val="00394B36"/>
    <w:rsid w:val="00395727"/>
    <w:rsid w:val="003A0B76"/>
    <w:rsid w:val="003A1EF5"/>
    <w:rsid w:val="003A257C"/>
    <w:rsid w:val="003A40F1"/>
    <w:rsid w:val="003A4B1D"/>
    <w:rsid w:val="003A58F8"/>
    <w:rsid w:val="003A663E"/>
    <w:rsid w:val="003A6738"/>
    <w:rsid w:val="003A6A40"/>
    <w:rsid w:val="003A7FEB"/>
    <w:rsid w:val="003B22E9"/>
    <w:rsid w:val="003B4375"/>
    <w:rsid w:val="003B5849"/>
    <w:rsid w:val="003B58B5"/>
    <w:rsid w:val="003B5C2C"/>
    <w:rsid w:val="003B5F31"/>
    <w:rsid w:val="003B6D2D"/>
    <w:rsid w:val="003B78E0"/>
    <w:rsid w:val="003C1E8F"/>
    <w:rsid w:val="003C5292"/>
    <w:rsid w:val="003C6110"/>
    <w:rsid w:val="003C6C23"/>
    <w:rsid w:val="003C71A3"/>
    <w:rsid w:val="003C7D23"/>
    <w:rsid w:val="003D1FEF"/>
    <w:rsid w:val="003D2407"/>
    <w:rsid w:val="003D2EF8"/>
    <w:rsid w:val="003D3CDA"/>
    <w:rsid w:val="003D4505"/>
    <w:rsid w:val="003E01CE"/>
    <w:rsid w:val="003E02CE"/>
    <w:rsid w:val="003E2404"/>
    <w:rsid w:val="003E28D6"/>
    <w:rsid w:val="003E2BBE"/>
    <w:rsid w:val="003E2F1E"/>
    <w:rsid w:val="003E4B1B"/>
    <w:rsid w:val="003E5355"/>
    <w:rsid w:val="003E5EA9"/>
    <w:rsid w:val="003E6153"/>
    <w:rsid w:val="003E6E8F"/>
    <w:rsid w:val="003E71CA"/>
    <w:rsid w:val="003E7FD1"/>
    <w:rsid w:val="003F0AA4"/>
    <w:rsid w:val="003F325E"/>
    <w:rsid w:val="003F3F8E"/>
    <w:rsid w:val="003F6156"/>
    <w:rsid w:val="003F68DF"/>
    <w:rsid w:val="003F6B18"/>
    <w:rsid w:val="003F7F16"/>
    <w:rsid w:val="0040134A"/>
    <w:rsid w:val="00401867"/>
    <w:rsid w:val="00402BE6"/>
    <w:rsid w:val="00402ED1"/>
    <w:rsid w:val="00403BA8"/>
    <w:rsid w:val="0040538D"/>
    <w:rsid w:val="0040553A"/>
    <w:rsid w:val="0040569C"/>
    <w:rsid w:val="00406872"/>
    <w:rsid w:val="00407DE0"/>
    <w:rsid w:val="00410A95"/>
    <w:rsid w:val="00411297"/>
    <w:rsid w:val="00411416"/>
    <w:rsid w:val="0041250C"/>
    <w:rsid w:val="00412894"/>
    <w:rsid w:val="0041318B"/>
    <w:rsid w:val="00413861"/>
    <w:rsid w:val="00414FAB"/>
    <w:rsid w:val="004153D6"/>
    <w:rsid w:val="00415D1E"/>
    <w:rsid w:val="00415D39"/>
    <w:rsid w:val="00416AFE"/>
    <w:rsid w:val="00416BC0"/>
    <w:rsid w:val="0041737D"/>
    <w:rsid w:val="004176FC"/>
    <w:rsid w:val="00417F8F"/>
    <w:rsid w:val="00421918"/>
    <w:rsid w:val="00424D37"/>
    <w:rsid w:val="004267C9"/>
    <w:rsid w:val="00426F8D"/>
    <w:rsid w:val="00427F8D"/>
    <w:rsid w:val="00431536"/>
    <w:rsid w:val="0043169C"/>
    <w:rsid w:val="00431C42"/>
    <w:rsid w:val="00432C99"/>
    <w:rsid w:val="00436041"/>
    <w:rsid w:val="00436E67"/>
    <w:rsid w:val="004377AC"/>
    <w:rsid w:val="00441382"/>
    <w:rsid w:val="004424FE"/>
    <w:rsid w:val="00442682"/>
    <w:rsid w:val="00443C74"/>
    <w:rsid w:val="00443E07"/>
    <w:rsid w:val="00445313"/>
    <w:rsid w:val="00453FB9"/>
    <w:rsid w:val="004559D5"/>
    <w:rsid w:val="00457B84"/>
    <w:rsid w:val="00457D0B"/>
    <w:rsid w:val="00460809"/>
    <w:rsid w:val="00460C8D"/>
    <w:rsid w:val="00461A5D"/>
    <w:rsid w:val="00462FA2"/>
    <w:rsid w:val="00466F3F"/>
    <w:rsid w:val="00471879"/>
    <w:rsid w:val="00472C82"/>
    <w:rsid w:val="00472DC8"/>
    <w:rsid w:val="0047362A"/>
    <w:rsid w:val="0047502B"/>
    <w:rsid w:val="004826E0"/>
    <w:rsid w:val="004832E9"/>
    <w:rsid w:val="004839E1"/>
    <w:rsid w:val="0048533D"/>
    <w:rsid w:val="00485A3B"/>
    <w:rsid w:val="00492C17"/>
    <w:rsid w:val="00495B68"/>
    <w:rsid w:val="00495ECD"/>
    <w:rsid w:val="004A0F57"/>
    <w:rsid w:val="004A155E"/>
    <w:rsid w:val="004A2375"/>
    <w:rsid w:val="004A2BCE"/>
    <w:rsid w:val="004A2D6A"/>
    <w:rsid w:val="004A3709"/>
    <w:rsid w:val="004A3B65"/>
    <w:rsid w:val="004A3F5A"/>
    <w:rsid w:val="004A4E98"/>
    <w:rsid w:val="004A5602"/>
    <w:rsid w:val="004A6A8F"/>
    <w:rsid w:val="004A7516"/>
    <w:rsid w:val="004A7F72"/>
    <w:rsid w:val="004B0FDF"/>
    <w:rsid w:val="004B49BD"/>
    <w:rsid w:val="004B51EB"/>
    <w:rsid w:val="004B535F"/>
    <w:rsid w:val="004B61FA"/>
    <w:rsid w:val="004B725D"/>
    <w:rsid w:val="004B752C"/>
    <w:rsid w:val="004C0CC2"/>
    <w:rsid w:val="004C174A"/>
    <w:rsid w:val="004C1EC2"/>
    <w:rsid w:val="004C560A"/>
    <w:rsid w:val="004D302F"/>
    <w:rsid w:val="004D3B7F"/>
    <w:rsid w:val="004D5AE3"/>
    <w:rsid w:val="004D6220"/>
    <w:rsid w:val="004D6293"/>
    <w:rsid w:val="004D6509"/>
    <w:rsid w:val="004D6546"/>
    <w:rsid w:val="004E0B40"/>
    <w:rsid w:val="004E0FFC"/>
    <w:rsid w:val="004E1075"/>
    <w:rsid w:val="004E30DA"/>
    <w:rsid w:val="004E3570"/>
    <w:rsid w:val="004E66AE"/>
    <w:rsid w:val="004E79BB"/>
    <w:rsid w:val="004F05A1"/>
    <w:rsid w:val="004F11D2"/>
    <w:rsid w:val="004F3B06"/>
    <w:rsid w:val="004F55DE"/>
    <w:rsid w:val="004F7B5C"/>
    <w:rsid w:val="00502349"/>
    <w:rsid w:val="00506CD1"/>
    <w:rsid w:val="00513A4E"/>
    <w:rsid w:val="00517134"/>
    <w:rsid w:val="005201BE"/>
    <w:rsid w:val="00524604"/>
    <w:rsid w:val="0052549F"/>
    <w:rsid w:val="00525EE9"/>
    <w:rsid w:val="00526095"/>
    <w:rsid w:val="0053021A"/>
    <w:rsid w:val="00531EF6"/>
    <w:rsid w:val="005333BF"/>
    <w:rsid w:val="005349D4"/>
    <w:rsid w:val="00535629"/>
    <w:rsid w:val="00535A85"/>
    <w:rsid w:val="00537399"/>
    <w:rsid w:val="00537D63"/>
    <w:rsid w:val="005407BF"/>
    <w:rsid w:val="00542508"/>
    <w:rsid w:val="005437E5"/>
    <w:rsid w:val="00543F1D"/>
    <w:rsid w:val="005449BE"/>
    <w:rsid w:val="00544E43"/>
    <w:rsid w:val="00547881"/>
    <w:rsid w:val="00547F40"/>
    <w:rsid w:val="00550B2F"/>
    <w:rsid w:val="00551C70"/>
    <w:rsid w:val="00553774"/>
    <w:rsid w:val="0055739D"/>
    <w:rsid w:val="005574D9"/>
    <w:rsid w:val="0056011E"/>
    <w:rsid w:val="00561248"/>
    <w:rsid w:val="0056402A"/>
    <w:rsid w:val="005646DF"/>
    <w:rsid w:val="00566060"/>
    <w:rsid w:val="00566432"/>
    <w:rsid w:val="00566495"/>
    <w:rsid w:val="00570045"/>
    <w:rsid w:val="0057120E"/>
    <w:rsid w:val="005717B2"/>
    <w:rsid w:val="005719DA"/>
    <w:rsid w:val="00572118"/>
    <w:rsid w:val="00572E0A"/>
    <w:rsid w:val="005737C6"/>
    <w:rsid w:val="00574BC5"/>
    <w:rsid w:val="00580546"/>
    <w:rsid w:val="0058275D"/>
    <w:rsid w:val="00583E55"/>
    <w:rsid w:val="005842A0"/>
    <w:rsid w:val="0058472E"/>
    <w:rsid w:val="00584D37"/>
    <w:rsid w:val="0058547A"/>
    <w:rsid w:val="00585E45"/>
    <w:rsid w:val="00587609"/>
    <w:rsid w:val="0059202D"/>
    <w:rsid w:val="00593B52"/>
    <w:rsid w:val="0059473B"/>
    <w:rsid w:val="0059526A"/>
    <w:rsid w:val="005953CA"/>
    <w:rsid w:val="005960BA"/>
    <w:rsid w:val="005A0D25"/>
    <w:rsid w:val="005A34C8"/>
    <w:rsid w:val="005A55DB"/>
    <w:rsid w:val="005A6731"/>
    <w:rsid w:val="005A6EB0"/>
    <w:rsid w:val="005A7DFD"/>
    <w:rsid w:val="005B2918"/>
    <w:rsid w:val="005B4918"/>
    <w:rsid w:val="005B631B"/>
    <w:rsid w:val="005B6420"/>
    <w:rsid w:val="005C0821"/>
    <w:rsid w:val="005C176F"/>
    <w:rsid w:val="005C33F9"/>
    <w:rsid w:val="005C43CF"/>
    <w:rsid w:val="005C569D"/>
    <w:rsid w:val="005C5EB1"/>
    <w:rsid w:val="005D1B17"/>
    <w:rsid w:val="005D3074"/>
    <w:rsid w:val="005D3683"/>
    <w:rsid w:val="005D792B"/>
    <w:rsid w:val="005E2406"/>
    <w:rsid w:val="005E2966"/>
    <w:rsid w:val="005E3ADD"/>
    <w:rsid w:val="005E452A"/>
    <w:rsid w:val="005E57F2"/>
    <w:rsid w:val="005E6149"/>
    <w:rsid w:val="005E7FF4"/>
    <w:rsid w:val="005F09CC"/>
    <w:rsid w:val="005F12BB"/>
    <w:rsid w:val="005F1B3C"/>
    <w:rsid w:val="005F2890"/>
    <w:rsid w:val="005F297C"/>
    <w:rsid w:val="005F3215"/>
    <w:rsid w:val="005F3EB2"/>
    <w:rsid w:val="006001B2"/>
    <w:rsid w:val="006014DA"/>
    <w:rsid w:val="006038D0"/>
    <w:rsid w:val="00605AE2"/>
    <w:rsid w:val="006062C8"/>
    <w:rsid w:val="00607F7C"/>
    <w:rsid w:val="006102B4"/>
    <w:rsid w:val="00611082"/>
    <w:rsid w:val="00611A86"/>
    <w:rsid w:val="00612BD3"/>
    <w:rsid w:val="00616AAF"/>
    <w:rsid w:val="00616B13"/>
    <w:rsid w:val="00616BCF"/>
    <w:rsid w:val="00620130"/>
    <w:rsid w:val="00621BE9"/>
    <w:rsid w:val="00621C1D"/>
    <w:rsid w:val="0062269B"/>
    <w:rsid w:val="00625361"/>
    <w:rsid w:val="00630B07"/>
    <w:rsid w:val="0063365F"/>
    <w:rsid w:val="00633921"/>
    <w:rsid w:val="00634901"/>
    <w:rsid w:val="00634D00"/>
    <w:rsid w:val="00635DAE"/>
    <w:rsid w:val="00636531"/>
    <w:rsid w:val="00637E05"/>
    <w:rsid w:val="00641801"/>
    <w:rsid w:val="006478CA"/>
    <w:rsid w:val="0065048B"/>
    <w:rsid w:val="00652AD8"/>
    <w:rsid w:val="00653F7E"/>
    <w:rsid w:val="00654005"/>
    <w:rsid w:val="00654577"/>
    <w:rsid w:val="00657AFA"/>
    <w:rsid w:val="00662DB5"/>
    <w:rsid w:val="006632A6"/>
    <w:rsid w:val="00663FEC"/>
    <w:rsid w:val="00665F3D"/>
    <w:rsid w:val="00670BE5"/>
    <w:rsid w:val="00670E63"/>
    <w:rsid w:val="006740DD"/>
    <w:rsid w:val="006741E5"/>
    <w:rsid w:val="00674887"/>
    <w:rsid w:val="006754B9"/>
    <w:rsid w:val="00676812"/>
    <w:rsid w:val="006802EF"/>
    <w:rsid w:val="00681C7D"/>
    <w:rsid w:val="00683E2C"/>
    <w:rsid w:val="00685A6E"/>
    <w:rsid w:val="00686136"/>
    <w:rsid w:val="006863D0"/>
    <w:rsid w:val="006902BF"/>
    <w:rsid w:val="00692ECD"/>
    <w:rsid w:val="006934DE"/>
    <w:rsid w:val="00693947"/>
    <w:rsid w:val="006A0F6E"/>
    <w:rsid w:val="006A1108"/>
    <w:rsid w:val="006A131C"/>
    <w:rsid w:val="006A1C8A"/>
    <w:rsid w:val="006A2554"/>
    <w:rsid w:val="006A2D07"/>
    <w:rsid w:val="006A4BDB"/>
    <w:rsid w:val="006A6B13"/>
    <w:rsid w:val="006A6F51"/>
    <w:rsid w:val="006A75E7"/>
    <w:rsid w:val="006A791F"/>
    <w:rsid w:val="006B0EC3"/>
    <w:rsid w:val="006B45BE"/>
    <w:rsid w:val="006B4DAD"/>
    <w:rsid w:val="006B52A7"/>
    <w:rsid w:val="006B56F5"/>
    <w:rsid w:val="006B5C77"/>
    <w:rsid w:val="006C0421"/>
    <w:rsid w:val="006C0461"/>
    <w:rsid w:val="006C174C"/>
    <w:rsid w:val="006C1F06"/>
    <w:rsid w:val="006C2257"/>
    <w:rsid w:val="006C3392"/>
    <w:rsid w:val="006C4BBE"/>
    <w:rsid w:val="006C5982"/>
    <w:rsid w:val="006C5AF7"/>
    <w:rsid w:val="006C7801"/>
    <w:rsid w:val="006C7894"/>
    <w:rsid w:val="006C7D9F"/>
    <w:rsid w:val="006D0A8E"/>
    <w:rsid w:val="006D0ECF"/>
    <w:rsid w:val="006D45AA"/>
    <w:rsid w:val="006E0CD2"/>
    <w:rsid w:val="006E1997"/>
    <w:rsid w:val="006E1DC3"/>
    <w:rsid w:val="006E2037"/>
    <w:rsid w:val="006E2EB7"/>
    <w:rsid w:val="006E39D1"/>
    <w:rsid w:val="006E4381"/>
    <w:rsid w:val="006E643E"/>
    <w:rsid w:val="006F030B"/>
    <w:rsid w:val="006F0645"/>
    <w:rsid w:val="006F0925"/>
    <w:rsid w:val="006F1700"/>
    <w:rsid w:val="006F327F"/>
    <w:rsid w:val="0070070A"/>
    <w:rsid w:val="00704015"/>
    <w:rsid w:val="0070505E"/>
    <w:rsid w:val="007064D6"/>
    <w:rsid w:val="007068BE"/>
    <w:rsid w:val="00706ADD"/>
    <w:rsid w:val="0071130B"/>
    <w:rsid w:val="00714DFD"/>
    <w:rsid w:val="00716B68"/>
    <w:rsid w:val="007236BA"/>
    <w:rsid w:val="007238DD"/>
    <w:rsid w:val="00723D02"/>
    <w:rsid w:val="00723D84"/>
    <w:rsid w:val="00724717"/>
    <w:rsid w:val="00724735"/>
    <w:rsid w:val="00724CA5"/>
    <w:rsid w:val="0072660C"/>
    <w:rsid w:val="00730ECD"/>
    <w:rsid w:val="00731AB7"/>
    <w:rsid w:val="0074180F"/>
    <w:rsid w:val="0074297A"/>
    <w:rsid w:val="00742CB6"/>
    <w:rsid w:val="00746019"/>
    <w:rsid w:val="00746C56"/>
    <w:rsid w:val="007522C4"/>
    <w:rsid w:val="00752833"/>
    <w:rsid w:val="007532A0"/>
    <w:rsid w:val="00753BFB"/>
    <w:rsid w:val="007558DB"/>
    <w:rsid w:val="00755AB9"/>
    <w:rsid w:val="00760746"/>
    <w:rsid w:val="00763791"/>
    <w:rsid w:val="00764052"/>
    <w:rsid w:val="00766299"/>
    <w:rsid w:val="00766870"/>
    <w:rsid w:val="00767517"/>
    <w:rsid w:val="007707BE"/>
    <w:rsid w:val="00771DDB"/>
    <w:rsid w:val="007737A3"/>
    <w:rsid w:val="00774AAD"/>
    <w:rsid w:val="007753D0"/>
    <w:rsid w:val="0077606A"/>
    <w:rsid w:val="007778F2"/>
    <w:rsid w:val="00780182"/>
    <w:rsid w:val="00780E86"/>
    <w:rsid w:val="0078146D"/>
    <w:rsid w:val="00781801"/>
    <w:rsid w:val="007847BC"/>
    <w:rsid w:val="00784C33"/>
    <w:rsid w:val="007866D0"/>
    <w:rsid w:val="007925BD"/>
    <w:rsid w:val="0079334B"/>
    <w:rsid w:val="0079363C"/>
    <w:rsid w:val="00793B6E"/>
    <w:rsid w:val="007A0BCD"/>
    <w:rsid w:val="007A4BB5"/>
    <w:rsid w:val="007A4FB6"/>
    <w:rsid w:val="007A5636"/>
    <w:rsid w:val="007A5AEB"/>
    <w:rsid w:val="007A66D9"/>
    <w:rsid w:val="007A6EBE"/>
    <w:rsid w:val="007B1550"/>
    <w:rsid w:val="007B1B3A"/>
    <w:rsid w:val="007B4E82"/>
    <w:rsid w:val="007B7C1E"/>
    <w:rsid w:val="007C1D1B"/>
    <w:rsid w:val="007C422C"/>
    <w:rsid w:val="007C4CA2"/>
    <w:rsid w:val="007D6EC1"/>
    <w:rsid w:val="007E0EAB"/>
    <w:rsid w:val="007E24EB"/>
    <w:rsid w:val="007E4CD6"/>
    <w:rsid w:val="007F1F0C"/>
    <w:rsid w:val="007F465C"/>
    <w:rsid w:val="007F5589"/>
    <w:rsid w:val="007F79A8"/>
    <w:rsid w:val="007F7B9E"/>
    <w:rsid w:val="008005A8"/>
    <w:rsid w:val="008014EC"/>
    <w:rsid w:val="00802294"/>
    <w:rsid w:val="008022C3"/>
    <w:rsid w:val="00803DEE"/>
    <w:rsid w:val="00805B2B"/>
    <w:rsid w:val="008069CB"/>
    <w:rsid w:val="0080752E"/>
    <w:rsid w:val="00811765"/>
    <w:rsid w:val="00813B88"/>
    <w:rsid w:val="00814C9A"/>
    <w:rsid w:val="008150C7"/>
    <w:rsid w:val="00815786"/>
    <w:rsid w:val="00815E04"/>
    <w:rsid w:val="00817270"/>
    <w:rsid w:val="00817D2C"/>
    <w:rsid w:val="0082308A"/>
    <w:rsid w:val="008252B9"/>
    <w:rsid w:val="008258BD"/>
    <w:rsid w:val="008327F0"/>
    <w:rsid w:val="0083371A"/>
    <w:rsid w:val="00834E70"/>
    <w:rsid w:val="00837228"/>
    <w:rsid w:val="00837DB7"/>
    <w:rsid w:val="0084084A"/>
    <w:rsid w:val="008416F3"/>
    <w:rsid w:val="00843308"/>
    <w:rsid w:val="00850377"/>
    <w:rsid w:val="008506B2"/>
    <w:rsid w:val="00851179"/>
    <w:rsid w:val="00852EBB"/>
    <w:rsid w:val="008536E0"/>
    <w:rsid w:val="0085585F"/>
    <w:rsid w:val="00855A31"/>
    <w:rsid w:val="00855FFB"/>
    <w:rsid w:val="008622EE"/>
    <w:rsid w:val="00862F89"/>
    <w:rsid w:val="0086454E"/>
    <w:rsid w:val="0086470E"/>
    <w:rsid w:val="0086630A"/>
    <w:rsid w:val="0087129C"/>
    <w:rsid w:val="00872575"/>
    <w:rsid w:val="008733E7"/>
    <w:rsid w:val="008736D0"/>
    <w:rsid w:val="00873929"/>
    <w:rsid w:val="00874016"/>
    <w:rsid w:val="0087401C"/>
    <w:rsid w:val="00874FD0"/>
    <w:rsid w:val="00877C12"/>
    <w:rsid w:val="00883479"/>
    <w:rsid w:val="00885DD4"/>
    <w:rsid w:val="00886809"/>
    <w:rsid w:val="0088750D"/>
    <w:rsid w:val="008876CD"/>
    <w:rsid w:val="008879C5"/>
    <w:rsid w:val="00890051"/>
    <w:rsid w:val="0089045C"/>
    <w:rsid w:val="0089306D"/>
    <w:rsid w:val="00893C57"/>
    <w:rsid w:val="008951B3"/>
    <w:rsid w:val="00895914"/>
    <w:rsid w:val="00897752"/>
    <w:rsid w:val="008A1E8A"/>
    <w:rsid w:val="008A2288"/>
    <w:rsid w:val="008A396A"/>
    <w:rsid w:val="008A4525"/>
    <w:rsid w:val="008A4AFF"/>
    <w:rsid w:val="008A5CCC"/>
    <w:rsid w:val="008B1F79"/>
    <w:rsid w:val="008B2CA5"/>
    <w:rsid w:val="008B3001"/>
    <w:rsid w:val="008B4D2E"/>
    <w:rsid w:val="008B5343"/>
    <w:rsid w:val="008B5DBC"/>
    <w:rsid w:val="008B72B3"/>
    <w:rsid w:val="008C12BD"/>
    <w:rsid w:val="008C3C92"/>
    <w:rsid w:val="008C4E8A"/>
    <w:rsid w:val="008D1F47"/>
    <w:rsid w:val="008D2718"/>
    <w:rsid w:val="008D2F88"/>
    <w:rsid w:val="008D4422"/>
    <w:rsid w:val="008D640B"/>
    <w:rsid w:val="008E106D"/>
    <w:rsid w:val="008E3C04"/>
    <w:rsid w:val="008E56E2"/>
    <w:rsid w:val="008E5938"/>
    <w:rsid w:val="008E7A24"/>
    <w:rsid w:val="008F0786"/>
    <w:rsid w:val="008F35A8"/>
    <w:rsid w:val="008F4858"/>
    <w:rsid w:val="009016E3"/>
    <w:rsid w:val="009032CF"/>
    <w:rsid w:val="00911599"/>
    <w:rsid w:val="009135D3"/>
    <w:rsid w:val="00913750"/>
    <w:rsid w:val="00913F09"/>
    <w:rsid w:val="00917496"/>
    <w:rsid w:val="009206F7"/>
    <w:rsid w:val="00920CD4"/>
    <w:rsid w:val="0092105D"/>
    <w:rsid w:val="0092151E"/>
    <w:rsid w:val="00922288"/>
    <w:rsid w:val="00922865"/>
    <w:rsid w:val="009248AD"/>
    <w:rsid w:val="00925681"/>
    <w:rsid w:val="00926BA6"/>
    <w:rsid w:val="00927B53"/>
    <w:rsid w:val="0093220E"/>
    <w:rsid w:val="009333D5"/>
    <w:rsid w:val="009345DB"/>
    <w:rsid w:val="00934C45"/>
    <w:rsid w:val="00935F6F"/>
    <w:rsid w:val="0093630E"/>
    <w:rsid w:val="00936E99"/>
    <w:rsid w:val="00941302"/>
    <w:rsid w:val="0094204D"/>
    <w:rsid w:val="009424DA"/>
    <w:rsid w:val="00944181"/>
    <w:rsid w:val="00947EC9"/>
    <w:rsid w:val="00950DFB"/>
    <w:rsid w:val="00951A74"/>
    <w:rsid w:val="00951A8D"/>
    <w:rsid w:val="00951C43"/>
    <w:rsid w:val="009533CE"/>
    <w:rsid w:val="00954AD1"/>
    <w:rsid w:val="00955B43"/>
    <w:rsid w:val="0095612C"/>
    <w:rsid w:val="00957265"/>
    <w:rsid w:val="00962A82"/>
    <w:rsid w:val="009662F0"/>
    <w:rsid w:val="00966DD6"/>
    <w:rsid w:val="009678FF"/>
    <w:rsid w:val="0097327D"/>
    <w:rsid w:val="0097587F"/>
    <w:rsid w:val="00975D17"/>
    <w:rsid w:val="009776F4"/>
    <w:rsid w:val="00977FB6"/>
    <w:rsid w:val="009804AC"/>
    <w:rsid w:val="009809F0"/>
    <w:rsid w:val="009829B0"/>
    <w:rsid w:val="009844E1"/>
    <w:rsid w:val="00985B95"/>
    <w:rsid w:val="00990618"/>
    <w:rsid w:val="00991CD7"/>
    <w:rsid w:val="00995B20"/>
    <w:rsid w:val="00996058"/>
    <w:rsid w:val="0099688A"/>
    <w:rsid w:val="00996C19"/>
    <w:rsid w:val="009A0B81"/>
    <w:rsid w:val="009A28F8"/>
    <w:rsid w:val="009A3182"/>
    <w:rsid w:val="009A4641"/>
    <w:rsid w:val="009A64B1"/>
    <w:rsid w:val="009A70B1"/>
    <w:rsid w:val="009A7596"/>
    <w:rsid w:val="009B0F00"/>
    <w:rsid w:val="009B477B"/>
    <w:rsid w:val="009B656D"/>
    <w:rsid w:val="009C04EE"/>
    <w:rsid w:val="009C06C2"/>
    <w:rsid w:val="009C08BB"/>
    <w:rsid w:val="009C107E"/>
    <w:rsid w:val="009C134D"/>
    <w:rsid w:val="009C14D4"/>
    <w:rsid w:val="009C3C2A"/>
    <w:rsid w:val="009C513D"/>
    <w:rsid w:val="009C69C7"/>
    <w:rsid w:val="009C6F98"/>
    <w:rsid w:val="009D01AE"/>
    <w:rsid w:val="009D187B"/>
    <w:rsid w:val="009D2385"/>
    <w:rsid w:val="009D5C8E"/>
    <w:rsid w:val="009E0499"/>
    <w:rsid w:val="009E199E"/>
    <w:rsid w:val="009E1DD3"/>
    <w:rsid w:val="009E2558"/>
    <w:rsid w:val="009E2EAE"/>
    <w:rsid w:val="009E3B6B"/>
    <w:rsid w:val="009E4458"/>
    <w:rsid w:val="009E44DC"/>
    <w:rsid w:val="009E5D04"/>
    <w:rsid w:val="009E7221"/>
    <w:rsid w:val="009E7D35"/>
    <w:rsid w:val="009F2269"/>
    <w:rsid w:val="009F3573"/>
    <w:rsid w:val="009F3AE8"/>
    <w:rsid w:val="009F598A"/>
    <w:rsid w:val="009F6CD0"/>
    <w:rsid w:val="009F7159"/>
    <w:rsid w:val="009F72C2"/>
    <w:rsid w:val="00A002FE"/>
    <w:rsid w:val="00A010CA"/>
    <w:rsid w:val="00A02228"/>
    <w:rsid w:val="00A03C90"/>
    <w:rsid w:val="00A03EDD"/>
    <w:rsid w:val="00A10E86"/>
    <w:rsid w:val="00A1114F"/>
    <w:rsid w:val="00A11FFD"/>
    <w:rsid w:val="00A12C8D"/>
    <w:rsid w:val="00A13B73"/>
    <w:rsid w:val="00A1412C"/>
    <w:rsid w:val="00A21611"/>
    <w:rsid w:val="00A216D7"/>
    <w:rsid w:val="00A218BC"/>
    <w:rsid w:val="00A24325"/>
    <w:rsid w:val="00A25058"/>
    <w:rsid w:val="00A25213"/>
    <w:rsid w:val="00A252F0"/>
    <w:rsid w:val="00A264A9"/>
    <w:rsid w:val="00A26C90"/>
    <w:rsid w:val="00A3181B"/>
    <w:rsid w:val="00A31C58"/>
    <w:rsid w:val="00A33FC7"/>
    <w:rsid w:val="00A340E3"/>
    <w:rsid w:val="00A3544B"/>
    <w:rsid w:val="00A3561D"/>
    <w:rsid w:val="00A35BC5"/>
    <w:rsid w:val="00A440E2"/>
    <w:rsid w:val="00A446A7"/>
    <w:rsid w:val="00A45815"/>
    <w:rsid w:val="00A5016B"/>
    <w:rsid w:val="00A5132F"/>
    <w:rsid w:val="00A51E00"/>
    <w:rsid w:val="00A522B7"/>
    <w:rsid w:val="00A5241A"/>
    <w:rsid w:val="00A5394D"/>
    <w:rsid w:val="00A53C66"/>
    <w:rsid w:val="00A55CB3"/>
    <w:rsid w:val="00A57696"/>
    <w:rsid w:val="00A60795"/>
    <w:rsid w:val="00A60AF2"/>
    <w:rsid w:val="00A60DC0"/>
    <w:rsid w:val="00A61C66"/>
    <w:rsid w:val="00A62455"/>
    <w:rsid w:val="00A648FF"/>
    <w:rsid w:val="00A64F8F"/>
    <w:rsid w:val="00A66F56"/>
    <w:rsid w:val="00A6762A"/>
    <w:rsid w:val="00A704B1"/>
    <w:rsid w:val="00A70F3E"/>
    <w:rsid w:val="00A711EB"/>
    <w:rsid w:val="00A71FDC"/>
    <w:rsid w:val="00A7203A"/>
    <w:rsid w:val="00A73C6F"/>
    <w:rsid w:val="00A74C1E"/>
    <w:rsid w:val="00A8009D"/>
    <w:rsid w:val="00A80AAB"/>
    <w:rsid w:val="00A80E68"/>
    <w:rsid w:val="00A833D9"/>
    <w:rsid w:val="00A90811"/>
    <w:rsid w:val="00A90E13"/>
    <w:rsid w:val="00A92667"/>
    <w:rsid w:val="00A92A1A"/>
    <w:rsid w:val="00A936E7"/>
    <w:rsid w:val="00A947C9"/>
    <w:rsid w:val="00A953AC"/>
    <w:rsid w:val="00A97408"/>
    <w:rsid w:val="00AA0FDA"/>
    <w:rsid w:val="00AA2CF3"/>
    <w:rsid w:val="00AA40D1"/>
    <w:rsid w:val="00AA4783"/>
    <w:rsid w:val="00AA6B88"/>
    <w:rsid w:val="00AA772B"/>
    <w:rsid w:val="00AB040F"/>
    <w:rsid w:val="00AB0C45"/>
    <w:rsid w:val="00AB0F96"/>
    <w:rsid w:val="00AB10C5"/>
    <w:rsid w:val="00AB1431"/>
    <w:rsid w:val="00AB1AAB"/>
    <w:rsid w:val="00AB1AB2"/>
    <w:rsid w:val="00AB472B"/>
    <w:rsid w:val="00AB5781"/>
    <w:rsid w:val="00AB643F"/>
    <w:rsid w:val="00AB672B"/>
    <w:rsid w:val="00AC0B2F"/>
    <w:rsid w:val="00AC27FA"/>
    <w:rsid w:val="00AC2A8C"/>
    <w:rsid w:val="00AC3361"/>
    <w:rsid w:val="00AC6606"/>
    <w:rsid w:val="00AC750F"/>
    <w:rsid w:val="00AC7CD8"/>
    <w:rsid w:val="00AC7ED6"/>
    <w:rsid w:val="00AD07A0"/>
    <w:rsid w:val="00AD1638"/>
    <w:rsid w:val="00AD1C4C"/>
    <w:rsid w:val="00AD5AEB"/>
    <w:rsid w:val="00AD64B9"/>
    <w:rsid w:val="00AE1773"/>
    <w:rsid w:val="00AE2ECF"/>
    <w:rsid w:val="00AE3693"/>
    <w:rsid w:val="00AE5C1F"/>
    <w:rsid w:val="00AE5E93"/>
    <w:rsid w:val="00AE6074"/>
    <w:rsid w:val="00AF06D9"/>
    <w:rsid w:val="00AF1CCA"/>
    <w:rsid w:val="00AF2DB4"/>
    <w:rsid w:val="00AF5442"/>
    <w:rsid w:val="00B012DE"/>
    <w:rsid w:val="00B01473"/>
    <w:rsid w:val="00B05458"/>
    <w:rsid w:val="00B07FEE"/>
    <w:rsid w:val="00B104FD"/>
    <w:rsid w:val="00B10E05"/>
    <w:rsid w:val="00B1328E"/>
    <w:rsid w:val="00B13707"/>
    <w:rsid w:val="00B13CD0"/>
    <w:rsid w:val="00B155C2"/>
    <w:rsid w:val="00B16A73"/>
    <w:rsid w:val="00B16E94"/>
    <w:rsid w:val="00B25107"/>
    <w:rsid w:val="00B31AC7"/>
    <w:rsid w:val="00B32A76"/>
    <w:rsid w:val="00B32C88"/>
    <w:rsid w:val="00B34398"/>
    <w:rsid w:val="00B4237D"/>
    <w:rsid w:val="00B42656"/>
    <w:rsid w:val="00B43332"/>
    <w:rsid w:val="00B443B4"/>
    <w:rsid w:val="00B44C24"/>
    <w:rsid w:val="00B452D5"/>
    <w:rsid w:val="00B45888"/>
    <w:rsid w:val="00B45B15"/>
    <w:rsid w:val="00B5047B"/>
    <w:rsid w:val="00B51D96"/>
    <w:rsid w:val="00B53BD7"/>
    <w:rsid w:val="00B56096"/>
    <w:rsid w:val="00B5683D"/>
    <w:rsid w:val="00B5782E"/>
    <w:rsid w:val="00B62B40"/>
    <w:rsid w:val="00B658AD"/>
    <w:rsid w:val="00B661EB"/>
    <w:rsid w:val="00B6637D"/>
    <w:rsid w:val="00B666EF"/>
    <w:rsid w:val="00B671A0"/>
    <w:rsid w:val="00B672EC"/>
    <w:rsid w:val="00B701DB"/>
    <w:rsid w:val="00B726FF"/>
    <w:rsid w:val="00B728F9"/>
    <w:rsid w:val="00B812A5"/>
    <w:rsid w:val="00B8141F"/>
    <w:rsid w:val="00B817DB"/>
    <w:rsid w:val="00B84566"/>
    <w:rsid w:val="00B8493B"/>
    <w:rsid w:val="00B85B8D"/>
    <w:rsid w:val="00B85D52"/>
    <w:rsid w:val="00B86890"/>
    <w:rsid w:val="00B868B6"/>
    <w:rsid w:val="00B87AC9"/>
    <w:rsid w:val="00BA249A"/>
    <w:rsid w:val="00BA33E7"/>
    <w:rsid w:val="00BA404F"/>
    <w:rsid w:val="00BA45B7"/>
    <w:rsid w:val="00BA48C0"/>
    <w:rsid w:val="00BA4E83"/>
    <w:rsid w:val="00BB21E1"/>
    <w:rsid w:val="00BB29CF"/>
    <w:rsid w:val="00BB7CF2"/>
    <w:rsid w:val="00BC151B"/>
    <w:rsid w:val="00BC6742"/>
    <w:rsid w:val="00BC74D7"/>
    <w:rsid w:val="00BC7FD0"/>
    <w:rsid w:val="00BD0EA1"/>
    <w:rsid w:val="00BD11D6"/>
    <w:rsid w:val="00BD1B8F"/>
    <w:rsid w:val="00BD47F4"/>
    <w:rsid w:val="00BD6F35"/>
    <w:rsid w:val="00BD7329"/>
    <w:rsid w:val="00BD751A"/>
    <w:rsid w:val="00BD7EE5"/>
    <w:rsid w:val="00BE30EE"/>
    <w:rsid w:val="00BE4FFC"/>
    <w:rsid w:val="00BE63BC"/>
    <w:rsid w:val="00BF0378"/>
    <w:rsid w:val="00BF27F1"/>
    <w:rsid w:val="00BF3297"/>
    <w:rsid w:val="00BF3B42"/>
    <w:rsid w:val="00BF3F79"/>
    <w:rsid w:val="00BF6B92"/>
    <w:rsid w:val="00BF7162"/>
    <w:rsid w:val="00BF7CF0"/>
    <w:rsid w:val="00C001F4"/>
    <w:rsid w:val="00C01949"/>
    <w:rsid w:val="00C030CD"/>
    <w:rsid w:val="00C03843"/>
    <w:rsid w:val="00C0504F"/>
    <w:rsid w:val="00C0691A"/>
    <w:rsid w:val="00C0765F"/>
    <w:rsid w:val="00C07C56"/>
    <w:rsid w:val="00C10468"/>
    <w:rsid w:val="00C135B3"/>
    <w:rsid w:val="00C137F2"/>
    <w:rsid w:val="00C14183"/>
    <w:rsid w:val="00C23595"/>
    <w:rsid w:val="00C23D41"/>
    <w:rsid w:val="00C24668"/>
    <w:rsid w:val="00C258AC"/>
    <w:rsid w:val="00C337B7"/>
    <w:rsid w:val="00C33D90"/>
    <w:rsid w:val="00C34DFC"/>
    <w:rsid w:val="00C35846"/>
    <w:rsid w:val="00C369C1"/>
    <w:rsid w:val="00C46949"/>
    <w:rsid w:val="00C526EA"/>
    <w:rsid w:val="00C536BA"/>
    <w:rsid w:val="00C53D13"/>
    <w:rsid w:val="00C55371"/>
    <w:rsid w:val="00C553EC"/>
    <w:rsid w:val="00C555A4"/>
    <w:rsid w:val="00C55658"/>
    <w:rsid w:val="00C60013"/>
    <w:rsid w:val="00C627B1"/>
    <w:rsid w:val="00C63FE0"/>
    <w:rsid w:val="00C65D79"/>
    <w:rsid w:val="00C65ECC"/>
    <w:rsid w:val="00C66604"/>
    <w:rsid w:val="00C67013"/>
    <w:rsid w:val="00C677B6"/>
    <w:rsid w:val="00C720A2"/>
    <w:rsid w:val="00C7230E"/>
    <w:rsid w:val="00C73CE2"/>
    <w:rsid w:val="00C74B77"/>
    <w:rsid w:val="00C807DD"/>
    <w:rsid w:val="00C80934"/>
    <w:rsid w:val="00C8474B"/>
    <w:rsid w:val="00C90A6E"/>
    <w:rsid w:val="00C94FE9"/>
    <w:rsid w:val="00CA0D71"/>
    <w:rsid w:val="00CA262C"/>
    <w:rsid w:val="00CB00F7"/>
    <w:rsid w:val="00CB087D"/>
    <w:rsid w:val="00CB1696"/>
    <w:rsid w:val="00CB1A12"/>
    <w:rsid w:val="00CB2F3C"/>
    <w:rsid w:val="00CB40AA"/>
    <w:rsid w:val="00CB4830"/>
    <w:rsid w:val="00CB74DC"/>
    <w:rsid w:val="00CC3889"/>
    <w:rsid w:val="00CC3D49"/>
    <w:rsid w:val="00CC4A15"/>
    <w:rsid w:val="00CC7008"/>
    <w:rsid w:val="00CC7E27"/>
    <w:rsid w:val="00CD0467"/>
    <w:rsid w:val="00CD11B0"/>
    <w:rsid w:val="00CD214D"/>
    <w:rsid w:val="00CD2ED7"/>
    <w:rsid w:val="00CD38ED"/>
    <w:rsid w:val="00CD4977"/>
    <w:rsid w:val="00CD4979"/>
    <w:rsid w:val="00CD4A4A"/>
    <w:rsid w:val="00CD4B77"/>
    <w:rsid w:val="00CD7147"/>
    <w:rsid w:val="00CE07D7"/>
    <w:rsid w:val="00CE143E"/>
    <w:rsid w:val="00CE2CE8"/>
    <w:rsid w:val="00CE48BF"/>
    <w:rsid w:val="00CE4DCE"/>
    <w:rsid w:val="00CE5B88"/>
    <w:rsid w:val="00CE5B99"/>
    <w:rsid w:val="00CE7559"/>
    <w:rsid w:val="00CF21DE"/>
    <w:rsid w:val="00CF31B8"/>
    <w:rsid w:val="00CF338C"/>
    <w:rsid w:val="00CF3D52"/>
    <w:rsid w:val="00CF4360"/>
    <w:rsid w:val="00CF4653"/>
    <w:rsid w:val="00CF605E"/>
    <w:rsid w:val="00CF6EAD"/>
    <w:rsid w:val="00D06931"/>
    <w:rsid w:val="00D100FB"/>
    <w:rsid w:val="00D1043B"/>
    <w:rsid w:val="00D11089"/>
    <w:rsid w:val="00D12CAF"/>
    <w:rsid w:val="00D13280"/>
    <w:rsid w:val="00D137AE"/>
    <w:rsid w:val="00D14E0B"/>
    <w:rsid w:val="00D15BBF"/>
    <w:rsid w:val="00D16799"/>
    <w:rsid w:val="00D17B48"/>
    <w:rsid w:val="00D20B7A"/>
    <w:rsid w:val="00D214A0"/>
    <w:rsid w:val="00D23CDE"/>
    <w:rsid w:val="00D25144"/>
    <w:rsid w:val="00D260FE"/>
    <w:rsid w:val="00D26159"/>
    <w:rsid w:val="00D34000"/>
    <w:rsid w:val="00D35361"/>
    <w:rsid w:val="00D37A75"/>
    <w:rsid w:val="00D37E5D"/>
    <w:rsid w:val="00D43D4D"/>
    <w:rsid w:val="00D5013E"/>
    <w:rsid w:val="00D529AD"/>
    <w:rsid w:val="00D52ECC"/>
    <w:rsid w:val="00D5488C"/>
    <w:rsid w:val="00D551F2"/>
    <w:rsid w:val="00D55D73"/>
    <w:rsid w:val="00D56E14"/>
    <w:rsid w:val="00D57E7B"/>
    <w:rsid w:val="00D60391"/>
    <w:rsid w:val="00D612F4"/>
    <w:rsid w:val="00D616C1"/>
    <w:rsid w:val="00D61F06"/>
    <w:rsid w:val="00D6257E"/>
    <w:rsid w:val="00D635D9"/>
    <w:rsid w:val="00D63E4B"/>
    <w:rsid w:val="00D646D7"/>
    <w:rsid w:val="00D718BE"/>
    <w:rsid w:val="00D73247"/>
    <w:rsid w:val="00D74002"/>
    <w:rsid w:val="00D7447A"/>
    <w:rsid w:val="00D7519F"/>
    <w:rsid w:val="00D76923"/>
    <w:rsid w:val="00D8119F"/>
    <w:rsid w:val="00D8458A"/>
    <w:rsid w:val="00D85E94"/>
    <w:rsid w:val="00D86F65"/>
    <w:rsid w:val="00D872E5"/>
    <w:rsid w:val="00D873D6"/>
    <w:rsid w:val="00D918CB"/>
    <w:rsid w:val="00D94293"/>
    <w:rsid w:val="00D94BC3"/>
    <w:rsid w:val="00D95812"/>
    <w:rsid w:val="00D959D7"/>
    <w:rsid w:val="00D95D91"/>
    <w:rsid w:val="00D966ED"/>
    <w:rsid w:val="00D9767F"/>
    <w:rsid w:val="00DA043B"/>
    <w:rsid w:val="00DA0676"/>
    <w:rsid w:val="00DA07EB"/>
    <w:rsid w:val="00DA1C99"/>
    <w:rsid w:val="00DA27F3"/>
    <w:rsid w:val="00DA30D4"/>
    <w:rsid w:val="00DA3B07"/>
    <w:rsid w:val="00DA44A4"/>
    <w:rsid w:val="00DA4AE5"/>
    <w:rsid w:val="00DA5924"/>
    <w:rsid w:val="00DA67A5"/>
    <w:rsid w:val="00DB2F6A"/>
    <w:rsid w:val="00DB3474"/>
    <w:rsid w:val="00DB542A"/>
    <w:rsid w:val="00DB682A"/>
    <w:rsid w:val="00DC1E27"/>
    <w:rsid w:val="00DC33DF"/>
    <w:rsid w:val="00DC53EC"/>
    <w:rsid w:val="00DC54A5"/>
    <w:rsid w:val="00DD1FB1"/>
    <w:rsid w:val="00DD2B2E"/>
    <w:rsid w:val="00DD4A57"/>
    <w:rsid w:val="00DD4D01"/>
    <w:rsid w:val="00DD51AD"/>
    <w:rsid w:val="00DD5A7F"/>
    <w:rsid w:val="00DD5E31"/>
    <w:rsid w:val="00DD708B"/>
    <w:rsid w:val="00DE0067"/>
    <w:rsid w:val="00DE5B26"/>
    <w:rsid w:val="00DE737E"/>
    <w:rsid w:val="00DE78D0"/>
    <w:rsid w:val="00DF12BE"/>
    <w:rsid w:val="00DF2A97"/>
    <w:rsid w:val="00DF34B9"/>
    <w:rsid w:val="00DF370C"/>
    <w:rsid w:val="00DF3E5E"/>
    <w:rsid w:val="00DF5AE0"/>
    <w:rsid w:val="00DF67A6"/>
    <w:rsid w:val="00DF76D1"/>
    <w:rsid w:val="00E00A67"/>
    <w:rsid w:val="00E03E6D"/>
    <w:rsid w:val="00E0438B"/>
    <w:rsid w:val="00E07B01"/>
    <w:rsid w:val="00E10AB2"/>
    <w:rsid w:val="00E15D14"/>
    <w:rsid w:val="00E16CA3"/>
    <w:rsid w:val="00E201A4"/>
    <w:rsid w:val="00E20F2B"/>
    <w:rsid w:val="00E21EBF"/>
    <w:rsid w:val="00E222BA"/>
    <w:rsid w:val="00E227FF"/>
    <w:rsid w:val="00E24031"/>
    <w:rsid w:val="00E2462E"/>
    <w:rsid w:val="00E269BA"/>
    <w:rsid w:val="00E3578B"/>
    <w:rsid w:val="00E36335"/>
    <w:rsid w:val="00E40D53"/>
    <w:rsid w:val="00E41469"/>
    <w:rsid w:val="00E426C6"/>
    <w:rsid w:val="00E42F5F"/>
    <w:rsid w:val="00E43551"/>
    <w:rsid w:val="00E435B2"/>
    <w:rsid w:val="00E4798C"/>
    <w:rsid w:val="00E529FB"/>
    <w:rsid w:val="00E556D9"/>
    <w:rsid w:val="00E575B1"/>
    <w:rsid w:val="00E578C5"/>
    <w:rsid w:val="00E60CAD"/>
    <w:rsid w:val="00E65348"/>
    <w:rsid w:val="00E67265"/>
    <w:rsid w:val="00E67EFE"/>
    <w:rsid w:val="00E70203"/>
    <w:rsid w:val="00E7070B"/>
    <w:rsid w:val="00E71494"/>
    <w:rsid w:val="00E716E0"/>
    <w:rsid w:val="00E71BED"/>
    <w:rsid w:val="00E735AD"/>
    <w:rsid w:val="00E7453E"/>
    <w:rsid w:val="00E74797"/>
    <w:rsid w:val="00E753DF"/>
    <w:rsid w:val="00E76A54"/>
    <w:rsid w:val="00E77325"/>
    <w:rsid w:val="00E77C30"/>
    <w:rsid w:val="00E804F5"/>
    <w:rsid w:val="00E81B33"/>
    <w:rsid w:val="00E81D71"/>
    <w:rsid w:val="00E83777"/>
    <w:rsid w:val="00E839EF"/>
    <w:rsid w:val="00E86075"/>
    <w:rsid w:val="00E861F9"/>
    <w:rsid w:val="00E902A9"/>
    <w:rsid w:val="00E91606"/>
    <w:rsid w:val="00E92A1C"/>
    <w:rsid w:val="00E92BE5"/>
    <w:rsid w:val="00E92C60"/>
    <w:rsid w:val="00E94358"/>
    <w:rsid w:val="00E94BAA"/>
    <w:rsid w:val="00E96932"/>
    <w:rsid w:val="00EA1E64"/>
    <w:rsid w:val="00EA3BA2"/>
    <w:rsid w:val="00EA48B8"/>
    <w:rsid w:val="00EA62B0"/>
    <w:rsid w:val="00EA6EC8"/>
    <w:rsid w:val="00EB01B6"/>
    <w:rsid w:val="00EB0392"/>
    <w:rsid w:val="00EB1EAE"/>
    <w:rsid w:val="00EB1F35"/>
    <w:rsid w:val="00EB39C5"/>
    <w:rsid w:val="00EB47D5"/>
    <w:rsid w:val="00EB6C44"/>
    <w:rsid w:val="00EC04DB"/>
    <w:rsid w:val="00EC07CF"/>
    <w:rsid w:val="00EC1C14"/>
    <w:rsid w:val="00EC2FAA"/>
    <w:rsid w:val="00EC31C5"/>
    <w:rsid w:val="00EC5288"/>
    <w:rsid w:val="00EC6761"/>
    <w:rsid w:val="00ED080B"/>
    <w:rsid w:val="00ED0E03"/>
    <w:rsid w:val="00ED294B"/>
    <w:rsid w:val="00ED4B6D"/>
    <w:rsid w:val="00ED6893"/>
    <w:rsid w:val="00ED7382"/>
    <w:rsid w:val="00EE0478"/>
    <w:rsid w:val="00EE36AF"/>
    <w:rsid w:val="00EE4BBD"/>
    <w:rsid w:val="00EE55C1"/>
    <w:rsid w:val="00EE6C34"/>
    <w:rsid w:val="00EE7257"/>
    <w:rsid w:val="00EF05D7"/>
    <w:rsid w:val="00EF0A2A"/>
    <w:rsid w:val="00EF0D03"/>
    <w:rsid w:val="00EF0E84"/>
    <w:rsid w:val="00EF18D1"/>
    <w:rsid w:val="00EF2BEF"/>
    <w:rsid w:val="00EF5154"/>
    <w:rsid w:val="00EF5351"/>
    <w:rsid w:val="00EF7338"/>
    <w:rsid w:val="00F00649"/>
    <w:rsid w:val="00F041C4"/>
    <w:rsid w:val="00F04D34"/>
    <w:rsid w:val="00F04FF1"/>
    <w:rsid w:val="00F0642F"/>
    <w:rsid w:val="00F0691A"/>
    <w:rsid w:val="00F06E51"/>
    <w:rsid w:val="00F070E8"/>
    <w:rsid w:val="00F13A84"/>
    <w:rsid w:val="00F14E51"/>
    <w:rsid w:val="00F1539A"/>
    <w:rsid w:val="00F168D7"/>
    <w:rsid w:val="00F172BC"/>
    <w:rsid w:val="00F20655"/>
    <w:rsid w:val="00F2069D"/>
    <w:rsid w:val="00F22D48"/>
    <w:rsid w:val="00F238DF"/>
    <w:rsid w:val="00F24726"/>
    <w:rsid w:val="00F25935"/>
    <w:rsid w:val="00F27C99"/>
    <w:rsid w:val="00F306C7"/>
    <w:rsid w:val="00F32F05"/>
    <w:rsid w:val="00F33DDF"/>
    <w:rsid w:val="00F36730"/>
    <w:rsid w:val="00F40389"/>
    <w:rsid w:val="00F41B34"/>
    <w:rsid w:val="00F41B8B"/>
    <w:rsid w:val="00F4218A"/>
    <w:rsid w:val="00F427BF"/>
    <w:rsid w:val="00F435CE"/>
    <w:rsid w:val="00F436AA"/>
    <w:rsid w:val="00F43FF6"/>
    <w:rsid w:val="00F46043"/>
    <w:rsid w:val="00F47892"/>
    <w:rsid w:val="00F50109"/>
    <w:rsid w:val="00F50DBD"/>
    <w:rsid w:val="00F50EDA"/>
    <w:rsid w:val="00F5143B"/>
    <w:rsid w:val="00F51AD2"/>
    <w:rsid w:val="00F52CD7"/>
    <w:rsid w:val="00F53F49"/>
    <w:rsid w:val="00F57097"/>
    <w:rsid w:val="00F570F9"/>
    <w:rsid w:val="00F61CAD"/>
    <w:rsid w:val="00F61E77"/>
    <w:rsid w:val="00F6448C"/>
    <w:rsid w:val="00F64822"/>
    <w:rsid w:val="00F64D46"/>
    <w:rsid w:val="00F66DD2"/>
    <w:rsid w:val="00F67C9D"/>
    <w:rsid w:val="00F70732"/>
    <w:rsid w:val="00F70820"/>
    <w:rsid w:val="00F71BEE"/>
    <w:rsid w:val="00F72CB4"/>
    <w:rsid w:val="00F740E6"/>
    <w:rsid w:val="00F86DB5"/>
    <w:rsid w:val="00F86E3C"/>
    <w:rsid w:val="00F86E7B"/>
    <w:rsid w:val="00F9117A"/>
    <w:rsid w:val="00F92891"/>
    <w:rsid w:val="00F94945"/>
    <w:rsid w:val="00F94D2C"/>
    <w:rsid w:val="00F950DB"/>
    <w:rsid w:val="00F97162"/>
    <w:rsid w:val="00FA1252"/>
    <w:rsid w:val="00FA16EF"/>
    <w:rsid w:val="00FA2515"/>
    <w:rsid w:val="00FA4865"/>
    <w:rsid w:val="00FA5008"/>
    <w:rsid w:val="00FA54F1"/>
    <w:rsid w:val="00FA6CF2"/>
    <w:rsid w:val="00FB0A47"/>
    <w:rsid w:val="00FB3025"/>
    <w:rsid w:val="00FB5330"/>
    <w:rsid w:val="00FB56AE"/>
    <w:rsid w:val="00FB5886"/>
    <w:rsid w:val="00FC4DF5"/>
    <w:rsid w:val="00FC5B2A"/>
    <w:rsid w:val="00FC6823"/>
    <w:rsid w:val="00FC6D3B"/>
    <w:rsid w:val="00FC731D"/>
    <w:rsid w:val="00FC7BCC"/>
    <w:rsid w:val="00FC7E2D"/>
    <w:rsid w:val="00FC7FDF"/>
    <w:rsid w:val="00FD0181"/>
    <w:rsid w:val="00FD27B4"/>
    <w:rsid w:val="00FD2929"/>
    <w:rsid w:val="00FD3118"/>
    <w:rsid w:val="00FD38BC"/>
    <w:rsid w:val="00FD4590"/>
    <w:rsid w:val="00FE251C"/>
    <w:rsid w:val="00FE3329"/>
    <w:rsid w:val="00FE3F0D"/>
    <w:rsid w:val="00FE7041"/>
    <w:rsid w:val="00FF342A"/>
    <w:rsid w:val="00FF5906"/>
    <w:rsid w:val="00FF5AFA"/>
    <w:rsid w:val="00FF5EC4"/>
    <w:rsid w:val="00FF6FAE"/>
    <w:rsid w:val="00FF7185"/>
    <w:rsid w:val="37A1405C"/>
    <w:rsid w:val="37CC4E92"/>
    <w:rsid w:val="45546ABF"/>
    <w:rsid w:val="45F30E12"/>
    <w:rsid w:val="4A6D4051"/>
    <w:rsid w:val="4E11630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2"/>
    <w:basedOn w:val="1"/>
    <w:next w:val="1"/>
    <w:link w:val="48"/>
    <w:semiHidden/>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3">
    <w:name w:val="heading 3"/>
    <w:basedOn w:val="1"/>
    <w:next w:val="1"/>
    <w:link w:val="32"/>
    <w:qFormat/>
    <w:uiPriority w:val="0"/>
    <w:pPr>
      <w:keepNext/>
      <w:keepLines/>
      <w:spacing w:before="260" w:after="260" w:line="416" w:lineRule="auto"/>
      <w:outlineLvl w:val="2"/>
    </w:pPr>
    <w:rPr>
      <w:b/>
      <w:bCs/>
      <w:sz w:val="32"/>
      <w:szCs w:val="32"/>
    </w:rPr>
  </w:style>
  <w:style w:type="character" w:default="1" w:styleId="20">
    <w:name w:val="Default Paragraph Font"/>
    <w:semiHidden/>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4">
    <w:name w:val="annotation text"/>
    <w:basedOn w:val="1"/>
    <w:link w:val="45"/>
    <w:semiHidden/>
    <w:unhideWhenUsed/>
    <w:qFormat/>
    <w:uiPriority w:val="99"/>
    <w:pPr>
      <w:jc w:val="left"/>
    </w:pPr>
  </w:style>
  <w:style w:type="paragraph" w:styleId="5">
    <w:name w:val="Body Text"/>
    <w:basedOn w:val="1"/>
    <w:link w:val="47"/>
    <w:semiHidden/>
    <w:unhideWhenUsed/>
    <w:qFormat/>
    <w:uiPriority w:val="99"/>
    <w:pPr>
      <w:spacing w:after="120"/>
    </w:pPr>
  </w:style>
  <w:style w:type="paragraph" w:styleId="6">
    <w:name w:val="Body Text Indent"/>
    <w:basedOn w:val="1"/>
    <w:link w:val="24"/>
    <w:qFormat/>
    <w:uiPriority w:val="0"/>
    <w:pPr>
      <w:tabs>
        <w:tab w:val="left" w:pos="480"/>
      </w:tabs>
      <w:spacing w:line="560" w:lineRule="exact"/>
      <w:ind w:firstLine="480"/>
      <w:jc w:val="left"/>
    </w:pPr>
    <w:rPr>
      <w:rFonts w:ascii="宋体" w:hAnsi="宋体"/>
      <w:sz w:val="24"/>
    </w:rPr>
  </w:style>
  <w:style w:type="paragraph" w:styleId="7">
    <w:name w:val="Plain Text"/>
    <w:basedOn w:val="1"/>
    <w:link w:val="36"/>
    <w:qFormat/>
    <w:uiPriority w:val="0"/>
    <w:rPr>
      <w:rFonts w:ascii="宋体" w:hAnsi="Courier New"/>
      <w:lang w:val="zh-CN" w:eastAsia="zh-CN"/>
    </w:rPr>
  </w:style>
  <w:style w:type="paragraph" w:styleId="8">
    <w:name w:val="Date"/>
    <w:basedOn w:val="1"/>
    <w:next w:val="1"/>
    <w:link w:val="29"/>
    <w:qFormat/>
    <w:uiPriority w:val="0"/>
    <w:pPr>
      <w:adjustRightInd w:val="0"/>
      <w:spacing w:line="360" w:lineRule="atLeast"/>
      <w:textAlignment w:val="baseline"/>
    </w:pPr>
    <w:rPr>
      <w:sz w:val="32"/>
    </w:rPr>
  </w:style>
  <w:style w:type="paragraph" w:styleId="9">
    <w:name w:val="Body Text Indent 2"/>
    <w:basedOn w:val="1"/>
    <w:link w:val="31"/>
    <w:semiHidden/>
    <w:unhideWhenUsed/>
    <w:qFormat/>
    <w:uiPriority w:val="99"/>
    <w:pPr>
      <w:spacing w:after="120" w:line="480" w:lineRule="auto"/>
      <w:ind w:left="420" w:leftChars="200"/>
    </w:pPr>
  </w:style>
  <w:style w:type="paragraph" w:styleId="10">
    <w:name w:val="Balloon Text"/>
    <w:basedOn w:val="1"/>
    <w:link w:val="42"/>
    <w:semiHidden/>
    <w:unhideWhenUsed/>
    <w:qFormat/>
    <w:uiPriority w:val="99"/>
    <w:rPr>
      <w:sz w:val="18"/>
      <w:szCs w:val="18"/>
    </w:rPr>
  </w:style>
  <w:style w:type="paragraph" w:styleId="11">
    <w:name w:val="footer"/>
    <w:basedOn w:val="1"/>
    <w:link w:val="28"/>
    <w:unhideWhenUsed/>
    <w:qFormat/>
    <w:uiPriority w:val="99"/>
    <w:pPr>
      <w:tabs>
        <w:tab w:val="center" w:pos="4153"/>
        <w:tab w:val="right" w:pos="8306"/>
      </w:tabs>
      <w:snapToGrid w:val="0"/>
      <w:jc w:val="left"/>
    </w:pPr>
    <w:rPr>
      <w:sz w:val="18"/>
      <w:szCs w:val="18"/>
    </w:rPr>
  </w:style>
  <w:style w:type="paragraph" w:styleId="12">
    <w:name w:val="header"/>
    <w:basedOn w:val="1"/>
    <w:link w:val="27"/>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Subtitle"/>
    <w:basedOn w:val="1"/>
    <w:next w:val="1"/>
    <w:link w:val="26"/>
    <w:qFormat/>
    <w:uiPriority w:val="0"/>
    <w:pPr>
      <w:spacing w:before="240" w:after="60" w:line="312" w:lineRule="auto"/>
      <w:jc w:val="center"/>
      <w:outlineLvl w:val="1"/>
    </w:pPr>
    <w:rPr>
      <w:rFonts w:ascii="Cambria" w:hAnsi="Cambria"/>
      <w:b/>
      <w:bCs/>
      <w:kern w:val="28"/>
      <w:sz w:val="32"/>
      <w:szCs w:val="32"/>
      <w:lang w:val="zh-CN" w:eastAsia="zh-CN"/>
    </w:rPr>
  </w:style>
  <w:style w:type="paragraph" w:styleId="14">
    <w:name w:val="Body Text Indent 3"/>
    <w:basedOn w:val="1"/>
    <w:link w:val="37"/>
    <w:semiHidden/>
    <w:unhideWhenUsed/>
    <w:qFormat/>
    <w:uiPriority w:val="99"/>
    <w:pPr>
      <w:spacing w:after="120"/>
      <w:ind w:left="420" w:leftChars="200"/>
    </w:pPr>
    <w:rPr>
      <w:sz w:val="16"/>
      <w:szCs w:val="16"/>
    </w:rPr>
  </w:style>
  <w:style w:type="paragraph" w:styleId="15">
    <w:name w:val="Body Text 2"/>
    <w:basedOn w:val="1"/>
    <w:link w:val="33"/>
    <w:semiHidden/>
    <w:unhideWhenUsed/>
    <w:qFormat/>
    <w:uiPriority w:val="99"/>
    <w:pPr>
      <w:spacing w:after="120" w:line="480" w:lineRule="auto"/>
    </w:pPr>
  </w:style>
  <w:style w:type="paragraph" w:styleId="16">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17">
    <w:name w:val="annotation subject"/>
    <w:basedOn w:val="4"/>
    <w:next w:val="4"/>
    <w:link w:val="46"/>
    <w:semiHidden/>
    <w:unhideWhenUsed/>
    <w:qFormat/>
    <w:uiPriority w:val="99"/>
    <w:rPr>
      <w:b/>
      <w:bCs/>
    </w:rPr>
  </w:style>
  <w:style w:type="table" w:styleId="19">
    <w:name w:val="Table Grid"/>
    <w:basedOn w:val="18"/>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Strong"/>
    <w:qFormat/>
    <w:uiPriority w:val="22"/>
    <w:rPr>
      <w:b/>
      <w:bCs/>
    </w:rPr>
  </w:style>
  <w:style w:type="character" w:styleId="22">
    <w:name w:val="Hyperlink"/>
    <w:basedOn w:val="20"/>
    <w:unhideWhenUsed/>
    <w:qFormat/>
    <w:uiPriority w:val="99"/>
    <w:rPr>
      <w:color w:val="0000FF" w:themeColor="hyperlink"/>
      <w:u w:val="single"/>
      <w14:textFill>
        <w14:solidFill>
          <w14:schemeClr w14:val="hlink"/>
        </w14:solidFill>
      </w14:textFill>
    </w:rPr>
  </w:style>
  <w:style w:type="character" w:styleId="23">
    <w:name w:val="annotation reference"/>
    <w:basedOn w:val="20"/>
    <w:semiHidden/>
    <w:unhideWhenUsed/>
    <w:qFormat/>
    <w:uiPriority w:val="99"/>
    <w:rPr>
      <w:sz w:val="21"/>
      <w:szCs w:val="21"/>
    </w:rPr>
  </w:style>
  <w:style w:type="character" w:customStyle="1" w:styleId="24">
    <w:name w:val="正文文本缩进 Char"/>
    <w:basedOn w:val="20"/>
    <w:link w:val="6"/>
    <w:qFormat/>
    <w:uiPriority w:val="0"/>
    <w:rPr>
      <w:rFonts w:ascii="宋体" w:hAnsi="宋体" w:eastAsia="宋体" w:cs="Times New Roman"/>
      <w:sz w:val="24"/>
      <w:szCs w:val="20"/>
    </w:rPr>
  </w:style>
  <w:style w:type="paragraph" w:customStyle="1" w:styleId="25">
    <w:name w:val="Default"/>
    <w:link w:val="43"/>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26">
    <w:name w:val="副标题 Char"/>
    <w:basedOn w:val="20"/>
    <w:link w:val="13"/>
    <w:qFormat/>
    <w:uiPriority w:val="0"/>
    <w:rPr>
      <w:rFonts w:ascii="Cambria" w:hAnsi="Cambria" w:eastAsia="宋体" w:cs="Times New Roman"/>
      <w:b/>
      <w:bCs/>
      <w:kern w:val="28"/>
      <w:sz w:val="32"/>
      <w:szCs w:val="32"/>
      <w:lang w:val="zh-CN" w:eastAsia="zh-CN"/>
    </w:rPr>
  </w:style>
  <w:style w:type="character" w:customStyle="1" w:styleId="27">
    <w:name w:val="页眉 Char"/>
    <w:basedOn w:val="20"/>
    <w:link w:val="12"/>
    <w:qFormat/>
    <w:uiPriority w:val="99"/>
    <w:rPr>
      <w:rFonts w:ascii="Times New Roman" w:hAnsi="Times New Roman" w:eastAsia="宋体" w:cs="Times New Roman"/>
      <w:sz w:val="18"/>
      <w:szCs w:val="18"/>
    </w:rPr>
  </w:style>
  <w:style w:type="character" w:customStyle="1" w:styleId="28">
    <w:name w:val="页脚 Char"/>
    <w:basedOn w:val="20"/>
    <w:link w:val="11"/>
    <w:qFormat/>
    <w:uiPriority w:val="99"/>
    <w:rPr>
      <w:rFonts w:ascii="Times New Roman" w:hAnsi="Times New Roman" w:eastAsia="宋体" w:cs="Times New Roman"/>
      <w:sz w:val="18"/>
      <w:szCs w:val="18"/>
    </w:rPr>
  </w:style>
  <w:style w:type="character" w:customStyle="1" w:styleId="29">
    <w:name w:val="日期 Char"/>
    <w:basedOn w:val="20"/>
    <w:link w:val="8"/>
    <w:qFormat/>
    <w:uiPriority w:val="0"/>
    <w:rPr>
      <w:rFonts w:ascii="Times New Roman" w:hAnsi="Times New Roman" w:eastAsia="宋体" w:cs="Times New Roman"/>
      <w:sz w:val="32"/>
      <w:szCs w:val="20"/>
    </w:rPr>
  </w:style>
  <w:style w:type="paragraph" w:styleId="30">
    <w:name w:val="List Paragraph"/>
    <w:basedOn w:val="1"/>
    <w:link w:val="44"/>
    <w:qFormat/>
    <w:uiPriority w:val="34"/>
    <w:pPr>
      <w:ind w:firstLine="420" w:firstLineChars="200"/>
    </w:pPr>
  </w:style>
  <w:style w:type="character" w:customStyle="1" w:styleId="31">
    <w:name w:val="正文文本缩进 2 Char"/>
    <w:basedOn w:val="20"/>
    <w:link w:val="9"/>
    <w:semiHidden/>
    <w:qFormat/>
    <w:uiPriority w:val="99"/>
    <w:rPr>
      <w:rFonts w:ascii="Times New Roman" w:hAnsi="Times New Roman" w:eastAsia="宋体" w:cs="Times New Roman"/>
      <w:szCs w:val="20"/>
    </w:rPr>
  </w:style>
  <w:style w:type="character" w:customStyle="1" w:styleId="32">
    <w:name w:val="标题 3 Char"/>
    <w:basedOn w:val="20"/>
    <w:link w:val="3"/>
    <w:qFormat/>
    <w:uiPriority w:val="0"/>
    <w:rPr>
      <w:rFonts w:ascii="Times New Roman" w:hAnsi="Times New Roman" w:eastAsia="宋体" w:cs="Times New Roman"/>
      <w:b/>
      <w:bCs/>
      <w:sz w:val="32"/>
      <w:szCs w:val="32"/>
    </w:rPr>
  </w:style>
  <w:style w:type="character" w:customStyle="1" w:styleId="33">
    <w:name w:val="正文文本 2 Char"/>
    <w:basedOn w:val="20"/>
    <w:link w:val="15"/>
    <w:semiHidden/>
    <w:qFormat/>
    <w:uiPriority w:val="99"/>
    <w:rPr>
      <w:rFonts w:ascii="Times New Roman" w:hAnsi="Times New Roman" w:eastAsia="宋体" w:cs="Times New Roman"/>
      <w:szCs w:val="20"/>
    </w:rPr>
  </w:style>
  <w:style w:type="paragraph" w:customStyle="1" w:styleId="34">
    <w:name w:val="Char"/>
    <w:basedOn w:val="1"/>
    <w:autoRedefine/>
    <w:qFormat/>
    <w:uiPriority w:val="0"/>
    <w:pPr>
      <w:tabs>
        <w:tab w:val="left" w:pos="360"/>
      </w:tabs>
    </w:pPr>
    <w:rPr>
      <w:sz w:val="24"/>
      <w:szCs w:val="24"/>
    </w:rPr>
  </w:style>
  <w:style w:type="character" w:customStyle="1" w:styleId="35">
    <w:name w:val="纯文本 Char"/>
    <w:basedOn w:val="20"/>
    <w:semiHidden/>
    <w:qFormat/>
    <w:uiPriority w:val="99"/>
    <w:rPr>
      <w:rFonts w:ascii="宋体" w:hAnsi="Courier New" w:eastAsia="宋体" w:cs="Courier New"/>
      <w:szCs w:val="21"/>
    </w:rPr>
  </w:style>
  <w:style w:type="character" w:customStyle="1" w:styleId="36">
    <w:name w:val="纯文本 Char1"/>
    <w:link w:val="7"/>
    <w:qFormat/>
    <w:locked/>
    <w:uiPriority w:val="0"/>
    <w:rPr>
      <w:rFonts w:ascii="宋体" w:hAnsi="Courier New" w:eastAsia="宋体" w:cs="Times New Roman"/>
      <w:szCs w:val="20"/>
      <w:lang w:val="zh-CN" w:eastAsia="zh-CN"/>
    </w:rPr>
  </w:style>
  <w:style w:type="character" w:customStyle="1" w:styleId="37">
    <w:name w:val="正文文本缩进 3 Char"/>
    <w:basedOn w:val="20"/>
    <w:link w:val="14"/>
    <w:semiHidden/>
    <w:qFormat/>
    <w:uiPriority w:val="99"/>
    <w:rPr>
      <w:rFonts w:ascii="Times New Roman" w:hAnsi="Times New Roman" w:eastAsia="宋体" w:cs="Times New Roman"/>
      <w:sz w:val="16"/>
      <w:szCs w:val="16"/>
    </w:rPr>
  </w:style>
  <w:style w:type="paragraph" w:customStyle="1" w:styleId="38">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39">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0">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1">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42">
    <w:name w:val="批注框文本 Char"/>
    <w:basedOn w:val="20"/>
    <w:link w:val="10"/>
    <w:semiHidden/>
    <w:qFormat/>
    <w:uiPriority w:val="99"/>
    <w:rPr>
      <w:rFonts w:ascii="Times New Roman" w:hAnsi="Times New Roman" w:eastAsia="宋体" w:cs="Times New Roman"/>
      <w:sz w:val="18"/>
      <w:szCs w:val="18"/>
    </w:rPr>
  </w:style>
  <w:style w:type="character" w:customStyle="1" w:styleId="43">
    <w:name w:val="Default Char"/>
    <w:link w:val="25"/>
    <w:qFormat/>
    <w:locked/>
    <w:uiPriority w:val="0"/>
    <w:rPr>
      <w:rFonts w:ascii="......." w:hAnsi="Calibri" w:eastAsia="......." w:cs="......."/>
      <w:color w:val="000000"/>
      <w:kern w:val="0"/>
      <w:sz w:val="24"/>
      <w:szCs w:val="24"/>
    </w:rPr>
  </w:style>
  <w:style w:type="character" w:customStyle="1" w:styleId="44">
    <w:name w:val="列出段落 Char"/>
    <w:link w:val="30"/>
    <w:qFormat/>
    <w:uiPriority w:val="34"/>
    <w:rPr>
      <w:rFonts w:ascii="Times New Roman" w:hAnsi="Times New Roman" w:eastAsia="宋体" w:cs="Times New Roman"/>
      <w:szCs w:val="20"/>
    </w:rPr>
  </w:style>
  <w:style w:type="character" w:customStyle="1" w:styleId="45">
    <w:name w:val="批注文字 Char"/>
    <w:basedOn w:val="20"/>
    <w:link w:val="4"/>
    <w:semiHidden/>
    <w:qFormat/>
    <w:uiPriority w:val="99"/>
    <w:rPr>
      <w:rFonts w:ascii="Times New Roman" w:hAnsi="Times New Roman" w:eastAsia="宋体" w:cs="Times New Roman"/>
      <w:szCs w:val="20"/>
    </w:rPr>
  </w:style>
  <w:style w:type="character" w:customStyle="1" w:styleId="46">
    <w:name w:val="批注主题 Char"/>
    <w:basedOn w:val="45"/>
    <w:link w:val="17"/>
    <w:semiHidden/>
    <w:qFormat/>
    <w:uiPriority w:val="99"/>
    <w:rPr>
      <w:rFonts w:ascii="Times New Roman" w:hAnsi="Times New Roman" w:eastAsia="宋体" w:cs="Times New Roman"/>
      <w:b/>
      <w:bCs/>
      <w:szCs w:val="20"/>
    </w:rPr>
  </w:style>
  <w:style w:type="character" w:customStyle="1" w:styleId="47">
    <w:name w:val="正文文本 Char"/>
    <w:basedOn w:val="20"/>
    <w:link w:val="5"/>
    <w:semiHidden/>
    <w:qFormat/>
    <w:uiPriority w:val="99"/>
    <w:rPr>
      <w:rFonts w:ascii="Times New Roman" w:hAnsi="Times New Roman" w:eastAsia="宋体" w:cs="Times New Roman"/>
      <w:szCs w:val="20"/>
    </w:rPr>
  </w:style>
  <w:style w:type="character" w:customStyle="1" w:styleId="48">
    <w:name w:val="标题 2 Char"/>
    <w:basedOn w:val="20"/>
    <w:link w:val="2"/>
    <w:semiHidden/>
    <w:qFormat/>
    <w:uiPriority w:val="9"/>
    <w:rPr>
      <w:rFonts w:asciiTheme="majorHAnsi" w:hAnsiTheme="majorHAnsi" w:eastAsiaTheme="majorEastAsia" w:cstheme="majorBidi"/>
      <w:b/>
      <w:bCs/>
      <w:sz w:val="32"/>
      <w:szCs w:val="32"/>
    </w:rPr>
  </w:style>
  <w:style w:type="paragraph" w:customStyle="1" w:styleId="49">
    <w:name w:val="列出段落1"/>
    <w:basedOn w:val="1"/>
    <w:qFormat/>
    <w:uiPriority w:val="0"/>
    <w:pPr>
      <w:ind w:firstLine="420" w:firstLineChars="200"/>
    </w:pPr>
    <w:rPr>
      <w:rFonts w:ascii="Calibri" w:hAnsi="Calibri" w:cs="黑体"/>
      <w:szCs w:val="22"/>
    </w:rPr>
  </w:style>
  <w:style w:type="paragraph" w:customStyle="1" w:styleId="50">
    <w:name w:val="AONormal"/>
    <w:qFormat/>
    <w:uiPriority w:val="0"/>
    <w:pPr>
      <w:autoSpaceDE w:val="0"/>
      <w:autoSpaceDN w:val="0"/>
      <w:adjustRightInd w:val="0"/>
      <w:spacing w:line="400" w:lineRule="exact"/>
      <w:ind w:firstLine="440" w:firstLineChars="200"/>
    </w:pPr>
    <w:rPr>
      <w:rFonts w:ascii="华文楷体" w:hAnsi="华文楷体" w:eastAsia="华文楷体" w:cs="华文楷体"/>
      <w:kern w:val="0"/>
      <w:sz w:val="22"/>
      <w:szCs w:val="21"/>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image" Target="media/image1.jpeg"/><Relationship Id="rId8" Type="http://schemas.openxmlformats.org/officeDocument/2006/relationships/theme" Target="theme/theme1.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MS</Company>
  <Pages>111</Pages>
  <Words>7616</Words>
  <Characters>8830</Characters>
  <Lines>544</Lines>
  <Paragraphs>153</Paragraphs>
  <TotalTime>22</TotalTime>
  <ScaleCrop>false</ScaleCrop>
  <LinksUpToDate>false</LinksUpToDate>
  <CharactersWithSpaces>8907</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2024-06-13T08:25:00Z</dcterms:created>
  <dc:creator>未定义</dc:creator>
  <cp:lastModifiedBy>老何</cp:lastModifiedBy>
  <cp:lastPrinted>2017-09-13T07:55:00Z</cp:lastPrinted>
  <dcterms:modified xsi:type="dcterms:W3CDTF">2025-11-06T06:08:57Z</dcterms:modified>
  <cp:revision>77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eyJoZGlkIjoiZDk3Y2VhZDliZDJmNTM4ZWE2Y2Q0MGM1YWE3OThkZTMiLCJ1c2VySWQiOiI0NTM0NjY1OTEifQ==</vt:lpwstr>
  </property>
  <property fmtid="{D5CDD505-2E9C-101B-9397-08002B2CF9AE}" pid="3" name="KSOProductBuildVer">
    <vt:lpwstr>2052-12.1.0.23542</vt:lpwstr>
  </property>
  <property fmtid="{D5CDD505-2E9C-101B-9397-08002B2CF9AE}" pid="4" name="ICV">
    <vt:lpwstr>570DA77121E14865B90DA7AF0BCE66CF_12</vt:lpwstr>
  </property>
</Properties>
</file>