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7212D7">
      <w:pPr>
        <w:autoSpaceDE w:val="0"/>
        <w:autoSpaceDN w:val="0"/>
        <w:spacing w:line="360" w:lineRule="auto"/>
        <w:ind w:firstLine="448" w:firstLineChars="200"/>
        <w:rPr>
          <w:bCs/>
          <w:sz w:val="24"/>
        </w:rPr>
      </w:pPr>
      <w:r>
        <w:rPr>
          <w:rFonts w:hint="eastAsia"/>
          <w:sz w:val="24"/>
        </w:rPr>
        <w:t>二</w:t>
      </w:r>
      <w:r>
        <w:rPr>
          <w:bCs/>
          <w:sz w:val="24"/>
        </w:rPr>
        <w:t>、技术要求</w:t>
      </w:r>
    </w:p>
    <w:p w14:paraId="517818FF">
      <w:pPr>
        <w:spacing w:line="360" w:lineRule="auto"/>
        <w:ind w:firstLine="448"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3C8519E6">
      <w:pPr>
        <w:spacing w:line="360" w:lineRule="auto"/>
        <w:ind w:firstLine="448" w:firstLineChars="200"/>
        <w:outlineLvl w:val="0"/>
        <w:rPr>
          <w:sz w:val="24"/>
        </w:rPr>
      </w:pPr>
      <w:r>
        <w:rPr>
          <w:rFonts w:hint="eastAsia"/>
          <w:sz w:val="24"/>
        </w:rPr>
        <w:t>（二）采购清单</w:t>
      </w:r>
    </w:p>
    <w:p w14:paraId="651FA764">
      <w:pPr>
        <w:spacing w:line="560" w:lineRule="exact"/>
        <w:ind w:firstLine="608" w:firstLineChars="200"/>
        <w:jc w:val="left"/>
        <w:rPr>
          <w:rFonts w:hint="eastAsia" w:ascii="楷体" w:hAnsi="楷体" w:eastAsia="楷体"/>
          <w:color w:val="auto"/>
          <w:sz w:val="32"/>
          <w:szCs w:val="32"/>
          <w:highlight w:val="none"/>
        </w:rPr>
      </w:pPr>
      <w:r>
        <w:rPr>
          <w:rFonts w:hint="eastAsia" w:ascii="楷体" w:hAnsi="楷体" w:eastAsia="楷体"/>
          <w:color w:val="auto"/>
          <w:sz w:val="32"/>
          <w:szCs w:val="32"/>
          <w:highlight w:val="none"/>
        </w:rPr>
        <w:t>采购标的汇总表</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
        <w:gridCol w:w="1843"/>
        <w:gridCol w:w="1417"/>
        <w:gridCol w:w="1276"/>
        <w:gridCol w:w="992"/>
        <w:gridCol w:w="1687"/>
      </w:tblGrid>
      <w:tr w14:paraId="24C9C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7" w:hRule="atLeast"/>
          <w:jc w:val="center"/>
        </w:trPr>
        <w:tc>
          <w:tcPr>
            <w:tcW w:w="850" w:type="dxa"/>
            <w:vAlign w:val="center"/>
          </w:tcPr>
          <w:p w14:paraId="5283ED62">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b/>
                <w:color w:val="auto"/>
                <w:sz w:val="24"/>
                <w:szCs w:val="24"/>
                <w:highlight w:val="none"/>
              </w:rPr>
            </w:pPr>
            <w:r>
              <w:rPr>
                <w:rFonts w:hint="eastAsia" w:ascii="仿宋" w:hAnsi="仿宋" w:eastAsia="仿宋"/>
                <w:b/>
                <w:color w:val="auto"/>
                <w:sz w:val="24"/>
                <w:szCs w:val="24"/>
                <w:highlight w:val="none"/>
              </w:rPr>
              <w:t>序号</w:t>
            </w:r>
          </w:p>
        </w:tc>
        <w:tc>
          <w:tcPr>
            <w:tcW w:w="1843" w:type="dxa"/>
            <w:vAlign w:val="center"/>
          </w:tcPr>
          <w:p w14:paraId="095892D3">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b/>
                <w:color w:val="auto"/>
                <w:sz w:val="24"/>
                <w:szCs w:val="24"/>
                <w:highlight w:val="none"/>
              </w:rPr>
            </w:pPr>
            <w:r>
              <w:rPr>
                <w:rFonts w:hint="eastAsia" w:ascii="仿宋" w:hAnsi="仿宋" w:eastAsia="仿宋"/>
                <w:b/>
                <w:color w:val="auto"/>
                <w:sz w:val="24"/>
                <w:szCs w:val="24"/>
                <w:highlight w:val="none"/>
              </w:rPr>
              <w:t>标的名称</w:t>
            </w:r>
          </w:p>
        </w:tc>
        <w:tc>
          <w:tcPr>
            <w:tcW w:w="1417" w:type="dxa"/>
            <w:vAlign w:val="center"/>
          </w:tcPr>
          <w:p w14:paraId="5017FE9D">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b/>
                <w:color w:val="auto"/>
                <w:sz w:val="24"/>
                <w:szCs w:val="24"/>
                <w:highlight w:val="none"/>
              </w:rPr>
            </w:pPr>
            <w:r>
              <w:rPr>
                <w:rFonts w:hint="eastAsia" w:ascii="仿宋" w:hAnsi="仿宋" w:eastAsia="仿宋"/>
                <w:b/>
                <w:color w:val="auto"/>
                <w:sz w:val="24"/>
                <w:szCs w:val="24"/>
                <w:highlight w:val="none"/>
              </w:rPr>
              <w:t>品目</w:t>
            </w:r>
          </w:p>
          <w:p w14:paraId="3BCC1F06">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b/>
                <w:color w:val="auto"/>
                <w:sz w:val="24"/>
                <w:szCs w:val="24"/>
                <w:highlight w:val="none"/>
              </w:rPr>
            </w:pPr>
            <w:r>
              <w:rPr>
                <w:rFonts w:hint="eastAsia" w:ascii="仿宋" w:hAnsi="仿宋" w:eastAsia="仿宋"/>
                <w:b/>
                <w:color w:val="auto"/>
                <w:sz w:val="24"/>
                <w:szCs w:val="24"/>
                <w:highlight w:val="none"/>
              </w:rPr>
              <w:t>分类编码</w:t>
            </w:r>
          </w:p>
        </w:tc>
        <w:tc>
          <w:tcPr>
            <w:tcW w:w="1276" w:type="dxa"/>
            <w:vAlign w:val="center"/>
          </w:tcPr>
          <w:p w14:paraId="4A8CF0AA">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b/>
                <w:color w:val="auto"/>
                <w:sz w:val="24"/>
                <w:szCs w:val="24"/>
                <w:highlight w:val="none"/>
              </w:rPr>
            </w:pPr>
            <w:r>
              <w:rPr>
                <w:rFonts w:hint="eastAsia" w:ascii="仿宋" w:hAnsi="仿宋" w:eastAsia="仿宋"/>
                <w:b/>
                <w:color w:val="auto"/>
                <w:sz w:val="24"/>
                <w:szCs w:val="24"/>
                <w:highlight w:val="none"/>
              </w:rPr>
              <w:t>计量</w:t>
            </w:r>
          </w:p>
          <w:p w14:paraId="5F7F2BCF">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b/>
                <w:color w:val="auto"/>
                <w:sz w:val="24"/>
                <w:szCs w:val="24"/>
                <w:highlight w:val="none"/>
              </w:rPr>
            </w:pPr>
            <w:r>
              <w:rPr>
                <w:rFonts w:hint="eastAsia" w:ascii="仿宋" w:hAnsi="仿宋" w:eastAsia="仿宋"/>
                <w:b/>
                <w:color w:val="auto"/>
                <w:sz w:val="24"/>
                <w:szCs w:val="24"/>
                <w:highlight w:val="none"/>
              </w:rPr>
              <w:t>单位</w:t>
            </w:r>
          </w:p>
        </w:tc>
        <w:tc>
          <w:tcPr>
            <w:tcW w:w="992" w:type="dxa"/>
            <w:vAlign w:val="center"/>
          </w:tcPr>
          <w:p w14:paraId="5CD090BE">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b/>
                <w:color w:val="auto"/>
                <w:sz w:val="24"/>
                <w:szCs w:val="24"/>
                <w:highlight w:val="none"/>
              </w:rPr>
            </w:pPr>
            <w:r>
              <w:rPr>
                <w:rFonts w:hint="eastAsia" w:ascii="仿宋" w:hAnsi="仿宋" w:eastAsia="仿宋"/>
                <w:b/>
                <w:color w:val="auto"/>
                <w:sz w:val="24"/>
                <w:szCs w:val="24"/>
                <w:highlight w:val="none"/>
              </w:rPr>
              <w:t>数量</w:t>
            </w:r>
          </w:p>
        </w:tc>
        <w:tc>
          <w:tcPr>
            <w:tcW w:w="1687" w:type="dxa"/>
            <w:vAlign w:val="center"/>
          </w:tcPr>
          <w:p w14:paraId="0C6A8323">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b/>
                <w:color w:val="auto"/>
                <w:sz w:val="24"/>
                <w:szCs w:val="24"/>
                <w:highlight w:val="none"/>
              </w:rPr>
            </w:pPr>
            <w:r>
              <w:rPr>
                <w:rFonts w:hint="eastAsia" w:ascii="仿宋" w:hAnsi="仿宋" w:eastAsia="仿宋"/>
                <w:b/>
                <w:color w:val="auto"/>
                <w:sz w:val="24"/>
                <w:szCs w:val="24"/>
                <w:highlight w:val="none"/>
              </w:rPr>
              <w:t>预（概）算</w:t>
            </w:r>
          </w:p>
          <w:p w14:paraId="4EBD0BBA">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default" w:ascii="仿宋" w:hAnsi="仿宋" w:eastAsia="仿宋"/>
                <w:b/>
                <w:color w:val="auto"/>
                <w:sz w:val="24"/>
                <w:szCs w:val="24"/>
                <w:highlight w:val="none"/>
                <w:lang w:val="en-US" w:eastAsia="zh-CN"/>
              </w:rPr>
            </w:pPr>
            <w:r>
              <w:rPr>
                <w:rFonts w:hint="eastAsia" w:ascii="仿宋" w:hAnsi="仿宋" w:eastAsia="仿宋"/>
                <w:b/>
                <w:color w:val="auto"/>
                <w:sz w:val="24"/>
                <w:szCs w:val="24"/>
                <w:highlight w:val="none"/>
                <w:lang w:val="en-US" w:eastAsia="zh-CN"/>
              </w:rPr>
              <w:t>单位：</w:t>
            </w:r>
            <w:r>
              <w:rPr>
                <w:rFonts w:hint="eastAsia" w:ascii="仿宋" w:hAnsi="仿宋" w:eastAsia="仿宋"/>
                <w:b/>
                <w:color w:val="auto"/>
                <w:sz w:val="24"/>
                <w:szCs w:val="24"/>
                <w:highlight w:val="none"/>
                <w:lang w:eastAsia="zh-CN"/>
              </w:rPr>
              <w:t>（</w:t>
            </w:r>
            <w:r>
              <w:rPr>
                <w:rFonts w:hint="eastAsia" w:ascii="仿宋" w:hAnsi="仿宋" w:eastAsia="仿宋"/>
                <w:b/>
                <w:color w:val="auto"/>
                <w:sz w:val="24"/>
                <w:szCs w:val="24"/>
                <w:highlight w:val="none"/>
                <w:lang w:val="en-US" w:eastAsia="zh-CN"/>
              </w:rPr>
              <w:t>万元）</w:t>
            </w:r>
          </w:p>
        </w:tc>
      </w:tr>
      <w:tr w14:paraId="0F5EC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850" w:type="dxa"/>
            <w:vAlign w:val="center"/>
          </w:tcPr>
          <w:p w14:paraId="4BBD3782">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eastAsia="宋体"/>
                <w:color w:val="auto"/>
                <w:sz w:val="24"/>
                <w:highlight w:val="none"/>
                <w:lang w:val="en-US" w:eastAsia="zh-CN"/>
              </w:rPr>
            </w:pPr>
            <w:r>
              <w:rPr>
                <w:rFonts w:hint="eastAsia" w:ascii="宋体" w:hAnsi="宋体" w:eastAsia="宋体"/>
                <w:color w:val="auto"/>
                <w:sz w:val="24"/>
                <w:highlight w:val="none"/>
                <w:lang w:val="en-US" w:eastAsia="zh-CN"/>
              </w:rPr>
              <w:t>1</w:t>
            </w:r>
          </w:p>
        </w:tc>
        <w:tc>
          <w:tcPr>
            <w:tcW w:w="1843" w:type="dxa"/>
            <w:vAlign w:val="center"/>
          </w:tcPr>
          <w:p w14:paraId="3BF71D75">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eastAsia="宋体"/>
                <w:color w:val="auto"/>
                <w:sz w:val="24"/>
                <w:highlight w:val="none"/>
                <w:lang w:val="en-US" w:eastAsia="zh-CN"/>
              </w:rPr>
            </w:pPr>
            <w:r>
              <w:rPr>
                <w:rFonts w:hint="eastAsia" w:ascii="宋体" w:hAnsi="宋体" w:eastAsia="宋体"/>
                <w:color w:val="auto"/>
                <w:sz w:val="24"/>
                <w:highlight w:val="none"/>
                <w:lang w:val="en-US" w:eastAsia="zh-CN"/>
              </w:rPr>
              <w:t>工作站</w:t>
            </w:r>
          </w:p>
        </w:tc>
        <w:tc>
          <w:tcPr>
            <w:tcW w:w="1417" w:type="dxa"/>
            <w:vAlign w:val="center"/>
          </w:tcPr>
          <w:p w14:paraId="22E0462F">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eastAsia="宋体"/>
                <w:color w:val="auto"/>
                <w:sz w:val="24"/>
                <w:highlight w:val="none"/>
                <w:lang w:val="en-US" w:eastAsia="zh-CN"/>
              </w:rPr>
            </w:pPr>
            <w:r>
              <w:rPr>
                <w:rFonts w:hint="eastAsia" w:ascii="宋体" w:hAnsi="宋体" w:eastAsia="宋体"/>
                <w:color w:val="auto"/>
                <w:sz w:val="24"/>
                <w:highlight w:val="none"/>
                <w:lang w:val="en-US" w:eastAsia="zh-CN"/>
              </w:rPr>
              <w:t>A02010107</w:t>
            </w:r>
          </w:p>
        </w:tc>
        <w:tc>
          <w:tcPr>
            <w:tcW w:w="1276" w:type="dxa"/>
            <w:vAlign w:val="center"/>
          </w:tcPr>
          <w:p w14:paraId="7189CD0D">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eastAsia="宋体"/>
                <w:color w:val="auto"/>
                <w:sz w:val="24"/>
                <w:highlight w:val="none"/>
                <w:lang w:val="en-US" w:eastAsia="zh-CN"/>
              </w:rPr>
            </w:pPr>
            <w:r>
              <w:rPr>
                <w:rFonts w:hint="eastAsia" w:ascii="宋体" w:hAnsi="宋体" w:eastAsia="宋体"/>
                <w:color w:val="auto"/>
                <w:sz w:val="24"/>
                <w:highlight w:val="none"/>
                <w:lang w:val="en-US" w:eastAsia="zh-CN"/>
              </w:rPr>
              <w:t>台</w:t>
            </w:r>
          </w:p>
        </w:tc>
        <w:tc>
          <w:tcPr>
            <w:tcW w:w="992" w:type="dxa"/>
            <w:vAlign w:val="center"/>
          </w:tcPr>
          <w:p w14:paraId="66F1E07A">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eastAsia="宋体"/>
                <w:color w:val="auto"/>
                <w:sz w:val="24"/>
                <w:highlight w:val="none"/>
                <w:lang w:val="en-US" w:eastAsia="zh-CN"/>
              </w:rPr>
            </w:pPr>
            <w:r>
              <w:rPr>
                <w:rFonts w:hint="eastAsia" w:ascii="宋体" w:hAnsi="宋体" w:eastAsia="宋体"/>
                <w:color w:val="auto"/>
                <w:sz w:val="24"/>
                <w:highlight w:val="none"/>
                <w:lang w:val="en-US" w:eastAsia="zh-CN"/>
              </w:rPr>
              <w:t>700</w:t>
            </w:r>
          </w:p>
        </w:tc>
        <w:tc>
          <w:tcPr>
            <w:tcW w:w="1687" w:type="dxa"/>
            <w:vAlign w:val="center"/>
          </w:tcPr>
          <w:p w14:paraId="5018F018">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eastAsia="宋体"/>
                <w:color w:val="auto"/>
                <w:sz w:val="24"/>
                <w:highlight w:val="none"/>
                <w:lang w:val="en-US" w:eastAsia="zh-CN"/>
              </w:rPr>
            </w:pPr>
          </w:p>
        </w:tc>
      </w:tr>
    </w:tbl>
    <w:p w14:paraId="48375AC8">
      <w:pPr>
        <w:numPr>
          <w:ilvl w:val="0"/>
          <w:numId w:val="1"/>
        </w:numPr>
        <w:spacing w:line="560" w:lineRule="exact"/>
        <w:ind w:firstLine="608" w:firstLineChars="200"/>
        <w:jc w:val="left"/>
        <w:rPr>
          <w:rFonts w:hint="eastAsia" w:ascii="楷体" w:hAnsi="楷体" w:eastAsia="楷体"/>
          <w:color w:val="auto"/>
          <w:sz w:val="32"/>
          <w:szCs w:val="32"/>
          <w:highlight w:val="none"/>
        </w:rPr>
      </w:pPr>
      <w:r>
        <w:rPr>
          <w:rFonts w:hint="eastAsia" w:ascii="楷体" w:hAnsi="楷体" w:eastAsia="楷体"/>
          <w:color w:val="auto"/>
          <w:sz w:val="32"/>
          <w:szCs w:val="32"/>
          <w:highlight w:val="none"/>
        </w:rPr>
        <w:t>技术商务要求</w:t>
      </w:r>
    </w:p>
    <w:p w14:paraId="786DBFF0">
      <w:pPr>
        <w:numPr>
          <w:ilvl w:val="0"/>
          <w:numId w:val="0"/>
        </w:numPr>
        <w:spacing w:line="560" w:lineRule="exact"/>
        <w:ind w:leftChars="200"/>
        <w:jc w:val="left"/>
        <w:rPr>
          <w:rFonts w:hint="eastAsia" w:ascii="楷体" w:hAnsi="楷体" w:eastAsia="楷体"/>
          <w:color w:val="auto"/>
          <w:sz w:val="32"/>
          <w:szCs w:val="32"/>
          <w:highlight w:val="none"/>
          <w:lang w:val="en-US" w:eastAsia="zh-CN"/>
        </w:rPr>
      </w:pPr>
      <w:r>
        <w:rPr>
          <w:rFonts w:hint="eastAsia" w:ascii="楷体" w:hAnsi="楷体" w:eastAsia="楷体"/>
          <w:color w:val="auto"/>
          <w:sz w:val="32"/>
          <w:szCs w:val="32"/>
          <w:highlight w:val="none"/>
          <w:lang w:val="en-US" w:eastAsia="zh-CN"/>
        </w:rPr>
        <w:t>包（1）</w:t>
      </w:r>
    </w:p>
    <w:tbl>
      <w:tblPr>
        <w:tblStyle w:val="18"/>
        <w:tblW w:w="546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4"/>
        <w:gridCol w:w="1234"/>
        <w:gridCol w:w="3747"/>
        <w:gridCol w:w="781"/>
        <w:gridCol w:w="973"/>
        <w:gridCol w:w="933"/>
        <w:gridCol w:w="861"/>
      </w:tblGrid>
      <w:tr w14:paraId="0ED9C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8" w:type="dxa"/>
            <w:vAlign w:val="center"/>
          </w:tcPr>
          <w:p w14:paraId="30FD3592">
            <w:pPr>
              <w:jc w:val="center"/>
              <w:rPr>
                <w:color w:val="auto"/>
                <w:szCs w:val="21"/>
                <w:highlight w:val="none"/>
              </w:rPr>
            </w:pPr>
            <w:r>
              <w:rPr>
                <w:color w:val="auto"/>
                <w:szCs w:val="21"/>
                <w:highlight w:val="none"/>
              </w:rPr>
              <w:t>序号</w:t>
            </w:r>
          </w:p>
        </w:tc>
        <w:tc>
          <w:tcPr>
            <w:tcW w:w="1307" w:type="dxa"/>
            <w:vAlign w:val="center"/>
          </w:tcPr>
          <w:p w14:paraId="5BB8729C">
            <w:pPr>
              <w:jc w:val="center"/>
              <w:rPr>
                <w:rFonts w:hint="eastAsia"/>
                <w:color w:val="auto"/>
                <w:szCs w:val="21"/>
                <w:highlight w:val="none"/>
              </w:rPr>
            </w:pPr>
            <w:r>
              <w:rPr>
                <w:rFonts w:hint="eastAsia"/>
                <w:color w:val="auto"/>
                <w:szCs w:val="21"/>
                <w:highlight w:val="none"/>
              </w:rPr>
              <w:t>标的</w:t>
            </w:r>
            <w:r>
              <w:rPr>
                <w:color w:val="auto"/>
                <w:szCs w:val="21"/>
                <w:highlight w:val="none"/>
              </w:rPr>
              <w:t>名称</w:t>
            </w:r>
          </w:p>
        </w:tc>
        <w:tc>
          <w:tcPr>
            <w:tcW w:w="4054" w:type="dxa"/>
            <w:vAlign w:val="center"/>
          </w:tcPr>
          <w:p w14:paraId="18C7D0C1">
            <w:pPr>
              <w:jc w:val="center"/>
              <w:rPr>
                <w:color w:val="auto"/>
                <w:szCs w:val="21"/>
                <w:highlight w:val="none"/>
              </w:rPr>
            </w:pPr>
            <w:r>
              <w:rPr>
                <w:color w:val="auto"/>
                <w:szCs w:val="21"/>
                <w:highlight w:val="none"/>
              </w:rPr>
              <w:t>技术要求</w:t>
            </w:r>
          </w:p>
        </w:tc>
        <w:tc>
          <w:tcPr>
            <w:tcW w:w="815" w:type="dxa"/>
            <w:vAlign w:val="center"/>
          </w:tcPr>
          <w:p w14:paraId="40B5E567">
            <w:pPr>
              <w:jc w:val="center"/>
              <w:rPr>
                <w:color w:val="auto"/>
                <w:szCs w:val="21"/>
                <w:highlight w:val="none"/>
              </w:rPr>
            </w:pPr>
            <w:r>
              <w:rPr>
                <w:color w:val="auto"/>
                <w:szCs w:val="21"/>
                <w:highlight w:val="none"/>
              </w:rPr>
              <w:t>单位</w:t>
            </w:r>
          </w:p>
        </w:tc>
        <w:tc>
          <w:tcPr>
            <w:tcW w:w="1016" w:type="dxa"/>
            <w:vAlign w:val="center"/>
          </w:tcPr>
          <w:p w14:paraId="0DE2478E">
            <w:pPr>
              <w:jc w:val="center"/>
              <w:rPr>
                <w:color w:val="auto"/>
                <w:szCs w:val="21"/>
                <w:highlight w:val="none"/>
              </w:rPr>
            </w:pPr>
            <w:r>
              <w:rPr>
                <w:color w:val="auto"/>
                <w:szCs w:val="21"/>
                <w:highlight w:val="none"/>
              </w:rPr>
              <w:t>数量</w:t>
            </w:r>
          </w:p>
        </w:tc>
        <w:tc>
          <w:tcPr>
            <w:tcW w:w="981" w:type="dxa"/>
            <w:vAlign w:val="center"/>
          </w:tcPr>
          <w:p w14:paraId="14F4A26F">
            <w:pPr>
              <w:jc w:val="center"/>
              <w:rPr>
                <w:color w:val="auto"/>
                <w:szCs w:val="21"/>
                <w:highlight w:val="none"/>
              </w:rPr>
            </w:pPr>
            <w:r>
              <w:rPr>
                <w:color w:val="auto"/>
                <w:szCs w:val="21"/>
                <w:highlight w:val="none"/>
              </w:rPr>
              <w:t>是否属于现行节能产品政府采购清单强制采购范围</w:t>
            </w:r>
          </w:p>
        </w:tc>
        <w:tc>
          <w:tcPr>
            <w:tcW w:w="903" w:type="dxa"/>
            <w:vAlign w:val="center"/>
          </w:tcPr>
          <w:p w14:paraId="7061CF09">
            <w:pPr>
              <w:jc w:val="center"/>
              <w:rPr>
                <w:color w:val="auto"/>
                <w:szCs w:val="21"/>
                <w:highlight w:val="none"/>
              </w:rPr>
            </w:pPr>
            <w:r>
              <w:rPr>
                <w:color w:val="auto"/>
                <w:szCs w:val="21"/>
                <w:highlight w:val="none"/>
              </w:rPr>
              <w:t>是否属于集采目录内产品</w:t>
            </w:r>
          </w:p>
        </w:tc>
      </w:tr>
      <w:tr w14:paraId="7BF14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jc w:val="center"/>
        </w:trPr>
        <w:tc>
          <w:tcPr>
            <w:tcW w:w="818" w:type="dxa"/>
            <w:vAlign w:val="center"/>
          </w:tcPr>
          <w:p w14:paraId="63B700DB">
            <w:pPr>
              <w:jc w:val="center"/>
              <w:rPr>
                <w:color w:val="auto"/>
                <w:szCs w:val="21"/>
                <w:highlight w:val="none"/>
              </w:rPr>
            </w:pPr>
            <w:r>
              <w:rPr>
                <w:color w:val="auto"/>
                <w:szCs w:val="21"/>
                <w:highlight w:val="none"/>
              </w:rPr>
              <w:t>1</w:t>
            </w:r>
          </w:p>
        </w:tc>
        <w:tc>
          <w:tcPr>
            <w:tcW w:w="1307" w:type="dxa"/>
            <w:vAlign w:val="center"/>
          </w:tcPr>
          <w:p w14:paraId="0BAF02E9">
            <w:pPr>
              <w:rPr>
                <w:rFonts w:hint="eastAsia"/>
                <w:color w:val="auto"/>
                <w:sz w:val="24"/>
                <w:highlight w:val="none"/>
              </w:rPr>
            </w:pPr>
            <w:r>
              <w:rPr>
                <w:rFonts w:hint="eastAsia"/>
                <w:color w:val="auto"/>
                <w:sz w:val="24"/>
                <w:highlight w:val="none"/>
              </w:rPr>
              <w:t>▲</w:t>
            </w:r>
            <w:r>
              <w:rPr>
                <w:rFonts w:hint="eastAsia"/>
                <w:sz w:val="24"/>
                <w:highlight w:val="none"/>
              </w:rPr>
              <w:t>■</w:t>
            </w:r>
            <w:r>
              <w:rPr>
                <w:rFonts w:hint="eastAsia" w:ascii="宋体" w:hAnsi="宋体"/>
                <w:color w:val="auto"/>
                <w:sz w:val="24"/>
                <w:highlight w:val="none"/>
                <w:lang w:val="en-US" w:eastAsia="zh-CN"/>
              </w:rPr>
              <w:t>工作站</w:t>
            </w:r>
          </w:p>
        </w:tc>
        <w:tc>
          <w:tcPr>
            <w:tcW w:w="4054" w:type="dxa"/>
            <w:vAlign w:val="center"/>
          </w:tcPr>
          <w:p w14:paraId="32F56C1B">
            <w:pPr>
              <w:jc w:val="center"/>
              <w:rPr>
                <w:rFonts w:hint="eastAsia"/>
                <w:color w:val="auto"/>
                <w:szCs w:val="21"/>
                <w:highlight w:val="none"/>
              </w:rPr>
            </w:pPr>
            <w:r>
              <w:rPr>
                <w:rFonts w:hint="eastAsia"/>
                <w:color w:val="auto"/>
                <w:szCs w:val="21"/>
                <w:highlight w:val="none"/>
              </w:rPr>
              <w:t>见下表1</w:t>
            </w:r>
          </w:p>
        </w:tc>
        <w:tc>
          <w:tcPr>
            <w:tcW w:w="815" w:type="dxa"/>
            <w:vAlign w:val="center"/>
          </w:tcPr>
          <w:p w14:paraId="4B35B7FD">
            <w:pPr>
              <w:jc w:val="center"/>
              <w:rPr>
                <w:rFonts w:hint="eastAsia"/>
                <w:color w:val="auto"/>
                <w:szCs w:val="21"/>
                <w:highlight w:val="none"/>
              </w:rPr>
            </w:pPr>
            <w:r>
              <w:rPr>
                <w:rFonts w:hint="eastAsia"/>
                <w:color w:val="auto"/>
                <w:szCs w:val="21"/>
                <w:highlight w:val="none"/>
              </w:rPr>
              <w:t>台</w:t>
            </w:r>
          </w:p>
        </w:tc>
        <w:tc>
          <w:tcPr>
            <w:tcW w:w="1016" w:type="dxa"/>
            <w:vAlign w:val="center"/>
          </w:tcPr>
          <w:p w14:paraId="32DB62AB">
            <w:pPr>
              <w:jc w:val="center"/>
              <w:rPr>
                <w:rFonts w:hint="eastAsia"/>
                <w:color w:val="auto"/>
                <w:szCs w:val="21"/>
                <w:highlight w:val="none"/>
                <w:lang w:val="en-US" w:eastAsia="zh-CN"/>
              </w:rPr>
            </w:pPr>
            <w:r>
              <w:rPr>
                <w:rFonts w:hint="eastAsia"/>
                <w:color w:val="auto"/>
                <w:szCs w:val="21"/>
                <w:highlight w:val="none"/>
                <w:lang w:val="en-US" w:eastAsia="zh-CN"/>
              </w:rPr>
              <w:t>700</w:t>
            </w:r>
          </w:p>
        </w:tc>
        <w:tc>
          <w:tcPr>
            <w:tcW w:w="981" w:type="dxa"/>
            <w:vAlign w:val="center"/>
          </w:tcPr>
          <w:p w14:paraId="37FE708C">
            <w:pPr>
              <w:jc w:val="center"/>
              <w:rPr>
                <w:rFonts w:hint="eastAsia"/>
                <w:color w:val="auto"/>
                <w:szCs w:val="21"/>
                <w:highlight w:val="none"/>
              </w:rPr>
            </w:pPr>
            <w:r>
              <w:rPr>
                <w:rFonts w:hint="eastAsia"/>
                <w:color w:val="auto"/>
                <w:szCs w:val="21"/>
                <w:highlight w:val="none"/>
              </w:rPr>
              <w:t>是</w:t>
            </w:r>
          </w:p>
        </w:tc>
        <w:tc>
          <w:tcPr>
            <w:tcW w:w="903" w:type="dxa"/>
            <w:vAlign w:val="center"/>
          </w:tcPr>
          <w:p w14:paraId="66F9A30C">
            <w:pPr>
              <w:jc w:val="center"/>
              <w:rPr>
                <w:rFonts w:hint="eastAsia"/>
                <w:color w:val="auto"/>
                <w:szCs w:val="21"/>
                <w:highlight w:val="none"/>
              </w:rPr>
            </w:pPr>
            <w:r>
              <w:rPr>
                <w:rFonts w:hint="eastAsia"/>
                <w:color w:val="auto"/>
                <w:szCs w:val="21"/>
                <w:highlight w:val="none"/>
              </w:rPr>
              <w:t>是</w:t>
            </w:r>
          </w:p>
        </w:tc>
      </w:tr>
    </w:tbl>
    <w:p w14:paraId="61C79BE8">
      <w:pPr>
        <w:spacing w:before="240" w:line="600" w:lineRule="exact"/>
        <w:jc w:val="center"/>
        <w:rPr>
          <w:rFonts w:hint="eastAsia" w:ascii="宋体" w:hAnsi="宋体"/>
          <w:b/>
          <w:color w:val="auto"/>
          <w:sz w:val="28"/>
          <w:szCs w:val="28"/>
          <w:highlight w:val="none"/>
          <w:lang w:val="en-US" w:eastAsia="zh-CN"/>
        </w:rPr>
      </w:pPr>
      <w:r>
        <w:rPr>
          <w:rFonts w:hint="eastAsia" w:ascii="宋体" w:hAnsi="宋体"/>
          <w:b/>
          <w:color w:val="auto"/>
          <w:sz w:val="28"/>
          <w:szCs w:val="28"/>
          <w:highlight w:val="none"/>
        </w:rPr>
        <w:t>表1：</w:t>
      </w:r>
      <w:r>
        <w:rPr>
          <w:rFonts w:hint="eastAsia" w:ascii="宋体" w:hAnsi="宋体"/>
          <w:b/>
          <w:color w:val="auto"/>
          <w:sz w:val="28"/>
          <w:szCs w:val="28"/>
          <w:highlight w:val="none"/>
          <w:lang w:val="en-US" w:eastAsia="zh-CN"/>
        </w:rPr>
        <w:t>工作站</w:t>
      </w:r>
    </w:p>
    <w:tbl>
      <w:tblPr>
        <w:tblStyle w:val="18"/>
        <w:tblW w:w="5442" w:type="pct"/>
        <w:jc w:val="center"/>
        <w:tblLayout w:type="autofit"/>
        <w:tblCellMar>
          <w:top w:w="0" w:type="dxa"/>
          <w:left w:w="108" w:type="dxa"/>
          <w:bottom w:w="0" w:type="dxa"/>
          <w:right w:w="108" w:type="dxa"/>
        </w:tblCellMar>
      </w:tblPr>
      <w:tblGrid>
        <w:gridCol w:w="713"/>
        <w:gridCol w:w="1133"/>
        <w:gridCol w:w="1276"/>
        <w:gridCol w:w="2125"/>
        <w:gridCol w:w="4035"/>
      </w:tblGrid>
      <w:tr w14:paraId="10FC5F18">
        <w:tblPrEx>
          <w:tblCellMar>
            <w:top w:w="0" w:type="dxa"/>
            <w:left w:w="108" w:type="dxa"/>
            <w:bottom w:w="0" w:type="dxa"/>
            <w:right w:w="108" w:type="dxa"/>
          </w:tblCellMar>
        </w:tblPrEx>
        <w:trPr>
          <w:trHeight w:val="385" w:hRule="atLeast"/>
          <w:tblHeader/>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8B0C6">
            <w:pPr>
              <w:widowControl/>
              <w:jc w:val="center"/>
              <w:textAlignment w:val="center"/>
              <w:rPr>
                <w:rFonts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序号</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FC7C2">
            <w:pPr>
              <w:widowControl/>
              <w:jc w:val="center"/>
              <w:textAlignment w:val="center"/>
              <w:rPr>
                <w:rFonts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指标分类</w:t>
            </w:r>
          </w:p>
        </w:tc>
        <w:tc>
          <w:tcPr>
            <w:tcW w:w="6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C3C705">
            <w:pPr>
              <w:widowControl/>
              <w:jc w:val="center"/>
              <w:textAlignment w:val="center"/>
              <w:rPr>
                <w:rFonts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一级指标</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834EB">
            <w:pPr>
              <w:widowControl/>
              <w:jc w:val="center"/>
              <w:textAlignment w:val="center"/>
              <w:rPr>
                <w:rFonts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二级指标</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8B7057">
            <w:pPr>
              <w:widowControl/>
              <w:jc w:val="center"/>
              <w:textAlignment w:val="center"/>
              <w:rPr>
                <w:rFonts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采购人技术要求</w:t>
            </w:r>
          </w:p>
        </w:tc>
      </w:tr>
      <w:tr w14:paraId="4BA6BBA5">
        <w:tblPrEx>
          <w:tblCellMar>
            <w:top w:w="0" w:type="dxa"/>
            <w:left w:w="108" w:type="dxa"/>
            <w:bottom w:w="0" w:type="dxa"/>
            <w:right w:w="108" w:type="dxa"/>
          </w:tblCellMar>
        </w:tblPrEx>
        <w:trPr>
          <w:trHeight w:val="1125"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E3F8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4A78D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D14AA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CPU规格</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A6ED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★CPU信息</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07155">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处理器要求：内核数≥14；（性能核）数≥6；（能效核）数≥8；总线程数≥</w:t>
            </w:r>
            <w:r>
              <w:rPr>
                <w:rFonts w:hint="eastAsia" w:ascii="宋体" w:hAnsi="宋体" w:cs="宋体"/>
                <w:strike w:val="0"/>
                <w:dstrike w:val="0"/>
                <w:color w:val="auto"/>
                <w:kern w:val="0"/>
                <w:sz w:val="18"/>
                <w:szCs w:val="18"/>
                <w:highlight w:val="none"/>
                <w:lang w:val="en-US" w:eastAsia="zh-CN" w:bidi="ar"/>
              </w:rPr>
              <w:t xml:space="preserve">14  </w:t>
            </w:r>
            <w:r>
              <w:rPr>
                <w:rFonts w:hint="eastAsia" w:ascii="宋体" w:hAnsi="宋体" w:cs="宋体"/>
                <w:color w:val="auto"/>
                <w:kern w:val="0"/>
                <w:sz w:val="18"/>
                <w:szCs w:val="18"/>
                <w:highlight w:val="none"/>
                <w:lang w:bidi="ar"/>
              </w:rPr>
              <w:t>；（性能核）最大睿频频率≥5 GHz；（能效核）最大睿频频率≥3.7 GHz；（性能核）基本频率≥2.6 GHz；（能效核）基本频率≥1.9 GHz；</w:t>
            </w:r>
            <w:r>
              <w:rPr>
                <w:rFonts w:hint="eastAsia" w:ascii="宋体" w:hAnsi="宋体" w:cs="宋体"/>
                <w:color w:val="auto"/>
                <w:kern w:val="0"/>
                <w:sz w:val="18"/>
                <w:szCs w:val="18"/>
                <w:highlight w:val="none"/>
                <w:lang w:val="en-US" w:eastAsia="zh-CN" w:bidi="ar"/>
              </w:rPr>
              <w:t>三级</w:t>
            </w:r>
            <w:r>
              <w:rPr>
                <w:rFonts w:hint="eastAsia" w:ascii="宋体" w:hAnsi="宋体" w:cs="宋体"/>
                <w:color w:val="auto"/>
                <w:kern w:val="0"/>
                <w:sz w:val="18"/>
                <w:szCs w:val="18"/>
                <w:highlight w:val="none"/>
                <w:lang w:bidi="ar"/>
              </w:rPr>
              <w:t>缓存≥24 MB；二级高速缓存总容量≥11.5 MB；处理器基础功耗</w:t>
            </w:r>
            <w:r>
              <w:rPr>
                <w:rFonts w:hint="default" w:ascii="Arial" w:hAnsi="Arial" w:cs="Arial"/>
                <w:strike w:val="0"/>
                <w:dstrike w:val="0"/>
                <w:color w:val="auto"/>
                <w:kern w:val="0"/>
                <w:sz w:val="18"/>
                <w:szCs w:val="18"/>
                <w:highlight w:val="none"/>
                <w:lang w:val="en-US" w:eastAsia="zh-CN" w:bidi="ar"/>
              </w:rPr>
              <w:t>≤</w:t>
            </w:r>
            <w:r>
              <w:rPr>
                <w:rFonts w:hint="eastAsia" w:ascii="宋体" w:hAnsi="宋体" w:cs="宋体"/>
                <w:strike w:val="0"/>
                <w:dstrike w:val="0"/>
                <w:color w:val="auto"/>
                <w:kern w:val="0"/>
                <w:sz w:val="18"/>
                <w:szCs w:val="18"/>
                <w:highlight w:val="none"/>
                <w:lang w:val="en-US" w:eastAsia="zh-CN" w:bidi="ar"/>
              </w:rPr>
              <w:t xml:space="preserve"> </w:t>
            </w:r>
            <w:r>
              <w:rPr>
                <w:rFonts w:hint="eastAsia" w:ascii="宋体" w:hAnsi="宋体" w:cs="宋体"/>
                <w:color w:val="auto"/>
                <w:kern w:val="0"/>
                <w:sz w:val="18"/>
                <w:szCs w:val="18"/>
                <w:highlight w:val="none"/>
                <w:lang w:bidi="ar"/>
              </w:rPr>
              <w:t>65 W；最大睿频功耗</w:t>
            </w:r>
            <w:r>
              <w:rPr>
                <w:rFonts w:hint="default" w:ascii="Arial" w:hAnsi="Arial" w:cs="Arial"/>
                <w:strike w:val="0"/>
                <w:dstrike w:val="0"/>
                <w:color w:val="auto"/>
                <w:kern w:val="0"/>
                <w:sz w:val="18"/>
                <w:szCs w:val="18"/>
                <w:highlight w:val="none"/>
                <w:lang w:val="en-US" w:eastAsia="zh-CN" w:bidi="ar"/>
              </w:rPr>
              <w:t>≤</w:t>
            </w:r>
            <w:r>
              <w:rPr>
                <w:rFonts w:hint="eastAsia" w:ascii="宋体" w:hAnsi="宋体" w:cs="宋体"/>
                <w:color w:val="auto"/>
                <w:kern w:val="0"/>
                <w:sz w:val="18"/>
                <w:szCs w:val="18"/>
                <w:highlight w:val="none"/>
                <w:lang w:bidi="ar"/>
              </w:rPr>
              <w:t>154 W</w:t>
            </w:r>
          </w:p>
        </w:tc>
      </w:tr>
      <w:tr w14:paraId="1C1D67C3">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879F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6B0EA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E9A54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内存规格</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1C722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★内存配置容量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998AA">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≥16GB，单根</w:t>
            </w:r>
          </w:p>
        </w:tc>
      </w:tr>
      <w:tr w14:paraId="1AF3016F">
        <w:tblPrEx>
          <w:tblCellMar>
            <w:top w:w="0" w:type="dxa"/>
            <w:left w:w="108" w:type="dxa"/>
            <w:bottom w:w="0" w:type="dxa"/>
            <w:right w:w="108" w:type="dxa"/>
          </w:tblCellMar>
        </w:tblPrEx>
        <w:trPr>
          <w:trHeight w:val="9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6429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83306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5365E7">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D6EEE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★内存类型</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C4FB8">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产品支持DDR5或以上</w:t>
            </w:r>
          </w:p>
        </w:tc>
      </w:tr>
      <w:tr w14:paraId="45C88543">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A7BF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DC2C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DD3B1A">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05C50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★内存条配置数量（板载内存不涉及）</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91C44">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w:t>
            </w:r>
          </w:p>
        </w:tc>
      </w:tr>
      <w:tr w14:paraId="650010BE">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928C8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3DC19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253C2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主板规格</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F28D7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★主板集成模块</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F9FDC">
            <w:pPr>
              <w:widowControl/>
              <w:jc w:val="left"/>
              <w:textAlignment w:val="center"/>
              <w:rPr>
                <w:rFonts w:hint="default" w:ascii="宋体" w:hAnsi="宋体" w:eastAsia="宋体" w:cs="宋体"/>
                <w:color w:val="auto"/>
                <w:sz w:val="18"/>
                <w:szCs w:val="18"/>
                <w:highlight w:val="none"/>
                <w:lang w:val="en-US" w:eastAsia="zh-CN"/>
              </w:rPr>
            </w:pPr>
            <w:r>
              <w:rPr>
                <w:rFonts w:hint="eastAsia" w:ascii="宋体" w:hAnsi="宋体" w:cs="宋体"/>
                <w:color w:val="auto"/>
                <w:kern w:val="0"/>
                <w:sz w:val="18"/>
                <w:szCs w:val="18"/>
                <w:highlight w:val="none"/>
                <w:lang w:bidi="ar"/>
              </w:rPr>
              <w:t>≥Q670芯片组</w:t>
            </w:r>
            <w:r>
              <w:rPr>
                <w:rFonts w:hint="eastAsia" w:ascii="宋体" w:hAnsi="宋体" w:cs="宋体"/>
                <w:color w:val="auto"/>
                <w:kern w:val="0"/>
                <w:sz w:val="18"/>
                <w:szCs w:val="18"/>
                <w:highlight w:val="none"/>
                <w:lang w:val="en-US" w:eastAsia="zh-CN" w:bidi="ar"/>
              </w:rPr>
              <w:t>或800系列芯片组</w:t>
            </w:r>
          </w:p>
        </w:tc>
      </w:tr>
      <w:tr w14:paraId="496A8FC0">
        <w:tblPrEx>
          <w:tblCellMar>
            <w:top w:w="0" w:type="dxa"/>
            <w:left w:w="108" w:type="dxa"/>
            <w:bottom w:w="0" w:type="dxa"/>
            <w:right w:w="108" w:type="dxa"/>
          </w:tblCellMar>
        </w:tblPrEx>
        <w:trPr>
          <w:trHeight w:val="702"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DF7D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9918E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E70D5F">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53F9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★主板支持的CPU和内存情况</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99C81">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主板支持的CPU型号至少为X86架构 14代CPU，数量为1，支持的内存为</w:t>
            </w:r>
            <w:r>
              <w:rPr>
                <w:rFonts w:hint="eastAsia" w:ascii="宋体" w:hAnsi="宋体" w:cs="宋体"/>
                <w:color w:val="auto"/>
                <w:kern w:val="0"/>
                <w:sz w:val="18"/>
                <w:szCs w:val="18"/>
                <w:highlight w:val="none"/>
                <w:lang w:val="en-US" w:eastAsia="zh-CN" w:bidi="ar"/>
              </w:rPr>
              <w:t>至少2</w:t>
            </w:r>
            <w:r>
              <w:rPr>
                <w:rFonts w:hint="eastAsia" w:ascii="宋体" w:hAnsi="宋体" w:cs="宋体"/>
                <w:color w:val="auto"/>
                <w:kern w:val="0"/>
                <w:sz w:val="18"/>
                <w:szCs w:val="18"/>
                <w:highlight w:val="none"/>
                <w:lang w:bidi="ar"/>
              </w:rPr>
              <w:t>个DDR5内存</w:t>
            </w:r>
          </w:p>
        </w:tc>
      </w:tr>
      <w:tr w14:paraId="7D286CB4">
        <w:tblPrEx>
          <w:tblCellMar>
            <w:top w:w="0" w:type="dxa"/>
            <w:left w:w="108" w:type="dxa"/>
            <w:bottom w:w="0" w:type="dxa"/>
            <w:right w:w="108" w:type="dxa"/>
          </w:tblCellMar>
        </w:tblPrEx>
        <w:trPr>
          <w:trHeight w:val="714"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B3FA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E32F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30D5F1">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C170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主板内置PCIe插槽数量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37ADB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支持的PCIE插槽数量不少于</w:t>
            </w:r>
            <w:r>
              <w:rPr>
                <w:rFonts w:hint="eastAsia" w:ascii="宋体" w:hAnsi="宋体" w:cs="宋体"/>
                <w:color w:val="auto"/>
                <w:kern w:val="0"/>
                <w:sz w:val="18"/>
                <w:szCs w:val="18"/>
                <w:highlight w:val="none"/>
                <w:lang w:val="en-US" w:eastAsia="zh-CN" w:bidi="ar"/>
              </w:rPr>
              <w:t>3</w:t>
            </w:r>
            <w:r>
              <w:rPr>
                <w:rFonts w:hint="eastAsia" w:ascii="宋体" w:hAnsi="宋体" w:cs="宋体"/>
                <w:color w:val="auto"/>
                <w:kern w:val="0"/>
                <w:sz w:val="18"/>
                <w:szCs w:val="18"/>
                <w:highlight w:val="none"/>
                <w:lang w:bidi="ar"/>
              </w:rPr>
              <w:t>个，其中PCIe 16x≥</w:t>
            </w:r>
            <w:r>
              <w:rPr>
                <w:rFonts w:hint="eastAsia" w:ascii="宋体" w:hAnsi="宋体" w:cs="宋体"/>
                <w:strike w:val="0"/>
                <w:dstrike w:val="0"/>
                <w:color w:val="auto"/>
                <w:kern w:val="0"/>
                <w:sz w:val="18"/>
                <w:szCs w:val="18"/>
                <w:highlight w:val="none"/>
                <w:lang w:val="en-US" w:eastAsia="zh-CN" w:bidi="ar"/>
              </w:rPr>
              <w:t xml:space="preserve"> 1</w:t>
            </w:r>
            <w:r>
              <w:rPr>
                <w:rFonts w:hint="eastAsia" w:ascii="宋体" w:hAnsi="宋体" w:cs="宋体"/>
                <w:color w:val="auto"/>
                <w:kern w:val="0"/>
                <w:sz w:val="18"/>
                <w:szCs w:val="18"/>
                <w:highlight w:val="none"/>
                <w:lang w:bidi="ar"/>
              </w:rPr>
              <w:t>，PCIe 1x≥2个</w:t>
            </w:r>
          </w:p>
        </w:tc>
      </w:tr>
      <w:tr w14:paraId="1021F4B1">
        <w:tblPrEx>
          <w:tblCellMar>
            <w:top w:w="0" w:type="dxa"/>
            <w:left w:w="108" w:type="dxa"/>
            <w:bottom w:w="0" w:type="dxa"/>
            <w:right w:w="108" w:type="dxa"/>
          </w:tblCellMar>
        </w:tblPrEx>
        <w:trPr>
          <w:trHeight w:val="464"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D763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DDA8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E2615A">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B0AB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特殊孔位及接口</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C4212">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0810EDB5">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F56FE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343B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F5A4EF">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5DC33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★主板其他内置接口</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C02EB">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≥2个M.2接口(至少2个M.2固态硬盘接口)，≥</w:t>
            </w:r>
            <w:r>
              <w:rPr>
                <w:rFonts w:hint="eastAsia" w:ascii="宋体" w:hAnsi="宋体" w:cs="宋体"/>
                <w:strike w:val="0"/>
                <w:dstrike w:val="0"/>
                <w:color w:val="auto"/>
                <w:kern w:val="0"/>
                <w:sz w:val="18"/>
                <w:szCs w:val="18"/>
                <w:highlight w:val="none"/>
                <w:lang w:val="en-US" w:eastAsia="zh-CN" w:bidi="ar"/>
              </w:rPr>
              <w:t xml:space="preserve"> 4</w:t>
            </w:r>
            <w:r>
              <w:rPr>
                <w:rFonts w:hint="eastAsia" w:ascii="宋体" w:hAnsi="宋体" w:cs="宋体"/>
                <w:color w:val="auto"/>
                <w:kern w:val="0"/>
                <w:sz w:val="18"/>
                <w:szCs w:val="18"/>
                <w:highlight w:val="none"/>
                <w:lang w:bidi="ar"/>
              </w:rPr>
              <w:t>个USB 3.2接口（其中前置≥1个USB 3.2 Gen 2 Type-C接口）</w:t>
            </w:r>
          </w:p>
        </w:tc>
      </w:tr>
      <w:tr w14:paraId="1D4FEE42">
        <w:tblPrEx>
          <w:tblCellMar>
            <w:top w:w="0" w:type="dxa"/>
            <w:left w:w="108" w:type="dxa"/>
            <w:bottom w:w="0" w:type="dxa"/>
            <w:right w:w="108" w:type="dxa"/>
          </w:tblCellMar>
        </w:tblPrEx>
        <w:trPr>
          <w:trHeight w:val="675"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A1BA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BC79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849856">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80A9B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★单内存插槽最大可支持容量（板载内存不涉及）</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2A95DB">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≥32GB</w:t>
            </w:r>
          </w:p>
        </w:tc>
      </w:tr>
      <w:tr w14:paraId="0D3B1F4B">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837E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F2489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B9494D">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7E6A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★内存插槽满配时提供的最高内存总容量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E70E7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w:t>
            </w:r>
            <w:r>
              <w:rPr>
                <w:rFonts w:hint="eastAsia" w:ascii="宋体" w:hAnsi="宋体" w:cs="宋体"/>
                <w:strike w:val="0"/>
                <w:dstrike w:val="0"/>
                <w:color w:val="auto"/>
                <w:kern w:val="0"/>
                <w:sz w:val="18"/>
                <w:szCs w:val="18"/>
                <w:highlight w:val="none"/>
                <w:lang w:val="en-US" w:eastAsia="zh-CN" w:bidi="ar"/>
              </w:rPr>
              <w:t>64</w:t>
            </w:r>
            <w:r>
              <w:rPr>
                <w:rFonts w:hint="eastAsia" w:ascii="宋体" w:hAnsi="宋体" w:cs="宋体"/>
                <w:strike w:val="0"/>
                <w:color w:val="auto"/>
                <w:kern w:val="0"/>
                <w:sz w:val="18"/>
                <w:szCs w:val="18"/>
                <w:highlight w:val="none"/>
                <w:lang w:val="en-US" w:eastAsia="zh-CN" w:bidi="ar"/>
              </w:rPr>
              <w:t xml:space="preserve">  </w:t>
            </w:r>
            <w:r>
              <w:rPr>
                <w:rFonts w:hint="eastAsia" w:ascii="宋体" w:hAnsi="宋体" w:cs="宋体"/>
                <w:color w:val="auto"/>
                <w:kern w:val="0"/>
                <w:sz w:val="18"/>
                <w:szCs w:val="18"/>
                <w:highlight w:val="none"/>
                <w:lang w:bidi="ar"/>
              </w:rPr>
              <w:t>GB</w:t>
            </w:r>
          </w:p>
        </w:tc>
      </w:tr>
      <w:tr w14:paraId="0176222F">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4F3A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F48D2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A331D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存储设备规格</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DCBE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★固态盘数量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D054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≥1个</w:t>
            </w:r>
          </w:p>
        </w:tc>
      </w:tr>
      <w:tr w14:paraId="6DB545A9">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2E80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263FC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FDBC8F">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80219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★固态存储容量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33D8B">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≥1TB</w:t>
            </w:r>
          </w:p>
        </w:tc>
      </w:tr>
      <w:tr w14:paraId="113A5508">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FCA8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7913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5D82D8">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6B33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★机械硬盘数量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253BED">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11F71324">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6BEE6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32109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A7F162">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8BE8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★机械硬盘总容量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1301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1BCB8D3F">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46FB0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6BEB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999887">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E81E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★机械硬盘转速</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64E51">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76477149">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AF9B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3F473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AFE50C">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4919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机械硬盘接口协议</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3CBD4">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624BF129">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CF8E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701F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B833F0">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E69B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★机械硬盘形态</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E4B25">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695C8161">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7D2E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7A3C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35F598">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B80BC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固态存储接口协议</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4DE6D">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SATA、PCIe、NVMe等类型接口协议</w:t>
            </w:r>
          </w:p>
        </w:tc>
      </w:tr>
      <w:tr w14:paraId="06DD25E4">
        <w:tblPrEx>
          <w:tblCellMar>
            <w:top w:w="0" w:type="dxa"/>
            <w:left w:w="108" w:type="dxa"/>
            <w:bottom w:w="0" w:type="dxa"/>
            <w:right w:w="108" w:type="dxa"/>
          </w:tblCellMar>
        </w:tblPrEx>
        <w:trPr>
          <w:trHeight w:val="68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51826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EAB4D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F52651">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F6B78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★固态存储形态</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6E6F6">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采用插卡或板载等形态，可选用符合M.2或2.5寸 SATA或mSATA等标准的插卡形态</w:t>
            </w:r>
          </w:p>
        </w:tc>
      </w:tr>
      <w:tr w14:paraId="46D4E7FF">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755B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571B6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006A0B">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8799E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存储设备扩展盘位</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099FFB">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≥1个M.2固态硬盘扩展接口，≥2个3.5寸硬盘扩展槽位</w:t>
            </w:r>
          </w:p>
        </w:tc>
      </w:tr>
      <w:tr w14:paraId="7FBE7926">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FF5A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6439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C43D4B">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05BD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★存储设备其他参数要求</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5B966">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4CB0C630">
        <w:tblPrEx>
          <w:tblCellMar>
            <w:top w:w="0" w:type="dxa"/>
            <w:left w:w="108" w:type="dxa"/>
            <w:bottom w:w="0" w:type="dxa"/>
            <w:right w:w="108" w:type="dxa"/>
          </w:tblCellMar>
        </w:tblPrEx>
        <w:trPr>
          <w:trHeight w:val="391"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3E34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FFB5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3C72E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显卡规格</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A779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★显卡类型</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8AA76">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独立显卡</w:t>
            </w:r>
          </w:p>
        </w:tc>
      </w:tr>
      <w:tr w14:paraId="071E96F2">
        <w:tblPrEx>
          <w:tblCellMar>
            <w:top w:w="0" w:type="dxa"/>
            <w:left w:w="108" w:type="dxa"/>
            <w:bottom w:w="0" w:type="dxa"/>
            <w:right w:w="108" w:type="dxa"/>
          </w:tblCellMar>
        </w:tblPrEx>
        <w:trPr>
          <w:trHeight w:val="427"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B895F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1E5D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CCCA4D">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F85BC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★独立显卡显存类型</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9B33F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GDDR6及以上</w:t>
            </w:r>
          </w:p>
        </w:tc>
      </w:tr>
      <w:tr w14:paraId="4ABBA623">
        <w:tblPrEx>
          <w:tblCellMar>
            <w:top w:w="0" w:type="dxa"/>
            <w:left w:w="108" w:type="dxa"/>
            <w:bottom w:w="0" w:type="dxa"/>
            <w:right w:w="108" w:type="dxa"/>
          </w:tblCellMar>
        </w:tblPrEx>
        <w:trPr>
          <w:trHeight w:val="558"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E375D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F9AC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C1E911">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6BB1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★独立显卡显存位宽</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06368">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显存位宽≥128bit，带宽≥224GB/s，CUDA核心数≥2560个</w:t>
            </w:r>
          </w:p>
        </w:tc>
      </w:tr>
      <w:tr w14:paraId="3DE691B0">
        <w:tblPrEx>
          <w:tblCellMar>
            <w:top w:w="0" w:type="dxa"/>
            <w:left w:w="108" w:type="dxa"/>
            <w:bottom w:w="0" w:type="dxa"/>
            <w:right w:w="108" w:type="dxa"/>
          </w:tblCellMar>
        </w:tblPrEx>
        <w:trPr>
          <w:trHeight w:val="34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F3DC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20C0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F6E03E">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E84FF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★独立显卡显存容量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34619">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显存≥8GB</w:t>
            </w:r>
          </w:p>
        </w:tc>
      </w:tr>
      <w:tr w14:paraId="7D7AF604">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4B456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E9083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A2C9D7">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C98A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独立显卡接口协议</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13FDA">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独立显卡接口协议≥PCIe 3.0</w:t>
            </w:r>
          </w:p>
        </w:tc>
      </w:tr>
      <w:tr w14:paraId="413F0F00">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9F847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940E9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24E36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显示设备规格</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A167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★显示屏屏占比</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07489">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≥80%</w:t>
            </w:r>
          </w:p>
        </w:tc>
      </w:tr>
      <w:tr w14:paraId="43F893D5">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B33E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4712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287148">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8D8B8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★显示屏分辨率</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F69F0">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≥1920x1080</w:t>
            </w:r>
          </w:p>
        </w:tc>
      </w:tr>
      <w:tr w14:paraId="55C9EFD3">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8022F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30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DC71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8F2F8F">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36E68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显示屏像素密度</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166E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79850DBA">
        <w:tblPrEx>
          <w:tblCellMar>
            <w:top w:w="0" w:type="dxa"/>
            <w:left w:w="108" w:type="dxa"/>
            <w:bottom w:w="0" w:type="dxa"/>
            <w:right w:w="108" w:type="dxa"/>
          </w:tblCellMar>
        </w:tblPrEx>
        <w:trPr>
          <w:trHeight w:val="9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4FF61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31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173E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DC52D5">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7444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显示屏可视角度</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5CEDA">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水平≥178°</w:t>
            </w:r>
          </w:p>
        </w:tc>
      </w:tr>
      <w:tr w14:paraId="5805DA3D">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E1DC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32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79530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E319F4">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0AEA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★显示屏尺寸</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B275C">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≥23.8英寸</w:t>
            </w:r>
          </w:p>
        </w:tc>
      </w:tr>
      <w:tr w14:paraId="35C32CE7">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9EC09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33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81FA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C62144">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795D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★显示屏屏幕比例</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2F739">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16:09</w:t>
            </w:r>
          </w:p>
        </w:tc>
      </w:tr>
      <w:tr w14:paraId="447983B3">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D066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34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0D3D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2F0D0C">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054F5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★显示器外观颜色</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A525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黑色/白色/银色等商务色系</w:t>
            </w:r>
          </w:p>
        </w:tc>
      </w:tr>
      <w:tr w14:paraId="4A867A08">
        <w:tblPrEx>
          <w:tblCellMar>
            <w:top w:w="0" w:type="dxa"/>
            <w:left w:w="108" w:type="dxa"/>
            <w:bottom w:w="0" w:type="dxa"/>
            <w:right w:w="108" w:type="dxa"/>
          </w:tblCellMar>
        </w:tblPrEx>
        <w:trPr>
          <w:trHeight w:val="9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53F5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35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26C8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19A6D0">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07A17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★显示屏防蓝光</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2CE4B">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10F809B2">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8C3D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36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9B69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7AA61E">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784DF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★显示屏低频闪</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9B3AD">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4CFE5718">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66DB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37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F2F9A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C55031">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A070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★显示屏防炫目</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90F55">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5387E41E">
        <w:tblPrEx>
          <w:tblCellMar>
            <w:top w:w="0" w:type="dxa"/>
            <w:left w:w="108" w:type="dxa"/>
            <w:bottom w:w="0" w:type="dxa"/>
            <w:right w:w="108" w:type="dxa"/>
          </w:tblCellMar>
        </w:tblPrEx>
        <w:trPr>
          <w:trHeight w:val="377"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A5E0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38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B11E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52898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外设规格</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8AFA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传声器数量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B6D83">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≥0</w:t>
            </w:r>
          </w:p>
        </w:tc>
      </w:tr>
      <w:tr w14:paraId="22F8EE96">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53BB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39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A2858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C09AC2">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E6C03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扬声器数量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96D7B">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≥0</w:t>
            </w:r>
          </w:p>
        </w:tc>
      </w:tr>
      <w:tr w14:paraId="6542B597">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B049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40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E0E79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0597E4">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5F565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★鼠标数量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2B59E">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≥1个</w:t>
            </w:r>
          </w:p>
        </w:tc>
      </w:tr>
      <w:tr w14:paraId="22994189">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FDACB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41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27E9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00797B">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8776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★键盘数量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DDE15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≥1个</w:t>
            </w:r>
          </w:p>
        </w:tc>
      </w:tr>
      <w:tr w14:paraId="36BD3F1E">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48B6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42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43F97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09BC1A">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45D2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摄像头数量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9C9EE">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≥0个</w:t>
            </w:r>
          </w:p>
        </w:tc>
      </w:tr>
      <w:tr w14:paraId="55989FD6">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E5C8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43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4960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E873B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772A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光驱数量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139E06">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≥0个</w:t>
            </w:r>
          </w:p>
        </w:tc>
      </w:tr>
      <w:tr w14:paraId="5B6837C8">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72A5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44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C8F39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799EA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5C45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★键盘按键数目</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727F10">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104键</w:t>
            </w:r>
          </w:p>
        </w:tc>
      </w:tr>
      <w:tr w14:paraId="58178F1E">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577A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45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7C67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E5BA3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5DF9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摄像头像素</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0E78A">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6C8FD74C">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A948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46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4627C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D4650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8528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摄像头分辨率</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56444C">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478CC143">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9977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47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3118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4A6AED">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42336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扬声器功率</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2E1D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1瓦</w:t>
            </w:r>
          </w:p>
        </w:tc>
      </w:tr>
      <w:tr w14:paraId="6B42B1D7">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8AA4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48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1AB9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F29FBF">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22ED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扬声器频率范围</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2356A">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107BDDE3">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BF67E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49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42B0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5038D8">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1C6A1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扬声器总谐波失真</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423CB">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0629D9A5">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6343F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50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19A52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3B8021">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AD2B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扬声器最大声压级</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343E5">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62968697">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6059C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51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8DB9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B84FDD">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0684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★键盘连接方式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73EF9">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有线</w:t>
            </w:r>
          </w:p>
        </w:tc>
      </w:tr>
      <w:tr w14:paraId="61D24AF6">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4A9B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52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0473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29D270">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910B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★键盘键程</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07771">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2.3mm~4.0mm</w:t>
            </w:r>
          </w:p>
        </w:tc>
      </w:tr>
      <w:tr w14:paraId="137C0ABC">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E8195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53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7925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8B7781">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1FDB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★键盘按键压力</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D586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按键压力应在0.54N±0.14N</w:t>
            </w:r>
          </w:p>
        </w:tc>
      </w:tr>
      <w:tr w14:paraId="6A2AA051">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01FBB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54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E52D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FB26FF">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D56E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★有线键盘连接线</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4392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≥1.5米</w:t>
            </w:r>
          </w:p>
        </w:tc>
      </w:tr>
      <w:tr w14:paraId="3C629E43">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DCBE3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55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B8D6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58A613">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4DFE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★键盘颜色</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FDF18">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黑色商务色系</w:t>
            </w:r>
          </w:p>
        </w:tc>
      </w:tr>
      <w:tr w14:paraId="76F00FE4">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791C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56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E8335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CEF30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2D5FF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键盘其他要求</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73B2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026A4155">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89BB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57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AB7F2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D7B4FE">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BB44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★鼠标连接方式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3BDC6A">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有线</w:t>
            </w:r>
          </w:p>
        </w:tc>
      </w:tr>
      <w:tr w14:paraId="318CC247">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1C168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58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C8BB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C6E2B3">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D7A2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★有线鼠标连接线</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3FCD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≥1.5米</w:t>
            </w:r>
          </w:p>
        </w:tc>
      </w:tr>
      <w:tr w14:paraId="742B9852">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A1BEA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59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CF0A0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0A8B6D">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8FB9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★鼠标DPI分辨率</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1DFD62">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800~1600</w:t>
            </w:r>
          </w:p>
        </w:tc>
      </w:tr>
      <w:tr w14:paraId="6950B095">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3F51D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60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93C4E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1B319A">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8645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★鼠标颜色</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A6744">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黑色商务色系</w:t>
            </w:r>
          </w:p>
        </w:tc>
      </w:tr>
      <w:tr w14:paraId="28AFAE9C">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613D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61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BF2F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D8FAA0">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5B40F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★鼠标其他要求</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4FBC1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其它参数应符合GB/T26245的相关规定</w:t>
            </w:r>
          </w:p>
        </w:tc>
      </w:tr>
      <w:tr w14:paraId="242A919F">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A031A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62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5BBE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C89816">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BC30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内置光驱</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65E315">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28DF9E3C">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0CF6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63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B38D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B809B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网络设备规格</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1CB0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★有线网卡数量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97731E">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w:t>
            </w:r>
          </w:p>
        </w:tc>
      </w:tr>
      <w:tr w14:paraId="2489F9E5">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AF47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64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53C1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2413D8">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2DD9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无线网卡及天线数量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84044">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≥0</w:t>
            </w:r>
          </w:p>
        </w:tc>
      </w:tr>
      <w:tr w14:paraId="560E254A">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C68B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65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D771F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AE0F25">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BE21E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单无线网卡天线数量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52BA81">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≥0</w:t>
            </w:r>
          </w:p>
        </w:tc>
      </w:tr>
      <w:tr w14:paraId="0CE671D6">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B2F6A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66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384E5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E0B66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外部接口规格</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B086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★USB接口数量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26A8D5">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机箱前面板应提供不少于4个USB 3.2接口（其中至少一个USB 3.2 Type-C）。</w:t>
            </w:r>
          </w:p>
        </w:tc>
      </w:tr>
      <w:tr w14:paraId="07792673">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056E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67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841B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9DD892">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2A87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USB母座接口要求</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970B3">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44836E7D">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1798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68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B9BA0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5B6847">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6F6FA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★视频接口数量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B7E2B">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≥2个</w:t>
            </w:r>
          </w:p>
        </w:tc>
      </w:tr>
      <w:tr w14:paraId="0DEAB2AC">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D883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69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85B2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AB04B5">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D9D13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★音频接口数量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C6AD3">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 2个  </w:t>
            </w:r>
          </w:p>
        </w:tc>
      </w:tr>
      <w:tr w14:paraId="6666A0C4">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B7A2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70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A6412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66C2AB">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53BD4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存储卡接口数量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B85956">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≥0</w:t>
            </w:r>
          </w:p>
        </w:tc>
      </w:tr>
      <w:tr w14:paraId="36C6C923">
        <w:tblPrEx>
          <w:tblCellMar>
            <w:top w:w="0" w:type="dxa"/>
            <w:left w:w="108" w:type="dxa"/>
            <w:bottom w:w="0" w:type="dxa"/>
            <w:right w:w="108" w:type="dxa"/>
          </w:tblCellMar>
        </w:tblPrEx>
        <w:trPr>
          <w:trHeight w:val="1125"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083D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71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FD2B6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225DD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整机基础规格</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3FB2A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★整机外观</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96CB1">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a)产品表面不应有凹痕、划伤、裂缝、变形和污染等。表面涂层均匀，不应起泡、龟裂、脱落和磨损，金属零部件无锈蚀及其它机械损伤；b)产品表面说明功能的文字、符号、标志，应清晰、端正、牢固</w:t>
            </w:r>
          </w:p>
        </w:tc>
      </w:tr>
      <w:tr w14:paraId="23BEF6D8">
        <w:tblPrEx>
          <w:tblCellMar>
            <w:top w:w="0" w:type="dxa"/>
            <w:left w:w="108" w:type="dxa"/>
            <w:bottom w:w="0" w:type="dxa"/>
            <w:right w:w="108" w:type="dxa"/>
          </w:tblCellMar>
        </w:tblPrEx>
        <w:trPr>
          <w:trHeight w:val="477"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51B16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72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055D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D7ECEC">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2397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★整机结构</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9DF15">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15CAA26C">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255C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73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ED61E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ED64F1">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C4F5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★机箱防护要求</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AF1EE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57DE2DAE">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CC2BF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74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7E9D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1046DC">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342D2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★整机噪音</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2900C">
            <w:pPr>
              <w:widowControl/>
              <w:jc w:val="left"/>
              <w:textAlignment w:val="center"/>
              <w:rPr>
                <w:rFonts w:ascii="宋体" w:hAnsi="宋体" w:cs="宋体"/>
                <w:color w:val="auto"/>
                <w:sz w:val="18"/>
                <w:szCs w:val="18"/>
                <w:highlight w:val="none"/>
              </w:rPr>
            </w:pPr>
            <w:r>
              <w:rPr>
                <w:rFonts w:hint="eastAsia" w:ascii="宋体" w:hAnsi="宋体" w:cs="宋体"/>
                <w:strike w:val="0"/>
                <w:dstrike w:val="0"/>
                <w:color w:val="auto"/>
                <w:kern w:val="0"/>
                <w:sz w:val="18"/>
                <w:szCs w:val="18"/>
                <w:highlight w:val="none"/>
                <w:lang w:bidi="ar"/>
              </w:rPr>
              <w:t>产品工作在空闲状态下，产品的声功率级应不超过4.5Bel</w:t>
            </w:r>
          </w:p>
        </w:tc>
      </w:tr>
      <w:tr w14:paraId="27E8F48F">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E6EC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75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E587E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BA5D9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379C6D">
            <w:pPr>
              <w:widowControl/>
              <w:ind w:firstLine="328" w:firstLineChars="200"/>
              <w:jc w:val="both"/>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★整机散热</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4B0105">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21020A89">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A8D6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76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1E85A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BDEC4B">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0B40A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★整机能效限定值</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F4A24">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1B215DE1">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19F6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77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B75E8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2F0C54">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45D6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★机身材质</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81C23">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塑料/金属等</w:t>
            </w:r>
          </w:p>
        </w:tc>
      </w:tr>
      <w:tr w14:paraId="43FC10B0">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DF7C6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78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A1D91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41008A">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DE5D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★机身颜色</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E2EFC">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灰色/黑色等商务色系</w:t>
            </w:r>
          </w:p>
        </w:tc>
      </w:tr>
      <w:tr w14:paraId="1803A1D6">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E3BC7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79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2933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1AA0F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4DA2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★机箱尺寸容量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12978">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机箱体积应≤17L，机箱宽度≤17.5cm</w:t>
            </w:r>
          </w:p>
        </w:tc>
      </w:tr>
      <w:tr w14:paraId="1E206D44">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3B65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80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80B2D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6D11B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CPU性能</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1C13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★CPU物理核数</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CCED06">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≥14，（性能核）数≥6；（能效核）数≥8</w:t>
            </w:r>
          </w:p>
        </w:tc>
      </w:tr>
      <w:tr w14:paraId="3B7911D8">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C45AC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81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283D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08578A">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0A3F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★CPU主频</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FD9ED">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≥2.6GHz</w:t>
            </w:r>
          </w:p>
        </w:tc>
      </w:tr>
      <w:tr w14:paraId="789AC600">
        <w:tblPrEx>
          <w:tblCellMar>
            <w:top w:w="0" w:type="dxa"/>
            <w:left w:w="108" w:type="dxa"/>
            <w:bottom w:w="0" w:type="dxa"/>
            <w:right w:w="108" w:type="dxa"/>
          </w:tblCellMar>
        </w:tblPrEx>
        <w:trPr>
          <w:trHeight w:val="9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152C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82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D1B8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597BAD">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7BE8A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★CPU末级缓存容量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E3616">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≥24MB</w:t>
            </w:r>
          </w:p>
        </w:tc>
      </w:tr>
      <w:tr w14:paraId="5C1872B5">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8AFD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83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80D45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A36541">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D42B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★CPU支持的内存最高速率</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68E9D">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≥4400MT/s</w:t>
            </w:r>
          </w:p>
        </w:tc>
      </w:tr>
      <w:tr w14:paraId="7129214A">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AD6F7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84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6D73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A9BF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内存性能</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689A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★内存读写速率</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71136">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≥4400MT/s</w:t>
            </w:r>
          </w:p>
        </w:tc>
      </w:tr>
      <w:tr w14:paraId="3C3155D7">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BCEF7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85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B5A6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7E7F1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显卡性能</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4DA4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★显示分辨率</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098D5">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≥1920x1080</w:t>
            </w:r>
          </w:p>
        </w:tc>
      </w:tr>
      <w:tr w14:paraId="41976F7F">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09864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86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4B0B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EB38F1">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B90F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★显卡显示芯片核心频率</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F21EA">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≥1550MHz</w:t>
            </w:r>
          </w:p>
        </w:tc>
      </w:tr>
      <w:tr w14:paraId="6163242C">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6394B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87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A744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D5F32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B05D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★显存等效频率</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8423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≥1750MHz</w:t>
            </w:r>
          </w:p>
        </w:tc>
      </w:tr>
      <w:tr w14:paraId="4E0AD3ED">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24B87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88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D9C10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316258">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C65B6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★显卡可支持多屏同时显示数量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7F059">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显卡应至少支持2块屏幕同时显示，分辨率应不低于1920×1080</w:t>
            </w:r>
          </w:p>
        </w:tc>
      </w:tr>
      <w:tr w14:paraId="42B3E53D">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42DDE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89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C93CB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34AAD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显示设备性能</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B5E4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★显示屏刷新率</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420C4">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≥75Hz</w:t>
            </w:r>
          </w:p>
        </w:tc>
      </w:tr>
      <w:tr w14:paraId="67B55407">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9C9FC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90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D58E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889833">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B621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★显示屏位深</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A4A4A">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≥8位</w:t>
            </w:r>
          </w:p>
        </w:tc>
      </w:tr>
      <w:tr w14:paraId="29F2221C">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5451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91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D1CC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5F45C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E76A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★显示屏色域</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7EA9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≥99%sRGB</w:t>
            </w:r>
          </w:p>
        </w:tc>
      </w:tr>
      <w:tr w14:paraId="4222A15B">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BD4CF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92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88392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1D05EF">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553D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★显示屏色准</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5080E">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34A847ED">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E99F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93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2478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B953C1">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B8F25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★显示屏响应时间</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E4AF2">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≤8ms</w:t>
            </w:r>
          </w:p>
        </w:tc>
      </w:tr>
      <w:tr w14:paraId="18E07675">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563E7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94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784A0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69E55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91A14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★显示屏亮度</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F3D83">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≥250尼特</w:t>
            </w:r>
          </w:p>
        </w:tc>
      </w:tr>
      <w:tr w14:paraId="17ABB342">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846F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95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16AD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1C17E0">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3D10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★显示屏亮度一致性</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2E61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7294C835">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03FB2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96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EED7B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81B5D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9E42E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★显示屏对比度</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56F5D">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≥1000：1</w:t>
            </w:r>
          </w:p>
        </w:tc>
      </w:tr>
      <w:tr w14:paraId="67C9CD0D">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977D1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97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7A88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1C934A">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A1D4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★显示屏其他参数</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74D8A1">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6718BB65">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BC24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98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30304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5E721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网络设备性能</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3954C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★有线网卡速率</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ED5BEA">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最高速率应不低于1000Mbps</w:t>
            </w:r>
          </w:p>
        </w:tc>
      </w:tr>
      <w:tr w14:paraId="453A7BE9">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D4B8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99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28D5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116F67">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D03A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支持无线网络通信技术协议</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3490B">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34ECA4A9">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D9444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100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1CAE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12E31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D3A53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无线网卡频宽</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54F3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0190749E">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E4B2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101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66CAF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E81F3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主板功能</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60A3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★内存扩展接口(板载内存不涉及)</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455FA">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w:t>
            </w:r>
            <w:r>
              <w:rPr>
                <w:rFonts w:hint="eastAsia" w:ascii="宋体" w:hAnsi="宋体" w:cs="宋体"/>
                <w:strike w:val="0"/>
                <w:dstrike w:val="0"/>
                <w:color w:val="auto"/>
                <w:kern w:val="0"/>
                <w:sz w:val="18"/>
                <w:szCs w:val="18"/>
                <w:highlight w:val="none"/>
                <w:lang w:val="en-US" w:eastAsia="zh-CN" w:bidi="ar"/>
              </w:rPr>
              <w:t>2</w:t>
            </w:r>
            <w:r>
              <w:rPr>
                <w:rFonts w:hint="eastAsia" w:ascii="宋体" w:hAnsi="宋体" w:cs="宋体"/>
                <w:color w:val="auto"/>
                <w:kern w:val="0"/>
                <w:sz w:val="18"/>
                <w:szCs w:val="18"/>
                <w:highlight w:val="none"/>
                <w:lang w:bidi="ar"/>
              </w:rPr>
              <w:t>个</w:t>
            </w:r>
          </w:p>
        </w:tc>
      </w:tr>
      <w:tr w14:paraId="29B2159C">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5069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102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4CB2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AF44A3">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60FE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存储扩展接口(板载存储不涉及)</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77A86">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供应商给出主板支持存储扩展接口类型，如UFS3.0、SATA3.0、SAS3.0、M.2等类型接口</w:t>
            </w:r>
          </w:p>
        </w:tc>
      </w:tr>
      <w:tr w14:paraId="045E250B">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D825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103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4D1A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8169E2">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5496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★主板USB瞬间过流保护</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A76FE1">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6E9B7EBD">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6CD7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104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E247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BD580C">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94AF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★主板防静电保护</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69C63">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47DC05FC">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1192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105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B9D2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B5D341">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40C5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★I/O接口功能</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CFB7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≥9个USB接口（其中≥</w:t>
            </w:r>
            <w:r>
              <w:rPr>
                <w:rFonts w:hint="eastAsia" w:ascii="宋体" w:hAnsi="宋体" w:cs="宋体"/>
                <w:strike w:val="0"/>
                <w:dstrike w:val="0"/>
                <w:color w:val="auto"/>
                <w:kern w:val="0"/>
                <w:sz w:val="18"/>
                <w:szCs w:val="18"/>
                <w:highlight w:val="none"/>
                <w:lang w:val="en-US" w:eastAsia="zh-CN" w:bidi="ar"/>
              </w:rPr>
              <w:t xml:space="preserve"> 4</w:t>
            </w:r>
            <w:r>
              <w:rPr>
                <w:rFonts w:hint="eastAsia" w:ascii="宋体" w:hAnsi="宋体" w:cs="宋体"/>
                <w:color w:val="auto"/>
                <w:kern w:val="0"/>
                <w:sz w:val="18"/>
                <w:szCs w:val="18"/>
                <w:highlight w:val="none"/>
                <w:lang w:bidi="ar"/>
              </w:rPr>
              <w:t>个USB 3.2接口，其中前置1个USB 3.2 Gen 2 Type-C接口）</w:t>
            </w:r>
          </w:p>
        </w:tc>
      </w:tr>
      <w:tr w14:paraId="2B2527D0">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B1B55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106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A1DC6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DBF9E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显卡功能</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A32E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★显卡外接显示接口</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FB711">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显卡至少支持VGA、HDMI、DVI、DP、Type-C中2种显示接口，并与显示器接口相匹配</w:t>
            </w:r>
          </w:p>
        </w:tc>
      </w:tr>
      <w:tr w14:paraId="741EBC1C">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F2C19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107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D9714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A6CD50">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23C1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独立显卡数量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9215D">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w:t>
            </w:r>
          </w:p>
        </w:tc>
      </w:tr>
      <w:tr w14:paraId="390B55E4">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40DA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108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0FAF5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B46C2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显示设备功能</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BC6B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★显示器接口</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C2E30">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显示器显示接口应与显卡外接显示接口匹配</w:t>
            </w:r>
          </w:p>
        </w:tc>
      </w:tr>
      <w:tr w14:paraId="1440CC1C">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6046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109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6B66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67A16B">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05A7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★显示器支架</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BE51C1">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显示器应提供显示器支架</w:t>
            </w:r>
          </w:p>
        </w:tc>
      </w:tr>
      <w:tr w14:paraId="1914617B">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40657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110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0B8F8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5B385E">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39802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★显示器参数调节</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49C5C4">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a)提供OSD选单按钮用于调节色彩、模式等；b)支持色温、亮度、对比度调节</w:t>
            </w:r>
          </w:p>
        </w:tc>
      </w:tr>
      <w:tr w14:paraId="0C633C9C">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B8C9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111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5DD2F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1E4CA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外设功能</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6B6B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摄像头物理隐私保护开关</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4DCB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2C5FEA3D">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A8FA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112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0FCC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B414C4">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2E4D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传声器降噪</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56B451">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6457585F">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AC9D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113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B14F4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8E640D">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B4FAF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键盘背光</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C54B1">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65A9D864">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DC166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114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8761E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9F13B1">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57C7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光驱功能</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F9974E">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59E97FE0">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FC46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115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AD487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E7618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存储功能</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20A2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★存储功能</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A0619">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通过SATA固态存储/PCIe固态存储/UFS固态存储/SATA硬磁盘等存储部件提供存储功能</w:t>
            </w:r>
          </w:p>
        </w:tc>
      </w:tr>
      <w:tr w14:paraId="7B747DF8">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3FA51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116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B998F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975FD0">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49B3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内置控制器固态存储加密</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D4EC59">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3F3AF36D">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56439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117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339E3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E50D3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网络设备功能</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FF122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★网络功能</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3BF38">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0B504F84">
        <w:tblPrEx>
          <w:tblCellMar>
            <w:top w:w="0" w:type="dxa"/>
            <w:left w:w="108" w:type="dxa"/>
            <w:bottom w:w="0" w:type="dxa"/>
            <w:right w:w="108" w:type="dxa"/>
          </w:tblCellMar>
        </w:tblPrEx>
        <w:trPr>
          <w:trHeight w:val="9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CED10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118</w:t>
            </w:r>
          </w:p>
        </w:tc>
        <w:tc>
          <w:tcPr>
            <w:tcW w:w="610" w:type="pct"/>
            <w:tcBorders>
              <w:top w:val="single" w:color="000000" w:sz="4" w:space="0"/>
              <w:left w:val="single" w:color="000000" w:sz="4" w:space="0"/>
              <w:bottom w:val="single" w:color="000000" w:sz="4" w:space="0"/>
              <w:right w:val="single" w:color="000000" w:sz="4" w:space="0"/>
            </w:tcBorders>
            <w:shd w:val="clear" w:color="auto" w:fill="auto"/>
          </w:tcPr>
          <w:p w14:paraId="13916F31">
            <w:pPr>
              <w:jc w:val="center"/>
              <w:rPr>
                <w:rFonts w:ascii="宋体" w:hAnsi="宋体" w:cs="宋体"/>
                <w:color w:val="auto"/>
                <w:sz w:val="22"/>
                <w:szCs w:val="22"/>
                <w:highlight w:val="none"/>
              </w:rPr>
            </w:pP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C869F0">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22A2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无线网卡频段</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96644">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6D66B514">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AEC99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119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17767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5652B6">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2AD9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物理开关</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FD9C1">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4D52B059">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DA35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120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0A42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8C1DC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515CE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★数据传输</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D4EDD">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2A0CF0C6">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30A11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121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ED71D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91041A">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E8E8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蓝牙协议</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825D5">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3D4E36D7">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C331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122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C911E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844F52">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E8A0D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★有线网卡接口类型</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2F31A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支持RJ45接口</w:t>
            </w:r>
          </w:p>
        </w:tc>
      </w:tr>
      <w:tr w14:paraId="661FE43C">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6C364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123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57C2F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891FA8">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C253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无线网卡标准</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123C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36141B71">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CCA3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124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51AA6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DB6AC2">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75290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★网络设备拆装</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0AE7B">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7AE67BB4">
        <w:tblPrEx>
          <w:tblCellMar>
            <w:top w:w="0" w:type="dxa"/>
            <w:left w:w="108" w:type="dxa"/>
            <w:bottom w:w="0" w:type="dxa"/>
            <w:right w:w="108" w:type="dxa"/>
          </w:tblCellMar>
        </w:tblPrEx>
        <w:trPr>
          <w:trHeight w:val="9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702A2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125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5926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85B5E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外部接口功能</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2B27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★音频接口类型</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88B0A">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支持3.5mm孔径3段式或4段式接口</w:t>
            </w:r>
          </w:p>
        </w:tc>
      </w:tr>
      <w:tr w14:paraId="7ACC4E63">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922EB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126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38AB4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5AF091">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458B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★视频接口类型</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302A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至少支持HDMI、DP 2种显示接口</w:t>
            </w:r>
          </w:p>
        </w:tc>
      </w:tr>
      <w:tr w14:paraId="3BE5E9D7">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E021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127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A3AA9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C29C18">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5B82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★HDMI、DP、Type-C显示接口要求</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11F60">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若提供HDMI或DP或Type-C作为显示接口，应支持音频和视频同步输出</w:t>
            </w:r>
          </w:p>
        </w:tc>
      </w:tr>
      <w:tr w14:paraId="3FDCAAE3">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5E27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128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589FD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92BF3E">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BA5F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其他接口</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D8A5C">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前机箱面板前置2个音频接口（其中1个音频输入接口，1个音频输出接口）</w:t>
            </w:r>
          </w:p>
        </w:tc>
      </w:tr>
      <w:tr w14:paraId="17A9B15C">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19A5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129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830B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3AFE05">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931B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存储卡接口类型</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DF8164">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24C4F113">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DEB2B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130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FA27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FD286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电源功能</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5E25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★电源线适配能力</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DF304">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294BB1EB">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FF0D9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131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1FD3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33BA4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操作系统及软件功能</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2222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★中文信息处理要求</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F8C252">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42DECD9C">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614A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132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A56E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3406AB">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9AB5C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★操作系统备份及还原功能</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A199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271A2A8F">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6401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133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E193F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D4E32D">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85C95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★固件备份还原能力</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98356">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57E6A051">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B057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134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D9A42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6B1CBE">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7853B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★操作系统及驱动升级</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4377D6">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支持通过网络、闪存盘等方式对操作系统、驱动进行升级</w:t>
            </w:r>
          </w:p>
        </w:tc>
      </w:tr>
      <w:tr w14:paraId="6735EBDD">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C4259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135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EDD8E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2BC94C">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FF0FE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★固件升级</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574F5C">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支持通过网络、闪存盘等方式对固件进行升级</w:t>
            </w:r>
          </w:p>
        </w:tc>
      </w:tr>
      <w:tr w14:paraId="5743D5FA">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FF96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136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49675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46C611">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A7E5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★BIOS支持关闭通讯接口</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13315">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支持BIOS关闭以太网及USB接口</w:t>
            </w:r>
          </w:p>
        </w:tc>
      </w:tr>
      <w:tr w14:paraId="50BE6FB4">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3BB9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137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692D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6A0100">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CF460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★固件查看信息</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D62D0A">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支持查看固件版本、内存信息、主板信息、处理器信息和系统时间信息等功能</w:t>
            </w:r>
          </w:p>
        </w:tc>
      </w:tr>
      <w:tr w14:paraId="420C6116">
        <w:tblPrEx>
          <w:tblCellMar>
            <w:top w:w="0" w:type="dxa"/>
            <w:left w:w="108" w:type="dxa"/>
            <w:bottom w:w="0" w:type="dxa"/>
            <w:right w:w="108" w:type="dxa"/>
          </w:tblCellMar>
        </w:tblPrEx>
        <w:trPr>
          <w:trHeight w:val="9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0A41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138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7FCD5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0FF42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777FA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★固件设置启动顺序</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C96F38">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4A0DD830">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0542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139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37D8F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784F58">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C4DD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★固件设置口令</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F03A1D">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3D3DEDAB">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74281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140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20AC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tcBorders>
              <w:top w:val="single" w:color="000000" w:sz="4" w:space="0"/>
              <w:left w:val="single" w:color="000000" w:sz="4" w:space="0"/>
              <w:right w:val="single" w:color="000000" w:sz="4" w:space="0"/>
            </w:tcBorders>
            <w:shd w:val="clear" w:color="auto" w:fill="auto"/>
            <w:vAlign w:val="center"/>
          </w:tcPr>
          <w:p w14:paraId="36DB4FE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414B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★固件设置网络引导</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8CC794">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6FE4ACF5">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A742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141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D3A1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5540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生物识别功能</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1305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指纹识别</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C9FC6B">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5AE39E9F">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9568D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142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0AF3E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tcBorders>
              <w:top w:val="single" w:color="000000" w:sz="4" w:space="0"/>
              <w:left w:val="single" w:color="000000" w:sz="4" w:space="0"/>
              <w:right w:val="single" w:color="000000" w:sz="4" w:space="0"/>
            </w:tcBorders>
            <w:shd w:val="clear" w:color="auto" w:fill="auto"/>
            <w:vAlign w:val="center"/>
          </w:tcPr>
          <w:p w14:paraId="30B50852">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1BBB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人脸识别</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8034AB">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08566D80">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F8E2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143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40735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tcBorders>
              <w:top w:val="single" w:color="000000" w:sz="4" w:space="0"/>
              <w:left w:val="single" w:color="000000" w:sz="4" w:space="0"/>
              <w:right w:val="single" w:color="000000" w:sz="4" w:space="0"/>
            </w:tcBorders>
            <w:shd w:val="clear" w:color="auto" w:fill="auto"/>
            <w:vAlign w:val="center"/>
          </w:tcPr>
          <w:p w14:paraId="58B1A76F">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FCBA6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静脉识别</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0257E">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6EF00C60">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B986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144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9B32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DF880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硬件加速功能</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397D0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NPU/GPU等AI加速模块</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0CBA54">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4D7A8A1A">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61AE1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145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FE4E5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EDDE1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D8518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视频编解码加速模块</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7F5215">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59828652">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EF68E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146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24A1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3072DF">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A1DE0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影像处理加速模块</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EB23E">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33F40600">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9E70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147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987C0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DAEE0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存储设备可靠性</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EAF3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★固态存储寿命</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05D76C">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14B0FE92">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5F1B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148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B81A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695CDF">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5186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★机械硬盘寿命</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15EF1">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7B4926EE">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89A91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149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9290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40B94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显示设备可靠性</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BE0C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★显示屏屏幕失效点</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176E1">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4B5FF59E">
        <w:tblPrEx>
          <w:tblCellMar>
            <w:top w:w="0" w:type="dxa"/>
            <w:left w:w="108" w:type="dxa"/>
            <w:bottom w:w="0" w:type="dxa"/>
            <w:right w:w="108" w:type="dxa"/>
          </w:tblCellMar>
        </w:tblPrEx>
        <w:trPr>
          <w:trHeight w:val="9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616F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150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452DC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5D43C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外设可靠性</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F1797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★键盘按键寿命</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A0888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3EC837E0">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E57FE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151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6C823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54A8F8">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FBC0C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★鼠标按键寿命</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BFDD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637923BA">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45D1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152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FB69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878402">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3644A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★键盘鼠标线材寿命</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C3C8D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757C1121">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E239F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153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46F3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6539D6">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C3F8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★风扇寿命</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BC5C6">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38C944FF">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CEC3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154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9700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B0076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整机可靠性要求</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C5036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★电磁兼容性要求的抗扰度</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84969">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7B1F8A5B">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4E99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155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6EA3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54ED3E">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52EA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★环境条件要求的气候环境适应性</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F62C5">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22FFD16A">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DF7C1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156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D473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4D8A83">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18CE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★环境条件要求的振动适应性</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0A3E3">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00E3A16B">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7A32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157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C0C4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C70E0E">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C2B3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★环境条件要求的冲击适应性</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41C392">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3A8CBED9">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A369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158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18A6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095B7D">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5FC22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★环境条件要求的碰撞适应性</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CBB245">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488DCB95">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E7E9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159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D27D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E3940A">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34B6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★环境条件要求的运输包装件跌落适应性</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1167DC">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0675EB50">
        <w:tblPrEx>
          <w:tblCellMar>
            <w:top w:w="0" w:type="dxa"/>
            <w:left w:w="108" w:type="dxa"/>
            <w:bottom w:w="0" w:type="dxa"/>
            <w:right w:w="108" w:type="dxa"/>
          </w:tblCellMar>
        </w:tblPrEx>
        <w:trPr>
          <w:trHeight w:val="9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D4055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160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869B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55CC9E">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0D4B5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★MTBF测试</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5F6079">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4238D888">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CADD3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161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F246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EA955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0DAE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★常用软件兼容</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2430B">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bidi="ar"/>
              </w:rPr>
              <w:t>兼容且具备专业图形图像处理，具备打开大文件和超大图像文件处理，可以打开处理宽高为 60000x60000 像素图片，图片像素不低于 30 亿:文件格式支持,兼容并具备打开编辑常用的图形图像文件格式:jps、pns、bme、tiff,psdgif ,raw,web eps,hid, obj,3mf,pdferf.fff、hdr、rf、x3f、cine、ia、kc2、mef、nrw、gtk.rw2、sti、5w1、srw等不少于 40种的文件格式，兼容并具备支持透明 png存取，可以实现双向兼容PSD格式，兼容并具备支持多图层对象保存。兼容支持RAW 格式文件的参数调整，包括白平衡、曝光、校正色彩管理、去马赛克等，支持预览模式。</w:t>
            </w:r>
          </w:p>
        </w:tc>
      </w:tr>
      <w:tr w14:paraId="58868C47">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989D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162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52337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FBF0D5">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EE4C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★数据库兼容</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C1D9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22C480FB">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33ED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163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DBA4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B94863">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97C00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★中间件兼容</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5BC049">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078663A8">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EDF6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164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8268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3E2DB1">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953C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★平台软件兼容</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387EB3">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兼容且具备正版专业图像处理 AIGC 平台，一键生图、文生图、图生图、文生视频、图生视频、首尾帧生成视频、智能扩图、AI 工坊、GIF 文件多种转换功能。具备 AI图像生成，视频生成，3D 生成，通过文字描述生成图，支持通过参考图片或者概念图生成图片。</w:t>
            </w:r>
          </w:p>
        </w:tc>
      </w:tr>
      <w:tr w14:paraId="2E074F13">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4CDD7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165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E5E75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包装及运输要求</w:t>
            </w:r>
          </w:p>
        </w:tc>
        <w:tc>
          <w:tcPr>
            <w:tcW w:w="6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D4781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包装及运输要求</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0D57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★标志、包装、运输和贮存</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81EA8">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138D301E">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9D4EE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166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2DB7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76EBF8">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572A1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★配置检查工具</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B27B9">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1DE19537">
        <w:tblPrEx>
          <w:tblCellMar>
            <w:top w:w="0" w:type="dxa"/>
            <w:left w:w="108" w:type="dxa"/>
            <w:bottom w:w="0" w:type="dxa"/>
            <w:right w:w="108" w:type="dxa"/>
          </w:tblCellMar>
        </w:tblPrEx>
        <w:trPr>
          <w:trHeight w:val="1053"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3DFC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167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E4810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68F178">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97B7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★服务响应</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75CDB3">
            <w:pPr>
              <w:widowControl/>
              <w:numPr>
                <w:ilvl w:val="0"/>
                <w:numId w:val="2"/>
              </w:numPr>
              <w:jc w:val="left"/>
              <w:textAlignment w:val="center"/>
              <w:rPr>
                <w:rFonts w:hint="eastAsia" w:ascii="宋体" w:hAnsi="宋体" w:cs="宋体"/>
                <w:color w:val="auto"/>
                <w:kern w:val="0"/>
                <w:sz w:val="18"/>
                <w:szCs w:val="18"/>
                <w:highlight w:val="none"/>
                <w:lang w:eastAsia="zh-CN" w:bidi="ar"/>
              </w:rPr>
            </w:pPr>
            <w:r>
              <w:rPr>
                <w:rFonts w:hint="eastAsia" w:ascii="宋体" w:hAnsi="宋体" w:cs="宋体"/>
                <w:color w:val="auto"/>
                <w:kern w:val="0"/>
                <w:sz w:val="18"/>
                <w:szCs w:val="18"/>
                <w:highlight w:val="none"/>
                <w:lang w:bidi="ar"/>
              </w:rPr>
              <w:t>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r>
              <w:rPr>
                <w:rFonts w:hint="eastAsia" w:ascii="宋体" w:hAnsi="宋体" w:cs="宋体"/>
                <w:color w:val="auto"/>
                <w:kern w:val="0"/>
                <w:sz w:val="18"/>
                <w:szCs w:val="18"/>
                <w:highlight w:val="none"/>
                <w:lang w:eastAsia="zh-CN" w:bidi="ar"/>
              </w:rPr>
              <w:t>。</w:t>
            </w:r>
          </w:p>
          <w:p w14:paraId="4F76D843">
            <w:pPr>
              <w:widowControl/>
              <w:numPr>
                <w:ilvl w:val="0"/>
                <w:numId w:val="0"/>
              </w:numPr>
              <w:jc w:val="left"/>
              <w:textAlignment w:val="center"/>
              <w:rPr>
                <w:rFonts w:hint="eastAsia" w:ascii="宋体" w:hAnsi="宋体" w:cs="宋体"/>
                <w:color w:val="auto"/>
                <w:kern w:val="0"/>
                <w:sz w:val="18"/>
                <w:szCs w:val="18"/>
                <w:highlight w:val="none"/>
                <w:lang w:eastAsia="zh-CN" w:bidi="ar"/>
              </w:rPr>
            </w:pPr>
            <w:r>
              <w:rPr>
                <w:rFonts w:hint="eastAsia" w:ascii="宋体" w:hAnsi="宋体" w:cs="宋体"/>
                <w:color w:val="auto"/>
                <w:kern w:val="0"/>
                <w:sz w:val="18"/>
                <w:szCs w:val="18"/>
                <w:highlight w:val="none"/>
                <w:lang w:eastAsia="zh-CN" w:bidi="ar"/>
              </w:rPr>
              <w:t>e）产品生命周期结束后，原厂需提供符合工信部要求的IT资产环保处置服务</w:t>
            </w:r>
            <w:r>
              <w:rPr>
                <w:rFonts w:hint="eastAsia" w:ascii="宋体" w:hAnsi="宋体" w:cs="宋体"/>
                <w:color w:val="auto"/>
                <w:kern w:val="0"/>
                <w:sz w:val="18"/>
                <w:szCs w:val="18"/>
                <w:highlight w:val="none"/>
                <w:lang w:val="en-US" w:eastAsia="zh-CN" w:bidi="ar"/>
              </w:rPr>
              <w:t>及方案</w:t>
            </w:r>
            <w:r>
              <w:rPr>
                <w:rFonts w:hint="eastAsia" w:ascii="宋体" w:hAnsi="宋体" w:cs="宋体"/>
                <w:color w:val="auto"/>
                <w:kern w:val="0"/>
                <w:sz w:val="18"/>
                <w:szCs w:val="18"/>
                <w:highlight w:val="none"/>
                <w:lang w:eastAsia="zh-CN" w:bidi="ar"/>
              </w:rPr>
              <w:t>，包括上门回收、数据销毁、环保拆解，并提供《资产环保处置证明》，服务可通过电话或官方网站查询；</w:t>
            </w:r>
          </w:p>
        </w:tc>
      </w:tr>
      <w:tr w14:paraId="62B8F100">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1E9B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168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A7FA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0250F3">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68172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★服务周期</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FDD6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5E4038E6">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9020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169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15E98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9C1A0A">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642F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★预装操作系统</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93AF9">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预装正版Windows 11操作系统</w:t>
            </w:r>
          </w:p>
        </w:tc>
      </w:tr>
      <w:tr w14:paraId="3D6AC24E">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A70E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170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9EC2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BBA06A">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182C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★培训服务</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7C9AD">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647DB271">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DD37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171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DEFE9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9EBAD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061F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★典型问题解决手册</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1AA72">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3BAAE9D2">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40C2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172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3FAF5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624501">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FDE5E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★厂家升级软件与扩容服务</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6F4FD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4BFEAFEA">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A4C57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173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BCB15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45BE70">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55FD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★整机质量服务要求</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3B233">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免费服务周期（含换件和维修）应不小于5年；</w:t>
            </w:r>
          </w:p>
        </w:tc>
      </w:tr>
      <w:tr w14:paraId="44ABD213">
        <w:tblPrEx>
          <w:tblCellMar>
            <w:top w:w="0" w:type="dxa"/>
            <w:left w:w="108" w:type="dxa"/>
            <w:bottom w:w="0" w:type="dxa"/>
            <w:right w:w="108" w:type="dxa"/>
          </w:tblCellMar>
        </w:tblPrEx>
        <w:trPr>
          <w:trHeight w:val="359"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94C0C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174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5EA4A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EF94CB">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9D3D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★合格证书要求</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9457C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供应商提供产品合格证</w:t>
            </w:r>
          </w:p>
        </w:tc>
      </w:tr>
      <w:tr w14:paraId="477263F7">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5179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175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B84D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69FC18">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B355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★开箱组装/使用指导要求</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F56C1">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供应商提供开箱组装/使用指导</w:t>
            </w:r>
          </w:p>
        </w:tc>
      </w:tr>
      <w:tr w14:paraId="7795944F">
        <w:tblPrEx>
          <w:tblCellMar>
            <w:top w:w="0" w:type="dxa"/>
            <w:left w:w="108" w:type="dxa"/>
            <w:bottom w:w="0" w:type="dxa"/>
            <w:right w:w="108" w:type="dxa"/>
          </w:tblCellMar>
        </w:tblPrEx>
        <w:trPr>
          <w:trHeight w:val="383"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EDFDB">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176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9D34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26F410">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27F5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★驱动下载服务要求</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89DCF2">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供应商提供驱动光盘或下载方式</w:t>
            </w:r>
          </w:p>
        </w:tc>
      </w:tr>
      <w:tr w14:paraId="155DA3D0">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872F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177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8F83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47BCA5">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2B39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★兼容适配软件下载服务要求</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7B6E8">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供应商提供兼容适配软件下载渠道（光盘、网站）</w:t>
            </w:r>
          </w:p>
        </w:tc>
      </w:tr>
      <w:tr w14:paraId="1CB0C6E6">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9F5F3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178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9ED7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F34488">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A4D6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跨架构平台应用兼容</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E2C5A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供应商提供跨架构平台的应用兼容工具，支持一种或者一种以上不同架构平台的应用</w:t>
            </w:r>
          </w:p>
        </w:tc>
      </w:tr>
      <w:tr w14:paraId="13B6F8F8">
        <w:tblPrEx>
          <w:tblCellMar>
            <w:top w:w="0" w:type="dxa"/>
            <w:left w:w="108" w:type="dxa"/>
            <w:bottom w:w="0" w:type="dxa"/>
            <w:right w:w="108" w:type="dxa"/>
          </w:tblCellMar>
        </w:tblPrEx>
        <w:trPr>
          <w:trHeight w:val="675"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CF01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179</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1FAB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供应保障要求</w:t>
            </w:r>
          </w:p>
        </w:tc>
        <w:tc>
          <w:tcPr>
            <w:tcW w:w="6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E4D9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供应链合规性</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4BC1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★产品部件保障</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E065AB">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供应商保障产品主要部件，提供6年的备件服务能力（自购买之日起），或提供可兼容原设备的升级换代产品</w:t>
            </w:r>
          </w:p>
        </w:tc>
      </w:tr>
      <w:tr w14:paraId="455C5C30">
        <w:tblPrEx>
          <w:tblCellMar>
            <w:top w:w="0" w:type="dxa"/>
            <w:left w:w="108" w:type="dxa"/>
            <w:bottom w:w="0" w:type="dxa"/>
            <w:right w:w="108" w:type="dxa"/>
          </w:tblCellMar>
        </w:tblPrEx>
        <w:trPr>
          <w:trHeight w:val="329"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A93DC">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180</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B363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供应保障要求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F8F03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供应链质量</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55E8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★抗干扰性</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6AB20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0BB15FF7">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7FA1B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181</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10FC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供应保障要求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ADAF98">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336D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★供应能力证明</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54E2F1">
            <w:pPr>
              <w:widowControl/>
              <w:jc w:val="left"/>
              <w:textAlignment w:val="center"/>
              <w:rPr>
                <w:rFonts w:hint="default" w:ascii="宋体" w:hAnsi="宋体" w:eastAsia="宋体" w:cs="宋体"/>
                <w:color w:val="auto"/>
                <w:sz w:val="18"/>
                <w:szCs w:val="18"/>
                <w:highlight w:val="none"/>
                <w:lang w:val="en-US" w:eastAsia="zh-CN"/>
              </w:rPr>
            </w:pPr>
            <w:r>
              <w:rPr>
                <w:rFonts w:hint="eastAsia" w:ascii="宋体" w:hAnsi="宋体" w:cs="宋体"/>
                <w:strike w:val="0"/>
                <w:dstrike w:val="0"/>
                <w:color w:val="auto"/>
                <w:kern w:val="0"/>
                <w:sz w:val="18"/>
                <w:szCs w:val="18"/>
                <w:highlight w:val="none"/>
                <w:lang w:val="en-US" w:eastAsia="zh-CN" w:bidi="ar"/>
              </w:rPr>
              <w:t>供应商提供供应链稳定承诺书，确保产品的部件在产品服务周期内稳定供货</w:t>
            </w:r>
          </w:p>
        </w:tc>
      </w:tr>
      <w:tr w14:paraId="5F515910">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97E1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182</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1097A">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A15F0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关键部件安全要求</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CFA2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★关键部件安全要求3</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C90F50">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3A194152">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DEF5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183</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01AB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EA6B4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整机安全性要求</w:t>
            </w: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6B61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★密码算法实现</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DD7C6">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753BC095">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E9C32">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184</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0C7B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36354B">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58EDA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USB端口管控</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33E4F">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支持USB端口管控</w:t>
            </w:r>
          </w:p>
        </w:tc>
      </w:tr>
      <w:tr w14:paraId="15D83918">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A0B3C3">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185</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BED284">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8F0849">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E820D">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安全物理锁</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AF6B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6D451F1D">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40CD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186</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188F61">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7D4494">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03BBE">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★信息安全基本要求</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60B109">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27866400">
        <w:tblPrEx>
          <w:tblCellMar>
            <w:top w:w="0" w:type="dxa"/>
            <w:left w:w="108" w:type="dxa"/>
            <w:bottom w:w="0" w:type="dxa"/>
            <w:right w:w="108" w:type="dxa"/>
          </w:tblCellMar>
        </w:tblPrEx>
        <w:trPr>
          <w:trHeight w:val="27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1B34F">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187</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2C2200">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A15496">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22AD29">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★固件安全启动</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ECD91A">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r w14:paraId="4B941059">
        <w:tblPrEx>
          <w:tblCellMar>
            <w:top w:w="0" w:type="dxa"/>
            <w:left w:w="108" w:type="dxa"/>
            <w:bottom w:w="0" w:type="dxa"/>
            <w:right w:w="108" w:type="dxa"/>
          </w:tblCellMar>
        </w:tblPrEx>
        <w:trPr>
          <w:trHeight w:val="450" w:hRule="atLeast"/>
          <w:jc w:val="center"/>
        </w:trPr>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207F7">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188</w:t>
            </w:r>
          </w:p>
        </w:tc>
        <w:tc>
          <w:tcPr>
            <w:tcW w:w="6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DE99A6">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9EDDC0">
            <w:pPr>
              <w:jc w:val="center"/>
              <w:rPr>
                <w:rFonts w:ascii="宋体" w:hAnsi="宋体" w:cs="宋体"/>
                <w:color w:val="auto"/>
                <w:sz w:val="18"/>
                <w:szCs w:val="18"/>
                <w:highlight w:val="none"/>
              </w:rPr>
            </w:pPr>
          </w:p>
        </w:tc>
        <w:tc>
          <w:tcPr>
            <w:tcW w:w="11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DC1F55">
            <w:pPr>
              <w:widowControl/>
              <w:jc w:val="center"/>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★限用物质的限量要求</w:t>
            </w:r>
          </w:p>
        </w:tc>
        <w:tc>
          <w:tcPr>
            <w:tcW w:w="21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F460A7">
            <w:pPr>
              <w:widowControl/>
              <w:jc w:val="left"/>
              <w:textAlignment w:val="center"/>
              <w:rPr>
                <w:rFonts w:ascii="宋体" w:hAnsi="宋体" w:cs="宋体"/>
                <w:color w:val="auto"/>
                <w:sz w:val="18"/>
                <w:szCs w:val="18"/>
                <w:highlight w:val="none"/>
              </w:rPr>
            </w:pPr>
            <w:r>
              <w:rPr>
                <w:rFonts w:hint="eastAsia" w:ascii="宋体" w:hAnsi="宋体" w:cs="宋体"/>
                <w:color w:val="auto"/>
                <w:kern w:val="0"/>
                <w:sz w:val="18"/>
                <w:szCs w:val="18"/>
                <w:highlight w:val="none"/>
                <w:lang w:bidi="ar"/>
              </w:rPr>
              <w:t>不涉及</w:t>
            </w:r>
          </w:p>
        </w:tc>
      </w:tr>
    </w:tbl>
    <w:p w14:paraId="2B88B032">
      <w:pPr>
        <w:spacing w:line="360" w:lineRule="auto"/>
        <w:ind w:firstLine="448" w:firstLineChars="200"/>
        <w:outlineLvl w:val="0"/>
        <w:rPr>
          <w:rFonts w:hint="eastAsia"/>
          <w:color w:val="auto"/>
          <w:sz w:val="24"/>
          <w:highlight w:val="none"/>
          <w:lang w:val="en-US" w:eastAsia="zh-CN"/>
        </w:rPr>
      </w:pPr>
      <w:r>
        <w:rPr>
          <w:rFonts w:hint="eastAsia"/>
          <w:color w:val="auto"/>
          <w:sz w:val="24"/>
          <w:highlight w:val="none"/>
          <w:lang w:val="en-US" w:eastAsia="zh-CN"/>
        </w:rPr>
        <w:t>相关配套要求：为保证本次采购产品能正常使用，投标人需要根据现场情况提供配套的电路及网络线路。</w:t>
      </w:r>
    </w:p>
    <w:p w14:paraId="33EB761E">
      <w:pPr>
        <w:spacing w:line="360" w:lineRule="auto"/>
        <w:ind w:firstLine="448" w:firstLineChars="200"/>
        <w:outlineLvl w:val="0"/>
        <w:rPr>
          <w:rFonts w:hint="default"/>
          <w:color w:val="auto"/>
          <w:sz w:val="24"/>
          <w:highlight w:val="none"/>
          <w:lang w:val="en-US" w:eastAsia="zh-CN"/>
        </w:rPr>
      </w:pPr>
      <w:r>
        <w:rPr>
          <w:rFonts w:hint="eastAsia"/>
          <w:color w:val="auto"/>
          <w:sz w:val="24"/>
          <w:highlight w:val="none"/>
        </w:rPr>
        <w:t>一、</w:t>
      </w:r>
      <w:r>
        <w:rPr>
          <w:rFonts w:hint="eastAsia"/>
          <w:color w:val="auto"/>
          <w:sz w:val="24"/>
          <w:highlight w:val="none"/>
          <w:lang w:val="en-US" w:eastAsia="zh-CN"/>
        </w:rPr>
        <w:t>共计822点位配套。</w:t>
      </w:r>
    </w:p>
    <w:p w14:paraId="717AF380">
      <w:pPr>
        <w:spacing w:line="360" w:lineRule="auto"/>
        <w:ind w:firstLine="448" w:firstLineChars="200"/>
        <w:outlineLvl w:val="0"/>
        <w:rPr>
          <w:rFonts w:hint="eastAsia"/>
          <w:color w:val="auto"/>
          <w:sz w:val="24"/>
          <w:highlight w:val="none"/>
        </w:rPr>
      </w:pPr>
      <w:r>
        <w:rPr>
          <w:rFonts w:hint="eastAsia"/>
          <w:color w:val="auto"/>
          <w:sz w:val="24"/>
          <w:highlight w:val="none"/>
          <w:lang w:val="en-US" w:eastAsia="zh-CN"/>
        </w:rPr>
        <w:t>1</w:t>
      </w:r>
      <w:r>
        <w:rPr>
          <w:rFonts w:hint="eastAsia"/>
          <w:color w:val="auto"/>
          <w:sz w:val="24"/>
          <w:highlight w:val="none"/>
        </w:rPr>
        <w:t>.</w:t>
      </w:r>
      <w:r>
        <w:rPr>
          <w:rFonts w:hint="eastAsia"/>
          <w:color w:val="auto"/>
          <w:sz w:val="24"/>
          <w:highlight w:val="none"/>
          <w:lang w:val="en-US" w:eastAsia="zh-CN"/>
        </w:rPr>
        <w:t xml:space="preserve"> </w:t>
      </w:r>
      <w:r>
        <w:rPr>
          <w:rFonts w:hint="eastAsia"/>
          <w:color w:val="auto"/>
          <w:sz w:val="24"/>
          <w:highlight w:val="none"/>
        </w:rPr>
        <w:t>布线</w:t>
      </w:r>
    </w:p>
    <w:p w14:paraId="694D37F3">
      <w:pPr>
        <w:spacing w:line="360" w:lineRule="auto"/>
        <w:ind w:firstLine="448" w:firstLineChars="200"/>
        <w:outlineLvl w:val="0"/>
        <w:rPr>
          <w:rFonts w:hint="eastAsia"/>
          <w:color w:val="auto"/>
          <w:sz w:val="24"/>
          <w:highlight w:val="none"/>
        </w:rPr>
      </w:pPr>
      <w:r>
        <w:rPr>
          <w:rFonts w:hint="eastAsia"/>
          <w:color w:val="auto"/>
          <w:sz w:val="24"/>
          <w:highlight w:val="none"/>
        </w:rPr>
        <w:t>根据现场情况绘制详细的布局布线方案，并得到用户方的认可后方可施工。</w:t>
      </w:r>
    </w:p>
    <w:p w14:paraId="2958830F">
      <w:pPr>
        <w:spacing w:line="360" w:lineRule="auto"/>
        <w:ind w:firstLine="448" w:firstLineChars="200"/>
        <w:outlineLvl w:val="0"/>
        <w:rPr>
          <w:rFonts w:hint="eastAsia"/>
          <w:color w:val="auto"/>
          <w:sz w:val="24"/>
          <w:highlight w:val="none"/>
        </w:rPr>
      </w:pPr>
      <w:r>
        <w:rPr>
          <w:rFonts w:hint="eastAsia"/>
          <w:color w:val="auto"/>
          <w:sz w:val="24"/>
          <w:highlight w:val="none"/>
        </w:rPr>
        <w:t>(1)</w:t>
      </w:r>
      <w:r>
        <w:rPr>
          <w:rFonts w:hint="eastAsia"/>
          <w:color w:val="auto"/>
          <w:sz w:val="24"/>
          <w:highlight w:val="none"/>
        </w:rPr>
        <w:tab/>
      </w:r>
      <w:r>
        <w:rPr>
          <w:rFonts w:hint="eastAsia"/>
          <w:color w:val="auto"/>
          <w:sz w:val="24"/>
          <w:highlight w:val="none"/>
        </w:rPr>
        <w:t>机房的网络部分综合布线，包括线路铺设、线路整理、设备的连接.</w:t>
      </w:r>
    </w:p>
    <w:p w14:paraId="4745695A">
      <w:pPr>
        <w:spacing w:line="360" w:lineRule="auto"/>
        <w:ind w:firstLine="448" w:firstLineChars="200"/>
        <w:outlineLvl w:val="0"/>
        <w:rPr>
          <w:rFonts w:hint="eastAsia"/>
          <w:color w:val="auto"/>
          <w:sz w:val="24"/>
          <w:highlight w:val="none"/>
        </w:rPr>
      </w:pPr>
      <w:r>
        <w:rPr>
          <w:rFonts w:hint="eastAsia"/>
          <w:color w:val="auto"/>
          <w:sz w:val="24"/>
          <w:highlight w:val="none"/>
        </w:rPr>
        <w:t>(2)</w:t>
      </w:r>
      <w:r>
        <w:rPr>
          <w:rFonts w:hint="eastAsia"/>
          <w:color w:val="auto"/>
          <w:sz w:val="24"/>
          <w:highlight w:val="none"/>
        </w:rPr>
        <w:tab/>
      </w:r>
      <w:r>
        <w:rPr>
          <w:rFonts w:hint="eastAsia"/>
          <w:color w:val="auto"/>
          <w:sz w:val="24"/>
          <w:highlight w:val="none"/>
        </w:rPr>
        <w:t>包括金属桥架的安装。</w:t>
      </w:r>
    </w:p>
    <w:p w14:paraId="6B92EB6F">
      <w:pPr>
        <w:spacing w:line="360" w:lineRule="auto"/>
        <w:ind w:firstLine="448" w:firstLineChars="200"/>
        <w:outlineLvl w:val="0"/>
        <w:rPr>
          <w:rFonts w:hint="eastAsia"/>
          <w:color w:val="auto"/>
          <w:sz w:val="24"/>
          <w:highlight w:val="none"/>
        </w:rPr>
      </w:pPr>
      <w:r>
        <w:rPr>
          <w:rFonts w:hint="eastAsia"/>
          <w:color w:val="auto"/>
          <w:sz w:val="24"/>
          <w:highlight w:val="none"/>
        </w:rPr>
        <w:t>(3)</w:t>
      </w:r>
      <w:r>
        <w:rPr>
          <w:rFonts w:hint="eastAsia"/>
          <w:color w:val="auto"/>
          <w:sz w:val="24"/>
          <w:highlight w:val="none"/>
        </w:rPr>
        <w:tab/>
      </w:r>
      <w:r>
        <w:rPr>
          <w:rFonts w:hint="eastAsia"/>
          <w:color w:val="auto"/>
          <w:sz w:val="24"/>
          <w:highlight w:val="none"/>
        </w:rPr>
        <w:t>机房内强电部分的安装敷设，包括线路铺设、线路整理、设备的连接，插线板的安装。</w:t>
      </w:r>
    </w:p>
    <w:p w14:paraId="042D24EA">
      <w:pPr>
        <w:spacing w:line="360" w:lineRule="auto"/>
        <w:ind w:firstLine="448" w:firstLineChars="200"/>
        <w:outlineLvl w:val="0"/>
        <w:rPr>
          <w:rFonts w:hint="eastAsia"/>
          <w:color w:val="auto"/>
          <w:sz w:val="24"/>
          <w:highlight w:val="none"/>
        </w:rPr>
      </w:pPr>
      <w:r>
        <w:rPr>
          <w:rFonts w:hint="eastAsia"/>
          <w:color w:val="auto"/>
          <w:sz w:val="24"/>
          <w:highlight w:val="none"/>
        </w:rPr>
        <w:t>(4)</w:t>
      </w:r>
      <w:r>
        <w:rPr>
          <w:rFonts w:hint="eastAsia"/>
          <w:color w:val="auto"/>
          <w:sz w:val="24"/>
          <w:highlight w:val="none"/>
        </w:rPr>
        <w:tab/>
      </w:r>
      <w:r>
        <w:rPr>
          <w:rFonts w:hint="eastAsia"/>
          <w:color w:val="auto"/>
          <w:sz w:val="24"/>
          <w:highlight w:val="none"/>
        </w:rPr>
        <w:t>相关所有线缆及配套标识及测试工作。</w:t>
      </w:r>
    </w:p>
    <w:p w14:paraId="72AC43E7">
      <w:pPr>
        <w:spacing w:line="360" w:lineRule="auto"/>
        <w:ind w:firstLine="448" w:firstLineChars="200"/>
        <w:outlineLvl w:val="0"/>
        <w:rPr>
          <w:rFonts w:hint="eastAsia"/>
          <w:color w:val="auto"/>
          <w:sz w:val="24"/>
          <w:highlight w:val="none"/>
          <w:lang w:val="en-US" w:eastAsia="zh-CN"/>
        </w:rPr>
      </w:pPr>
      <w:r>
        <w:rPr>
          <w:rFonts w:hint="eastAsia"/>
          <w:color w:val="auto"/>
          <w:sz w:val="24"/>
          <w:highlight w:val="none"/>
          <w:lang w:val="en-US" w:eastAsia="zh-CN"/>
        </w:rPr>
        <w:t>2</w:t>
      </w:r>
      <w:r>
        <w:rPr>
          <w:rFonts w:hint="eastAsia"/>
          <w:color w:val="auto"/>
          <w:sz w:val="24"/>
          <w:highlight w:val="none"/>
        </w:rPr>
        <w:t>.</w:t>
      </w:r>
      <w:r>
        <w:rPr>
          <w:rFonts w:hint="eastAsia"/>
          <w:color w:val="auto"/>
          <w:sz w:val="24"/>
          <w:highlight w:val="none"/>
          <w:lang w:val="en-US" w:eastAsia="zh-CN"/>
        </w:rPr>
        <w:t xml:space="preserve"> </w:t>
      </w:r>
      <w:r>
        <w:rPr>
          <w:rFonts w:hint="eastAsia"/>
          <w:color w:val="auto"/>
          <w:sz w:val="24"/>
          <w:highlight w:val="none"/>
        </w:rPr>
        <w:t>材料</w:t>
      </w:r>
      <w:r>
        <w:rPr>
          <w:rFonts w:hint="eastAsia"/>
          <w:color w:val="auto"/>
          <w:sz w:val="24"/>
          <w:highlight w:val="none"/>
          <w:lang w:val="en-US" w:eastAsia="zh-CN"/>
        </w:rPr>
        <w:t>要求</w:t>
      </w:r>
    </w:p>
    <w:p w14:paraId="7B246331">
      <w:pPr>
        <w:spacing w:line="360" w:lineRule="auto"/>
        <w:ind w:firstLine="448" w:firstLineChars="200"/>
        <w:outlineLvl w:val="0"/>
        <w:rPr>
          <w:rFonts w:hint="eastAsia"/>
          <w:color w:val="auto"/>
          <w:sz w:val="24"/>
          <w:highlight w:val="none"/>
        </w:rPr>
      </w:pPr>
      <w:r>
        <w:rPr>
          <w:rFonts w:hint="eastAsia"/>
          <w:color w:val="auto"/>
          <w:sz w:val="24"/>
          <w:highlight w:val="none"/>
        </w:rPr>
        <w:t>★(1)国标六类非屏蔽双绞线49600米，线径不得低于0.57mm，材质为优质无氧铜。</w:t>
      </w:r>
    </w:p>
    <w:p w14:paraId="445D7BFF">
      <w:pPr>
        <w:spacing w:line="360" w:lineRule="auto"/>
        <w:ind w:firstLine="448" w:firstLineChars="200"/>
        <w:outlineLvl w:val="0"/>
        <w:rPr>
          <w:rFonts w:hint="eastAsia"/>
          <w:color w:val="auto"/>
          <w:sz w:val="24"/>
          <w:highlight w:val="none"/>
        </w:rPr>
      </w:pPr>
      <w:r>
        <w:rPr>
          <w:rFonts w:hint="eastAsia"/>
          <w:color w:val="auto"/>
          <w:sz w:val="24"/>
          <w:highlight w:val="none"/>
        </w:rPr>
        <w:t>★(2)国标RVVP 3*2.5mm²电源线8780米。</w:t>
      </w:r>
    </w:p>
    <w:p w14:paraId="338AF04D">
      <w:pPr>
        <w:spacing w:line="360" w:lineRule="auto"/>
        <w:ind w:firstLine="448" w:firstLineChars="200"/>
        <w:outlineLvl w:val="0"/>
        <w:rPr>
          <w:rFonts w:hint="eastAsia"/>
          <w:color w:val="auto"/>
          <w:sz w:val="24"/>
          <w:highlight w:val="none"/>
          <w:lang w:val="en-US" w:eastAsia="zh-CN"/>
        </w:rPr>
      </w:pPr>
      <w:r>
        <w:rPr>
          <w:rFonts w:hint="eastAsia"/>
          <w:color w:val="auto"/>
          <w:sz w:val="24"/>
          <w:highlight w:val="none"/>
        </w:rPr>
        <w:t>(3)</w:t>
      </w:r>
      <w:r>
        <w:rPr>
          <w:rFonts w:hint="eastAsia"/>
          <w:color w:val="auto"/>
          <w:sz w:val="24"/>
          <w:highlight w:val="none"/>
        </w:rPr>
        <w:tab/>
      </w:r>
      <w:r>
        <w:rPr>
          <w:rFonts w:hint="eastAsia"/>
          <w:color w:val="auto"/>
          <w:sz w:val="24"/>
          <w:highlight w:val="none"/>
        </w:rPr>
        <w:t>符合最新版插座新国标要求的</w:t>
      </w:r>
      <w:r>
        <w:rPr>
          <w:rFonts w:hint="eastAsia"/>
          <w:color w:val="auto"/>
          <w:sz w:val="24"/>
          <w:highlight w:val="none"/>
          <w:lang w:val="en-US" w:eastAsia="zh-CN"/>
        </w:rPr>
        <w:t>86型5孔插座</w:t>
      </w:r>
      <w:r>
        <w:rPr>
          <w:rFonts w:hint="eastAsia"/>
          <w:color w:val="auto"/>
          <w:sz w:val="24"/>
          <w:highlight w:val="none"/>
        </w:rPr>
        <w:t>，</w:t>
      </w:r>
      <w:r>
        <w:rPr>
          <w:rFonts w:hint="eastAsia"/>
          <w:color w:val="auto"/>
          <w:sz w:val="24"/>
          <w:highlight w:val="none"/>
          <w:lang w:val="en-US" w:eastAsia="zh-CN"/>
        </w:rPr>
        <w:t>每个</w:t>
      </w:r>
      <w:r>
        <w:rPr>
          <w:rFonts w:hint="eastAsia"/>
          <w:color w:val="auto"/>
          <w:sz w:val="24"/>
          <w:highlight w:val="none"/>
        </w:rPr>
        <w:t>学生工位需要安装5孔国标插座</w:t>
      </w:r>
      <w:r>
        <w:rPr>
          <w:rFonts w:hint="eastAsia"/>
          <w:color w:val="auto"/>
          <w:sz w:val="24"/>
          <w:highlight w:val="none"/>
          <w:lang w:val="en-US" w:eastAsia="zh-CN"/>
        </w:rPr>
        <w:t>3</w:t>
      </w:r>
      <w:r>
        <w:rPr>
          <w:rFonts w:hint="eastAsia"/>
          <w:color w:val="auto"/>
          <w:sz w:val="24"/>
          <w:highlight w:val="none"/>
        </w:rPr>
        <w:t>个</w:t>
      </w:r>
      <w:r>
        <w:rPr>
          <w:rFonts w:hint="eastAsia"/>
          <w:color w:val="auto"/>
          <w:sz w:val="24"/>
          <w:highlight w:val="none"/>
          <w:lang w:eastAsia="zh-CN"/>
        </w:rPr>
        <w:t>，</w:t>
      </w:r>
      <w:r>
        <w:rPr>
          <w:rFonts w:hint="eastAsia"/>
          <w:color w:val="auto"/>
          <w:sz w:val="24"/>
          <w:highlight w:val="none"/>
          <w:lang w:val="en-US" w:eastAsia="zh-CN"/>
        </w:rPr>
        <w:t>共计2466个</w:t>
      </w:r>
    </w:p>
    <w:p w14:paraId="14AC7221">
      <w:pPr>
        <w:spacing w:line="360" w:lineRule="auto"/>
        <w:ind w:firstLine="448" w:firstLineChars="200"/>
        <w:outlineLvl w:val="0"/>
        <w:rPr>
          <w:rFonts w:hint="eastAsia"/>
          <w:color w:val="auto"/>
          <w:sz w:val="24"/>
          <w:highlight w:val="none"/>
        </w:rPr>
      </w:pPr>
      <w:r>
        <w:rPr>
          <w:rFonts w:hint="eastAsia"/>
          <w:color w:val="auto"/>
          <w:sz w:val="24"/>
          <w:highlight w:val="none"/>
        </w:rPr>
        <w:t>(4)</w:t>
      </w:r>
      <w:r>
        <w:rPr>
          <w:rFonts w:hint="eastAsia"/>
          <w:color w:val="auto"/>
          <w:sz w:val="24"/>
          <w:highlight w:val="none"/>
        </w:rPr>
        <w:tab/>
      </w:r>
      <w:r>
        <w:rPr>
          <w:rFonts w:hint="eastAsia"/>
          <w:color w:val="auto"/>
          <w:sz w:val="24"/>
          <w:highlight w:val="none"/>
        </w:rPr>
        <w:t>镀锌网络桥架150*100*1.2</w:t>
      </w:r>
      <w:r>
        <w:rPr>
          <w:rFonts w:hint="eastAsia"/>
          <w:color w:val="auto"/>
          <w:sz w:val="24"/>
          <w:highlight w:val="none"/>
          <w:lang w:eastAsia="zh-CN"/>
        </w:rPr>
        <w:t>（</w:t>
      </w:r>
      <w:r>
        <w:rPr>
          <w:rFonts w:hint="eastAsia"/>
          <w:color w:val="auto"/>
          <w:sz w:val="24"/>
          <w:highlight w:val="none"/>
          <w:lang w:val="en-US" w:eastAsia="zh-CN"/>
        </w:rPr>
        <w:t>厚度）</w:t>
      </w:r>
      <w:r>
        <w:rPr>
          <w:rFonts w:hint="eastAsia"/>
          <w:color w:val="auto"/>
          <w:sz w:val="24"/>
          <w:highlight w:val="none"/>
        </w:rPr>
        <w:t>（mm）共计1260米；100*100*1.0</w:t>
      </w:r>
      <w:r>
        <w:rPr>
          <w:rFonts w:hint="eastAsia"/>
          <w:color w:val="auto"/>
          <w:sz w:val="24"/>
          <w:highlight w:val="none"/>
          <w:lang w:eastAsia="zh-CN"/>
        </w:rPr>
        <w:t>（</w:t>
      </w:r>
      <w:r>
        <w:rPr>
          <w:rFonts w:hint="eastAsia"/>
          <w:color w:val="auto"/>
          <w:sz w:val="24"/>
          <w:highlight w:val="none"/>
          <w:lang w:val="en-US" w:eastAsia="zh-CN"/>
        </w:rPr>
        <w:t>厚度）</w:t>
      </w:r>
      <w:r>
        <w:rPr>
          <w:rFonts w:hint="eastAsia"/>
          <w:color w:val="auto"/>
          <w:sz w:val="24"/>
          <w:highlight w:val="none"/>
        </w:rPr>
        <w:t>（mm）共计1260米（包含所需的弯头三通等）</w:t>
      </w:r>
    </w:p>
    <w:p w14:paraId="58B167C2">
      <w:pPr>
        <w:spacing w:line="360" w:lineRule="auto"/>
        <w:ind w:firstLine="448" w:firstLineChars="200"/>
        <w:outlineLvl w:val="0"/>
        <w:rPr>
          <w:rFonts w:hint="eastAsia"/>
          <w:color w:val="auto"/>
          <w:sz w:val="24"/>
          <w:highlight w:val="none"/>
        </w:rPr>
      </w:pPr>
      <w:r>
        <w:rPr>
          <w:rFonts w:hint="eastAsia"/>
          <w:color w:val="auto"/>
          <w:sz w:val="24"/>
          <w:highlight w:val="none"/>
        </w:rPr>
        <w:t>(5)</w:t>
      </w:r>
      <w:r>
        <w:rPr>
          <w:rFonts w:hint="eastAsia"/>
          <w:color w:val="auto"/>
          <w:sz w:val="24"/>
          <w:highlight w:val="none"/>
        </w:rPr>
        <w:tab/>
      </w:r>
      <w:r>
        <w:rPr>
          <w:rFonts w:hint="eastAsia"/>
          <w:color w:val="auto"/>
          <w:sz w:val="24"/>
          <w:highlight w:val="none"/>
        </w:rPr>
        <w:t>六类水晶头16</w:t>
      </w:r>
      <w:r>
        <w:rPr>
          <w:rFonts w:hint="eastAsia"/>
          <w:color w:val="auto"/>
          <w:sz w:val="24"/>
          <w:highlight w:val="none"/>
          <w:lang w:val="en-US" w:eastAsia="zh-CN"/>
        </w:rPr>
        <w:t>5</w:t>
      </w:r>
      <w:r>
        <w:rPr>
          <w:rFonts w:hint="eastAsia"/>
          <w:color w:val="auto"/>
          <w:sz w:val="24"/>
          <w:highlight w:val="none"/>
        </w:rPr>
        <w:t>0个，要求镀金厚度至少为50um。</w:t>
      </w:r>
    </w:p>
    <w:p w14:paraId="5AF78CA5">
      <w:pPr>
        <w:spacing w:line="360" w:lineRule="auto"/>
        <w:ind w:firstLine="448" w:firstLineChars="200"/>
        <w:outlineLvl w:val="0"/>
        <w:rPr>
          <w:rFonts w:hint="eastAsia"/>
          <w:color w:val="auto"/>
          <w:sz w:val="24"/>
          <w:highlight w:val="none"/>
        </w:rPr>
      </w:pPr>
      <w:r>
        <w:rPr>
          <w:rFonts w:hint="eastAsia"/>
          <w:color w:val="auto"/>
          <w:sz w:val="24"/>
          <w:highlight w:val="none"/>
        </w:rPr>
        <w:t>(6)</w:t>
      </w:r>
      <w:r>
        <w:rPr>
          <w:rFonts w:hint="eastAsia"/>
          <w:color w:val="auto"/>
          <w:sz w:val="24"/>
          <w:highlight w:val="none"/>
        </w:rPr>
        <w:tab/>
      </w:r>
      <w:r>
        <w:rPr>
          <w:rFonts w:hint="eastAsia"/>
          <w:color w:val="auto"/>
          <w:sz w:val="24"/>
          <w:highlight w:val="none"/>
        </w:rPr>
        <w:t>网络机柜理线架共计60个。</w:t>
      </w:r>
    </w:p>
    <w:p w14:paraId="244DD11E">
      <w:pPr>
        <w:spacing w:line="360" w:lineRule="auto"/>
        <w:ind w:firstLine="448" w:firstLineChars="200"/>
        <w:outlineLvl w:val="0"/>
        <w:rPr>
          <w:rFonts w:hint="eastAsia"/>
          <w:color w:val="auto"/>
          <w:sz w:val="24"/>
          <w:highlight w:val="none"/>
        </w:rPr>
      </w:pPr>
      <w:r>
        <w:rPr>
          <w:rFonts w:hint="eastAsia"/>
          <w:color w:val="auto"/>
          <w:sz w:val="24"/>
          <w:highlight w:val="none"/>
        </w:rPr>
        <w:t>(7)</w:t>
      </w:r>
      <w:r>
        <w:rPr>
          <w:rFonts w:hint="eastAsia"/>
          <w:color w:val="auto"/>
          <w:sz w:val="24"/>
          <w:highlight w:val="none"/>
        </w:rPr>
        <w:tab/>
      </w:r>
      <w:r>
        <w:rPr>
          <w:rFonts w:hint="eastAsia"/>
          <w:color w:val="auto"/>
          <w:sz w:val="24"/>
          <w:highlight w:val="none"/>
        </w:rPr>
        <w:t>其它施工用PVC线管、软管等相关辅料</w:t>
      </w:r>
    </w:p>
    <w:p w14:paraId="5AC25378">
      <w:pPr>
        <w:spacing w:line="360" w:lineRule="auto"/>
        <w:ind w:firstLine="448" w:firstLineChars="200"/>
        <w:outlineLvl w:val="0"/>
        <w:rPr>
          <w:rFonts w:hint="eastAsia"/>
          <w:color w:val="auto"/>
          <w:sz w:val="24"/>
          <w:highlight w:val="none"/>
        </w:rPr>
      </w:pPr>
      <w:r>
        <w:rPr>
          <w:rFonts w:hint="eastAsia"/>
          <w:color w:val="auto"/>
          <w:sz w:val="24"/>
          <w:highlight w:val="none"/>
        </w:rPr>
        <w:t>(8)</w:t>
      </w:r>
      <w:r>
        <w:rPr>
          <w:rFonts w:hint="eastAsia"/>
          <w:color w:val="auto"/>
          <w:sz w:val="24"/>
          <w:highlight w:val="none"/>
        </w:rPr>
        <w:tab/>
      </w:r>
      <w:r>
        <w:rPr>
          <w:rFonts w:hint="eastAsia"/>
          <w:color w:val="auto"/>
          <w:sz w:val="24"/>
          <w:highlight w:val="none"/>
        </w:rPr>
        <w:t>所有材料应具有产品合格证、检测报告等质量证明文件，并进行进场检验，检查材料的规格、型号、外观质量等是否符合要求。</w:t>
      </w:r>
    </w:p>
    <w:p w14:paraId="04278D8E">
      <w:pPr>
        <w:spacing w:line="360" w:lineRule="auto"/>
        <w:ind w:firstLine="448" w:firstLineChars="200"/>
        <w:outlineLvl w:val="0"/>
        <w:rPr>
          <w:rFonts w:hint="eastAsia"/>
          <w:color w:val="auto"/>
          <w:sz w:val="24"/>
          <w:highlight w:val="none"/>
        </w:rPr>
      </w:pPr>
      <w:r>
        <w:rPr>
          <w:rFonts w:hint="eastAsia"/>
          <w:color w:val="auto"/>
          <w:sz w:val="24"/>
          <w:highlight w:val="none"/>
        </w:rPr>
        <w:t>3.</w:t>
      </w:r>
      <w:r>
        <w:rPr>
          <w:rFonts w:hint="eastAsia"/>
          <w:color w:val="auto"/>
          <w:sz w:val="24"/>
          <w:highlight w:val="none"/>
          <w:lang w:val="en-US" w:eastAsia="zh-CN"/>
        </w:rPr>
        <w:t xml:space="preserve"> </w:t>
      </w:r>
      <w:r>
        <w:rPr>
          <w:rFonts w:hint="eastAsia"/>
          <w:color w:val="auto"/>
          <w:sz w:val="24"/>
          <w:highlight w:val="none"/>
        </w:rPr>
        <w:t>弱电网络标准：</w:t>
      </w:r>
    </w:p>
    <w:p w14:paraId="7F61EFD9">
      <w:pPr>
        <w:spacing w:line="360" w:lineRule="auto"/>
        <w:ind w:firstLine="448" w:firstLineChars="200"/>
        <w:outlineLvl w:val="0"/>
        <w:rPr>
          <w:rFonts w:hint="eastAsia"/>
          <w:color w:val="auto"/>
          <w:sz w:val="24"/>
          <w:highlight w:val="none"/>
          <w:lang w:val="en-US" w:eastAsia="zh-CN"/>
        </w:rPr>
      </w:pPr>
      <w:r>
        <w:rPr>
          <w:rFonts w:hint="eastAsia"/>
          <w:color w:val="auto"/>
          <w:sz w:val="24"/>
          <w:highlight w:val="none"/>
        </w:rPr>
        <w:t>(</w:t>
      </w:r>
      <w:r>
        <w:rPr>
          <w:rFonts w:hint="eastAsia"/>
          <w:color w:val="auto"/>
          <w:sz w:val="24"/>
          <w:highlight w:val="none"/>
          <w:lang w:val="en-US" w:eastAsia="zh-CN"/>
        </w:rPr>
        <w:t>1</w:t>
      </w:r>
      <w:r>
        <w:rPr>
          <w:rFonts w:hint="eastAsia"/>
          <w:color w:val="auto"/>
          <w:sz w:val="24"/>
          <w:highlight w:val="none"/>
        </w:rPr>
        <w:t>)</w:t>
      </w:r>
      <w:r>
        <w:rPr>
          <w:rFonts w:hint="eastAsia"/>
          <w:color w:val="auto"/>
          <w:sz w:val="24"/>
          <w:highlight w:val="none"/>
        </w:rPr>
        <w:tab/>
      </w:r>
      <w:r>
        <w:rPr>
          <w:rFonts w:hint="eastAsia"/>
          <w:color w:val="auto"/>
          <w:sz w:val="24"/>
          <w:highlight w:val="none"/>
        </w:rPr>
        <w:t>在陶瓷静电地板下方，按照设计图纸确定金属桥架的安装位置和走向</w:t>
      </w:r>
      <w:r>
        <w:rPr>
          <w:rFonts w:hint="eastAsia"/>
          <w:color w:val="auto"/>
          <w:sz w:val="24"/>
          <w:highlight w:val="none"/>
          <w:lang w:val="en-US" w:eastAsia="zh-CN"/>
        </w:rPr>
        <w:t>.</w:t>
      </w:r>
    </w:p>
    <w:p w14:paraId="606AE18B">
      <w:pPr>
        <w:spacing w:line="360" w:lineRule="auto"/>
        <w:ind w:firstLine="448" w:firstLineChars="200"/>
        <w:outlineLvl w:val="0"/>
        <w:rPr>
          <w:rFonts w:hint="eastAsia"/>
          <w:color w:val="auto"/>
          <w:sz w:val="24"/>
          <w:highlight w:val="none"/>
        </w:rPr>
      </w:pPr>
      <w:r>
        <w:rPr>
          <w:rFonts w:hint="eastAsia"/>
          <w:color w:val="auto"/>
          <w:sz w:val="24"/>
          <w:highlight w:val="none"/>
        </w:rPr>
        <w:t>(</w:t>
      </w:r>
      <w:r>
        <w:rPr>
          <w:rFonts w:hint="eastAsia"/>
          <w:color w:val="auto"/>
          <w:sz w:val="24"/>
          <w:highlight w:val="none"/>
          <w:lang w:val="en-US" w:eastAsia="zh-CN"/>
        </w:rPr>
        <w:t>2</w:t>
      </w:r>
      <w:r>
        <w:rPr>
          <w:rFonts w:hint="eastAsia"/>
          <w:color w:val="auto"/>
          <w:sz w:val="24"/>
          <w:highlight w:val="none"/>
        </w:rPr>
        <w:t>)</w:t>
      </w:r>
      <w:r>
        <w:rPr>
          <w:rFonts w:hint="eastAsia"/>
          <w:color w:val="auto"/>
          <w:sz w:val="24"/>
          <w:highlight w:val="none"/>
        </w:rPr>
        <w:tab/>
      </w:r>
      <w:r>
        <w:rPr>
          <w:rFonts w:hint="eastAsia"/>
          <w:color w:val="auto"/>
          <w:sz w:val="24"/>
          <w:highlight w:val="none"/>
          <w:lang w:val="en-US" w:eastAsia="zh-CN"/>
        </w:rPr>
        <w:t>线缆</w:t>
      </w:r>
      <w:r>
        <w:rPr>
          <w:rFonts w:hint="eastAsia"/>
          <w:color w:val="auto"/>
          <w:sz w:val="24"/>
          <w:highlight w:val="none"/>
        </w:rPr>
        <w:t>出静电地板时需要使用开孔器在出线位置开孔，孔内使用PVC管保护线缆，并且PVC管的出地面高度不得低于60cm。</w:t>
      </w:r>
    </w:p>
    <w:p w14:paraId="5E59D77E">
      <w:pPr>
        <w:spacing w:line="360" w:lineRule="auto"/>
        <w:ind w:firstLine="448" w:firstLineChars="200"/>
        <w:outlineLvl w:val="0"/>
        <w:rPr>
          <w:rFonts w:hint="eastAsia"/>
          <w:color w:val="auto"/>
          <w:sz w:val="24"/>
          <w:highlight w:val="none"/>
        </w:rPr>
      </w:pPr>
      <w:r>
        <w:rPr>
          <w:rFonts w:hint="eastAsia"/>
          <w:color w:val="auto"/>
          <w:sz w:val="24"/>
          <w:highlight w:val="none"/>
        </w:rPr>
        <w:t>4.</w:t>
      </w:r>
      <w:r>
        <w:rPr>
          <w:rFonts w:hint="eastAsia"/>
          <w:color w:val="auto"/>
          <w:sz w:val="24"/>
          <w:highlight w:val="none"/>
          <w:lang w:val="en-US" w:eastAsia="zh-CN"/>
        </w:rPr>
        <w:t xml:space="preserve"> </w:t>
      </w:r>
      <w:r>
        <w:rPr>
          <w:rFonts w:hint="eastAsia"/>
          <w:color w:val="auto"/>
          <w:sz w:val="24"/>
          <w:highlight w:val="none"/>
        </w:rPr>
        <w:t>强电布线标准：</w:t>
      </w:r>
    </w:p>
    <w:p w14:paraId="393FC354">
      <w:pPr>
        <w:spacing w:line="360" w:lineRule="auto"/>
        <w:ind w:firstLine="448" w:firstLineChars="200"/>
        <w:outlineLvl w:val="0"/>
        <w:rPr>
          <w:rFonts w:hint="eastAsia"/>
          <w:color w:val="auto"/>
          <w:sz w:val="24"/>
          <w:highlight w:val="none"/>
        </w:rPr>
      </w:pPr>
      <w:r>
        <w:rPr>
          <w:rFonts w:hint="eastAsia"/>
          <w:color w:val="auto"/>
          <w:sz w:val="24"/>
          <w:highlight w:val="none"/>
        </w:rPr>
        <w:t>(</w:t>
      </w:r>
      <w:r>
        <w:rPr>
          <w:rFonts w:hint="eastAsia"/>
          <w:color w:val="auto"/>
          <w:sz w:val="24"/>
          <w:highlight w:val="none"/>
          <w:lang w:val="en-US" w:eastAsia="zh-CN"/>
        </w:rPr>
        <w:t>1</w:t>
      </w:r>
      <w:r>
        <w:rPr>
          <w:rFonts w:hint="eastAsia"/>
          <w:color w:val="auto"/>
          <w:sz w:val="24"/>
          <w:highlight w:val="none"/>
        </w:rPr>
        <w:t>)</w:t>
      </w:r>
      <w:r>
        <w:rPr>
          <w:rFonts w:hint="eastAsia"/>
          <w:color w:val="auto"/>
          <w:sz w:val="24"/>
          <w:highlight w:val="none"/>
        </w:rPr>
        <w:tab/>
      </w:r>
      <w:r>
        <w:rPr>
          <w:rFonts w:hint="eastAsia"/>
          <w:color w:val="auto"/>
          <w:sz w:val="24"/>
          <w:highlight w:val="none"/>
        </w:rPr>
        <w:t>在机房静电地板下安装桥架，要求离地</w:t>
      </w:r>
      <w:r>
        <w:rPr>
          <w:rFonts w:hint="eastAsia"/>
          <w:color w:val="auto"/>
          <w:sz w:val="24"/>
          <w:highlight w:val="none"/>
          <w:lang w:val="en-US" w:eastAsia="zh-CN"/>
        </w:rPr>
        <w:t>10cm。</w:t>
      </w:r>
    </w:p>
    <w:p w14:paraId="14040232">
      <w:pPr>
        <w:spacing w:line="360" w:lineRule="auto"/>
        <w:ind w:firstLine="448" w:firstLineChars="200"/>
        <w:outlineLvl w:val="0"/>
        <w:rPr>
          <w:rFonts w:hint="eastAsia"/>
          <w:color w:val="auto"/>
          <w:sz w:val="24"/>
          <w:highlight w:val="none"/>
        </w:rPr>
      </w:pPr>
      <w:r>
        <w:rPr>
          <w:rFonts w:hint="eastAsia"/>
          <w:color w:val="auto"/>
          <w:sz w:val="24"/>
          <w:highlight w:val="none"/>
        </w:rPr>
        <w:t>(</w:t>
      </w:r>
      <w:r>
        <w:rPr>
          <w:rFonts w:hint="eastAsia"/>
          <w:color w:val="auto"/>
          <w:sz w:val="24"/>
          <w:highlight w:val="none"/>
          <w:lang w:val="en-US" w:eastAsia="zh-CN"/>
        </w:rPr>
        <w:t>2</w:t>
      </w:r>
      <w:r>
        <w:rPr>
          <w:rFonts w:hint="eastAsia"/>
          <w:color w:val="auto"/>
          <w:sz w:val="24"/>
          <w:highlight w:val="none"/>
        </w:rPr>
        <w:t>)</w:t>
      </w:r>
      <w:r>
        <w:rPr>
          <w:rFonts w:hint="eastAsia"/>
          <w:color w:val="auto"/>
          <w:sz w:val="24"/>
          <w:highlight w:val="none"/>
        </w:rPr>
        <w:tab/>
      </w:r>
      <w:r>
        <w:rPr>
          <w:rFonts w:hint="eastAsia"/>
          <w:color w:val="auto"/>
          <w:sz w:val="24"/>
          <w:highlight w:val="none"/>
        </w:rPr>
        <w:t>所有线缆从桥架穿出需使用硬质的PVC线管保护，并使用锁母进行固定。</w:t>
      </w:r>
    </w:p>
    <w:p w14:paraId="547D0960">
      <w:pPr>
        <w:spacing w:line="360" w:lineRule="auto"/>
        <w:ind w:firstLine="448" w:firstLineChars="200"/>
        <w:outlineLvl w:val="0"/>
        <w:rPr>
          <w:rFonts w:hint="eastAsia"/>
          <w:color w:val="auto"/>
          <w:sz w:val="24"/>
          <w:highlight w:val="none"/>
        </w:rPr>
      </w:pPr>
      <w:r>
        <w:rPr>
          <w:rFonts w:hint="eastAsia"/>
          <w:color w:val="auto"/>
          <w:sz w:val="24"/>
          <w:highlight w:val="none"/>
        </w:rPr>
        <w:t>(</w:t>
      </w:r>
      <w:r>
        <w:rPr>
          <w:rFonts w:hint="eastAsia"/>
          <w:color w:val="auto"/>
          <w:sz w:val="24"/>
          <w:highlight w:val="none"/>
          <w:lang w:val="en-US" w:eastAsia="zh-CN"/>
        </w:rPr>
        <w:t>3</w:t>
      </w:r>
      <w:r>
        <w:rPr>
          <w:rFonts w:hint="eastAsia"/>
          <w:color w:val="auto"/>
          <w:sz w:val="24"/>
          <w:highlight w:val="none"/>
        </w:rPr>
        <w:t>)</w:t>
      </w:r>
      <w:r>
        <w:rPr>
          <w:rFonts w:hint="eastAsia"/>
          <w:color w:val="auto"/>
          <w:sz w:val="24"/>
          <w:highlight w:val="none"/>
        </w:rPr>
        <w:tab/>
      </w:r>
      <w:r>
        <w:rPr>
          <w:rFonts w:hint="eastAsia"/>
          <w:color w:val="auto"/>
          <w:sz w:val="24"/>
          <w:highlight w:val="none"/>
        </w:rPr>
        <w:t>出静电地板时需要使用开孔器在出线位置开孔，孔内使用PVC管保护线缆，并且PVC管的出地面高度不得低于60cm。</w:t>
      </w:r>
    </w:p>
    <w:p w14:paraId="0599D0FC">
      <w:pPr>
        <w:spacing w:line="360" w:lineRule="auto"/>
        <w:ind w:firstLine="448" w:firstLineChars="200"/>
        <w:outlineLvl w:val="0"/>
        <w:rPr>
          <w:rFonts w:hint="eastAsia"/>
          <w:color w:val="auto"/>
          <w:sz w:val="24"/>
          <w:highlight w:val="none"/>
        </w:rPr>
      </w:pPr>
      <w:r>
        <w:rPr>
          <w:rFonts w:hint="eastAsia"/>
          <w:color w:val="auto"/>
          <w:sz w:val="24"/>
          <w:highlight w:val="none"/>
        </w:rPr>
        <w:t>二、验收标准</w:t>
      </w:r>
    </w:p>
    <w:p w14:paraId="1DDC935E">
      <w:pPr>
        <w:spacing w:line="360" w:lineRule="auto"/>
        <w:ind w:firstLine="448" w:firstLineChars="200"/>
        <w:outlineLvl w:val="0"/>
        <w:rPr>
          <w:rFonts w:hint="eastAsia"/>
          <w:color w:val="auto"/>
          <w:sz w:val="24"/>
          <w:highlight w:val="none"/>
        </w:rPr>
      </w:pPr>
      <w:r>
        <w:rPr>
          <w:rFonts w:hint="eastAsia"/>
          <w:color w:val="auto"/>
          <w:sz w:val="24"/>
          <w:highlight w:val="none"/>
        </w:rPr>
        <w:t>1</w:t>
      </w:r>
      <w:r>
        <w:rPr>
          <w:rFonts w:hint="eastAsia"/>
          <w:color w:val="auto"/>
          <w:sz w:val="24"/>
          <w:highlight w:val="none"/>
          <w:lang w:val="en-US" w:eastAsia="zh-CN"/>
        </w:rPr>
        <w:t xml:space="preserve">. </w:t>
      </w:r>
      <w:r>
        <w:rPr>
          <w:rFonts w:hint="eastAsia"/>
          <w:color w:val="auto"/>
          <w:sz w:val="24"/>
          <w:highlight w:val="none"/>
        </w:rPr>
        <w:t>供应商完成布线系统全部施工内容后，向招标方提交完整的竣工资料，包括但不限于设计图纸（弱电布线图、强电布线图、接地系统图等）、设备材料清单、线缆测试报告、施工日志、变更记录等。</w:t>
      </w:r>
    </w:p>
    <w:p w14:paraId="54FE1CE4">
      <w:pPr>
        <w:spacing w:line="360" w:lineRule="auto"/>
        <w:ind w:firstLine="448" w:firstLineChars="200"/>
        <w:outlineLvl w:val="0"/>
        <w:rPr>
          <w:rFonts w:hint="eastAsia"/>
          <w:color w:val="auto"/>
          <w:sz w:val="24"/>
          <w:highlight w:val="none"/>
        </w:rPr>
      </w:pPr>
      <w:r>
        <w:rPr>
          <w:rFonts w:hint="eastAsia"/>
          <w:color w:val="auto"/>
          <w:sz w:val="24"/>
          <w:highlight w:val="none"/>
        </w:rPr>
        <w:t>2</w:t>
      </w:r>
      <w:r>
        <w:rPr>
          <w:rFonts w:hint="eastAsia"/>
          <w:color w:val="auto"/>
          <w:sz w:val="24"/>
          <w:highlight w:val="none"/>
          <w:lang w:val="en-US" w:eastAsia="zh-CN"/>
        </w:rPr>
        <w:t xml:space="preserve">. </w:t>
      </w:r>
      <w:r>
        <w:rPr>
          <w:rFonts w:hint="eastAsia"/>
          <w:color w:val="auto"/>
          <w:sz w:val="24"/>
          <w:highlight w:val="none"/>
        </w:rPr>
        <w:t>招标方组织专业技术人员依据本招标需求、国家相关标准规范（如 GB 50174 - 2017《数据中心设计规范》、GB 50311 - 2016《综合布线系统工程设计规范》等）以及供应商提交的竣工资料对布线系统进行现场验收。验收内容涵盖线缆敷设质量、桥架线槽安装、设备连接、测试报告真实性与合规性等各个方面，若发现任何不符合要求的情况，供应商需立即整改，直至验收合格。</w:t>
      </w:r>
    </w:p>
    <w:p w14:paraId="41DA06EF">
      <w:pPr>
        <w:spacing w:line="360" w:lineRule="auto"/>
        <w:ind w:firstLine="448" w:firstLineChars="200"/>
        <w:outlineLvl w:val="0"/>
        <w:rPr>
          <w:rFonts w:hint="eastAsia"/>
          <w:color w:val="auto"/>
          <w:sz w:val="24"/>
          <w:highlight w:val="none"/>
        </w:rPr>
      </w:pPr>
      <w:r>
        <w:rPr>
          <w:rFonts w:hint="eastAsia"/>
          <w:color w:val="auto"/>
          <w:sz w:val="24"/>
          <w:highlight w:val="none"/>
        </w:rPr>
        <w:t>（一）外观检查</w:t>
      </w:r>
    </w:p>
    <w:p w14:paraId="03A7EC61">
      <w:pPr>
        <w:spacing w:line="360" w:lineRule="auto"/>
        <w:ind w:firstLine="448" w:firstLineChars="200"/>
        <w:outlineLvl w:val="0"/>
        <w:rPr>
          <w:rFonts w:hint="eastAsia"/>
          <w:color w:val="auto"/>
          <w:sz w:val="24"/>
          <w:highlight w:val="none"/>
        </w:rPr>
      </w:pPr>
      <w:r>
        <w:rPr>
          <w:rFonts w:hint="eastAsia"/>
          <w:color w:val="auto"/>
          <w:sz w:val="24"/>
          <w:highlight w:val="none"/>
          <w:lang w:val="en-US" w:eastAsia="zh-CN"/>
        </w:rPr>
        <w:t xml:space="preserve">1. </w:t>
      </w:r>
      <w:r>
        <w:rPr>
          <w:rFonts w:hint="eastAsia"/>
          <w:color w:val="auto"/>
          <w:sz w:val="24"/>
          <w:highlight w:val="none"/>
        </w:rPr>
        <w:t>金属桥架安装应横平竖直，固定牢固，支架间距均匀，符合设计要求。桥架表面无变形、划伤、锈蚀等缺陷，接地可靠。</w:t>
      </w:r>
    </w:p>
    <w:p w14:paraId="2DC19F18">
      <w:pPr>
        <w:spacing w:line="360" w:lineRule="auto"/>
        <w:ind w:firstLine="448" w:firstLineChars="200"/>
        <w:outlineLvl w:val="0"/>
        <w:rPr>
          <w:rFonts w:hint="eastAsia"/>
          <w:color w:val="auto"/>
          <w:sz w:val="24"/>
          <w:highlight w:val="none"/>
        </w:rPr>
      </w:pPr>
      <w:r>
        <w:rPr>
          <w:rFonts w:hint="eastAsia"/>
          <w:color w:val="auto"/>
          <w:sz w:val="24"/>
          <w:highlight w:val="none"/>
          <w:lang w:val="en-US" w:eastAsia="zh-CN"/>
        </w:rPr>
        <w:t xml:space="preserve">2. </w:t>
      </w:r>
      <w:r>
        <w:rPr>
          <w:rFonts w:hint="eastAsia"/>
          <w:color w:val="auto"/>
          <w:sz w:val="24"/>
          <w:highlight w:val="none"/>
        </w:rPr>
        <w:t>线管敷设应整齐美观，固定点牢固，间距符合要求。线管连接紧密，无松动现象，弯曲处无褶皱、裂缝。</w:t>
      </w:r>
    </w:p>
    <w:p w14:paraId="2E4250EB">
      <w:pPr>
        <w:spacing w:line="360" w:lineRule="auto"/>
        <w:ind w:firstLine="448" w:firstLineChars="200"/>
        <w:outlineLvl w:val="0"/>
        <w:rPr>
          <w:rFonts w:hint="eastAsia"/>
          <w:color w:val="auto"/>
          <w:sz w:val="24"/>
          <w:highlight w:val="none"/>
        </w:rPr>
      </w:pPr>
      <w:r>
        <w:rPr>
          <w:rFonts w:hint="eastAsia"/>
          <w:color w:val="auto"/>
          <w:sz w:val="24"/>
          <w:highlight w:val="none"/>
          <w:lang w:val="en-US" w:eastAsia="zh-CN"/>
        </w:rPr>
        <w:t xml:space="preserve">3 </w:t>
      </w:r>
      <w:r>
        <w:rPr>
          <w:rFonts w:hint="eastAsia"/>
          <w:color w:val="auto"/>
          <w:sz w:val="24"/>
          <w:highlight w:val="none"/>
        </w:rPr>
        <w:t>线缆敷设应整齐有序，无扭曲、打结现象，线缆两端标记清晰、准确。在桥架内和线管内的线缆应固定良好，无松散情况。</w:t>
      </w:r>
    </w:p>
    <w:p w14:paraId="656405FE">
      <w:pPr>
        <w:spacing w:line="360" w:lineRule="auto"/>
        <w:ind w:firstLine="448" w:firstLineChars="200"/>
        <w:outlineLvl w:val="0"/>
        <w:rPr>
          <w:rFonts w:hint="eastAsia"/>
          <w:color w:val="auto"/>
          <w:sz w:val="24"/>
          <w:highlight w:val="none"/>
        </w:rPr>
      </w:pPr>
      <w:r>
        <w:rPr>
          <w:rFonts w:hint="eastAsia"/>
          <w:color w:val="auto"/>
          <w:sz w:val="24"/>
          <w:highlight w:val="none"/>
          <w:lang w:val="en-US" w:eastAsia="zh-CN"/>
        </w:rPr>
        <w:t xml:space="preserve">4. </w:t>
      </w:r>
      <w:r>
        <w:rPr>
          <w:rFonts w:hint="eastAsia"/>
          <w:color w:val="auto"/>
          <w:sz w:val="24"/>
          <w:highlight w:val="none"/>
        </w:rPr>
        <w:t>网络配线架、电源插座、机柜等设备安装应牢固，位置正确，表面无损伤，标识清晰。</w:t>
      </w:r>
    </w:p>
    <w:p w14:paraId="71D1D64D">
      <w:pPr>
        <w:spacing w:line="360" w:lineRule="auto"/>
        <w:ind w:firstLine="448" w:firstLineChars="200"/>
        <w:outlineLvl w:val="0"/>
        <w:rPr>
          <w:rFonts w:hint="eastAsia"/>
          <w:color w:val="auto"/>
          <w:sz w:val="24"/>
          <w:highlight w:val="none"/>
        </w:rPr>
      </w:pPr>
      <w:r>
        <w:rPr>
          <w:rFonts w:hint="eastAsia"/>
          <w:color w:val="auto"/>
          <w:sz w:val="24"/>
          <w:highlight w:val="none"/>
        </w:rPr>
        <w:t>（二）性能测试</w:t>
      </w:r>
    </w:p>
    <w:p w14:paraId="1AC6DE24">
      <w:pPr>
        <w:spacing w:line="360" w:lineRule="auto"/>
        <w:ind w:firstLine="448" w:firstLineChars="200"/>
        <w:outlineLvl w:val="0"/>
        <w:rPr>
          <w:rFonts w:hint="eastAsia"/>
          <w:color w:val="auto"/>
          <w:sz w:val="24"/>
          <w:highlight w:val="none"/>
        </w:rPr>
      </w:pPr>
      <w:r>
        <w:rPr>
          <w:rFonts w:hint="eastAsia"/>
          <w:color w:val="auto"/>
          <w:sz w:val="24"/>
          <w:highlight w:val="none"/>
          <w:lang w:val="en-US" w:eastAsia="zh-CN"/>
        </w:rPr>
        <w:t xml:space="preserve">1. </w:t>
      </w:r>
      <w:r>
        <w:rPr>
          <w:rFonts w:hint="eastAsia"/>
          <w:color w:val="auto"/>
          <w:sz w:val="24"/>
          <w:highlight w:val="none"/>
        </w:rPr>
        <w:t>网络线缆测试</w:t>
      </w:r>
    </w:p>
    <w:p w14:paraId="73871C87">
      <w:pPr>
        <w:spacing w:line="360" w:lineRule="auto"/>
        <w:ind w:firstLine="448" w:firstLineChars="200"/>
        <w:outlineLvl w:val="0"/>
        <w:rPr>
          <w:rFonts w:hint="eastAsia"/>
          <w:color w:val="auto"/>
          <w:sz w:val="24"/>
          <w:highlight w:val="none"/>
        </w:rPr>
      </w:pPr>
      <w:r>
        <w:rPr>
          <w:rFonts w:hint="eastAsia"/>
          <w:color w:val="auto"/>
          <w:sz w:val="24"/>
          <w:highlight w:val="none"/>
        </w:rPr>
        <w:t>★(</w:t>
      </w:r>
      <w:r>
        <w:rPr>
          <w:rFonts w:hint="eastAsia"/>
          <w:color w:val="auto"/>
          <w:sz w:val="24"/>
          <w:highlight w:val="none"/>
          <w:lang w:val="en-US" w:eastAsia="zh-CN"/>
        </w:rPr>
        <w:t>1</w:t>
      </w:r>
      <w:r>
        <w:rPr>
          <w:rFonts w:hint="eastAsia"/>
          <w:color w:val="auto"/>
          <w:sz w:val="24"/>
          <w:highlight w:val="none"/>
        </w:rPr>
        <w:t>)使用专业的福禄克网络线缆测试仪对每一条线路进行测试，测试内容包括线对连通性、线序正确性、长度、衰减、近端串扰（NEXT）、远端串扰（FEXT）、回波损耗（RL）等指标，测试结果应符合 TIA/EIA 568B.2 - 1 等相关标准要求，并出具详细的测试报告，包含每条链路的测试数据、测试时间、测试人员、测试设备型号等信息。</w:t>
      </w:r>
    </w:p>
    <w:p w14:paraId="4BD3CE69">
      <w:pPr>
        <w:numPr>
          <w:ilvl w:val="0"/>
          <w:numId w:val="3"/>
        </w:numPr>
        <w:spacing w:line="360" w:lineRule="auto"/>
        <w:ind w:firstLine="448" w:firstLineChars="200"/>
        <w:outlineLvl w:val="0"/>
        <w:rPr>
          <w:rFonts w:hint="eastAsia"/>
          <w:color w:val="auto"/>
          <w:sz w:val="24"/>
          <w:highlight w:val="none"/>
        </w:rPr>
      </w:pPr>
      <w:r>
        <w:rPr>
          <w:rFonts w:hint="eastAsia"/>
          <w:color w:val="auto"/>
          <w:sz w:val="24"/>
          <w:highlight w:val="none"/>
        </w:rPr>
        <w:t>电源线缆测试</w:t>
      </w:r>
    </w:p>
    <w:p w14:paraId="3B231E25">
      <w:pPr>
        <w:spacing w:line="360" w:lineRule="auto"/>
        <w:ind w:firstLine="448" w:firstLineChars="200"/>
        <w:outlineLvl w:val="0"/>
        <w:rPr>
          <w:rFonts w:hint="eastAsia"/>
          <w:color w:val="auto"/>
          <w:sz w:val="24"/>
          <w:highlight w:val="none"/>
        </w:rPr>
      </w:pPr>
      <w:r>
        <w:rPr>
          <w:rFonts w:hint="eastAsia"/>
          <w:color w:val="auto"/>
          <w:sz w:val="24"/>
          <w:highlight w:val="none"/>
          <w:lang w:eastAsia="zh-CN"/>
        </w:rPr>
        <w:t>（</w:t>
      </w:r>
      <w:r>
        <w:rPr>
          <w:rFonts w:hint="eastAsia"/>
          <w:color w:val="auto"/>
          <w:sz w:val="24"/>
          <w:highlight w:val="none"/>
          <w:lang w:val="en-US" w:eastAsia="zh-CN"/>
        </w:rPr>
        <w:t>1）</w:t>
      </w:r>
      <w:r>
        <w:rPr>
          <w:rFonts w:hint="eastAsia"/>
          <w:color w:val="auto"/>
          <w:sz w:val="24"/>
          <w:highlight w:val="none"/>
        </w:rPr>
        <w:t>使用万用表对 RVVP3*2.5 电源线缆进行导通测试和绝缘电阻测试。</w:t>
      </w:r>
    </w:p>
    <w:p w14:paraId="3F9BA909">
      <w:pPr>
        <w:spacing w:line="360" w:lineRule="auto"/>
        <w:ind w:firstLine="448" w:firstLineChars="200"/>
        <w:outlineLvl w:val="0"/>
        <w:rPr>
          <w:rFonts w:hint="eastAsia"/>
          <w:color w:val="auto"/>
          <w:sz w:val="24"/>
          <w:highlight w:val="none"/>
        </w:rPr>
      </w:pPr>
      <w:r>
        <w:rPr>
          <w:rFonts w:hint="eastAsia"/>
          <w:color w:val="auto"/>
          <w:sz w:val="24"/>
          <w:highlight w:val="none"/>
          <w:lang w:eastAsia="zh-CN"/>
        </w:rPr>
        <w:t>（</w:t>
      </w:r>
      <w:r>
        <w:rPr>
          <w:rFonts w:hint="eastAsia"/>
          <w:color w:val="auto"/>
          <w:sz w:val="24"/>
          <w:highlight w:val="none"/>
          <w:lang w:val="en-US" w:eastAsia="zh-CN"/>
        </w:rPr>
        <w:t>2）使用</w:t>
      </w:r>
      <w:r>
        <w:rPr>
          <w:color w:val="auto"/>
          <w:sz w:val="24"/>
          <w:highlight w:val="none"/>
        </w:rPr>
        <w:t>绝缘电阻测试仪</w:t>
      </w:r>
      <w:r>
        <w:rPr>
          <w:rFonts w:hint="eastAsia"/>
          <w:color w:val="auto"/>
          <w:sz w:val="24"/>
          <w:highlight w:val="none"/>
          <w:lang w:eastAsia="zh-CN"/>
        </w:rPr>
        <w:t>，</w:t>
      </w:r>
      <w:r>
        <w:rPr>
          <w:rFonts w:hint="eastAsia"/>
          <w:color w:val="auto"/>
          <w:sz w:val="24"/>
          <w:highlight w:val="none"/>
          <w:lang w:val="en-US" w:eastAsia="zh-CN"/>
        </w:rPr>
        <w:t>对敷设完线缆进行测试，</w:t>
      </w:r>
      <w:r>
        <w:rPr>
          <w:rFonts w:hint="eastAsia"/>
          <w:color w:val="auto"/>
          <w:sz w:val="24"/>
          <w:highlight w:val="none"/>
        </w:rPr>
        <w:t>应保证线缆绝缘良好，</w:t>
      </w:r>
      <w:r>
        <w:rPr>
          <w:rFonts w:hint="eastAsia"/>
          <w:color w:val="auto"/>
          <w:sz w:val="24"/>
          <w:highlight w:val="none"/>
          <w:lang w:val="en-US" w:eastAsia="zh-CN"/>
        </w:rPr>
        <w:t>耐压值不得低于500v，</w:t>
      </w:r>
      <w:r>
        <w:rPr>
          <w:rFonts w:hint="eastAsia"/>
          <w:color w:val="auto"/>
          <w:sz w:val="24"/>
          <w:highlight w:val="none"/>
        </w:rPr>
        <w:t>绝缘电阻值不小于 0.5MΩ。</w:t>
      </w:r>
    </w:p>
    <w:p w14:paraId="08603CAE">
      <w:pPr>
        <w:spacing w:line="360" w:lineRule="auto"/>
        <w:ind w:firstLine="448" w:firstLineChars="200"/>
        <w:outlineLvl w:val="0"/>
        <w:rPr>
          <w:rFonts w:hint="eastAsia"/>
          <w:color w:val="auto"/>
          <w:sz w:val="24"/>
          <w:highlight w:val="none"/>
        </w:rPr>
      </w:pPr>
      <w:r>
        <w:rPr>
          <w:rFonts w:hint="eastAsia"/>
          <w:color w:val="auto"/>
          <w:sz w:val="24"/>
          <w:highlight w:val="none"/>
        </w:rPr>
        <w:t>（三）接地测试</w:t>
      </w:r>
    </w:p>
    <w:p w14:paraId="3FACBB75">
      <w:pPr>
        <w:spacing w:line="360" w:lineRule="auto"/>
        <w:ind w:firstLine="448" w:firstLineChars="200"/>
        <w:outlineLvl w:val="0"/>
        <w:rPr>
          <w:rFonts w:hint="eastAsia"/>
          <w:color w:val="auto"/>
          <w:sz w:val="24"/>
          <w:highlight w:val="none"/>
        </w:rPr>
      </w:pPr>
      <w:r>
        <w:rPr>
          <w:rFonts w:hint="eastAsia"/>
          <w:color w:val="auto"/>
          <w:sz w:val="24"/>
          <w:highlight w:val="none"/>
          <w:lang w:val="en-US" w:eastAsia="zh-CN"/>
        </w:rPr>
        <w:t>1. 使用接地电阻测试</w:t>
      </w:r>
      <w:r>
        <w:rPr>
          <w:rFonts w:hint="eastAsia"/>
          <w:color w:val="auto"/>
          <w:sz w:val="24"/>
          <w:highlight w:val="none"/>
        </w:rPr>
        <w:t>对机房的强弱电接地系统进行测试，接地电阻应不大于 4Ω。测试方法应符合相关规范要求，测试结果应记录完整。</w:t>
      </w:r>
    </w:p>
    <w:p w14:paraId="734E3D2E">
      <w:pPr>
        <w:spacing w:line="360" w:lineRule="auto"/>
        <w:ind w:firstLine="448" w:firstLineChars="200"/>
        <w:outlineLvl w:val="0"/>
        <w:rPr>
          <w:rFonts w:hint="eastAsia"/>
          <w:color w:val="auto"/>
          <w:sz w:val="24"/>
          <w:highlight w:val="none"/>
        </w:rPr>
      </w:pPr>
      <w:r>
        <w:rPr>
          <w:rFonts w:hint="eastAsia"/>
          <w:color w:val="auto"/>
          <w:sz w:val="24"/>
          <w:highlight w:val="none"/>
          <w:lang w:val="en-US" w:eastAsia="zh-CN"/>
        </w:rPr>
        <w:t xml:space="preserve">2. </w:t>
      </w:r>
      <w:r>
        <w:rPr>
          <w:rFonts w:hint="eastAsia"/>
          <w:color w:val="auto"/>
          <w:sz w:val="24"/>
          <w:highlight w:val="none"/>
        </w:rPr>
        <w:t>通电测试：在完成上述各项测试且结果合格后，逐</w:t>
      </w:r>
      <w:r>
        <w:rPr>
          <w:rFonts w:hint="eastAsia"/>
          <w:color w:val="auto"/>
          <w:sz w:val="24"/>
          <w:highlight w:val="none"/>
          <w:lang w:val="en-US" w:eastAsia="zh-CN"/>
        </w:rPr>
        <w:t>组</w:t>
      </w:r>
      <w:r>
        <w:rPr>
          <w:rFonts w:hint="eastAsia"/>
          <w:color w:val="auto"/>
          <w:sz w:val="24"/>
          <w:highlight w:val="none"/>
        </w:rPr>
        <w:t>对机房强电系统进行通电测试。</w:t>
      </w:r>
    </w:p>
    <w:p w14:paraId="540DFF74">
      <w:pPr>
        <w:spacing w:line="360" w:lineRule="auto"/>
        <w:ind w:firstLine="448" w:firstLineChars="200"/>
        <w:outlineLvl w:val="0"/>
        <w:rPr>
          <w:rFonts w:hint="eastAsia"/>
          <w:color w:val="auto"/>
          <w:sz w:val="24"/>
          <w:highlight w:val="none"/>
        </w:rPr>
      </w:pPr>
      <w:r>
        <w:rPr>
          <w:rFonts w:hint="eastAsia"/>
          <w:color w:val="auto"/>
          <w:sz w:val="24"/>
          <w:highlight w:val="none"/>
        </w:rPr>
        <w:t>注：</w:t>
      </w:r>
    </w:p>
    <w:p w14:paraId="56062BA4">
      <w:pPr>
        <w:numPr>
          <w:ilvl w:val="0"/>
          <w:numId w:val="4"/>
        </w:numPr>
        <w:spacing w:line="360" w:lineRule="auto"/>
        <w:ind w:firstLine="448" w:firstLineChars="200"/>
        <w:outlineLvl w:val="0"/>
        <w:rPr>
          <w:color w:val="auto"/>
          <w:sz w:val="24"/>
          <w:highlight w:val="none"/>
        </w:rPr>
      </w:pPr>
      <w:r>
        <w:rPr>
          <w:color w:val="auto"/>
          <w:sz w:val="24"/>
          <w:highlight w:val="none"/>
        </w:rPr>
        <w:t>加注“</w:t>
      </w:r>
      <w:r>
        <w:rPr>
          <w:rFonts w:hint="eastAsia" w:ascii="宋体" w:hAnsi="宋体"/>
          <w:color w:val="auto"/>
          <w:sz w:val="24"/>
          <w:highlight w:val="none"/>
        </w:rPr>
        <w:t>★</w:t>
      </w:r>
      <w:r>
        <w:rPr>
          <w:color w:val="auto"/>
          <w:sz w:val="24"/>
          <w:highlight w:val="none"/>
        </w:rPr>
        <w:t>”号条款为实质性条款，不得出现负偏离，发生负偏离即做无效标处理。</w:t>
      </w:r>
    </w:p>
    <w:p w14:paraId="482EEA71">
      <w:pPr>
        <w:numPr>
          <w:ilvl w:val="0"/>
          <w:numId w:val="5"/>
        </w:numPr>
        <w:spacing w:line="360" w:lineRule="auto"/>
        <w:ind w:firstLine="448" w:firstLineChars="200"/>
        <w:outlineLvl w:val="0"/>
        <w:rPr>
          <w:rFonts w:hint="eastAsia"/>
          <w:color w:val="auto"/>
          <w:sz w:val="24"/>
          <w:highlight w:val="none"/>
        </w:rPr>
      </w:pPr>
      <w:r>
        <w:rPr>
          <w:rFonts w:hint="eastAsia"/>
          <w:color w:val="auto"/>
          <w:sz w:val="24"/>
          <w:highlight w:val="none"/>
        </w:rPr>
        <w:t>加注“▲”号的产品为核心产品（如项目需求书中未明确核心产品，则视为全部产品均为核心产品）。</w:t>
      </w:r>
    </w:p>
    <w:p w14:paraId="2EA8F3E2">
      <w:pPr>
        <w:numPr>
          <w:ilvl w:val="0"/>
          <w:numId w:val="5"/>
        </w:numPr>
        <w:spacing w:line="360" w:lineRule="auto"/>
        <w:ind w:left="0" w:leftChars="0" w:firstLine="448" w:firstLineChars="200"/>
        <w:outlineLvl w:val="0"/>
        <w:rPr>
          <w:sz w:val="24"/>
          <w:highlight w:val="none"/>
        </w:rPr>
      </w:pPr>
      <w:r>
        <w:rPr>
          <w:rFonts w:hint="eastAsia"/>
          <w:sz w:val="24"/>
          <w:highlight w:val="none"/>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5736F60A">
      <w:pPr>
        <w:widowControl w:val="0"/>
        <w:numPr>
          <w:ilvl w:val="0"/>
          <w:numId w:val="0"/>
        </w:numPr>
        <w:spacing w:line="560" w:lineRule="exact"/>
        <w:jc w:val="left"/>
        <w:rPr>
          <w:rFonts w:hint="eastAsia" w:ascii="楷体" w:hAnsi="楷体" w:eastAsia="楷体"/>
          <w:color w:val="auto"/>
          <w:sz w:val="32"/>
          <w:szCs w:val="32"/>
          <w:highlight w:val="none"/>
        </w:rPr>
      </w:pPr>
    </w:p>
    <w:p w14:paraId="2BF99A64">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w:t>
      </w:r>
      <w:r>
        <w:rPr>
          <w:rFonts w:hint="eastAsia"/>
          <w:sz w:val="24"/>
          <w:szCs w:val="24"/>
        </w:rPr>
        <w:t>商务要求</w:t>
      </w:r>
    </w:p>
    <w:p w14:paraId="09892E22">
      <w:pPr>
        <w:spacing w:line="360" w:lineRule="auto"/>
        <w:ind w:firstLine="448" w:firstLineChars="200"/>
        <w:outlineLvl w:val="0"/>
        <w:rPr>
          <w:rFonts w:hint="eastAsia"/>
          <w:sz w:val="24"/>
          <w:lang w:val="zh-CN" w:eastAsia="zh-CN"/>
        </w:rPr>
      </w:pPr>
      <w:r>
        <w:rPr>
          <w:rFonts w:hint="eastAsia"/>
          <w:sz w:val="24"/>
          <w:lang w:val="zh-CN" w:eastAsia="zh-CN"/>
        </w:rPr>
        <w:t>（一）本项目不接受进口产品投标。</w:t>
      </w:r>
    </w:p>
    <w:p w14:paraId="589BDC60">
      <w:pPr>
        <w:spacing w:line="360" w:lineRule="auto"/>
        <w:ind w:firstLine="448" w:firstLineChars="200"/>
        <w:outlineLvl w:val="0"/>
        <w:rPr>
          <w:rFonts w:hint="eastAsia"/>
          <w:sz w:val="24"/>
          <w:lang w:val="en-US" w:eastAsia="zh-CN"/>
        </w:rPr>
      </w:pPr>
      <w:r>
        <w:rPr>
          <w:rFonts w:hint="eastAsia"/>
          <w:sz w:val="24"/>
          <w:lang w:val="en-US" w:eastAsia="zh-CN"/>
        </w:rPr>
        <w:t>（二）投标人实施能力</w:t>
      </w:r>
    </w:p>
    <w:p w14:paraId="4054DE0F">
      <w:pPr>
        <w:spacing w:line="360" w:lineRule="auto"/>
        <w:ind w:firstLine="448" w:firstLineChars="200"/>
        <w:outlineLvl w:val="0"/>
        <w:rPr>
          <w:rFonts w:hint="eastAsia"/>
          <w:sz w:val="24"/>
          <w:lang w:val="en-US" w:eastAsia="zh-CN"/>
        </w:rPr>
      </w:pPr>
      <w:r>
        <w:rPr>
          <w:rFonts w:hint="eastAsia"/>
          <w:sz w:val="24"/>
          <w:lang w:val="en-US" w:eastAsia="zh-CN"/>
        </w:rPr>
        <w:t>完全按照以下要求提供2022年至今与所投包内容相当且已完成的成功案例，并附文字说明。</w:t>
      </w:r>
    </w:p>
    <w:p w14:paraId="36C601C8">
      <w:pPr>
        <w:spacing w:line="360" w:lineRule="auto"/>
        <w:ind w:firstLine="448" w:firstLineChars="200"/>
        <w:outlineLvl w:val="0"/>
        <w:rPr>
          <w:rFonts w:hint="eastAsia"/>
          <w:sz w:val="24"/>
          <w:lang w:val="en-US" w:eastAsia="zh-CN"/>
        </w:rPr>
      </w:pPr>
      <w:r>
        <w:rPr>
          <w:rFonts w:hint="eastAsia"/>
          <w:sz w:val="24"/>
          <w:lang w:val="en-US" w:eastAsia="zh-CN"/>
        </w:rPr>
        <w:t>1.合同复印件。包括合同金额、买卖双方名称及盖章、合同清单；</w:t>
      </w:r>
    </w:p>
    <w:p w14:paraId="01BE8608">
      <w:pPr>
        <w:spacing w:line="360" w:lineRule="auto"/>
        <w:ind w:firstLine="448" w:firstLineChars="200"/>
        <w:outlineLvl w:val="0"/>
        <w:rPr>
          <w:rFonts w:hint="eastAsia"/>
          <w:sz w:val="24"/>
          <w:lang w:val="en-US" w:eastAsia="zh-CN"/>
        </w:rPr>
      </w:pPr>
      <w:r>
        <w:rPr>
          <w:rFonts w:hint="eastAsia"/>
          <w:sz w:val="24"/>
          <w:lang w:val="en-US" w:eastAsia="zh-CN"/>
        </w:rPr>
        <w:t>2.验收报告复印件；</w:t>
      </w:r>
    </w:p>
    <w:p w14:paraId="3DA7CCE7">
      <w:pPr>
        <w:spacing w:line="360" w:lineRule="auto"/>
        <w:ind w:firstLine="448" w:firstLineChars="200"/>
        <w:outlineLvl w:val="0"/>
        <w:rPr>
          <w:rFonts w:hint="eastAsia"/>
          <w:sz w:val="24"/>
          <w:lang w:val="en-US" w:eastAsia="zh-CN"/>
        </w:rPr>
      </w:pPr>
      <w:r>
        <w:rPr>
          <w:rFonts w:hint="eastAsia"/>
          <w:sz w:val="24"/>
          <w:lang w:val="en-US" w:eastAsia="zh-CN"/>
        </w:rPr>
        <w:t>3.用户出具的成功履行合同的相关证明材料。</w:t>
      </w:r>
    </w:p>
    <w:p w14:paraId="20E2B989">
      <w:pPr>
        <w:spacing w:line="360" w:lineRule="auto"/>
        <w:ind w:firstLine="448" w:firstLineChars="200"/>
        <w:outlineLvl w:val="0"/>
        <w:rPr>
          <w:rFonts w:hint="eastAsia"/>
          <w:sz w:val="24"/>
          <w:lang w:val="en-US" w:eastAsia="zh-CN"/>
        </w:rPr>
      </w:pPr>
      <w:r>
        <w:rPr>
          <w:rFonts w:hint="eastAsia"/>
          <w:sz w:val="24"/>
          <w:lang w:val="en-US" w:eastAsia="zh-CN"/>
        </w:rPr>
        <w:t>★（三）报价要求</w:t>
      </w:r>
    </w:p>
    <w:p w14:paraId="687DF1B6">
      <w:pPr>
        <w:spacing w:line="360" w:lineRule="auto"/>
        <w:ind w:firstLine="448" w:firstLineChars="200"/>
        <w:outlineLvl w:val="0"/>
        <w:rPr>
          <w:rFonts w:hint="eastAsia"/>
          <w:sz w:val="24"/>
          <w:lang w:val="en-US" w:eastAsia="zh-CN"/>
        </w:rPr>
      </w:pPr>
      <w:r>
        <w:rPr>
          <w:rFonts w:hint="eastAsia"/>
          <w:sz w:val="24"/>
          <w:lang w:val="en-US" w:eastAsia="zh-CN"/>
        </w:rPr>
        <w:t>1.投标报价以人民币填列。</w:t>
      </w:r>
    </w:p>
    <w:p w14:paraId="038F55D8">
      <w:pPr>
        <w:spacing w:line="360" w:lineRule="auto"/>
        <w:ind w:firstLine="448" w:firstLineChars="200"/>
        <w:outlineLvl w:val="0"/>
        <w:rPr>
          <w:rFonts w:hint="eastAsia"/>
          <w:sz w:val="24"/>
          <w:lang w:val="en-US" w:eastAsia="zh-CN"/>
        </w:rPr>
      </w:pPr>
      <w:r>
        <w:rPr>
          <w:rFonts w:hint="eastAsia"/>
          <w:sz w:val="24"/>
          <w:lang w:val="en-US" w:eastAsia="zh-CN"/>
        </w:rPr>
        <w:t>2.投标人的报价应包括：产品货款、仓储费、运输费、运输保险费、装卸费、安装调试费及其他应有的费用。投标人所报价格为货到现场安装调试完成的最终优惠价格。</w:t>
      </w:r>
    </w:p>
    <w:p w14:paraId="4552D106">
      <w:pPr>
        <w:spacing w:line="360" w:lineRule="auto"/>
        <w:ind w:firstLine="448" w:firstLineChars="200"/>
        <w:outlineLvl w:val="0"/>
        <w:rPr>
          <w:rFonts w:hint="eastAsia"/>
          <w:sz w:val="24"/>
          <w:lang w:val="en-US" w:eastAsia="zh-CN"/>
        </w:rPr>
      </w:pPr>
      <w:r>
        <w:rPr>
          <w:rFonts w:hint="eastAsia"/>
          <w:sz w:val="24"/>
          <w:lang w:val="en-US" w:eastAsia="zh-CN"/>
        </w:rPr>
        <w:t>3.验收及相关费用由投标人负责。</w:t>
      </w:r>
    </w:p>
    <w:p w14:paraId="15FE6A27">
      <w:pPr>
        <w:spacing w:line="360" w:lineRule="auto"/>
        <w:ind w:firstLine="448" w:firstLineChars="200"/>
        <w:outlineLvl w:val="0"/>
        <w:rPr>
          <w:rFonts w:hint="eastAsia"/>
          <w:sz w:val="24"/>
          <w:lang w:val="en-US" w:eastAsia="zh-CN"/>
        </w:rPr>
      </w:pPr>
      <w:r>
        <w:rPr>
          <w:rFonts w:hint="eastAsia"/>
          <w:sz w:val="24"/>
          <w:lang w:val="en-US" w:eastAsia="zh-CN"/>
        </w:rPr>
        <w:t>★（四）服务要求</w:t>
      </w:r>
    </w:p>
    <w:p w14:paraId="1EF9BC07">
      <w:pPr>
        <w:spacing w:line="360" w:lineRule="auto"/>
        <w:ind w:firstLine="448" w:firstLineChars="200"/>
        <w:outlineLvl w:val="0"/>
        <w:rPr>
          <w:rFonts w:hint="eastAsia"/>
          <w:sz w:val="24"/>
          <w:lang w:val="en-US" w:eastAsia="zh-CN"/>
        </w:rPr>
      </w:pPr>
      <w:r>
        <w:rPr>
          <w:rFonts w:hint="eastAsia"/>
          <w:sz w:val="24"/>
          <w:lang w:val="en-US" w:eastAsia="zh-CN"/>
        </w:rPr>
        <w:t>1.提供所投产品5年的免费上门保修，终身维修。保修期内免费更换零配件，7×24小时技术响应，24小时内维修工程师到达维修现场。保修期自验收合格之日起计算。</w:t>
      </w:r>
    </w:p>
    <w:p w14:paraId="3E6F6B57">
      <w:pPr>
        <w:spacing w:line="360" w:lineRule="auto"/>
        <w:ind w:firstLine="448" w:firstLineChars="200"/>
        <w:outlineLvl w:val="0"/>
        <w:rPr>
          <w:rFonts w:hint="eastAsia"/>
          <w:sz w:val="24"/>
          <w:lang w:val="en-US" w:eastAsia="zh-CN"/>
        </w:rPr>
      </w:pPr>
      <w:r>
        <w:rPr>
          <w:rFonts w:hint="eastAsia"/>
          <w:sz w:val="24"/>
          <w:lang w:val="en-US" w:eastAsia="zh-CN"/>
        </w:rPr>
        <w:t>2.投标人须提供所投产品生产厂家服务机构情况，包括地址、联系方式及技术人员数量等。</w:t>
      </w:r>
    </w:p>
    <w:p w14:paraId="1F1217E7">
      <w:pPr>
        <w:spacing w:line="360" w:lineRule="auto"/>
        <w:ind w:firstLine="448" w:firstLineChars="200"/>
        <w:outlineLvl w:val="0"/>
        <w:rPr>
          <w:rFonts w:hint="eastAsia"/>
          <w:sz w:val="24"/>
          <w:lang w:val="en-US" w:eastAsia="zh-CN"/>
        </w:rPr>
      </w:pPr>
      <w:r>
        <w:rPr>
          <w:rFonts w:hint="eastAsia"/>
          <w:sz w:val="24"/>
          <w:lang w:val="en-US" w:eastAsia="zh-CN"/>
        </w:rPr>
        <w:t>3.签订合同后，应与需求方确认产品型号、技术服务要求，并进行现场复勘。</w:t>
      </w:r>
    </w:p>
    <w:p w14:paraId="2BC89E32">
      <w:pPr>
        <w:spacing w:line="360" w:lineRule="auto"/>
        <w:ind w:firstLine="448" w:firstLineChars="200"/>
        <w:outlineLvl w:val="0"/>
        <w:rPr>
          <w:rFonts w:hint="eastAsia"/>
          <w:sz w:val="24"/>
          <w:lang w:val="en-US" w:eastAsia="zh-CN"/>
        </w:rPr>
      </w:pPr>
      <w:r>
        <w:rPr>
          <w:rFonts w:hint="eastAsia"/>
          <w:sz w:val="24"/>
          <w:lang w:val="en-US" w:eastAsia="zh-CN"/>
        </w:rPr>
        <w:t xml:space="preserve">4.投标人应派有经验的技术人员进行搬运及安装，期间严格遵守国家安全生产相关法律法规，造成人身伤亡等安全责任事故的，由投标人负责善后处理及经济赔偿事宜。 </w:t>
      </w:r>
    </w:p>
    <w:p w14:paraId="7B95BAB5">
      <w:pPr>
        <w:spacing w:line="360" w:lineRule="auto"/>
        <w:ind w:firstLine="448" w:firstLineChars="200"/>
        <w:outlineLvl w:val="0"/>
        <w:rPr>
          <w:rFonts w:hint="eastAsia"/>
          <w:sz w:val="24"/>
          <w:lang w:val="en-US" w:eastAsia="zh-CN"/>
        </w:rPr>
      </w:pPr>
      <w:r>
        <w:rPr>
          <w:rFonts w:hint="eastAsia"/>
          <w:sz w:val="24"/>
          <w:lang w:val="en-US" w:eastAsia="zh-CN"/>
        </w:rPr>
        <w:t>5.★此项目为交钥匙工程。为保证项目的实施效果，供应商必须免费负责配套、调试及所有的材料、辅料，包括每间教室强弱电的布线等内容，实施过程中可能发生的其他费用，采购人概不负责。</w:t>
      </w:r>
    </w:p>
    <w:p w14:paraId="5975B7E7">
      <w:pPr>
        <w:spacing w:line="360" w:lineRule="auto"/>
        <w:ind w:firstLine="448" w:firstLineChars="200"/>
        <w:outlineLvl w:val="0"/>
        <w:rPr>
          <w:rFonts w:hint="eastAsia"/>
          <w:sz w:val="24"/>
          <w:lang w:val="en-US" w:eastAsia="zh-CN"/>
        </w:rPr>
      </w:pPr>
      <w:r>
        <w:rPr>
          <w:rFonts w:hint="eastAsia"/>
          <w:sz w:val="24"/>
          <w:lang w:val="en-US" w:eastAsia="zh-CN"/>
        </w:rPr>
        <w:t>★（五）交货要求</w:t>
      </w:r>
    </w:p>
    <w:p w14:paraId="76B225CC">
      <w:pPr>
        <w:spacing w:line="360" w:lineRule="auto"/>
        <w:ind w:firstLine="448" w:firstLineChars="200"/>
        <w:outlineLvl w:val="0"/>
        <w:rPr>
          <w:rFonts w:hint="eastAsia"/>
          <w:sz w:val="24"/>
          <w:lang w:val="en-US" w:eastAsia="zh-CN"/>
        </w:rPr>
      </w:pPr>
      <w:r>
        <w:rPr>
          <w:rFonts w:hint="eastAsia"/>
          <w:sz w:val="24"/>
          <w:lang w:val="en-US" w:eastAsia="zh-CN"/>
        </w:rPr>
        <w:t>1.产品封样要求：中标后，中标人应该在中标公示期内提供所投核心产品一套作为交货封样样机，并提供有厂家盖章确认的与本产品相关的国家要求强制认证的相关证书资料；采购人对其所提供封样样机和资料是否与招标文件中要求一致进行核验，若发现有和招标要求★号项不一致现象或相关证明文件存在造假，采购人上报本项目的相关主管部门，若经认定为与中标人投标时提供产品资料不一致，则中标人需承担其为虚假应标的不利后果，采购人追究其法律责任。</w:t>
      </w:r>
    </w:p>
    <w:p w14:paraId="7A73B493">
      <w:pPr>
        <w:spacing w:line="360" w:lineRule="auto"/>
        <w:ind w:firstLine="448" w:firstLineChars="200"/>
        <w:outlineLvl w:val="0"/>
        <w:rPr>
          <w:rFonts w:hint="eastAsia"/>
          <w:sz w:val="24"/>
          <w:lang w:val="en-US" w:eastAsia="zh-CN"/>
        </w:rPr>
      </w:pPr>
      <w:r>
        <w:rPr>
          <w:rFonts w:hint="eastAsia"/>
          <w:sz w:val="24"/>
          <w:lang w:val="en-US" w:eastAsia="zh-CN"/>
        </w:rPr>
        <w:t>2.交货范围：本次采购的交货范围，除包括所需设备外，还应包括配套的辅助设备、技术资料（包括操作手册、使用说明书、维修指南或服务手册等），负责运输、安装并提供相应的技术服务与质量保证。</w:t>
      </w:r>
    </w:p>
    <w:p w14:paraId="5941C54F">
      <w:pPr>
        <w:spacing w:line="360" w:lineRule="auto"/>
        <w:ind w:firstLine="448" w:firstLineChars="200"/>
        <w:outlineLvl w:val="0"/>
        <w:rPr>
          <w:rFonts w:hint="eastAsia"/>
          <w:sz w:val="24"/>
          <w:lang w:val="en-US" w:eastAsia="zh-CN"/>
        </w:rPr>
      </w:pPr>
      <w:r>
        <w:rPr>
          <w:rFonts w:hint="eastAsia"/>
          <w:sz w:val="24"/>
          <w:lang w:val="en-US" w:eastAsia="zh-CN"/>
        </w:rPr>
        <w:t>3.交货期：签订合同之日起15天内货到。</w:t>
      </w:r>
    </w:p>
    <w:p w14:paraId="0F46E2D1">
      <w:pPr>
        <w:spacing w:line="360" w:lineRule="auto"/>
        <w:ind w:firstLine="448" w:firstLineChars="200"/>
        <w:outlineLvl w:val="0"/>
        <w:rPr>
          <w:rFonts w:hint="eastAsia"/>
          <w:sz w:val="24"/>
          <w:lang w:val="en-US" w:eastAsia="zh-CN"/>
        </w:rPr>
      </w:pPr>
      <w:r>
        <w:rPr>
          <w:rFonts w:hint="eastAsia"/>
          <w:sz w:val="24"/>
          <w:lang w:val="en-US" w:eastAsia="zh-CN"/>
        </w:rPr>
        <w:t>强弱电施工期：签订合同后，按照采购人要求日期进场安装施工，10天内完成强弱电施工布线工作。</w:t>
      </w:r>
    </w:p>
    <w:p w14:paraId="4A8D6E7A">
      <w:pPr>
        <w:spacing w:line="360" w:lineRule="auto"/>
        <w:ind w:firstLine="448" w:firstLineChars="200"/>
        <w:outlineLvl w:val="0"/>
        <w:rPr>
          <w:rFonts w:hint="eastAsia"/>
          <w:sz w:val="24"/>
          <w:lang w:val="en-US" w:eastAsia="zh-CN"/>
        </w:rPr>
      </w:pPr>
      <w:r>
        <w:rPr>
          <w:rFonts w:hint="eastAsia"/>
          <w:sz w:val="24"/>
          <w:lang w:val="en-US" w:eastAsia="zh-CN"/>
        </w:rPr>
        <w:t>投标人应派有经验的技术人员到现场进行安装、直到设备正常使用，其费用由投标人负担，包含在投标总价中。验收前所有设备的存储、运输费用由中标供应商承担。</w:t>
      </w:r>
    </w:p>
    <w:p w14:paraId="218BDA8C">
      <w:pPr>
        <w:spacing w:line="360" w:lineRule="auto"/>
        <w:ind w:firstLine="448" w:firstLineChars="200"/>
        <w:outlineLvl w:val="0"/>
        <w:rPr>
          <w:rFonts w:hint="eastAsia"/>
          <w:sz w:val="24"/>
          <w:lang w:val="en-US" w:eastAsia="zh-CN"/>
        </w:rPr>
      </w:pPr>
      <w:r>
        <w:rPr>
          <w:rFonts w:hint="eastAsia"/>
          <w:sz w:val="24"/>
          <w:lang w:val="en-US" w:eastAsia="zh-CN"/>
        </w:rPr>
        <w:t>4.交货地点：采购人指定地点。</w:t>
      </w:r>
    </w:p>
    <w:p w14:paraId="1B4867C7">
      <w:pPr>
        <w:spacing w:line="360" w:lineRule="auto"/>
        <w:ind w:firstLine="448" w:firstLineChars="200"/>
        <w:outlineLvl w:val="0"/>
        <w:rPr>
          <w:rFonts w:hint="eastAsia"/>
          <w:sz w:val="24"/>
          <w:lang w:val="en-US" w:eastAsia="zh-CN"/>
        </w:rPr>
      </w:pPr>
      <w:r>
        <w:rPr>
          <w:rFonts w:hint="eastAsia"/>
          <w:sz w:val="24"/>
          <w:lang w:val="en-US" w:eastAsia="zh-CN"/>
        </w:rPr>
        <w:t>5.提供制造商完整的随机资料，包括完整的使用和维修手册等。</w:t>
      </w:r>
    </w:p>
    <w:p w14:paraId="6E4238BF">
      <w:pPr>
        <w:spacing w:line="360" w:lineRule="auto"/>
        <w:ind w:firstLine="448" w:firstLineChars="200"/>
        <w:outlineLvl w:val="0"/>
        <w:rPr>
          <w:rFonts w:hint="eastAsia"/>
          <w:sz w:val="24"/>
          <w:lang w:val="en-US" w:eastAsia="zh-CN"/>
        </w:rPr>
      </w:pPr>
      <w:r>
        <w:rPr>
          <w:rFonts w:hint="eastAsia"/>
          <w:sz w:val="24"/>
          <w:lang w:val="en-US" w:eastAsia="zh-CN"/>
        </w:rPr>
        <w:t>6.特别要求：到货时采购人有权对到货产品按照招标文件和封样样机对比进行逐项进行核验，交货时要求投标人就所投产品提供产品说明书，同时采购人有权要求投标人对产品的合法供货渠道进行说明，经核实如投标人提供非法渠道的商品或使用非原厂配件组装，视为欺诈，为维护采购人合法权益，投标人要承担商品价值双倍的赔偿；同时，依据现行的国家法律法规追究其他责任，并连带追究所投产品制造商的责任。</w:t>
      </w:r>
    </w:p>
    <w:p w14:paraId="0AA7A91C">
      <w:pPr>
        <w:spacing w:line="360" w:lineRule="auto"/>
        <w:ind w:firstLine="448" w:firstLineChars="200"/>
        <w:outlineLvl w:val="0"/>
        <w:rPr>
          <w:rFonts w:hint="eastAsia"/>
          <w:sz w:val="24"/>
          <w:lang w:val="en-US" w:eastAsia="zh-CN"/>
        </w:rPr>
      </w:pPr>
      <w:r>
        <w:rPr>
          <w:rFonts w:hint="eastAsia"/>
          <w:sz w:val="24"/>
          <w:lang w:val="en-US" w:eastAsia="zh-CN"/>
        </w:rPr>
        <w:t>（六）付款方式</w:t>
      </w:r>
    </w:p>
    <w:p w14:paraId="3B396764">
      <w:pPr>
        <w:spacing w:line="360" w:lineRule="auto"/>
        <w:ind w:firstLine="448" w:firstLineChars="200"/>
        <w:outlineLvl w:val="0"/>
        <w:rPr>
          <w:rFonts w:hint="eastAsia"/>
          <w:sz w:val="24"/>
          <w:lang w:val="en-US" w:eastAsia="zh-CN"/>
        </w:rPr>
      </w:pPr>
      <w:r>
        <w:rPr>
          <w:rFonts w:hint="eastAsia"/>
          <w:sz w:val="24"/>
          <w:lang w:val="en-US" w:eastAsia="zh-CN"/>
        </w:rPr>
        <w:t>合同签订后15个工作日内预付合同总额的30%；货到现场安装、调试完毕，所有设备使用、技术服务无质量问题，验收合格后60个工作日内支付合同总额的70%，供方在需方付款前开具等额的合法发票。（特殊情况以合同为准）。</w:t>
      </w:r>
    </w:p>
    <w:p w14:paraId="3C1F9B99">
      <w:pPr>
        <w:spacing w:line="360" w:lineRule="auto"/>
        <w:ind w:firstLine="448" w:firstLineChars="200"/>
        <w:outlineLvl w:val="0"/>
        <w:rPr>
          <w:rFonts w:hint="eastAsia"/>
          <w:sz w:val="24"/>
          <w:lang w:val="en-US" w:eastAsia="zh-CN"/>
        </w:rPr>
      </w:pPr>
      <w:r>
        <w:rPr>
          <w:rFonts w:hint="eastAsia"/>
          <w:sz w:val="24"/>
          <w:lang w:val="en-US" w:eastAsia="zh-CN"/>
        </w:rPr>
        <w:t>（七）投标保证金和履约保证金</w:t>
      </w:r>
    </w:p>
    <w:p w14:paraId="744565F9">
      <w:pPr>
        <w:spacing w:line="360" w:lineRule="auto"/>
        <w:ind w:firstLine="448" w:firstLineChars="200"/>
        <w:outlineLvl w:val="0"/>
        <w:rPr>
          <w:rFonts w:hint="eastAsia"/>
          <w:sz w:val="24"/>
          <w:lang w:val="en-US" w:eastAsia="zh-CN"/>
        </w:rPr>
      </w:pPr>
      <w:r>
        <w:rPr>
          <w:rFonts w:hint="eastAsia"/>
          <w:sz w:val="24"/>
          <w:lang w:val="en-US" w:eastAsia="zh-CN"/>
        </w:rPr>
        <w:t>本项目不收取投标保证金。签订合同后5个工作日内成交供应商应向采购人提供合同总额10%的履约保证金，供应商应当以支票、汇票、本票或者金融机构、担保机构出具的保函等非现金形式提交。此履约保证金的递交、退还、罚没和有效期以合同为准。履约保证金于完成验收合格日期的1年后，在1年的使用期间产品无质量问题，7个工作日内无息退还。</w:t>
      </w:r>
    </w:p>
    <w:p w14:paraId="2156FA88">
      <w:pPr>
        <w:spacing w:line="360" w:lineRule="auto"/>
        <w:ind w:firstLine="448" w:firstLineChars="200"/>
        <w:outlineLvl w:val="0"/>
        <w:rPr>
          <w:rFonts w:hint="eastAsia"/>
          <w:sz w:val="24"/>
          <w:lang w:val="en-US" w:eastAsia="zh-CN"/>
        </w:rPr>
      </w:pPr>
      <w:r>
        <w:rPr>
          <w:rFonts w:hint="eastAsia"/>
          <w:sz w:val="24"/>
          <w:lang w:val="en-US" w:eastAsia="zh-CN"/>
        </w:rPr>
        <w:t>★（八）验收方法及标准</w:t>
      </w:r>
    </w:p>
    <w:p w14:paraId="561CA97A">
      <w:pPr>
        <w:spacing w:line="360" w:lineRule="auto"/>
        <w:ind w:firstLine="448" w:firstLineChars="200"/>
        <w:outlineLvl w:val="0"/>
        <w:rPr>
          <w:rFonts w:hint="eastAsia"/>
          <w:sz w:val="24"/>
          <w:lang w:val="en-US" w:eastAsia="zh-CN"/>
        </w:rPr>
      </w:pPr>
      <w:r>
        <w:rPr>
          <w:rFonts w:hint="eastAsia"/>
          <w:sz w:val="24"/>
          <w:lang w:val="en-US" w:eastAsia="zh-CN"/>
        </w:rPr>
        <w:t>货物及服务安装完成正常运行7天后，由供货商提出验收申请，项目责任单位组织相关专家形成验收小组进行验收，验收相关费用由供应商承担，验收小组根据招标文件、投标文件、合同等项目文件约定内容逐项对项目进行综合验收。验收结束后，应当出具验收书，列明各项标准的验收情况及项目总体评价，由验收双方共同签署。</w:t>
      </w:r>
    </w:p>
    <w:p w14:paraId="02752543">
      <w:pPr>
        <w:spacing w:line="360" w:lineRule="auto"/>
        <w:ind w:firstLine="448" w:firstLineChars="200"/>
        <w:outlineLvl w:val="0"/>
        <w:rPr>
          <w:rFonts w:hint="eastAsia"/>
          <w:sz w:val="24"/>
          <w:lang w:val="en-US" w:eastAsia="zh-CN"/>
        </w:rPr>
      </w:pPr>
      <w:r>
        <w:rPr>
          <w:rFonts w:hint="eastAsia"/>
          <w:sz w:val="24"/>
          <w:lang w:val="en-US" w:eastAsia="zh-CN"/>
        </w:rPr>
        <w:t>如验收达不到规定要求，采购人有权要求更换货物或拒绝付款，成交供应商若违约，采购人将依法追究相应法律责任。</w:t>
      </w:r>
    </w:p>
    <w:p w14:paraId="5761B267">
      <w:pPr>
        <w:spacing w:line="360" w:lineRule="auto"/>
        <w:ind w:firstLine="448" w:firstLineChars="200"/>
        <w:outlineLvl w:val="0"/>
        <w:rPr>
          <w:rFonts w:hint="eastAsia"/>
          <w:sz w:val="24"/>
          <w:lang w:val="en-US" w:eastAsia="zh-CN"/>
        </w:rPr>
      </w:pPr>
      <w:r>
        <w:rPr>
          <w:rFonts w:hint="eastAsia"/>
          <w:sz w:val="24"/>
          <w:lang w:val="en-US" w:eastAsia="zh-CN"/>
        </w:rPr>
        <w:t>违约责任</w:t>
      </w:r>
      <w:r>
        <w:rPr>
          <w:rFonts w:hint="eastAsia"/>
          <w:sz w:val="24"/>
          <w:lang w:val="en-US" w:eastAsia="zh-CN"/>
        </w:rPr>
        <w:br w:type="textWrapping"/>
      </w:r>
      <w:r>
        <w:rPr>
          <w:rFonts w:hint="eastAsia"/>
          <w:sz w:val="24"/>
          <w:lang w:val="en-US" w:eastAsia="zh-CN"/>
        </w:rPr>
        <w:t>1.供方逾期交付货物的，供方向需方每日偿付货款总额5‰的违约金。</w:t>
      </w:r>
      <w:r>
        <w:rPr>
          <w:rFonts w:hint="eastAsia"/>
          <w:sz w:val="24"/>
          <w:lang w:val="en-US" w:eastAsia="zh-CN"/>
        </w:rPr>
        <w:br w:type="textWrapping"/>
      </w:r>
      <w:r>
        <w:rPr>
          <w:rFonts w:hint="eastAsia"/>
          <w:sz w:val="24"/>
          <w:lang w:val="en-US" w:eastAsia="zh-CN"/>
        </w:rPr>
        <w:t>2.需方逾期支付货款的，需方向供方每日偿付欠款总额5‰的违约金。</w:t>
      </w:r>
      <w:r>
        <w:rPr>
          <w:rFonts w:hint="eastAsia"/>
          <w:sz w:val="24"/>
          <w:lang w:val="en-US" w:eastAsia="zh-CN"/>
        </w:rPr>
        <w:br w:type="textWrapping"/>
      </w:r>
      <w:r>
        <w:rPr>
          <w:rFonts w:hint="eastAsia"/>
          <w:sz w:val="24"/>
          <w:lang w:val="en-US" w:eastAsia="zh-CN"/>
        </w:rPr>
        <w:t>3.供方所交的货物品种、型号、规格、产地及制造厂家、质量不符合合同规定标准的或与封样样机不一致，需方有权拒收，供方向需方偿付货款总值30%的违约金。</w:t>
      </w:r>
      <w:r>
        <w:rPr>
          <w:rFonts w:hint="eastAsia"/>
          <w:sz w:val="24"/>
          <w:lang w:val="en-US" w:eastAsia="zh-CN"/>
        </w:rPr>
        <w:br w:type="textWrapping"/>
      </w:r>
      <w:r>
        <w:rPr>
          <w:rFonts w:hint="eastAsia"/>
          <w:sz w:val="24"/>
          <w:lang w:val="en-US" w:eastAsia="zh-CN"/>
        </w:rPr>
        <w:t>4.供方不能交付货物的，供方向需方支付货款总值30%的违约金。</w:t>
      </w:r>
      <w:r>
        <w:rPr>
          <w:rFonts w:hint="eastAsia"/>
          <w:sz w:val="24"/>
          <w:lang w:val="en-US" w:eastAsia="zh-CN"/>
        </w:rPr>
        <w:br w:type="textWrapping"/>
      </w:r>
      <w:r>
        <w:rPr>
          <w:rFonts w:hint="eastAsia"/>
          <w:sz w:val="24"/>
          <w:lang w:val="en-US" w:eastAsia="zh-CN"/>
        </w:rPr>
        <w:t>5.需方无正当理由拒收货物的，需方向供方偿付货款总值30%的违约金。</w:t>
      </w:r>
      <w:r>
        <w:rPr>
          <w:rFonts w:hint="eastAsia"/>
          <w:sz w:val="24"/>
          <w:lang w:val="en-US" w:eastAsia="zh-CN"/>
        </w:rPr>
        <w:br w:type="textWrapping"/>
      </w:r>
      <w:r>
        <w:rPr>
          <w:rFonts w:hint="eastAsia"/>
          <w:sz w:val="24"/>
          <w:lang w:val="en-US" w:eastAsia="zh-CN"/>
        </w:rPr>
        <w:t>6.因供方原因逾期验收货物的，供方向需方每日偿付货款总额5‰的违约金。</w:t>
      </w:r>
      <w:r>
        <w:rPr>
          <w:rFonts w:hint="eastAsia"/>
          <w:sz w:val="24"/>
          <w:lang w:val="en-US" w:eastAsia="zh-CN"/>
        </w:rPr>
        <w:br w:type="textWrapping"/>
      </w:r>
      <w:r>
        <w:rPr>
          <w:rFonts w:hint="eastAsia"/>
          <w:sz w:val="24"/>
          <w:lang w:val="en-US" w:eastAsia="zh-CN"/>
        </w:rPr>
        <w:t>7.因供方原因无法验收货物的，供方向需方每日偿付货款总额5‰的违约金。</w:t>
      </w:r>
    </w:p>
    <w:p w14:paraId="40DB7801">
      <w:pPr>
        <w:spacing w:line="360" w:lineRule="auto"/>
        <w:ind w:firstLine="448" w:firstLineChars="200"/>
        <w:outlineLvl w:val="0"/>
        <w:rPr>
          <w:rFonts w:hint="eastAsia"/>
          <w:sz w:val="24"/>
          <w:lang w:val="en-US" w:eastAsia="zh-CN"/>
        </w:rPr>
      </w:pPr>
      <w:r>
        <w:rPr>
          <w:rFonts w:hint="eastAsia"/>
          <w:sz w:val="24"/>
          <w:lang w:val="en-US" w:eastAsia="zh-CN"/>
        </w:rPr>
        <w:t>加注“★”号条款为实质性条款，不得出现负偏离，发生负偏离即做无效标处理。</w:t>
      </w:r>
    </w:p>
    <w:p w14:paraId="3472A676">
      <w:pPr>
        <w:spacing w:line="360" w:lineRule="auto"/>
        <w:outlineLvl w:val="0"/>
        <w:rPr>
          <w:rFonts w:hint="eastAsia"/>
          <w:sz w:val="24"/>
          <w:lang w:val="en-US" w:eastAsia="zh-CN"/>
        </w:rPr>
      </w:pPr>
    </w:p>
    <w:p w14:paraId="1CBA07C7">
      <w:pPr>
        <w:autoSpaceDN w:val="0"/>
        <w:spacing w:line="360" w:lineRule="auto"/>
        <w:jc w:val="center"/>
        <w:rPr>
          <w:b/>
          <w:bCs/>
          <w:sz w:val="24"/>
        </w:rPr>
      </w:pPr>
      <w:bookmarkStart w:id="0" w:name="_GoBack"/>
      <w:bookmarkEnd w:id="0"/>
    </w:p>
    <w:sectPr>
      <w:headerReference r:id="rId3" w:type="default"/>
      <w:footerReference r:id="rId4"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Arial Unicode MS">
    <w:panose1 w:val="020B0604020202020204"/>
    <w:charset w:val="86"/>
    <w:family w:val="swiss"/>
    <w:pitch w:val="default"/>
    <w:sig w:usb0="FFFFFFFF" w:usb1="E9FFFFFF" w:usb2="0000003F" w:usb3="00000000" w:csb0="603F01FF" w:csb1="FFFF0000"/>
  </w:font>
  <w:font w:name="serif">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Arial Unicode MS"/>
    <w:panose1 w:val="03000509000000000000"/>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49777F">
    <w:pPr>
      <w:pStyle w:val="11"/>
      <w:jc w:val="center"/>
    </w:pPr>
    <w:r>
      <w:rPr>
        <w:b/>
      </w:rPr>
      <w:fldChar w:fldCharType="begin"/>
    </w:r>
    <w:r>
      <w:rPr>
        <w:b/>
      </w:rPr>
      <w:instrText xml:space="preserve">PAGE  \* Arabic  \* MERGEFORMAT</w:instrText>
    </w:r>
    <w:r>
      <w:rPr>
        <w:b/>
      </w:rPr>
      <w:fldChar w:fldCharType="separate"/>
    </w:r>
    <w:r>
      <w:rPr>
        <w:b/>
        <w:lang w:val="zh-CN"/>
      </w:rPr>
      <w:t>85</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A535BD">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5DB727"/>
    <w:multiLevelType w:val="singleLevel"/>
    <w:tmpl w:val="C15DB727"/>
    <w:lvl w:ilvl="0" w:tentative="0">
      <w:start w:val="1"/>
      <w:numFmt w:val="lowerLetter"/>
      <w:lvlText w:val="%1)"/>
      <w:lvlJc w:val="left"/>
      <w:pPr>
        <w:tabs>
          <w:tab w:val="left" w:pos="312"/>
        </w:tabs>
      </w:pPr>
    </w:lvl>
  </w:abstractNum>
  <w:abstractNum w:abstractNumId="1">
    <w:nsid w:val="C84B9AB1"/>
    <w:multiLevelType w:val="singleLevel"/>
    <w:tmpl w:val="C84B9AB1"/>
    <w:lvl w:ilvl="0" w:tentative="0">
      <w:start w:val="1"/>
      <w:numFmt w:val="decimal"/>
      <w:suff w:val="space"/>
      <w:lvlText w:val="%1."/>
      <w:lvlJc w:val="left"/>
    </w:lvl>
  </w:abstractNum>
  <w:abstractNum w:abstractNumId="2">
    <w:nsid w:val="1C73117F"/>
    <w:multiLevelType w:val="singleLevel"/>
    <w:tmpl w:val="1C73117F"/>
    <w:lvl w:ilvl="0" w:tentative="0">
      <w:start w:val="5"/>
      <w:numFmt w:val="chineseCounting"/>
      <w:suff w:val="nothing"/>
      <w:lvlText w:val="（%1）"/>
      <w:lvlJc w:val="left"/>
      <w:rPr>
        <w:rFonts w:hint="eastAsia"/>
      </w:rPr>
    </w:lvl>
  </w:abstractNum>
  <w:abstractNum w:abstractNumId="3">
    <w:nsid w:val="35685F23"/>
    <w:multiLevelType w:val="singleLevel"/>
    <w:tmpl w:val="35685F23"/>
    <w:lvl w:ilvl="0" w:tentative="0">
      <w:start w:val="2"/>
      <w:numFmt w:val="decimal"/>
      <w:lvlText w:val="%1."/>
      <w:lvlJc w:val="left"/>
      <w:pPr>
        <w:tabs>
          <w:tab w:val="left" w:pos="312"/>
        </w:tabs>
      </w:pPr>
    </w:lvl>
  </w:abstractNum>
  <w:abstractNum w:abstractNumId="4">
    <w:nsid w:val="620C7134"/>
    <w:multiLevelType w:val="singleLevel"/>
    <w:tmpl w:val="620C7134"/>
    <w:lvl w:ilvl="0" w:tentative="0">
      <w:start w:val="2"/>
      <w:numFmt w:val="decimal"/>
      <w:suff w:val="space"/>
      <w:lvlText w:val="%1."/>
      <w:lvlJc w:val="left"/>
    </w:lvl>
  </w:abstractNum>
  <w:num w:numId="1">
    <w:abstractNumId w:val="2"/>
  </w:num>
  <w:num w:numId="2">
    <w:abstractNumId w:val="0"/>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2C35"/>
    <w:rsid w:val="0002347F"/>
    <w:rsid w:val="000234F6"/>
    <w:rsid w:val="00025E3C"/>
    <w:rsid w:val="00027983"/>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911"/>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5136"/>
    <w:rsid w:val="000861B5"/>
    <w:rsid w:val="00086EBE"/>
    <w:rsid w:val="00092400"/>
    <w:rsid w:val="00092878"/>
    <w:rsid w:val="000949F5"/>
    <w:rsid w:val="000A0277"/>
    <w:rsid w:val="000A116B"/>
    <w:rsid w:val="000A1657"/>
    <w:rsid w:val="000A2A05"/>
    <w:rsid w:val="000A36F4"/>
    <w:rsid w:val="000A3F59"/>
    <w:rsid w:val="000A5CEA"/>
    <w:rsid w:val="000A719C"/>
    <w:rsid w:val="000B006B"/>
    <w:rsid w:val="000B0777"/>
    <w:rsid w:val="000B1340"/>
    <w:rsid w:val="000B1EED"/>
    <w:rsid w:val="000B2975"/>
    <w:rsid w:val="000B2C69"/>
    <w:rsid w:val="000B7480"/>
    <w:rsid w:val="000C0FAA"/>
    <w:rsid w:val="000C103D"/>
    <w:rsid w:val="000C337F"/>
    <w:rsid w:val="000C343E"/>
    <w:rsid w:val="000C5898"/>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87C20"/>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428"/>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0FE"/>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4207"/>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598B"/>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227A"/>
    <w:rsid w:val="00424241"/>
    <w:rsid w:val="004245A6"/>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2ED6"/>
    <w:rsid w:val="004A30DC"/>
    <w:rsid w:val="004A35A9"/>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0ACC"/>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1D6"/>
    <w:rsid w:val="00563510"/>
    <w:rsid w:val="00563848"/>
    <w:rsid w:val="0056402A"/>
    <w:rsid w:val="00566432"/>
    <w:rsid w:val="0057120E"/>
    <w:rsid w:val="00572118"/>
    <w:rsid w:val="00572E0A"/>
    <w:rsid w:val="005737C6"/>
    <w:rsid w:val="00573BE0"/>
    <w:rsid w:val="005744E2"/>
    <w:rsid w:val="00577598"/>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2F25"/>
    <w:rsid w:val="005B4182"/>
    <w:rsid w:val="005B4918"/>
    <w:rsid w:val="005B50A1"/>
    <w:rsid w:val="005B631B"/>
    <w:rsid w:val="005B6420"/>
    <w:rsid w:val="005B7018"/>
    <w:rsid w:val="005B7B49"/>
    <w:rsid w:val="005C1695"/>
    <w:rsid w:val="005C176F"/>
    <w:rsid w:val="005C2CDE"/>
    <w:rsid w:val="005C3189"/>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65D"/>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2B6C"/>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14F97"/>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4770"/>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3A03"/>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431F"/>
    <w:rsid w:val="0080560A"/>
    <w:rsid w:val="008069CB"/>
    <w:rsid w:val="0080752E"/>
    <w:rsid w:val="008112B5"/>
    <w:rsid w:val="008114F5"/>
    <w:rsid w:val="008145E7"/>
    <w:rsid w:val="00814C9A"/>
    <w:rsid w:val="008150C7"/>
    <w:rsid w:val="00815C92"/>
    <w:rsid w:val="00815E04"/>
    <w:rsid w:val="00816F2D"/>
    <w:rsid w:val="00817246"/>
    <w:rsid w:val="00817270"/>
    <w:rsid w:val="00820E37"/>
    <w:rsid w:val="00822293"/>
    <w:rsid w:val="0082480E"/>
    <w:rsid w:val="008252B9"/>
    <w:rsid w:val="00826E56"/>
    <w:rsid w:val="00830330"/>
    <w:rsid w:val="00830450"/>
    <w:rsid w:val="0083054F"/>
    <w:rsid w:val="0083266E"/>
    <w:rsid w:val="00837228"/>
    <w:rsid w:val="00837A4F"/>
    <w:rsid w:val="00840331"/>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1A3C"/>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87E72"/>
    <w:rsid w:val="00890051"/>
    <w:rsid w:val="008916A3"/>
    <w:rsid w:val="008918B8"/>
    <w:rsid w:val="008921AF"/>
    <w:rsid w:val="0089306D"/>
    <w:rsid w:val="008951B3"/>
    <w:rsid w:val="00895914"/>
    <w:rsid w:val="00895ECD"/>
    <w:rsid w:val="00897916"/>
    <w:rsid w:val="008A1E8A"/>
    <w:rsid w:val="008A252B"/>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584C"/>
    <w:rsid w:val="00A264A9"/>
    <w:rsid w:val="00A26987"/>
    <w:rsid w:val="00A26C90"/>
    <w:rsid w:val="00A3004B"/>
    <w:rsid w:val="00A3181B"/>
    <w:rsid w:val="00A31C58"/>
    <w:rsid w:val="00A32134"/>
    <w:rsid w:val="00A3561D"/>
    <w:rsid w:val="00A35BC5"/>
    <w:rsid w:val="00A40081"/>
    <w:rsid w:val="00A4224D"/>
    <w:rsid w:val="00A440E2"/>
    <w:rsid w:val="00A45463"/>
    <w:rsid w:val="00A45779"/>
    <w:rsid w:val="00A45815"/>
    <w:rsid w:val="00A45D60"/>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1E25"/>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3038"/>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2643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0574"/>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0DDF"/>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597F"/>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1AAE"/>
    <w:rsid w:val="00BE30EE"/>
    <w:rsid w:val="00BE4FFC"/>
    <w:rsid w:val="00BE596E"/>
    <w:rsid w:val="00BE63BC"/>
    <w:rsid w:val="00BE7DAA"/>
    <w:rsid w:val="00BF27F1"/>
    <w:rsid w:val="00BF3297"/>
    <w:rsid w:val="00BF3B42"/>
    <w:rsid w:val="00BF7162"/>
    <w:rsid w:val="00C030CD"/>
    <w:rsid w:val="00C03843"/>
    <w:rsid w:val="00C0504F"/>
    <w:rsid w:val="00C0517E"/>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3961"/>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1B84"/>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43B7"/>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2EDA"/>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297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1B9F"/>
    <w:rsid w:val="00E426C6"/>
    <w:rsid w:val="00E42F5F"/>
    <w:rsid w:val="00E435B2"/>
    <w:rsid w:val="00E461B0"/>
    <w:rsid w:val="00E47C19"/>
    <w:rsid w:val="00E5348D"/>
    <w:rsid w:val="00E56C85"/>
    <w:rsid w:val="00E575B1"/>
    <w:rsid w:val="00E578C5"/>
    <w:rsid w:val="00E60CAD"/>
    <w:rsid w:val="00E61311"/>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0986"/>
    <w:rsid w:val="00EA1CFF"/>
    <w:rsid w:val="00EA3BA2"/>
    <w:rsid w:val="00EA48B8"/>
    <w:rsid w:val="00EA56D3"/>
    <w:rsid w:val="00EA6635"/>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37E5"/>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0B051A3F"/>
    <w:rsid w:val="121B720E"/>
    <w:rsid w:val="172E1717"/>
    <w:rsid w:val="29437F8A"/>
    <w:rsid w:val="783F46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2"/>
    <w:basedOn w:val="1"/>
    <w:next w:val="1"/>
    <w:link w:val="24"/>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25"/>
    <w:qFormat/>
    <w:uiPriority w:val="0"/>
    <w:pPr>
      <w:keepNext/>
      <w:keepLines/>
      <w:spacing w:before="260" w:after="260" w:line="416" w:lineRule="auto"/>
      <w:outlineLvl w:val="2"/>
    </w:pPr>
    <w:rPr>
      <w:b/>
      <w:bCs/>
      <w:sz w:val="32"/>
      <w:szCs w:val="32"/>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46"/>
    <w:unhideWhenUsed/>
    <w:qFormat/>
    <w:uiPriority w:val="0"/>
    <w:pPr>
      <w:jc w:val="left"/>
    </w:pPr>
  </w:style>
  <w:style w:type="paragraph" w:styleId="5">
    <w:name w:val="Body Text"/>
    <w:basedOn w:val="1"/>
    <w:link w:val="47"/>
    <w:unhideWhenUsed/>
    <w:qFormat/>
    <w:uiPriority w:val="0"/>
    <w:pPr>
      <w:spacing w:after="120"/>
    </w:pPr>
  </w:style>
  <w:style w:type="paragraph" w:styleId="6">
    <w:name w:val="Body Text Indent"/>
    <w:basedOn w:val="1"/>
    <w:link w:val="26"/>
    <w:qFormat/>
    <w:uiPriority w:val="0"/>
    <w:pPr>
      <w:tabs>
        <w:tab w:val="left" w:pos="480"/>
      </w:tabs>
      <w:spacing w:line="560" w:lineRule="exact"/>
      <w:ind w:firstLine="480"/>
      <w:jc w:val="left"/>
    </w:pPr>
    <w:rPr>
      <w:rFonts w:ascii="宋体" w:hAnsi="宋体"/>
      <w:sz w:val="24"/>
    </w:rPr>
  </w:style>
  <w:style w:type="paragraph" w:styleId="7">
    <w:name w:val="Plain Text"/>
    <w:basedOn w:val="1"/>
    <w:link w:val="38"/>
    <w:qFormat/>
    <w:uiPriority w:val="0"/>
    <w:rPr>
      <w:rFonts w:ascii="宋体" w:hAnsi="Courier New"/>
      <w:lang w:val="zh-CN" w:eastAsia="zh-CN"/>
    </w:rPr>
  </w:style>
  <w:style w:type="paragraph" w:styleId="8">
    <w:name w:val="Date"/>
    <w:basedOn w:val="1"/>
    <w:next w:val="1"/>
    <w:link w:val="32"/>
    <w:qFormat/>
    <w:uiPriority w:val="0"/>
    <w:pPr>
      <w:adjustRightInd w:val="0"/>
      <w:spacing w:line="360" w:lineRule="atLeast"/>
      <w:textAlignment w:val="baseline"/>
    </w:pPr>
    <w:rPr>
      <w:sz w:val="32"/>
    </w:rPr>
  </w:style>
  <w:style w:type="paragraph" w:styleId="9">
    <w:name w:val="Body Text Indent 2"/>
    <w:basedOn w:val="1"/>
    <w:link w:val="35"/>
    <w:semiHidden/>
    <w:unhideWhenUsed/>
    <w:qFormat/>
    <w:uiPriority w:val="99"/>
    <w:pPr>
      <w:spacing w:after="120" w:line="480" w:lineRule="auto"/>
      <w:ind w:left="420" w:leftChars="200"/>
    </w:pPr>
  </w:style>
  <w:style w:type="paragraph" w:styleId="10">
    <w:name w:val="Balloon Text"/>
    <w:basedOn w:val="1"/>
    <w:link w:val="45"/>
    <w:semiHidden/>
    <w:unhideWhenUsed/>
    <w:qFormat/>
    <w:uiPriority w:val="99"/>
    <w:rPr>
      <w:sz w:val="18"/>
      <w:szCs w:val="18"/>
    </w:rPr>
  </w:style>
  <w:style w:type="paragraph" w:styleId="11">
    <w:name w:val="footer"/>
    <w:basedOn w:val="1"/>
    <w:link w:val="31"/>
    <w:unhideWhenUsed/>
    <w:qFormat/>
    <w:uiPriority w:val="99"/>
    <w:pPr>
      <w:tabs>
        <w:tab w:val="center" w:pos="4153"/>
        <w:tab w:val="right" w:pos="8306"/>
      </w:tabs>
      <w:snapToGrid w:val="0"/>
      <w:jc w:val="left"/>
    </w:pPr>
    <w:rPr>
      <w:sz w:val="18"/>
      <w:szCs w:val="18"/>
    </w:rPr>
  </w:style>
  <w:style w:type="paragraph" w:styleId="12">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29"/>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4">
    <w:name w:val="Body Text Indent 3"/>
    <w:basedOn w:val="1"/>
    <w:link w:val="40"/>
    <w:semiHidden/>
    <w:unhideWhenUsed/>
    <w:qFormat/>
    <w:uiPriority w:val="99"/>
    <w:pPr>
      <w:spacing w:after="120"/>
      <w:ind w:left="420" w:leftChars="200"/>
    </w:pPr>
    <w:rPr>
      <w:sz w:val="16"/>
      <w:szCs w:val="16"/>
    </w:rPr>
  </w:style>
  <w:style w:type="paragraph" w:styleId="15">
    <w:name w:val="Body Text 2"/>
    <w:basedOn w:val="1"/>
    <w:link w:val="36"/>
    <w:semiHidden/>
    <w:unhideWhenUsed/>
    <w:qFormat/>
    <w:uiPriority w:val="99"/>
    <w:pPr>
      <w:spacing w:after="120" w:line="480" w:lineRule="auto"/>
    </w:pPr>
  </w:style>
  <w:style w:type="paragraph" w:styleId="16">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7">
    <w:name w:val="annotation subject"/>
    <w:basedOn w:val="4"/>
    <w:next w:val="4"/>
    <w:link w:val="50"/>
    <w:semiHidden/>
    <w:unhideWhenUsed/>
    <w:qFormat/>
    <w:uiPriority w:val="99"/>
    <w:rPr>
      <w:b/>
      <w:bCs/>
    </w:rPr>
  </w:style>
  <w:style w:type="table" w:styleId="19">
    <w:name w:val="Table Grid"/>
    <w:basedOn w:val="1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qFormat/>
    <w:uiPriority w:val="22"/>
    <w:rPr>
      <w:b/>
      <w:bCs/>
    </w:rPr>
  </w:style>
  <w:style w:type="character" w:styleId="22">
    <w:name w:val="Hyperlink"/>
    <w:basedOn w:val="20"/>
    <w:unhideWhenUsed/>
    <w:qFormat/>
    <w:uiPriority w:val="99"/>
    <w:rPr>
      <w:color w:val="0000FF" w:themeColor="hyperlink"/>
      <w:u w:val="single"/>
      <w14:textFill>
        <w14:solidFill>
          <w14:schemeClr w14:val="hlink"/>
        </w14:solidFill>
      </w14:textFill>
    </w:rPr>
  </w:style>
  <w:style w:type="character" w:styleId="23">
    <w:name w:val="annotation reference"/>
    <w:basedOn w:val="20"/>
    <w:semiHidden/>
    <w:unhideWhenUsed/>
    <w:qFormat/>
    <w:uiPriority w:val="99"/>
    <w:rPr>
      <w:sz w:val="21"/>
      <w:szCs w:val="21"/>
    </w:rPr>
  </w:style>
  <w:style w:type="character" w:customStyle="1" w:styleId="24">
    <w:name w:val="标题 2 Char"/>
    <w:basedOn w:val="20"/>
    <w:link w:val="2"/>
    <w:semiHidden/>
    <w:qFormat/>
    <w:uiPriority w:val="9"/>
    <w:rPr>
      <w:rFonts w:asciiTheme="majorHAnsi" w:hAnsiTheme="majorHAnsi" w:eastAsiaTheme="majorEastAsia" w:cstheme="majorBidi"/>
      <w:b/>
      <w:bCs/>
      <w:sz w:val="32"/>
      <w:szCs w:val="32"/>
    </w:rPr>
  </w:style>
  <w:style w:type="character" w:customStyle="1" w:styleId="25">
    <w:name w:val="标题 3 Char"/>
    <w:basedOn w:val="20"/>
    <w:link w:val="3"/>
    <w:qFormat/>
    <w:uiPriority w:val="0"/>
    <w:rPr>
      <w:rFonts w:ascii="Times New Roman" w:hAnsi="Times New Roman" w:eastAsia="宋体" w:cs="Times New Roman"/>
      <w:b/>
      <w:bCs/>
      <w:sz w:val="32"/>
      <w:szCs w:val="32"/>
    </w:rPr>
  </w:style>
  <w:style w:type="character" w:customStyle="1" w:styleId="26">
    <w:name w:val="正文文本缩进 Char"/>
    <w:basedOn w:val="20"/>
    <w:link w:val="6"/>
    <w:qFormat/>
    <w:uiPriority w:val="0"/>
    <w:rPr>
      <w:rFonts w:ascii="宋体" w:hAnsi="宋体" w:eastAsia="宋体" w:cs="Times New Roman"/>
      <w:sz w:val="24"/>
      <w:szCs w:val="20"/>
    </w:rPr>
  </w:style>
  <w:style w:type="paragraph" w:customStyle="1" w:styleId="27">
    <w:name w:val="Default"/>
    <w:link w:val="2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8">
    <w:name w:val="Default Char"/>
    <w:link w:val="27"/>
    <w:qFormat/>
    <w:locked/>
    <w:uiPriority w:val="0"/>
    <w:rPr>
      <w:rFonts w:ascii="......." w:hAnsi="Calibri" w:eastAsia="......." w:cs="......."/>
      <w:color w:val="000000"/>
      <w:kern w:val="0"/>
      <w:sz w:val="24"/>
      <w:szCs w:val="24"/>
    </w:rPr>
  </w:style>
  <w:style w:type="character" w:customStyle="1" w:styleId="29">
    <w:name w:val="副标题 Char"/>
    <w:basedOn w:val="20"/>
    <w:link w:val="13"/>
    <w:qFormat/>
    <w:uiPriority w:val="0"/>
    <w:rPr>
      <w:rFonts w:ascii="Cambria" w:hAnsi="Cambria" w:eastAsia="宋体" w:cs="Times New Roman"/>
      <w:b/>
      <w:bCs/>
      <w:kern w:val="28"/>
      <w:sz w:val="32"/>
      <w:szCs w:val="32"/>
      <w:lang w:val="zh-CN" w:eastAsia="zh-CN"/>
    </w:rPr>
  </w:style>
  <w:style w:type="character" w:customStyle="1" w:styleId="30">
    <w:name w:val="页眉 Char"/>
    <w:basedOn w:val="20"/>
    <w:link w:val="12"/>
    <w:qFormat/>
    <w:uiPriority w:val="99"/>
    <w:rPr>
      <w:rFonts w:ascii="Times New Roman" w:hAnsi="Times New Roman" w:eastAsia="宋体" w:cs="Times New Roman"/>
      <w:sz w:val="18"/>
      <w:szCs w:val="18"/>
    </w:rPr>
  </w:style>
  <w:style w:type="character" w:customStyle="1" w:styleId="31">
    <w:name w:val="页脚 Char"/>
    <w:basedOn w:val="20"/>
    <w:link w:val="11"/>
    <w:qFormat/>
    <w:uiPriority w:val="99"/>
    <w:rPr>
      <w:rFonts w:ascii="Times New Roman" w:hAnsi="Times New Roman" w:eastAsia="宋体" w:cs="Times New Roman"/>
      <w:sz w:val="18"/>
      <w:szCs w:val="18"/>
    </w:rPr>
  </w:style>
  <w:style w:type="character" w:customStyle="1" w:styleId="32">
    <w:name w:val="日期 Char"/>
    <w:basedOn w:val="20"/>
    <w:link w:val="8"/>
    <w:qFormat/>
    <w:uiPriority w:val="0"/>
    <w:rPr>
      <w:rFonts w:ascii="Times New Roman" w:hAnsi="Times New Roman" w:eastAsia="宋体" w:cs="Times New Roman"/>
      <w:sz w:val="32"/>
      <w:szCs w:val="20"/>
    </w:rPr>
  </w:style>
  <w:style w:type="paragraph" w:styleId="33">
    <w:name w:val="List Paragraph"/>
    <w:basedOn w:val="1"/>
    <w:link w:val="34"/>
    <w:qFormat/>
    <w:uiPriority w:val="34"/>
    <w:pPr>
      <w:ind w:firstLine="420" w:firstLineChars="200"/>
    </w:pPr>
  </w:style>
  <w:style w:type="character" w:customStyle="1" w:styleId="34">
    <w:name w:val="列出段落 Char"/>
    <w:link w:val="33"/>
    <w:qFormat/>
    <w:uiPriority w:val="34"/>
    <w:rPr>
      <w:rFonts w:ascii="Times New Roman" w:hAnsi="Times New Roman" w:eastAsia="宋体" w:cs="Times New Roman"/>
      <w:szCs w:val="20"/>
    </w:rPr>
  </w:style>
  <w:style w:type="character" w:customStyle="1" w:styleId="35">
    <w:name w:val="正文文本缩进 2 Char"/>
    <w:basedOn w:val="20"/>
    <w:link w:val="9"/>
    <w:semiHidden/>
    <w:qFormat/>
    <w:uiPriority w:val="99"/>
    <w:rPr>
      <w:rFonts w:ascii="Times New Roman" w:hAnsi="Times New Roman" w:eastAsia="宋体" w:cs="Times New Roman"/>
      <w:szCs w:val="20"/>
    </w:rPr>
  </w:style>
  <w:style w:type="character" w:customStyle="1" w:styleId="36">
    <w:name w:val="正文文本 2 Char"/>
    <w:basedOn w:val="20"/>
    <w:link w:val="15"/>
    <w:semiHidden/>
    <w:qFormat/>
    <w:uiPriority w:val="99"/>
    <w:rPr>
      <w:rFonts w:ascii="Times New Roman" w:hAnsi="Times New Roman" w:eastAsia="宋体" w:cs="Times New Roman"/>
      <w:szCs w:val="20"/>
    </w:rPr>
  </w:style>
  <w:style w:type="paragraph" w:customStyle="1" w:styleId="37">
    <w:name w:val="Char"/>
    <w:basedOn w:val="1"/>
    <w:autoRedefine/>
    <w:qFormat/>
    <w:uiPriority w:val="0"/>
    <w:pPr>
      <w:tabs>
        <w:tab w:val="left" w:pos="360"/>
      </w:tabs>
    </w:pPr>
    <w:rPr>
      <w:sz w:val="24"/>
      <w:szCs w:val="24"/>
    </w:rPr>
  </w:style>
  <w:style w:type="character" w:customStyle="1" w:styleId="38">
    <w:name w:val="纯文本 Char1"/>
    <w:link w:val="7"/>
    <w:qFormat/>
    <w:locked/>
    <w:uiPriority w:val="0"/>
    <w:rPr>
      <w:rFonts w:ascii="宋体" w:hAnsi="Courier New" w:eastAsia="宋体" w:cs="Times New Roman"/>
      <w:szCs w:val="20"/>
      <w:lang w:val="zh-CN" w:eastAsia="zh-CN"/>
    </w:rPr>
  </w:style>
  <w:style w:type="character" w:customStyle="1" w:styleId="39">
    <w:name w:val="纯文本 Char"/>
    <w:basedOn w:val="20"/>
    <w:semiHidden/>
    <w:qFormat/>
    <w:uiPriority w:val="99"/>
    <w:rPr>
      <w:rFonts w:ascii="宋体" w:hAnsi="Courier New" w:eastAsia="宋体" w:cs="Courier New"/>
      <w:szCs w:val="21"/>
    </w:rPr>
  </w:style>
  <w:style w:type="character" w:customStyle="1" w:styleId="40">
    <w:name w:val="正文文本缩进 3 Char"/>
    <w:basedOn w:val="20"/>
    <w:link w:val="14"/>
    <w:semiHidden/>
    <w:qFormat/>
    <w:uiPriority w:val="99"/>
    <w:rPr>
      <w:rFonts w:ascii="Times New Roman" w:hAnsi="Times New Roman" w:eastAsia="宋体" w:cs="Times New Roman"/>
      <w:sz w:val="16"/>
      <w:szCs w:val="16"/>
    </w:rPr>
  </w:style>
  <w:style w:type="paragraph" w:customStyle="1" w:styleId="41">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5">
    <w:name w:val="批注框文本 Char"/>
    <w:basedOn w:val="20"/>
    <w:link w:val="10"/>
    <w:semiHidden/>
    <w:qFormat/>
    <w:uiPriority w:val="99"/>
    <w:rPr>
      <w:rFonts w:ascii="Times New Roman" w:hAnsi="Times New Roman" w:eastAsia="宋体" w:cs="Times New Roman"/>
      <w:sz w:val="18"/>
      <w:szCs w:val="18"/>
    </w:rPr>
  </w:style>
  <w:style w:type="character" w:customStyle="1" w:styleId="46">
    <w:name w:val="批注文字 Char"/>
    <w:basedOn w:val="20"/>
    <w:link w:val="4"/>
    <w:semiHidden/>
    <w:qFormat/>
    <w:uiPriority w:val="99"/>
    <w:rPr>
      <w:rFonts w:ascii="Times New Roman" w:hAnsi="Times New Roman" w:eastAsia="宋体" w:cs="Times New Roman"/>
      <w:szCs w:val="20"/>
    </w:rPr>
  </w:style>
  <w:style w:type="character" w:customStyle="1" w:styleId="47">
    <w:name w:val="正文文本 Char"/>
    <w:basedOn w:val="20"/>
    <w:link w:val="5"/>
    <w:semiHidden/>
    <w:qFormat/>
    <w:uiPriority w:val="99"/>
    <w:rPr>
      <w:rFonts w:ascii="Times New Roman" w:hAnsi="Times New Roman" w:eastAsia="宋体" w:cs="Times New Roman"/>
      <w:szCs w:val="20"/>
    </w:rPr>
  </w:style>
  <w:style w:type="paragraph" w:customStyle="1" w:styleId="48">
    <w:name w:val="列出段落1"/>
    <w:basedOn w:val="1"/>
    <w:qFormat/>
    <w:uiPriority w:val="0"/>
    <w:pPr>
      <w:ind w:firstLine="420" w:firstLineChars="200"/>
    </w:pPr>
    <w:rPr>
      <w:rFonts w:ascii="Calibri" w:hAnsi="Calibri" w:cs="黑体"/>
      <w:szCs w:val="22"/>
    </w:rPr>
  </w:style>
  <w:style w:type="paragraph" w:customStyle="1" w:styleId="49">
    <w:name w:val="AONormal"/>
    <w:qFormat/>
    <w:uiPriority w:val="0"/>
    <w:pPr>
      <w:autoSpaceDE w:val="0"/>
      <w:autoSpaceDN w:val="0"/>
      <w:adjustRightInd w:val="0"/>
      <w:spacing w:line="400" w:lineRule="exact"/>
      <w:ind w:firstLine="440" w:firstLineChars="200"/>
    </w:pPr>
    <w:rPr>
      <w:rFonts w:ascii="华文楷体" w:hAnsi="华文楷体" w:eastAsia="华文楷体" w:cs="华文楷体"/>
      <w:kern w:val="0"/>
      <w:sz w:val="22"/>
      <w:szCs w:val="21"/>
      <w:lang w:val="en-US" w:eastAsia="zh-CN" w:bidi="ar-SA"/>
    </w:rPr>
  </w:style>
  <w:style w:type="character" w:customStyle="1" w:styleId="50">
    <w:name w:val="批注主题 Char"/>
    <w:basedOn w:val="46"/>
    <w:link w:val="17"/>
    <w:semiHidden/>
    <w:qFormat/>
    <w:uiPriority w:val="99"/>
    <w:rPr>
      <w:rFonts w:ascii="Times New Roman" w:hAnsi="Times New Roman" w:eastAsia="宋体" w:cs="Times New Roman"/>
      <w:b/>
      <w:bCs/>
      <w:szCs w:val="20"/>
    </w:rPr>
  </w:style>
  <w:style w:type="paragraph" w:customStyle="1" w:styleId="51">
    <w:name w:val="批注文字1"/>
    <w:basedOn w:val="1"/>
    <w:qFormat/>
    <w:uiPriority w:val="0"/>
    <w:pPr>
      <w:jc w:val="left"/>
    </w:pPr>
    <w:rPr>
      <w:szCs w:val="24"/>
    </w:rPr>
  </w:style>
  <w:style w:type="paragraph" w:customStyle="1" w:styleId="52">
    <w:name w:val="日期1"/>
    <w:basedOn w:val="1"/>
    <w:qFormat/>
    <w:uiPriority w:val="0"/>
    <w:pPr>
      <w:ind w:left="100" w:leftChars="2500"/>
    </w:pPr>
    <w:rPr>
      <w:szCs w:val="24"/>
    </w:rPr>
  </w:style>
  <w:style w:type="paragraph" w:customStyle="1" w:styleId="53">
    <w:name w:val="页脚1"/>
    <w:basedOn w:val="1"/>
    <w:link w:val="54"/>
    <w:qFormat/>
    <w:uiPriority w:val="0"/>
    <w:pPr>
      <w:tabs>
        <w:tab w:val="center" w:pos="4153"/>
        <w:tab w:val="right" w:pos="8306"/>
      </w:tabs>
      <w:snapToGrid w:val="0"/>
      <w:jc w:val="left"/>
    </w:pPr>
    <w:rPr>
      <w:sz w:val="18"/>
      <w:szCs w:val="18"/>
    </w:rPr>
  </w:style>
  <w:style w:type="character" w:customStyle="1" w:styleId="54">
    <w:name w:val="页脚 字符"/>
    <w:link w:val="53"/>
    <w:qFormat/>
    <w:uiPriority w:val="0"/>
    <w:rPr>
      <w:rFonts w:ascii="Times New Roman" w:hAnsi="Times New Roman" w:eastAsia="宋体" w:cs="Times New Roman"/>
      <w:sz w:val="18"/>
      <w:szCs w:val="18"/>
    </w:rPr>
  </w:style>
  <w:style w:type="paragraph" w:customStyle="1" w:styleId="55">
    <w:name w:val="页眉1"/>
    <w:basedOn w:val="1"/>
    <w:qFormat/>
    <w:uiPriority w:val="0"/>
    <w:pPr>
      <w:pBdr>
        <w:bottom w:val="single" w:color="auto" w:sz="6" w:space="1"/>
      </w:pBdr>
      <w:tabs>
        <w:tab w:val="center" w:pos="4153"/>
        <w:tab w:val="right" w:pos="8306"/>
      </w:tabs>
      <w:snapToGrid w:val="0"/>
      <w:jc w:val="center"/>
    </w:pPr>
    <w:rPr>
      <w:sz w:val="18"/>
      <w:szCs w:val="18"/>
    </w:rPr>
  </w:style>
  <w:style w:type="paragraph" w:customStyle="1" w:styleId="56">
    <w:name w:val="HTML 预设格式1"/>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eastAsia="Arial Unicode MS"/>
      <w:szCs w:val="21"/>
    </w:rPr>
  </w:style>
  <w:style w:type="character" w:customStyle="1" w:styleId="57">
    <w:name w:val="要点1"/>
    <w:qFormat/>
    <w:uiPriority w:val="0"/>
    <w:rPr>
      <w:b/>
    </w:rPr>
  </w:style>
  <w:style w:type="character" w:customStyle="1" w:styleId="58">
    <w:name w:val="页码1"/>
    <w:qFormat/>
    <w:uiPriority w:val="0"/>
  </w:style>
  <w:style w:type="character" w:customStyle="1" w:styleId="59">
    <w:name w:val="已访问的超链接1"/>
    <w:qFormat/>
    <w:uiPriority w:val="0"/>
    <w:rPr>
      <w:color w:val="800080"/>
      <w:u w:val="none"/>
    </w:rPr>
  </w:style>
  <w:style w:type="character" w:customStyle="1" w:styleId="60">
    <w:name w:val="HTML 定义1"/>
    <w:qFormat/>
    <w:uiPriority w:val="0"/>
    <w:rPr>
      <w:i/>
    </w:rPr>
  </w:style>
  <w:style w:type="character" w:customStyle="1" w:styleId="61">
    <w:name w:val="超链接1"/>
    <w:qFormat/>
    <w:uiPriority w:val="0"/>
    <w:rPr>
      <w:color w:val="0000FF"/>
      <w:u w:val="none"/>
    </w:rPr>
  </w:style>
  <w:style w:type="character" w:customStyle="1" w:styleId="62">
    <w:name w:val="HTML 代码1"/>
    <w:qFormat/>
    <w:uiPriority w:val="0"/>
    <w:rPr>
      <w:rFonts w:ascii="serif" w:hAnsi="serif" w:eastAsia="serif"/>
      <w:sz w:val="21"/>
      <w:szCs w:val="21"/>
    </w:rPr>
  </w:style>
  <w:style w:type="character" w:customStyle="1" w:styleId="63">
    <w:name w:val="批注引用1"/>
    <w:qFormat/>
    <w:uiPriority w:val="0"/>
    <w:rPr>
      <w:sz w:val="21"/>
      <w:szCs w:val="21"/>
    </w:rPr>
  </w:style>
  <w:style w:type="character" w:customStyle="1" w:styleId="64">
    <w:name w:val="HTML 键盘1"/>
    <w:qFormat/>
    <w:uiPriority w:val="0"/>
    <w:rPr>
      <w:rFonts w:ascii="serif" w:hAnsi="serif" w:eastAsia="serif"/>
      <w:sz w:val="21"/>
      <w:szCs w:val="21"/>
    </w:rPr>
  </w:style>
  <w:style w:type="character" w:customStyle="1" w:styleId="65">
    <w:name w:val="HTML 样本1"/>
    <w:qFormat/>
    <w:uiPriority w:val="0"/>
    <w:rPr>
      <w:rFonts w:ascii="serif" w:hAnsi="serif" w:eastAsia="serif"/>
      <w:sz w:val="21"/>
      <w:szCs w:val="21"/>
    </w:rPr>
  </w:style>
  <w:style w:type="character" w:customStyle="1" w:styleId="66">
    <w:name w:val="first-child"/>
    <w:qFormat/>
    <w:uiPriority w:val="0"/>
  </w:style>
  <w:style w:type="character" w:customStyle="1" w:styleId="67">
    <w:name w:val="required"/>
    <w:qFormat/>
    <w:uiPriority w:val="0"/>
    <w:rPr>
      <w:color w:val="FF0000"/>
    </w:rPr>
  </w:style>
  <w:style w:type="character" w:customStyle="1" w:styleId="68">
    <w:name w:val="first-child1"/>
    <w:qFormat/>
    <w:uiPriority w:val="0"/>
  </w:style>
  <w:style w:type="paragraph" w:customStyle="1" w:styleId="69">
    <w:name w:val="_Style 13"/>
    <w:qFormat/>
    <w:uiPriority w:val="0"/>
    <w:pPr>
      <w:spacing w:before="120" w:after="120" w:line="288" w:lineRule="auto"/>
    </w:pPr>
    <w:rPr>
      <w:rFonts w:ascii="Arial" w:hAnsi="Arial" w:eastAsia="等线" w:cs="Arial"/>
      <w:kern w:val="0"/>
      <w:sz w:val="22"/>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MS</Company>
  <Pages>14</Pages>
  <Words>3400</Words>
  <Characters>4071</Characters>
  <Lines>376</Lines>
  <Paragraphs>106</Paragraphs>
  <TotalTime>12</TotalTime>
  <ScaleCrop>false</ScaleCrop>
  <LinksUpToDate>false</LinksUpToDate>
  <CharactersWithSpaces>4120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2025-01-26T01:52:00Z</dcterms:created>
  <dc:creator>未定义</dc:creator>
  <cp:lastModifiedBy>古灵娇妍</cp:lastModifiedBy>
  <cp:lastPrinted>2017-09-13T07:55:00Z</cp:lastPrinted>
  <dcterms:modified xsi:type="dcterms:W3CDTF">2025-09-26T06:43:36Z</dcterms:modified>
  <cp:revision>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eyJoZGlkIjoiMjMxMzdjYjQ0ZDE4YjMzZjQxMTFlNjkzOTE0ZGNlOTQiLCJ1c2VySWQiOiI4NTI0Njg3NjQifQ==</vt:lpwstr>
  </property>
  <property fmtid="{D5CDD505-2E9C-101B-9397-08002B2CF9AE}" pid="3" name="KSOProductBuildVer">
    <vt:lpwstr>2052-12.1.0.21915</vt:lpwstr>
  </property>
  <property fmtid="{D5CDD505-2E9C-101B-9397-08002B2CF9AE}" pid="4" name="ICV">
    <vt:lpwstr>31563ED7DCF8419583E2CE8FE9EEA67F_13</vt:lpwstr>
  </property>
</Properties>
</file>