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707B65">
      <w:pPr>
        <w:rPr>
          <w:rFonts w:eastAsia="仿宋_GB2312"/>
          <w:sz w:val="84"/>
        </w:rPr>
      </w:pPr>
    </w:p>
    <w:p w14:paraId="37DFDEA8">
      <w:pPr>
        <w:ind w:right="105"/>
        <w:jc w:val="right"/>
        <w:rPr>
          <w:rFonts w:eastAsia="黑体"/>
          <w:b/>
          <w:spacing w:val="40"/>
          <w:w w:val="66"/>
          <w:sz w:val="60"/>
          <w:szCs w:val="60"/>
        </w:rPr>
      </w:pPr>
      <w:r>
        <w:rPr>
          <w:rFonts w:hint="eastAsia" w:eastAsia="黑体"/>
          <w:b/>
          <w:spacing w:val="40"/>
          <w:w w:val="66"/>
          <w:sz w:val="60"/>
          <w:szCs w:val="60"/>
        </w:rPr>
        <w:t>天津市第三中心医院智慧医院一体化升级基础设施运维服务项目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88290" cy="0"/>
                <wp:effectExtent l="0" t="95250" r="165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882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22.7pt;z-index:251659264;mso-width-relative:page;mso-height-relative:page;" filled="f" stroked="t" coordsize="21600,21600" o:gfxdata="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9cA2HW&#10;AAAACAEAAA8AAAAAAAAAAQAgAAAAIgAAAGRycy9kb3ducmV2LnhtbFBLAQIUABQAAAAIAIdO4kA5&#10;cyVl6QEAAKsDAAAOAAAAAAAAAAEAIAAAACUBAABkcnMvZTJvRG9jLnhtbFBLBQYAAAAABgAGAFkB&#10;AACABQAAAAA=&#10;">
                <v:fill on="f" focussize="0,0"/>
                <v:stroke weight="15pt" color="#4B69B5" joinstyle="round"/>
                <v:imagedata o:title=""/>
                <o:lock v:ext="edit" aspectratio="f"/>
              </v:line>
            </w:pict>
          </mc:Fallback>
        </mc:AlternateContent>
      </w:r>
    </w:p>
    <w:p w14:paraId="1FF1A8D1">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4D38A4E">
      <w:pPr>
        <w:ind w:right="1025"/>
        <w:jc w:val="center"/>
        <w:rPr>
          <w:rFonts w:eastAsia="黑体"/>
          <w:b/>
          <w:spacing w:val="40"/>
          <w:w w:val="66"/>
          <w:sz w:val="60"/>
          <w:szCs w:val="60"/>
        </w:rPr>
      </w:pPr>
    </w:p>
    <w:p w14:paraId="7348FA58">
      <w:pPr>
        <w:jc w:val="center"/>
        <w:rPr>
          <w:rFonts w:eastAsia="黑体"/>
          <w:b/>
          <w:spacing w:val="40"/>
          <w:w w:val="66"/>
          <w:sz w:val="15"/>
          <w:szCs w:val="15"/>
        </w:rPr>
      </w:pPr>
      <w:r>
        <w:rPr>
          <w:rFonts w:eastAsia="黑体"/>
          <w:b/>
          <w:spacing w:val="40"/>
          <w:w w:val="66"/>
          <w:sz w:val="56"/>
          <w:szCs w:val="56"/>
        </w:rPr>
        <w:t xml:space="preserve">            </w:t>
      </w:r>
    </w:p>
    <w:p w14:paraId="1BF8109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TGPC-2025-D-1175</w:t>
      </w:r>
      <w:r>
        <w:rPr>
          <w:rFonts w:eastAsia="黑体"/>
          <w:spacing w:val="40"/>
          <w:w w:val="66"/>
          <w:sz w:val="32"/>
          <w:szCs w:val="32"/>
        </w:rPr>
        <w:t>）</w:t>
      </w:r>
    </w:p>
    <w:p w14:paraId="63BF864C">
      <w:pPr>
        <w:rPr>
          <w:sz w:val="40"/>
        </w:rPr>
      </w:pPr>
    </w:p>
    <w:p w14:paraId="5C516244">
      <w:pPr>
        <w:rPr>
          <w:sz w:val="36"/>
        </w:rPr>
      </w:pPr>
    </w:p>
    <w:p w14:paraId="72267E2C">
      <w:pPr>
        <w:rPr>
          <w:sz w:val="36"/>
        </w:rPr>
      </w:pPr>
    </w:p>
    <w:p w14:paraId="5F614D29">
      <w:pPr>
        <w:rPr>
          <w:sz w:val="36"/>
        </w:rPr>
      </w:pPr>
    </w:p>
    <w:p w14:paraId="607C28B6">
      <w:pPr>
        <w:rPr>
          <w:sz w:val="36"/>
        </w:rPr>
      </w:pPr>
    </w:p>
    <w:p w14:paraId="4276B0EA">
      <w:pPr>
        <w:rPr>
          <w:sz w:val="36"/>
        </w:rPr>
      </w:pPr>
    </w:p>
    <w:p w14:paraId="7AB07B95">
      <w:pPr>
        <w:rPr>
          <w:sz w:val="36"/>
        </w:rPr>
      </w:pPr>
    </w:p>
    <w:p w14:paraId="580EBEF7">
      <w:pPr>
        <w:rPr>
          <w:sz w:val="36"/>
        </w:rPr>
      </w:pPr>
    </w:p>
    <w:p w14:paraId="51F88B42">
      <w:pPr>
        <w:rPr>
          <w:sz w:val="36"/>
        </w:rPr>
      </w:pPr>
    </w:p>
    <w:p w14:paraId="68AE791E">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6207D08">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5DAC6104">
      <w:pPr>
        <w:widowControl/>
        <w:jc w:val="left"/>
        <w:rPr>
          <w:rFonts w:eastAsia="仿宋_GB2312"/>
          <w:b/>
          <w:bCs/>
          <w:kern w:val="0"/>
          <w:sz w:val="44"/>
          <w:szCs w:val="44"/>
        </w:rPr>
      </w:pPr>
    </w:p>
    <w:p w14:paraId="5CBEEFF0">
      <w:pPr>
        <w:ind w:firstLine="408" w:firstLineChars="100"/>
        <w:jc w:val="center"/>
        <w:rPr>
          <w:b/>
          <w:spacing w:val="20"/>
          <w:w w:val="80"/>
          <w:sz w:val="48"/>
          <w:szCs w:val="48"/>
        </w:rPr>
        <w:sectPr>
          <w:headerReference r:id="rId3" w:type="default"/>
          <w:pgSz w:w="11906" w:h="16838"/>
          <w:pgMar w:top="1440" w:right="1797" w:bottom="1440" w:left="1797"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p>
    <w:p w14:paraId="3C05C6BD">
      <w:pPr>
        <w:ind w:firstLine="408" w:firstLineChars="100"/>
        <w:jc w:val="center"/>
        <w:rPr>
          <w:b/>
          <w:spacing w:val="20"/>
          <w:w w:val="80"/>
          <w:sz w:val="48"/>
          <w:szCs w:val="48"/>
        </w:rPr>
      </w:pPr>
      <w:r>
        <w:rPr>
          <w:b/>
          <w:spacing w:val="20"/>
          <w:w w:val="80"/>
          <w:sz w:val="48"/>
          <w:szCs w:val="48"/>
        </w:rPr>
        <w:t>目  录</w:t>
      </w:r>
    </w:p>
    <w:p w14:paraId="6598B048">
      <w:pPr>
        <w:spacing w:line="560" w:lineRule="exact"/>
        <w:ind w:right="-141" w:rightChars="-73"/>
        <w:rPr>
          <w:b/>
          <w:sz w:val="24"/>
        </w:rPr>
      </w:pPr>
      <w:r>
        <w:rPr>
          <w:b/>
          <w:sz w:val="24"/>
        </w:rPr>
        <w:t>第一部分  投标邀请函</w:t>
      </w:r>
    </w:p>
    <w:p w14:paraId="01FB01EB">
      <w:pPr>
        <w:spacing w:line="560" w:lineRule="exact"/>
        <w:ind w:right="-141" w:rightChars="-73"/>
        <w:rPr>
          <w:b/>
          <w:sz w:val="24"/>
        </w:rPr>
      </w:pPr>
    </w:p>
    <w:p w14:paraId="1417CE7B">
      <w:pPr>
        <w:spacing w:line="560" w:lineRule="exact"/>
        <w:ind w:right="-141" w:rightChars="-73"/>
        <w:rPr>
          <w:b/>
          <w:sz w:val="24"/>
        </w:rPr>
      </w:pPr>
      <w:r>
        <w:rPr>
          <w:b/>
          <w:sz w:val="24"/>
        </w:rPr>
        <w:t>第二部分  招标项目要求</w:t>
      </w:r>
    </w:p>
    <w:p w14:paraId="03A52D94">
      <w:pPr>
        <w:spacing w:line="560" w:lineRule="exact"/>
        <w:ind w:right="-141" w:rightChars="-73"/>
        <w:rPr>
          <w:b/>
          <w:sz w:val="24"/>
        </w:rPr>
      </w:pPr>
    </w:p>
    <w:p w14:paraId="4160027D">
      <w:pPr>
        <w:spacing w:line="560" w:lineRule="exact"/>
        <w:ind w:right="-141" w:rightChars="-73"/>
        <w:rPr>
          <w:b/>
          <w:sz w:val="24"/>
        </w:rPr>
      </w:pPr>
      <w:r>
        <w:rPr>
          <w:b/>
          <w:sz w:val="24"/>
        </w:rPr>
        <w:t>第三部分  投标须知</w:t>
      </w:r>
    </w:p>
    <w:p w14:paraId="4BFD376F">
      <w:pPr>
        <w:spacing w:line="560" w:lineRule="exact"/>
        <w:ind w:right="-141" w:rightChars="-73"/>
        <w:rPr>
          <w:sz w:val="24"/>
        </w:rPr>
      </w:pPr>
    </w:p>
    <w:p w14:paraId="7C30B4FB">
      <w:pPr>
        <w:spacing w:line="560" w:lineRule="exact"/>
        <w:rPr>
          <w:b/>
          <w:sz w:val="24"/>
        </w:rPr>
      </w:pPr>
      <w:r>
        <w:rPr>
          <w:b/>
          <w:sz w:val="24"/>
        </w:rPr>
        <w:t>第四部分  合同条款</w:t>
      </w:r>
    </w:p>
    <w:p w14:paraId="5FDA17F3">
      <w:pPr>
        <w:spacing w:line="560" w:lineRule="exact"/>
        <w:rPr>
          <w:sz w:val="24"/>
        </w:rPr>
      </w:pPr>
    </w:p>
    <w:p w14:paraId="30ED4B1E">
      <w:pPr>
        <w:spacing w:line="560" w:lineRule="exact"/>
        <w:rPr>
          <w:sz w:val="24"/>
        </w:rPr>
      </w:pPr>
      <w:r>
        <w:rPr>
          <w:b/>
          <w:sz w:val="24"/>
        </w:rPr>
        <w:t>第五部分  投标文件格式</w:t>
      </w:r>
    </w:p>
    <w:p w14:paraId="025C0F58">
      <w:pPr>
        <w:rPr>
          <w:sz w:val="24"/>
        </w:rPr>
      </w:pPr>
    </w:p>
    <w:p w14:paraId="6863C270">
      <w:pPr>
        <w:rPr>
          <w:sz w:val="24"/>
        </w:rPr>
      </w:pPr>
    </w:p>
    <w:p w14:paraId="17AB9CE9">
      <w:pPr>
        <w:rPr>
          <w:sz w:val="24"/>
        </w:rPr>
      </w:pPr>
    </w:p>
    <w:p w14:paraId="27D465CE">
      <w:pPr>
        <w:rPr>
          <w:sz w:val="24"/>
        </w:rPr>
      </w:pPr>
    </w:p>
    <w:p w14:paraId="0E329F07">
      <w:pPr>
        <w:rPr>
          <w:sz w:val="24"/>
        </w:rPr>
      </w:pPr>
    </w:p>
    <w:p w14:paraId="5741E8E2">
      <w:pPr>
        <w:rPr>
          <w:sz w:val="24"/>
        </w:rPr>
      </w:pPr>
    </w:p>
    <w:p w14:paraId="574F9AF6">
      <w:pPr>
        <w:rPr>
          <w:b/>
        </w:rPr>
      </w:pPr>
    </w:p>
    <w:p w14:paraId="2A13E2E1">
      <w:pPr>
        <w:pStyle w:val="16"/>
        <w:rPr>
          <w:rFonts w:ascii="Times New Roman" w:hAnsi="Times New Roman"/>
        </w:rPr>
        <w:sectPr>
          <w:pgSz w:w="11906" w:h="16838"/>
          <w:pgMar w:top="1440" w:right="1797" w:bottom="1440" w:left="1797"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bookmarkStart w:id="0" w:name="_Toc412903614"/>
    </w:p>
    <w:p w14:paraId="3CB7B830">
      <w:pPr>
        <w:pStyle w:val="16"/>
        <w:rPr>
          <w:rFonts w:ascii="Times New Roman" w:hAnsi="Times New Roman"/>
        </w:rPr>
      </w:pPr>
      <w:r>
        <w:rPr>
          <w:rFonts w:ascii="Times New Roman" w:hAnsi="Times New Roman"/>
        </w:rPr>
        <w:t>第一部分  投标邀请函</w:t>
      </w:r>
      <w:bookmarkEnd w:id="0"/>
    </w:p>
    <w:p w14:paraId="02F4A035">
      <w:pPr>
        <w:pStyle w:val="31"/>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天津市第三中心医院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天津市第三中心医院智慧医院一体化升级基础设施运维服务项目</w:t>
      </w:r>
      <w:r>
        <w:rPr>
          <w:rFonts w:ascii="Times New Roman" w:hAnsi="Times New Roman" w:cs="Times New Roman" w:eastAsiaTheme="minorEastAsia"/>
          <w:color w:val="auto"/>
          <w:szCs w:val="32"/>
        </w:rPr>
        <w:t>实施政府采购。现欢迎合格的供应商参加投标。</w:t>
      </w:r>
    </w:p>
    <w:p w14:paraId="12C4D7A3">
      <w:pPr>
        <w:pStyle w:val="31"/>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848CF6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21F787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天津市第三中心医院智慧医院一体化升级基础设施运维服务项目</w:t>
      </w:r>
      <w:r>
        <w:rPr>
          <w:rFonts w:ascii="Times New Roman" w:hAnsi="Times New Roman" w:eastAsia="宋体" w:cs="Times New Roman"/>
          <w:color w:val="auto"/>
        </w:rPr>
        <w:t xml:space="preserve">  </w:t>
      </w:r>
    </w:p>
    <w:p w14:paraId="72C1F36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TGPC-2025-D-1175</w:t>
      </w:r>
    </w:p>
    <w:p w14:paraId="440120F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14EE918">
      <w:pPr>
        <w:pStyle w:val="31"/>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cs="Times New Roman" w:eastAsiaTheme="minorEastAsia"/>
          <w:color w:val="auto"/>
          <w:szCs w:val="32"/>
        </w:rPr>
        <w:t>智慧医院一体化升级基础设施运维服务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0D89BD35">
      <w:pPr>
        <w:pStyle w:val="31"/>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455E003A">
      <w:pPr>
        <w:pStyle w:val="31"/>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14900000</w:t>
      </w:r>
      <w:r>
        <w:rPr>
          <w:rFonts w:hint="eastAsia" w:ascii="Times New Roman" w:hAnsi="Times New Roman" w:eastAsia="宋体" w:cs="Times New Roman"/>
          <w:color w:val="auto"/>
          <w:lang w:val="en-US" w:eastAsia="zh-CN"/>
        </w:rPr>
        <w:t>元（最高限价14390000元）。</w:t>
      </w:r>
    </w:p>
    <w:p w14:paraId="74CA5F6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5B2283D8">
      <w:pPr>
        <w:pStyle w:val="31"/>
        <w:spacing w:line="360" w:lineRule="auto"/>
        <w:ind w:firstLine="480"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BE7BCE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D57A01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D8B6AD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bookmarkEnd w:id="1"/>
    <w:bookmarkEnd w:id="2"/>
    <w:p w14:paraId="57E4C0C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0D454901">
      <w:pPr>
        <w:pStyle w:val="31"/>
        <w:spacing w:line="360" w:lineRule="auto"/>
        <w:ind w:firstLine="480" w:firstLineChars="200"/>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4A0843C0">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712DE8E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59C122BC">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5D0B242">
      <w:pPr>
        <w:pStyle w:val="31"/>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4CEA9F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47D93248">
      <w:pPr>
        <w:pStyle w:val="31"/>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4C2C7C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17C2E97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9B9FA5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8"/>
          <w:rFonts w:hint="eastAsia" w:ascii="Times New Roman" w:hAnsi="Times New Roman" w:eastAsia="宋体" w:cs="Times New Roman"/>
        </w:rPr>
        <w:t>http://tjgpc.zwfwb.tj.gov.cn</w:t>
      </w:r>
      <w:r>
        <w:rPr>
          <w:rStyle w:val="28"/>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F567EB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A593E3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FD5908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9AA963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F02195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0ABBCB3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1FC13E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63FF637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A2CDE9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DB607A5">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107E1D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30873C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9B27B1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19DECC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1AADAE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769970B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295DA1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60160E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629F48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165A1C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7FBDB3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28CC62D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16DC1A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AB26A8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7FCECD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B76422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7EE87A7">
      <w:pPr>
        <w:pStyle w:val="31"/>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A0565F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C05CBC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0428AEC">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天津市第三中心医院</w:t>
      </w:r>
      <w:r>
        <w:rPr>
          <w:rFonts w:ascii="Times New Roman" w:hAnsi="Times New Roman" w:eastAsia="宋体" w:cs="Times New Roman"/>
          <w:color w:val="auto"/>
        </w:rPr>
        <w:t xml:space="preserve"> </w:t>
      </w:r>
    </w:p>
    <w:p w14:paraId="01AF305B">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天津市河东区津塘路83号</w:t>
      </w:r>
      <w:r>
        <w:rPr>
          <w:rFonts w:ascii="Times New Roman" w:hAnsi="Times New Roman" w:eastAsia="宋体" w:cs="Times New Roman"/>
          <w:color w:val="auto"/>
        </w:rPr>
        <w:t xml:space="preserve"> </w:t>
      </w:r>
    </w:p>
    <w:p w14:paraId="4110C148">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王瑞婷</w:t>
      </w:r>
      <w:r>
        <w:rPr>
          <w:rFonts w:ascii="Times New Roman" w:hAnsi="Times New Roman" w:eastAsia="宋体" w:cs="Times New Roman"/>
          <w:color w:val="auto"/>
        </w:rPr>
        <w:t xml:space="preserve"> </w:t>
      </w:r>
    </w:p>
    <w:p w14:paraId="7A73B88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84112227</w:t>
      </w:r>
      <w:r>
        <w:rPr>
          <w:rFonts w:ascii="Times New Roman" w:hAnsi="Times New Roman" w:eastAsia="宋体" w:cs="Times New Roman"/>
          <w:color w:val="auto"/>
        </w:rPr>
        <w:t xml:space="preserve"> </w:t>
      </w:r>
    </w:p>
    <w:p w14:paraId="273A7EB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64E7B6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409072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2CBED0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天津市第三中心医院</w:t>
      </w:r>
    </w:p>
    <w:p w14:paraId="2F8605A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天津市河东区津塘路83号</w:t>
      </w:r>
    </w:p>
    <w:p w14:paraId="07A514A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王瑞婷</w:t>
      </w:r>
    </w:p>
    <w:p w14:paraId="70F49DA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84112227</w:t>
      </w:r>
      <w:r>
        <w:rPr>
          <w:rFonts w:ascii="Times New Roman" w:hAnsi="Times New Roman" w:eastAsia="宋体" w:cs="Times New Roman"/>
          <w:color w:val="auto"/>
        </w:rPr>
        <w:t xml:space="preserve"> </w:t>
      </w:r>
    </w:p>
    <w:p w14:paraId="040E839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3656DB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177292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A853EE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688C6C0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本项目针对集中采购目录外</w:t>
      </w:r>
      <w:r>
        <w:rPr>
          <w:rFonts w:hint="eastAsia" w:ascii="Times New Roman" w:hAnsi="Times New Roman" w:eastAsia="宋体" w:cs="Times New Roman"/>
          <w:color w:val="auto"/>
        </w:rPr>
        <w:t>服务</w:t>
      </w:r>
      <w:r>
        <w:rPr>
          <w:rFonts w:ascii="Times New Roman" w:hAnsi="Times New Roman" w:eastAsia="宋体" w:cs="Times New Roman"/>
          <w:color w:val="auto"/>
        </w:rPr>
        <w:t>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280C0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4190" w:type="dxa"/>
            <w:vAlign w:val="center"/>
          </w:tcPr>
          <w:p w14:paraId="0EA0125F">
            <w:pPr>
              <w:tabs>
                <w:tab w:val="left" w:pos="750"/>
                <w:tab w:val="left" w:pos="840"/>
              </w:tabs>
              <w:adjustRightInd w:val="0"/>
              <w:snapToGrid w:val="0"/>
              <w:jc w:val="center"/>
              <w:rPr>
                <w:color w:val="auto"/>
                <w:sz w:val="24"/>
              </w:rPr>
            </w:pPr>
            <w:r>
              <w:rPr>
                <w:rFonts w:hint="eastAsia"/>
                <w:color w:val="auto"/>
                <w:sz w:val="24"/>
              </w:rPr>
              <w:t>集中采购目录外服务报价合计（万元）</w:t>
            </w:r>
          </w:p>
        </w:tc>
        <w:tc>
          <w:tcPr>
            <w:tcW w:w="3657" w:type="dxa"/>
            <w:vAlign w:val="center"/>
          </w:tcPr>
          <w:p w14:paraId="58939727">
            <w:pPr>
              <w:tabs>
                <w:tab w:val="left" w:pos="750"/>
                <w:tab w:val="left" w:pos="840"/>
              </w:tabs>
              <w:adjustRightInd w:val="0"/>
              <w:snapToGrid w:val="0"/>
              <w:jc w:val="center"/>
              <w:rPr>
                <w:color w:val="auto"/>
                <w:sz w:val="24"/>
              </w:rPr>
            </w:pPr>
            <w:r>
              <w:rPr>
                <w:color w:val="auto"/>
                <w:sz w:val="24"/>
              </w:rPr>
              <w:t>费率</w:t>
            </w:r>
          </w:p>
        </w:tc>
      </w:tr>
      <w:tr w14:paraId="65AA2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CA1028F">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0203BBD">
            <w:pPr>
              <w:tabs>
                <w:tab w:val="left" w:pos="750"/>
                <w:tab w:val="left" w:pos="840"/>
              </w:tabs>
              <w:adjustRightInd w:val="0"/>
              <w:snapToGrid w:val="0"/>
              <w:jc w:val="center"/>
              <w:rPr>
                <w:color w:val="auto"/>
                <w:sz w:val="24"/>
              </w:rPr>
            </w:pPr>
            <w:r>
              <w:rPr>
                <w:color w:val="auto"/>
                <w:sz w:val="24"/>
              </w:rPr>
              <w:t>1%</w:t>
            </w:r>
          </w:p>
        </w:tc>
      </w:tr>
      <w:tr w14:paraId="76E97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4FEFB069">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27F59448">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5BFF7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65A28711">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68FE88E">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7B8A8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426D36ED">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277EB07E">
            <w:pPr>
              <w:tabs>
                <w:tab w:val="left" w:pos="750"/>
                <w:tab w:val="left" w:pos="840"/>
              </w:tabs>
              <w:adjustRightInd w:val="0"/>
              <w:snapToGrid w:val="0"/>
              <w:jc w:val="center"/>
              <w:rPr>
                <w:color w:val="auto"/>
                <w:sz w:val="24"/>
              </w:rPr>
            </w:pPr>
            <w:r>
              <w:rPr>
                <w:rFonts w:hint="eastAsia"/>
                <w:color w:val="auto"/>
                <w:sz w:val="24"/>
              </w:rPr>
              <w:t>0.25%</w:t>
            </w:r>
          </w:p>
        </w:tc>
      </w:tr>
      <w:tr w14:paraId="1C847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3249BC6C">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51148B44">
            <w:pPr>
              <w:tabs>
                <w:tab w:val="left" w:pos="750"/>
                <w:tab w:val="left" w:pos="840"/>
              </w:tabs>
              <w:adjustRightInd w:val="0"/>
              <w:snapToGrid w:val="0"/>
              <w:jc w:val="center"/>
              <w:rPr>
                <w:color w:val="auto"/>
                <w:sz w:val="24"/>
              </w:rPr>
            </w:pPr>
            <w:r>
              <w:rPr>
                <w:rFonts w:hint="eastAsia"/>
                <w:color w:val="auto"/>
                <w:sz w:val="24"/>
              </w:rPr>
              <w:t>0.1%</w:t>
            </w:r>
          </w:p>
        </w:tc>
      </w:tr>
      <w:tr w14:paraId="47EF2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1005E2DF">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4C1A94F9">
            <w:pPr>
              <w:tabs>
                <w:tab w:val="left" w:pos="750"/>
                <w:tab w:val="left" w:pos="840"/>
              </w:tabs>
              <w:adjustRightInd w:val="0"/>
              <w:snapToGrid w:val="0"/>
              <w:jc w:val="center"/>
              <w:rPr>
                <w:color w:val="auto"/>
                <w:sz w:val="24"/>
              </w:rPr>
            </w:pPr>
            <w:r>
              <w:rPr>
                <w:rFonts w:hint="eastAsia"/>
                <w:color w:val="auto"/>
                <w:sz w:val="24"/>
              </w:rPr>
              <w:t>0.05%</w:t>
            </w:r>
          </w:p>
        </w:tc>
      </w:tr>
    </w:tbl>
    <w:p w14:paraId="6683DE24">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rFonts w:hint="eastAsia"/>
          <w:color w:val="auto"/>
          <w:sz w:val="24"/>
        </w:rPr>
        <w:t>集中采购目录外服务报价合计</w:t>
      </w:r>
      <w:r>
        <w:rPr>
          <w:color w:val="auto"/>
          <w:sz w:val="24"/>
          <w:lang w:val="zh-CN"/>
        </w:rPr>
        <w:t>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p>
    <w:p w14:paraId="598312B3">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3238A10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6FDFF02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1BBA1B0C">
      <w:pPr>
        <w:pStyle w:val="31"/>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7EA6C12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65E011B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901673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26BBEDA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1287D36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0A5CDAE3">
      <w:pPr>
        <w:pStyle w:val="31"/>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6124AD51">
      <w:pPr>
        <w:pStyle w:val="31"/>
        <w:spacing w:line="360" w:lineRule="auto"/>
        <w:ind w:firstLine="480" w:firstLineChars="200"/>
        <w:rPr>
          <w:rFonts w:ascii="Times New Roman" w:hAnsi="Times New Roman" w:eastAsia="宋体" w:cs="Times New Roman"/>
          <w:color w:val="FF0000"/>
        </w:rPr>
      </w:pPr>
    </w:p>
    <w:p w14:paraId="3311813C">
      <w:pPr>
        <w:pStyle w:val="31"/>
        <w:spacing w:line="360" w:lineRule="auto"/>
        <w:ind w:firstLine="480" w:firstLineChars="200"/>
        <w:rPr>
          <w:rFonts w:ascii="Times New Roman" w:hAnsi="Times New Roman" w:eastAsia="宋体" w:cs="Times New Roman"/>
          <w:color w:val="auto"/>
        </w:rPr>
      </w:pPr>
    </w:p>
    <w:p w14:paraId="35982B60">
      <w:pPr>
        <w:pStyle w:val="31"/>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w:t>
      </w:r>
    </w:p>
    <w:p w14:paraId="3AAF4B2E">
      <w:pPr>
        <w:pStyle w:val="31"/>
        <w:spacing w:line="360" w:lineRule="auto"/>
        <w:ind w:right="960"/>
        <w:rPr>
          <w:rFonts w:ascii="Times New Roman" w:hAnsi="Times New Roman" w:eastAsia="宋体" w:cs="Times New Roman"/>
          <w:color w:val="auto"/>
        </w:rPr>
      </w:pPr>
    </w:p>
    <w:p w14:paraId="30701D4B">
      <w:pPr>
        <w:widowControl/>
        <w:jc w:val="left"/>
        <w:rPr>
          <w:kern w:val="0"/>
          <w:sz w:val="24"/>
          <w:szCs w:val="24"/>
        </w:rPr>
      </w:pPr>
      <w:r>
        <w:br w:type="page"/>
      </w:r>
    </w:p>
    <w:p w14:paraId="7341851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A4EC2B9">
      <w:pPr>
        <w:spacing w:line="360" w:lineRule="auto"/>
        <w:jc w:val="center"/>
        <w:rPr>
          <w:rFonts w:eastAsia="方正小标宋简体"/>
          <w:bCs/>
          <w:kern w:val="0"/>
          <w:sz w:val="24"/>
          <w:szCs w:val="24"/>
        </w:rPr>
      </w:pPr>
    </w:p>
    <w:p w14:paraId="54A66733">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95594A5">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254F720">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3590ECA">
      <w:pPr>
        <w:spacing w:line="360" w:lineRule="auto"/>
        <w:jc w:val="center"/>
        <w:rPr>
          <w:rFonts w:eastAsia="方正小标宋简体"/>
          <w:spacing w:val="-10"/>
          <w:sz w:val="24"/>
          <w:szCs w:val="24"/>
        </w:rPr>
      </w:pPr>
    </w:p>
    <w:p w14:paraId="0BB421B4">
      <w:pPr>
        <w:spacing w:line="360" w:lineRule="auto"/>
        <w:jc w:val="center"/>
        <w:rPr>
          <w:rFonts w:eastAsia="方正小标宋简体"/>
          <w:spacing w:val="-10"/>
          <w:sz w:val="24"/>
          <w:szCs w:val="24"/>
        </w:rPr>
      </w:pPr>
    </w:p>
    <w:p w14:paraId="1D0A6168">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534F31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6AA5AFE">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F17D62E">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ED0BA92">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787FD38">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F3E1C52">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008080F">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52C66F43">
      <w:pPr>
        <w:adjustRightInd w:val="0"/>
        <w:snapToGrid w:val="0"/>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C497B39">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41276C7B">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8E8CFC6">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CC21DFF">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21CACDB">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EE1FACC">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E432582">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04FD67C0">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7B66EA4">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6AA1DDA">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00529900">
      <w:pPr>
        <w:adjustRightInd w:val="0"/>
        <w:snapToGrid w:val="0"/>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758C37D8">
      <w:pPr>
        <w:adjustRightInd w:val="0"/>
        <w:snapToGrid w:val="0"/>
        <w:spacing w:line="340" w:lineRule="exact"/>
        <w:ind w:firstLine="480" w:firstLineChars="200"/>
        <w:rPr>
          <w:rFonts w:eastAsiaTheme="minorEastAsia"/>
          <w:sz w:val="24"/>
        </w:rPr>
      </w:pPr>
    </w:p>
    <w:p w14:paraId="495324DD">
      <w:pPr>
        <w:adjustRightInd w:val="0"/>
        <w:snapToGrid w:val="0"/>
        <w:spacing w:line="400" w:lineRule="exact"/>
        <w:jc w:val="center"/>
        <w:rPr>
          <w:b/>
          <w:sz w:val="24"/>
          <w:szCs w:val="24"/>
        </w:rPr>
      </w:pPr>
      <w:r>
        <w:rPr>
          <w:b/>
          <w:sz w:val="24"/>
          <w:szCs w:val="24"/>
        </w:rPr>
        <w:t>诚信参与政府采购活动提示函</w:t>
      </w:r>
    </w:p>
    <w:p w14:paraId="6FE68E38">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A1DB02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FF7326B">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C1435A4">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FA90A52">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DB59CF7">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C6B64E0">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752812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9844482">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68110B7">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EB0B9E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A251D8E">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56A4736">
      <w:pPr>
        <w:adjustRightInd w:val="0"/>
        <w:snapToGrid w:val="0"/>
        <w:spacing w:line="340" w:lineRule="exact"/>
        <w:ind w:firstLine="480" w:firstLineChars="200"/>
        <w:rPr>
          <w:rFonts w:eastAsiaTheme="minorEastAsia"/>
          <w:sz w:val="24"/>
        </w:rPr>
      </w:pPr>
    </w:p>
    <w:p w14:paraId="68FEAECA">
      <w:pPr>
        <w:adjustRightInd w:val="0"/>
        <w:snapToGrid w:val="0"/>
        <w:spacing w:line="340" w:lineRule="exact"/>
        <w:ind w:firstLine="643" w:firstLineChars="200"/>
        <w:rPr>
          <w:b/>
          <w:bCs/>
          <w:kern w:val="28"/>
          <w:sz w:val="32"/>
          <w:szCs w:val="32"/>
        </w:rPr>
      </w:pPr>
    </w:p>
    <w:p w14:paraId="2DB047E3">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2C727B42">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61AA51CE">
      <w:pPr>
        <w:autoSpaceDE w:val="0"/>
        <w:autoSpaceDN w:val="0"/>
        <w:adjustRightInd w:val="0"/>
        <w:spacing w:line="360" w:lineRule="auto"/>
        <w:ind w:firstLine="480" w:firstLineChars="200"/>
        <w:rPr>
          <w:sz w:val="24"/>
        </w:rPr>
      </w:pPr>
      <w:r>
        <w:rPr>
          <w:sz w:val="24"/>
        </w:rPr>
        <w:t>（一）报价要求</w:t>
      </w:r>
    </w:p>
    <w:p w14:paraId="28ADBEB7">
      <w:pPr>
        <w:autoSpaceDE w:val="0"/>
        <w:autoSpaceDN w:val="0"/>
        <w:adjustRightInd w:val="0"/>
        <w:spacing w:line="360" w:lineRule="auto"/>
        <w:ind w:firstLine="480" w:firstLineChars="200"/>
        <w:rPr>
          <w:color w:val="auto"/>
          <w:sz w:val="24"/>
        </w:rPr>
      </w:pPr>
      <w:r>
        <w:rPr>
          <w:color w:val="auto"/>
          <w:sz w:val="24"/>
        </w:rPr>
        <w:t>1. 投标报价以人民币填列。</w:t>
      </w:r>
    </w:p>
    <w:p w14:paraId="5BE30B1A">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维修及配件更换费用</w:t>
      </w:r>
      <w:r>
        <w:rPr>
          <w:color w:val="auto"/>
          <w:sz w:val="24"/>
        </w:rPr>
        <w:t>等为完成招标文件规定的一切工作所需的全部费用。投标人所报价格应为最终优惠价格。</w:t>
      </w:r>
    </w:p>
    <w:p w14:paraId="1129D31D">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2FF794D3">
      <w:pPr>
        <w:autoSpaceDE w:val="0"/>
        <w:autoSpaceDN w:val="0"/>
        <w:adjustRightInd w:val="0"/>
        <w:spacing w:line="360" w:lineRule="auto"/>
        <w:ind w:firstLine="480" w:firstLineChars="200"/>
        <w:rPr>
          <w:color w:val="auto"/>
          <w:sz w:val="24"/>
        </w:rPr>
      </w:pPr>
      <w:r>
        <w:rPr>
          <w:color w:val="auto"/>
          <w:sz w:val="24"/>
        </w:rPr>
        <w:t>（二）服务要求</w:t>
      </w:r>
    </w:p>
    <w:p w14:paraId="306C99E1">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752A6BC8">
      <w:pPr>
        <w:autoSpaceDE w:val="0"/>
        <w:autoSpaceDN w:val="0"/>
        <w:adjustRightInd w:val="0"/>
        <w:spacing w:line="360" w:lineRule="auto"/>
        <w:ind w:firstLine="480" w:firstLineChars="200"/>
        <w:rPr>
          <w:color w:val="auto"/>
          <w:sz w:val="24"/>
        </w:rPr>
      </w:pPr>
      <w:r>
        <w:rPr>
          <w:rFonts w:hint="eastAsia"/>
          <w:color w:val="auto"/>
          <w:sz w:val="24"/>
        </w:rPr>
        <w:t>2、中标后，中标供应商及其委派的服务人员须与采购人就数据信息安全等内容签署保密协议。</w:t>
      </w:r>
    </w:p>
    <w:p w14:paraId="6AA79CD4">
      <w:pPr>
        <w:autoSpaceDE w:val="0"/>
        <w:autoSpaceDN w:val="0"/>
        <w:adjustRightInd w:val="0"/>
        <w:spacing w:line="360" w:lineRule="auto"/>
        <w:ind w:firstLine="480" w:firstLineChars="200"/>
        <w:rPr>
          <w:color w:val="auto"/>
          <w:sz w:val="24"/>
        </w:rPr>
      </w:pPr>
      <w:r>
        <w:rPr>
          <w:color w:val="auto"/>
          <w:sz w:val="24"/>
        </w:rPr>
        <w:t>（三）时间、地点要求</w:t>
      </w:r>
    </w:p>
    <w:p w14:paraId="5D29BB8C">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rPr>
        <w:t>签订合同之日起3年的服务期</w:t>
      </w:r>
      <w:r>
        <w:rPr>
          <w:color w:val="auto"/>
          <w:sz w:val="24"/>
        </w:rPr>
        <w:t>（特殊情况以合同为准）。</w:t>
      </w:r>
    </w:p>
    <w:p w14:paraId="1574BB47">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天津市第三中心医院</w:t>
      </w:r>
      <w:r>
        <w:rPr>
          <w:color w:val="auto"/>
          <w:sz w:val="24"/>
        </w:rPr>
        <w:t>（特殊情况以合同为准）。</w:t>
      </w:r>
    </w:p>
    <w:p w14:paraId="4098CE5F">
      <w:pPr>
        <w:autoSpaceDE w:val="0"/>
        <w:autoSpaceDN w:val="0"/>
        <w:adjustRightInd w:val="0"/>
        <w:spacing w:line="360" w:lineRule="auto"/>
        <w:ind w:firstLine="480" w:firstLineChars="200"/>
        <w:rPr>
          <w:color w:val="auto"/>
          <w:sz w:val="24"/>
        </w:rPr>
      </w:pPr>
      <w:r>
        <w:rPr>
          <w:color w:val="auto"/>
          <w:sz w:val="24"/>
        </w:rPr>
        <w:t>（四）付款方式</w:t>
      </w:r>
    </w:p>
    <w:p w14:paraId="402D76D4">
      <w:pPr>
        <w:autoSpaceDE w:val="0"/>
        <w:autoSpaceDN w:val="0"/>
        <w:adjustRightInd w:val="0"/>
        <w:spacing w:line="360" w:lineRule="auto"/>
        <w:ind w:firstLine="480" w:firstLineChars="200"/>
        <w:rPr>
          <w:color w:val="auto"/>
          <w:sz w:val="24"/>
        </w:rPr>
      </w:pPr>
      <w:r>
        <w:rPr>
          <w:rFonts w:hint="eastAsia"/>
          <w:color w:val="auto"/>
          <w:sz w:val="24"/>
        </w:rPr>
        <w:t>按季度付款，服务合格，每季度结束后支付年合同金额的25%</w:t>
      </w:r>
      <w:r>
        <w:rPr>
          <w:color w:val="auto"/>
          <w:sz w:val="24"/>
        </w:rPr>
        <w:t>（特殊情况以合同为准）。</w:t>
      </w:r>
    </w:p>
    <w:p w14:paraId="6C541E4A">
      <w:pPr>
        <w:autoSpaceDE w:val="0"/>
        <w:autoSpaceDN w:val="0"/>
        <w:adjustRightInd w:val="0"/>
        <w:spacing w:line="360" w:lineRule="auto"/>
        <w:ind w:firstLine="480" w:firstLineChars="200"/>
        <w:rPr>
          <w:color w:val="auto"/>
          <w:sz w:val="24"/>
        </w:rPr>
      </w:pPr>
      <w:r>
        <w:rPr>
          <w:color w:val="auto"/>
          <w:sz w:val="24"/>
        </w:rPr>
        <w:t>（五）投标保证金和履约保证金</w:t>
      </w:r>
    </w:p>
    <w:p w14:paraId="76030428">
      <w:pPr>
        <w:autoSpaceDE w:val="0"/>
        <w:autoSpaceDN w:val="0"/>
        <w:adjustRightInd w:val="0"/>
        <w:spacing w:line="360" w:lineRule="auto"/>
        <w:ind w:firstLine="480" w:firstLineChars="200"/>
        <w:rPr>
          <w:color w:val="auto"/>
          <w:sz w:val="24"/>
        </w:rPr>
      </w:pPr>
      <w:r>
        <w:rPr>
          <w:color w:val="auto"/>
          <w:sz w:val="24"/>
        </w:rPr>
        <w:t>本项目不收取投标保证金。签订合同后15个工作日内中标供应商应向采购人提供合同总额10%的履约保证金，供应商应当以支票、汇票、本票或者金融机构、担保机构出具的保函等非现金形式提交。此履约保证金的递交、退还、罚没和有效期以合同为准。</w:t>
      </w:r>
    </w:p>
    <w:p w14:paraId="0742F3AE">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306BB85F">
      <w:pPr>
        <w:autoSpaceDE w:val="0"/>
        <w:autoSpaceDN w:val="0"/>
        <w:adjustRightInd w:val="0"/>
        <w:spacing w:line="360" w:lineRule="auto"/>
        <w:ind w:firstLine="480" w:firstLineChars="200"/>
        <w:rPr>
          <w:color w:val="000000"/>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w:t>
      </w:r>
      <w:r>
        <w:rPr>
          <w:rFonts w:hint="eastAsia"/>
          <w:color w:val="000000"/>
          <w:sz w:val="24"/>
        </w:rPr>
        <w:t>为验收书的参考资料一并存档。验收结束后，应当出具验收书，列明各项服务的考核验收情况及项目总体评价，由验收双方共同签署。</w:t>
      </w:r>
    </w:p>
    <w:p w14:paraId="4500C2C9">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3A113B2F">
      <w:pPr>
        <w:spacing w:line="360" w:lineRule="auto"/>
        <w:ind w:firstLine="420" w:firstLineChars="200"/>
        <w:outlineLvl w:val="0"/>
        <w:rPr>
          <w:color w:val="auto"/>
          <w:sz w:val="24"/>
        </w:rPr>
      </w:pPr>
      <w:r>
        <w:rPr>
          <w:rFonts w:hint="eastAsia"/>
          <w:color w:val="auto"/>
        </w:rPr>
        <w:t>★</w:t>
      </w:r>
      <w:r>
        <w:rPr>
          <w:color w:val="auto"/>
          <w:sz w:val="24"/>
        </w:rPr>
        <w:t>（一）投标人须承诺所提供的服务、人员及设备符合</w:t>
      </w:r>
      <w:r>
        <w:rPr>
          <w:rFonts w:hint="eastAsia"/>
          <w:color w:val="auto"/>
          <w:sz w:val="24"/>
        </w:rPr>
        <w:t>相关国家强</w:t>
      </w:r>
      <w:r>
        <w:rPr>
          <w:color w:val="auto"/>
          <w:sz w:val="24"/>
        </w:rPr>
        <w:t>制性规定。</w:t>
      </w:r>
    </w:p>
    <w:p w14:paraId="19CE21E2">
      <w:pPr>
        <w:autoSpaceDE w:val="0"/>
        <w:autoSpaceDN w:val="0"/>
        <w:adjustRightInd w:val="0"/>
        <w:spacing w:line="360" w:lineRule="auto"/>
        <w:ind w:firstLine="420" w:firstLineChars="200"/>
        <w:rPr>
          <w:color w:val="auto"/>
          <w:sz w:val="24"/>
        </w:rPr>
      </w:pPr>
      <w:r>
        <w:rPr>
          <w:rFonts w:hint="eastAsia"/>
          <w:color w:val="auto"/>
        </w:rPr>
        <w:t>★</w:t>
      </w:r>
      <w:r>
        <w:rPr>
          <w:color w:val="auto"/>
          <w:sz w:val="24"/>
        </w:rPr>
        <w:t>（二）</w:t>
      </w:r>
      <w:r>
        <w:rPr>
          <w:rFonts w:hint="eastAsia"/>
          <w:color w:val="auto"/>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1A4C2E20">
      <w:pPr>
        <w:spacing w:line="360" w:lineRule="auto"/>
        <w:ind w:firstLine="420" w:firstLineChars="200"/>
        <w:rPr>
          <w:rFonts w:ascii="宋体" w:hAnsi="宋体"/>
          <w:color w:val="auto"/>
          <w:sz w:val="24"/>
          <w:szCs w:val="24"/>
        </w:rPr>
      </w:pPr>
      <w:r>
        <w:rPr>
          <w:rFonts w:hint="eastAsia"/>
          <w:color w:val="auto"/>
        </w:rPr>
        <w:t>★</w:t>
      </w:r>
      <w:r>
        <w:rPr>
          <w:rFonts w:hint="eastAsia" w:ascii="宋体" w:hAnsi="宋体"/>
          <w:color w:val="auto"/>
          <w:sz w:val="24"/>
          <w:szCs w:val="24"/>
        </w:rPr>
        <w:t>（三）投标人须承诺，若涉及</w:t>
      </w:r>
      <w:r>
        <w:rPr>
          <w:rFonts w:hint="eastAsia"/>
          <w:color w:val="auto"/>
          <w:sz w:val="24"/>
        </w:rPr>
        <w:t>安全技术防范系统、</w:t>
      </w:r>
      <w:r>
        <w:rPr>
          <w:rFonts w:hint="eastAsia" w:ascii="宋体" w:hAnsi="宋体"/>
          <w:color w:val="auto"/>
          <w:sz w:val="24"/>
          <w:szCs w:val="24"/>
        </w:rPr>
        <w:t>防雷系统、消防系统的服务内容，将分别由具备</w:t>
      </w:r>
      <w:r>
        <w:rPr>
          <w:rFonts w:hint="eastAsia"/>
          <w:color w:val="auto"/>
          <w:sz w:val="24"/>
        </w:rPr>
        <w:t>安全技术防范系统设计、安装、维修企业备案登记证明</w:t>
      </w:r>
      <w:r>
        <w:rPr>
          <w:rFonts w:hint="eastAsia" w:ascii="宋体" w:hAnsi="宋体"/>
          <w:color w:val="auto"/>
          <w:sz w:val="24"/>
          <w:szCs w:val="24"/>
        </w:rPr>
        <w:t>、防雷工程专业施工资质、消防技术服务机构（含消防设施维护保养检测）资质的单位完成，其费用由投标人承担。采购人有权查验服务单位的资质，若不符合要求，采购人有权要求更换服务单位。</w:t>
      </w:r>
    </w:p>
    <w:p w14:paraId="4268C118">
      <w:pPr>
        <w:autoSpaceDE w:val="0"/>
        <w:autoSpaceDN w:val="0"/>
        <w:adjustRightInd w:val="0"/>
        <w:spacing w:line="360" w:lineRule="auto"/>
        <w:ind w:firstLine="480" w:firstLineChars="200"/>
        <w:rPr>
          <w:color w:val="auto"/>
          <w:sz w:val="24"/>
        </w:rPr>
      </w:pPr>
      <w:r>
        <w:rPr>
          <w:rFonts w:hint="eastAsia"/>
          <w:color w:val="auto"/>
          <w:sz w:val="24"/>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5C027C3A">
      <w:pPr>
        <w:autoSpaceDE w:val="0"/>
        <w:autoSpaceDN w:val="0"/>
        <w:adjustRightInd w:val="0"/>
        <w:spacing w:line="360" w:lineRule="auto"/>
        <w:ind w:firstLine="480" w:firstLineChars="200"/>
        <w:rPr>
          <w:color w:val="auto"/>
          <w:sz w:val="24"/>
        </w:rPr>
      </w:pPr>
      <w:r>
        <w:rPr>
          <w:rFonts w:hint="eastAsia"/>
          <w:color w:val="auto"/>
          <w:sz w:val="24"/>
        </w:rPr>
        <w:t>（五）</w:t>
      </w:r>
      <w:r>
        <w:rPr>
          <w:color w:val="auto"/>
          <w:sz w:val="24"/>
        </w:rPr>
        <w:t>具体需求详见本部分项目需求书。</w:t>
      </w:r>
    </w:p>
    <w:p w14:paraId="007C12C0">
      <w:pPr>
        <w:spacing w:line="360" w:lineRule="auto"/>
        <w:ind w:firstLine="480" w:firstLineChars="200"/>
        <w:outlineLvl w:val="0"/>
        <w:rPr>
          <w:color w:val="auto"/>
          <w:sz w:val="24"/>
          <w:highlight w:val="none"/>
        </w:rPr>
      </w:pPr>
      <w:bookmarkStart w:id="92" w:name="_GoBack"/>
      <w:r>
        <w:rPr>
          <w:color w:val="auto"/>
          <w:sz w:val="24"/>
          <w:highlight w:val="none"/>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127B4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16C157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0" w:type="dxa"/>
            <w:shd w:val="clear" w:color="auto" w:fill="auto"/>
            <w:vAlign w:val="center"/>
          </w:tcPr>
          <w:p w14:paraId="24B627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2FD22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80FD3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3E69C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4" w:type="dxa"/>
            <w:gridSpan w:val="2"/>
            <w:shd w:val="clear" w:color="auto" w:fill="auto"/>
            <w:vAlign w:val="center"/>
          </w:tcPr>
          <w:p w14:paraId="7C35DB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（1）投标报价超过</w:t>
            </w:r>
            <w:r>
              <w:rPr>
                <w:rFonts w:hint="eastAsia"/>
                <w:color w:val="auto"/>
                <w:kern w:val="0"/>
                <w:sz w:val="24"/>
                <w:szCs w:val="24"/>
                <w:highlight w:val="none"/>
                <w:lang w:val="en-US" w:eastAsia="zh-CN"/>
              </w:rPr>
              <w:t>最高限价</w:t>
            </w:r>
            <w:r>
              <w:rPr>
                <w:color w:val="auto"/>
                <w:kern w:val="0"/>
                <w:sz w:val="24"/>
                <w:szCs w:val="24"/>
                <w:highlight w:val="none"/>
              </w:rPr>
              <w:t>的，投标无效，未超过</w:t>
            </w:r>
            <w:r>
              <w:rPr>
                <w:rFonts w:hint="eastAsia"/>
                <w:color w:val="auto"/>
                <w:kern w:val="0"/>
                <w:sz w:val="24"/>
                <w:szCs w:val="24"/>
                <w:highlight w:val="none"/>
                <w:lang w:val="en-US" w:eastAsia="zh-CN"/>
              </w:rPr>
              <w:t>最高限价</w:t>
            </w:r>
            <w:r>
              <w:rPr>
                <w:color w:val="auto"/>
                <w:kern w:val="0"/>
                <w:sz w:val="24"/>
                <w:szCs w:val="24"/>
                <w:highlight w:val="none"/>
              </w:rPr>
              <w:t>的投标报价按以下公式进行计算。</w:t>
            </w:r>
          </w:p>
          <w:p w14:paraId="79A5DD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w:t>
            </w:r>
            <w:r>
              <w:rPr>
                <w:color w:val="auto"/>
                <w:kern w:val="0"/>
                <w:sz w:val="24"/>
                <w:szCs w:val="24"/>
                <w:highlight w:val="none"/>
              </w:rPr>
              <w:t>0</w:t>
            </w:r>
          </w:p>
          <w:p w14:paraId="4DDDE1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招标文件</w:t>
            </w:r>
            <w:r>
              <w:rPr>
                <w:color w:val="auto"/>
                <w:kern w:val="0"/>
                <w:sz w:val="24"/>
                <w:szCs w:val="24"/>
                <w:highlight w:val="none"/>
              </w:rPr>
              <w:t>要求且投标报价最低的投标报价为评标基准价。</w:t>
            </w:r>
          </w:p>
        </w:tc>
        <w:tc>
          <w:tcPr>
            <w:tcW w:w="1140" w:type="dxa"/>
            <w:shd w:val="clear" w:color="auto" w:fill="auto"/>
            <w:vAlign w:val="center"/>
          </w:tcPr>
          <w:p w14:paraId="75934C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1</w:t>
            </w:r>
            <w:r>
              <w:rPr>
                <w:color w:val="auto"/>
                <w:kern w:val="0"/>
                <w:sz w:val="24"/>
                <w:szCs w:val="24"/>
                <w:highlight w:val="none"/>
              </w:rPr>
              <w:t>0</w:t>
            </w:r>
          </w:p>
        </w:tc>
      </w:tr>
      <w:tr w14:paraId="6658C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4"/>
            <w:shd w:val="clear" w:color="auto" w:fill="auto"/>
            <w:noWrap/>
            <w:vAlign w:val="center"/>
          </w:tcPr>
          <w:p w14:paraId="0C003E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30</w:t>
            </w:r>
            <w:r>
              <w:rPr>
                <w:color w:val="auto"/>
                <w:kern w:val="0"/>
                <w:sz w:val="24"/>
                <w:szCs w:val="24"/>
                <w:highlight w:val="none"/>
              </w:rPr>
              <w:t>分）</w:t>
            </w:r>
          </w:p>
        </w:tc>
        <w:tc>
          <w:tcPr>
            <w:tcW w:w="1140" w:type="dxa"/>
            <w:shd w:val="clear" w:color="auto" w:fill="auto"/>
            <w:vAlign w:val="center"/>
          </w:tcPr>
          <w:p w14:paraId="6B7155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22566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D2338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3C325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4" w:type="dxa"/>
            <w:gridSpan w:val="2"/>
            <w:shd w:val="clear" w:color="auto" w:fill="auto"/>
            <w:vAlign w:val="center"/>
          </w:tcPr>
          <w:p w14:paraId="443A54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w:t>
            </w:r>
            <w:r>
              <w:rPr>
                <w:color w:val="auto"/>
                <w:kern w:val="0"/>
                <w:sz w:val="24"/>
                <w:szCs w:val="24"/>
                <w:highlight w:val="none"/>
              </w:rPr>
              <w:t>曾实施</w:t>
            </w:r>
            <w:r>
              <w:rPr>
                <w:rFonts w:hint="eastAsia"/>
                <w:color w:val="auto"/>
                <w:kern w:val="0"/>
                <w:sz w:val="24"/>
                <w:szCs w:val="24"/>
                <w:highlight w:val="none"/>
                <w:lang w:val="en-US" w:eastAsia="zh-CN"/>
              </w:rPr>
              <w:t>信息化</w:t>
            </w:r>
            <w:r>
              <w:rPr>
                <w:color w:val="auto"/>
                <w:kern w:val="0"/>
                <w:sz w:val="24"/>
                <w:szCs w:val="24"/>
                <w:highlight w:val="none"/>
              </w:rPr>
              <w:t>硬件维保服务业绩，提供的证明材料均不得遮挡涂黑，否则不予认定加分。</w:t>
            </w:r>
          </w:p>
          <w:p w14:paraId="364C29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扫描件，</w:t>
            </w:r>
            <w:r>
              <w:rPr>
                <w:color w:val="auto"/>
                <w:kern w:val="0"/>
                <w:sz w:val="24"/>
                <w:szCs w:val="24"/>
                <w:highlight w:val="none"/>
              </w:rPr>
              <w:t>包括买卖双方名称及盖章、服务内容</w:t>
            </w:r>
            <w:r>
              <w:rPr>
                <w:rFonts w:hint="eastAsia"/>
                <w:color w:val="auto"/>
                <w:kern w:val="0"/>
                <w:sz w:val="24"/>
                <w:szCs w:val="24"/>
                <w:highlight w:val="none"/>
              </w:rPr>
              <w:t>、</w:t>
            </w:r>
            <w:r>
              <w:rPr>
                <w:color w:val="auto"/>
                <w:kern w:val="0"/>
                <w:sz w:val="24"/>
                <w:szCs w:val="24"/>
                <w:highlight w:val="none"/>
              </w:rPr>
              <w:t>合同签订时间</w:t>
            </w:r>
            <w:r>
              <w:rPr>
                <w:rFonts w:hint="eastAsia"/>
                <w:bCs/>
                <w:color w:val="auto"/>
                <w:sz w:val="24"/>
                <w:highlight w:val="none"/>
              </w:rPr>
              <w:t>（应为2022年1月1日或以后）</w:t>
            </w:r>
            <w:r>
              <w:rPr>
                <w:color w:val="auto"/>
                <w:kern w:val="0"/>
                <w:sz w:val="24"/>
                <w:szCs w:val="24"/>
                <w:highlight w:val="none"/>
              </w:rPr>
              <w:t>。</w:t>
            </w:r>
          </w:p>
          <w:p w14:paraId="089AEE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B.</w:t>
            </w:r>
            <w:r>
              <w:rPr>
                <w:color w:val="auto"/>
                <w:kern w:val="0"/>
                <w:sz w:val="24"/>
                <w:szCs w:val="24"/>
                <w:highlight w:val="none"/>
              </w:rPr>
              <w:t xml:space="preserve"> </w:t>
            </w:r>
            <w:r>
              <w:rPr>
                <w:rFonts w:hint="eastAsia"/>
                <w:color w:val="auto"/>
                <w:kern w:val="0"/>
                <w:sz w:val="24"/>
                <w:szCs w:val="24"/>
                <w:highlight w:val="none"/>
              </w:rPr>
              <w:t>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433FC7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1140" w:type="dxa"/>
            <w:shd w:val="clear" w:color="auto" w:fill="auto"/>
            <w:vAlign w:val="center"/>
          </w:tcPr>
          <w:p w14:paraId="2CE2D5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7803A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2DAD8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25" w:type="dxa"/>
            <w:gridSpan w:val="2"/>
            <w:shd w:val="clear" w:color="auto" w:fill="auto"/>
            <w:vAlign w:val="center"/>
          </w:tcPr>
          <w:p w14:paraId="3065AA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投入</w:t>
            </w:r>
            <w:r>
              <w:rPr>
                <w:color w:val="auto"/>
                <w:sz w:val="24"/>
                <w:highlight w:val="none"/>
              </w:rPr>
              <w:t>人员评价</w:t>
            </w:r>
          </w:p>
        </w:tc>
        <w:tc>
          <w:tcPr>
            <w:tcW w:w="7308" w:type="dxa"/>
            <w:shd w:val="clear" w:color="auto" w:fill="auto"/>
            <w:vAlign w:val="center"/>
          </w:tcPr>
          <w:p w14:paraId="0077EBD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投入的人员为投标单位正式员工，提供姓名、开标日前三个月中任意一个月的由投标单位为投入人员缴纳社会保险证明扫描件，否则不予认定加分。</w:t>
            </w:r>
          </w:p>
          <w:p w14:paraId="78C73D67">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（1）</w:t>
            </w:r>
            <w:r>
              <w:rPr>
                <w:rFonts w:ascii="Times New Roman" w:hAnsi="Times New Roman"/>
                <w:color w:val="auto"/>
                <w:sz w:val="24"/>
                <w:szCs w:val="24"/>
                <w:highlight w:val="none"/>
              </w:rPr>
              <w:t>项目经理</w:t>
            </w:r>
            <w:r>
              <w:rPr>
                <w:rFonts w:eastAsiaTheme="minorEastAsia"/>
                <w:color w:val="auto"/>
                <w:kern w:val="0"/>
                <w:sz w:val="24"/>
                <w:szCs w:val="24"/>
                <w:highlight w:val="none"/>
              </w:rPr>
              <w:t>具备大</w:t>
            </w:r>
            <w:r>
              <w:rPr>
                <w:rFonts w:hint="eastAsia" w:eastAsiaTheme="minorEastAsia"/>
                <w:color w:val="auto"/>
                <w:kern w:val="0"/>
                <w:sz w:val="24"/>
                <w:szCs w:val="24"/>
                <w:highlight w:val="none"/>
                <w:lang w:val="en-US" w:eastAsia="zh-CN"/>
              </w:rPr>
              <w:t>学本科或以上</w:t>
            </w:r>
            <w:r>
              <w:rPr>
                <w:rFonts w:eastAsiaTheme="minorEastAsia"/>
                <w:color w:val="auto"/>
                <w:kern w:val="0"/>
                <w:sz w:val="24"/>
                <w:szCs w:val="24"/>
                <w:highlight w:val="none"/>
              </w:rPr>
              <w:t>学历毕业证书、</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eastAsiaTheme="minorEastAsia"/>
                <w:color w:val="auto"/>
                <w:kern w:val="0"/>
                <w:sz w:val="24"/>
                <w:szCs w:val="24"/>
                <w:highlight w:val="none"/>
              </w:rPr>
              <w:t>、</w:t>
            </w:r>
            <w:r>
              <w:rPr>
                <w:rFonts w:hint="eastAsia"/>
                <w:color w:val="auto"/>
                <w:sz w:val="24"/>
                <w:szCs w:val="24"/>
                <w:highlight w:val="none"/>
                <w:lang w:val="en-US" w:eastAsia="zh-CN"/>
              </w:rPr>
              <w:t>工程技术系列高级或以上职称证书（</w:t>
            </w:r>
            <w:r>
              <w:rPr>
                <w:rFonts w:hint="eastAsia" w:ascii="Times New Roman" w:hAnsi="Times New Roman"/>
                <w:color w:val="auto"/>
                <w:sz w:val="24"/>
                <w:szCs w:val="24"/>
                <w:highlight w:val="none"/>
              </w:rPr>
              <w:t>通信相关专业</w:t>
            </w:r>
            <w:r>
              <w:rPr>
                <w:rFonts w:hint="eastAsia"/>
                <w:color w:val="auto"/>
                <w:sz w:val="24"/>
                <w:szCs w:val="24"/>
                <w:highlight w:val="none"/>
                <w:lang w:val="en-US" w:eastAsia="zh-CN"/>
              </w:rPr>
              <w:t>）</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分；</w:t>
            </w:r>
          </w:p>
          <w:p w14:paraId="5C3F14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Theme="minorEastAsia"/>
                <w:color w:val="auto"/>
                <w:kern w:val="0"/>
                <w:sz w:val="24"/>
                <w:szCs w:val="24"/>
                <w:highlight w:val="none"/>
                <w:lang w:eastAsia="zh-CN"/>
              </w:rPr>
            </w:pPr>
            <w:r>
              <w:rPr>
                <w:rFonts w:eastAsiaTheme="minorEastAsia"/>
                <w:color w:val="auto"/>
                <w:kern w:val="0"/>
                <w:sz w:val="24"/>
                <w:szCs w:val="24"/>
                <w:highlight w:val="none"/>
              </w:rPr>
              <w:t>（2）</w:t>
            </w:r>
            <w:r>
              <w:rPr>
                <w:rFonts w:ascii="Times New Roman" w:hAnsi="Times New Roman"/>
                <w:color w:val="auto"/>
                <w:sz w:val="24"/>
                <w:szCs w:val="24"/>
                <w:highlight w:val="none"/>
              </w:rPr>
              <w:t>项目经理</w:t>
            </w:r>
            <w:r>
              <w:rPr>
                <w:rFonts w:eastAsiaTheme="minorEastAsia"/>
                <w:color w:val="auto"/>
                <w:kern w:val="0"/>
                <w:sz w:val="24"/>
                <w:szCs w:val="24"/>
                <w:highlight w:val="none"/>
              </w:rPr>
              <w:t>具备</w:t>
            </w:r>
            <w:r>
              <w:rPr>
                <w:rFonts w:ascii="Times New Roman" w:hAnsi="Times New Roman"/>
                <w:color w:val="auto"/>
                <w:sz w:val="24"/>
                <w:szCs w:val="24"/>
                <w:highlight w:val="none"/>
              </w:rPr>
              <w:t>5年或以上</w:t>
            </w:r>
            <w:r>
              <w:rPr>
                <w:rFonts w:hint="eastAsia"/>
                <w:color w:val="auto"/>
                <w:sz w:val="24"/>
                <w:szCs w:val="24"/>
                <w:highlight w:val="none"/>
                <w:lang w:val="en-US" w:eastAsia="zh-CN"/>
              </w:rPr>
              <w:t>信息化</w:t>
            </w:r>
            <w:r>
              <w:rPr>
                <w:rFonts w:ascii="Times New Roman" w:hAnsi="Times New Roman"/>
                <w:color w:val="auto"/>
                <w:sz w:val="24"/>
                <w:szCs w:val="24"/>
                <w:highlight w:val="none"/>
              </w:rPr>
              <w:t>硬件运行维护工作经验</w:t>
            </w:r>
            <w:r>
              <w:rPr>
                <w:rFonts w:eastAsiaTheme="minorEastAsia"/>
                <w:color w:val="auto"/>
                <w:kern w:val="0"/>
                <w:sz w:val="24"/>
                <w:szCs w:val="24"/>
                <w:highlight w:val="none"/>
              </w:rPr>
              <w:t>，提供以上人员工作简历，每个满足以上要求的人员得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w:t>
            </w:r>
            <w:r>
              <w:rPr>
                <w:rFonts w:hint="eastAsia" w:eastAsiaTheme="minorEastAsia"/>
                <w:color w:val="auto"/>
                <w:kern w:val="0"/>
                <w:sz w:val="24"/>
                <w:szCs w:val="24"/>
                <w:highlight w:val="none"/>
                <w:lang w:eastAsia="zh-CN"/>
              </w:rPr>
              <w:t>。</w:t>
            </w:r>
          </w:p>
          <w:p w14:paraId="54A48EE3">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w:t>
            </w:r>
            <w:r>
              <w:rPr>
                <w:rFonts w:hint="eastAsia" w:ascii="Times New Roman" w:hAnsi="Times New Roman"/>
                <w:color w:val="auto"/>
                <w:sz w:val="24"/>
                <w:szCs w:val="24"/>
                <w:highlight w:val="none"/>
              </w:rPr>
              <w:t>技术人员</w:t>
            </w:r>
            <w:r>
              <w:rPr>
                <w:rFonts w:eastAsiaTheme="minorEastAsia"/>
                <w:color w:val="auto"/>
                <w:kern w:val="0"/>
                <w:sz w:val="24"/>
                <w:szCs w:val="24"/>
                <w:highlight w:val="none"/>
              </w:rPr>
              <w:t>具备大</w:t>
            </w:r>
            <w:r>
              <w:rPr>
                <w:rFonts w:hint="eastAsia" w:eastAsiaTheme="minorEastAsia"/>
                <w:color w:val="auto"/>
                <w:kern w:val="0"/>
                <w:sz w:val="24"/>
                <w:szCs w:val="24"/>
                <w:highlight w:val="none"/>
                <w:lang w:val="en-US" w:eastAsia="zh-CN"/>
              </w:rPr>
              <w:t>学本科或以上</w:t>
            </w:r>
            <w:r>
              <w:rPr>
                <w:rFonts w:eastAsiaTheme="minorEastAsia"/>
                <w:color w:val="auto"/>
                <w:kern w:val="0"/>
                <w:sz w:val="24"/>
                <w:szCs w:val="24"/>
                <w:highlight w:val="none"/>
              </w:rPr>
              <w:t>学历毕业证书、</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w:t>
            </w:r>
          </w:p>
          <w:p w14:paraId="36D058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Theme="minorEastAsia"/>
                <w:color w:val="auto"/>
                <w:kern w:val="0"/>
                <w:sz w:val="24"/>
                <w:szCs w:val="24"/>
                <w:highlight w:val="none"/>
                <w:lang w:eastAsia="zh-CN"/>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w:t>
            </w:r>
            <w:r>
              <w:rPr>
                <w:rFonts w:hint="eastAsia" w:ascii="Times New Roman" w:hAnsi="Times New Roman"/>
                <w:color w:val="auto"/>
                <w:sz w:val="24"/>
                <w:szCs w:val="24"/>
                <w:highlight w:val="none"/>
              </w:rPr>
              <w:t>技术人员</w:t>
            </w:r>
            <w:r>
              <w:rPr>
                <w:rFonts w:eastAsiaTheme="minorEastAsia"/>
                <w:color w:val="auto"/>
                <w:kern w:val="0"/>
                <w:sz w:val="24"/>
                <w:szCs w:val="24"/>
                <w:highlight w:val="none"/>
              </w:rPr>
              <w:t>具备</w:t>
            </w:r>
            <w:r>
              <w:rPr>
                <w:rFonts w:hint="eastAsia" w:eastAsiaTheme="minorEastAsia"/>
                <w:color w:val="auto"/>
                <w:sz w:val="24"/>
                <w:szCs w:val="24"/>
                <w:highlight w:val="none"/>
                <w:lang w:val="en-US" w:eastAsia="zh-CN"/>
              </w:rPr>
              <w:t>3</w:t>
            </w:r>
            <w:r>
              <w:rPr>
                <w:rFonts w:ascii="Times New Roman" w:hAnsi="Times New Roman"/>
                <w:color w:val="auto"/>
                <w:sz w:val="24"/>
                <w:szCs w:val="24"/>
                <w:highlight w:val="none"/>
              </w:rPr>
              <w:t>年或以上</w:t>
            </w:r>
            <w:r>
              <w:rPr>
                <w:rFonts w:hint="eastAsia"/>
                <w:color w:val="auto"/>
                <w:sz w:val="24"/>
                <w:szCs w:val="24"/>
                <w:highlight w:val="none"/>
                <w:lang w:val="en-US" w:eastAsia="zh-CN"/>
              </w:rPr>
              <w:t>信息化</w:t>
            </w:r>
            <w:r>
              <w:rPr>
                <w:rFonts w:ascii="Times New Roman" w:hAnsi="Times New Roman"/>
                <w:color w:val="auto"/>
                <w:sz w:val="24"/>
                <w:szCs w:val="24"/>
                <w:highlight w:val="none"/>
              </w:rPr>
              <w:t>硬件运行维护工作经验</w:t>
            </w:r>
            <w:r>
              <w:rPr>
                <w:rFonts w:eastAsiaTheme="minorEastAsia"/>
                <w:color w:val="auto"/>
                <w:kern w:val="0"/>
                <w:sz w:val="24"/>
                <w:szCs w:val="24"/>
                <w:highlight w:val="none"/>
              </w:rPr>
              <w:t>，提供以上人员工作简历，每个满足以上要求的人员得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w:t>
            </w:r>
            <w:r>
              <w:rPr>
                <w:rFonts w:hint="eastAsia" w:eastAsiaTheme="minorEastAsia"/>
                <w:color w:val="auto"/>
                <w:kern w:val="0"/>
                <w:sz w:val="24"/>
                <w:szCs w:val="24"/>
                <w:highlight w:val="none"/>
                <w:lang w:eastAsia="zh-CN"/>
              </w:rPr>
              <w:t>。</w:t>
            </w:r>
          </w:p>
          <w:p w14:paraId="3BAD4497">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5</w:t>
            </w:r>
            <w:r>
              <w:rPr>
                <w:rFonts w:eastAsiaTheme="minorEastAsia"/>
                <w:color w:val="auto"/>
                <w:kern w:val="0"/>
                <w:sz w:val="24"/>
                <w:szCs w:val="24"/>
                <w:highlight w:val="none"/>
              </w:rPr>
              <w:t>）</w:t>
            </w:r>
            <w:r>
              <w:rPr>
                <w:rFonts w:hint="eastAsia" w:ascii="Times New Roman" w:hAnsi="Times New Roman"/>
                <w:color w:val="auto"/>
                <w:sz w:val="24"/>
                <w:szCs w:val="24"/>
                <w:highlight w:val="none"/>
              </w:rPr>
              <w:t>技术人员</w:t>
            </w:r>
            <w:r>
              <w:rPr>
                <w:rFonts w:eastAsiaTheme="minorEastAsia"/>
                <w:color w:val="auto"/>
                <w:kern w:val="0"/>
                <w:sz w:val="24"/>
                <w:szCs w:val="24"/>
                <w:highlight w:val="none"/>
              </w:rPr>
              <w:t>具备大</w:t>
            </w:r>
            <w:r>
              <w:rPr>
                <w:rFonts w:hint="eastAsia" w:eastAsiaTheme="minorEastAsia"/>
                <w:color w:val="auto"/>
                <w:kern w:val="0"/>
                <w:sz w:val="24"/>
                <w:szCs w:val="24"/>
                <w:highlight w:val="none"/>
                <w:lang w:val="en-US" w:eastAsia="zh-CN"/>
              </w:rPr>
              <w:t>学本科或以上</w:t>
            </w:r>
            <w:r>
              <w:rPr>
                <w:rFonts w:eastAsiaTheme="minorEastAsia"/>
                <w:color w:val="auto"/>
                <w:kern w:val="0"/>
                <w:sz w:val="24"/>
                <w:szCs w:val="24"/>
                <w:highlight w:val="none"/>
              </w:rPr>
              <w:t>学历毕业证书、</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w:t>
            </w:r>
          </w:p>
          <w:p w14:paraId="2E8099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Theme="minorEastAsia"/>
                <w:color w:val="auto"/>
                <w:kern w:val="0"/>
                <w:sz w:val="24"/>
                <w:szCs w:val="24"/>
                <w:highlight w:val="none"/>
                <w:lang w:eastAsia="zh-CN"/>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6</w:t>
            </w:r>
            <w:r>
              <w:rPr>
                <w:rFonts w:eastAsiaTheme="minorEastAsia"/>
                <w:color w:val="auto"/>
                <w:kern w:val="0"/>
                <w:sz w:val="24"/>
                <w:szCs w:val="24"/>
                <w:highlight w:val="none"/>
              </w:rPr>
              <w:t>）</w:t>
            </w:r>
            <w:r>
              <w:rPr>
                <w:rFonts w:hint="eastAsia" w:ascii="Times New Roman" w:hAnsi="Times New Roman"/>
                <w:color w:val="auto"/>
                <w:sz w:val="24"/>
                <w:szCs w:val="24"/>
                <w:highlight w:val="none"/>
              </w:rPr>
              <w:t>技术人员</w:t>
            </w:r>
            <w:r>
              <w:rPr>
                <w:rFonts w:eastAsiaTheme="minorEastAsia"/>
                <w:color w:val="auto"/>
                <w:kern w:val="0"/>
                <w:sz w:val="24"/>
                <w:szCs w:val="24"/>
                <w:highlight w:val="none"/>
              </w:rPr>
              <w:t>具备</w:t>
            </w:r>
            <w:r>
              <w:rPr>
                <w:rFonts w:hint="eastAsia" w:eastAsiaTheme="minorEastAsia"/>
                <w:color w:val="auto"/>
                <w:sz w:val="24"/>
                <w:szCs w:val="24"/>
                <w:highlight w:val="none"/>
                <w:lang w:val="en-US" w:eastAsia="zh-CN"/>
              </w:rPr>
              <w:t>3</w:t>
            </w:r>
            <w:r>
              <w:rPr>
                <w:rFonts w:ascii="Times New Roman" w:hAnsi="Times New Roman"/>
                <w:color w:val="auto"/>
                <w:sz w:val="24"/>
                <w:szCs w:val="24"/>
                <w:highlight w:val="none"/>
              </w:rPr>
              <w:t>年或以上</w:t>
            </w:r>
            <w:r>
              <w:rPr>
                <w:rFonts w:hint="eastAsia"/>
                <w:color w:val="auto"/>
                <w:sz w:val="24"/>
                <w:szCs w:val="24"/>
                <w:highlight w:val="none"/>
                <w:lang w:val="en-US" w:eastAsia="zh-CN"/>
              </w:rPr>
              <w:t>信息化</w:t>
            </w:r>
            <w:r>
              <w:rPr>
                <w:rFonts w:ascii="Times New Roman" w:hAnsi="Times New Roman"/>
                <w:color w:val="auto"/>
                <w:sz w:val="24"/>
                <w:szCs w:val="24"/>
                <w:highlight w:val="none"/>
              </w:rPr>
              <w:t>硬件运行维护工作经验</w:t>
            </w:r>
            <w:r>
              <w:rPr>
                <w:rFonts w:eastAsiaTheme="minorEastAsia"/>
                <w:color w:val="auto"/>
                <w:kern w:val="0"/>
                <w:sz w:val="24"/>
                <w:szCs w:val="24"/>
                <w:highlight w:val="none"/>
              </w:rPr>
              <w:t>，提供以上人员工作简历，每个满足以上要求的人员得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w:t>
            </w:r>
            <w:r>
              <w:rPr>
                <w:rFonts w:hint="eastAsia" w:eastAsiaTheme="minorEastAsia"/>
                <w:color w:val="auto"/>
                <w:kern w:val="0"/>
                <w:sz w:val="24"/>
                <w:szCs w:val="24"/>
                <w:highlight w:val="none"/>
                <w:lang w:eastAsia="zh-CN"/>
              </w:rPr>
              <w:t>。</w:t>
            </w:r>
          </w:p>
          <w:p w14:paraId="2A3A492B">
            <w:pPr>
              <w:keepNext w:val="0"/>
              <w:keepLines w:val="0"/>
              <w:pageBreakBefore w:val="0"/>
              <w:widowControl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7</w:t>
            </w:r>
            <w:r>
              <w:rPr>
                <w:rFonts w:eastAsiaTheme="minorEastAsia"/>
                <w:color w:val="auto"/>
                <w:kern w:val="0"/>
                <w:sz w:val="24"/>
                <w:szCs w:val="24"/>
                <w:highlight w:val="none"/>
              </w:rPr>
              <w:t>）</w:t>
            </w:r>
            <w:r>
              <w:rPr>
                <w:rFonts w:ascii="Times New Roman" w:hAnsi="Times New Roman"/>
                <w:color w:val="auto"/>
                <w:sz w:val="24"/>
                <w:szCs w:val="24"/>
                <w:highlight w:val="none"/>
              </w:rPr>
              <w:t>运维人员</w:t>
            </w:r>
            <w:r>
              <w:rPr>
                <w:rFonts w:hint="eastAsia"/>
                <w:color w:val="auto"/>
                <w:sz w:val="24"/>
                <w:szCs w:val="24"/>
                <w:highlight w:val="none"/>
                <w:lang w:val="en-US" w:eastAsia="zh-CN"/>
              </w:rPr>
              <w:t>其中1人具备</w:t>
            </w:r>
            <w:r>
              <w:rPr>
                <w:rFonts w:hint="eastAsia" w:ascii="Times New Roman" w:hAnsi="Times New Roman"/>
                <w:color w:val="auto"/>
                <w:sz w:val="24"/>
                <w:szCs w:val="24"/>
                <w:highlight w:val="none"/>
              </w:rPr>
              <w:t>注册安全专业人员（CISO）证书</w:t>
            </w:r>
            <w:r>
              <w:rPr>
                <w:rFonts w:hint="eastAsia"/>
                <w:color w:val="auto"/>
                <w:sz w:val="24"/>
                <w:szCs w:val="24"/>
                <w:highlight w:val="none"/>
                <w:lang w:eastAsia="zh-CN"/>
              </w:rPr>
              <w:t>，</w:t>
            </w:r>
            <w:r>
              <w:rPr>
                <w:rFonts w:hint="eastAsia"/>
                <w:color w:val="auto"/>
                <w:sz w:val="24"/>
                <w:szCs w:val="24"/>
                <w:highlight w:val="none"/>
                <w:lang w:val="en-US" w:eastAsia="zh-CN"/>
              </w:rPr>
              <w:t>其中1人具备</w:t>
            </w:r>
            <w:r>
              <w:rPr>
                <w:rFonts w:hint="eastAsia" w:ascii="Times New Roman" w:hAnsi="Times New Roman"/>
                <w:color w:val="auto"/>
                <w:sz w:val="24"/>
                <w:szCs w:val="24"/>
                <w:highlight w:val="none"/>
              </w:rPr>
              <w:t>注册信息安全工程师（CISE）证书</w:t>
            </w:r>
            <w:r>
              <w:rPr>
                <w:rFonts w:hint="eastAsia"/>
                <w:color w:val="auto"/>
                <w:sz w:val="24"/>
                <w:szCs w:val="24"/>
                <w:highlight w:val="none"/>
                <w:lang w:eastAsia="zh-CN"/>
              </w:rPr>
              <w:t>，</w:t>
            </w:r>
            <w:r>
              <w:rPr>
                <w:rFonts w:hint="eastAsia"/>
                <w:color w:val="auto"/>
                <w:sz w:val="24"/>
                <w:szCs w:val="24"/>
                <w:highlight w:val="none"/>
                <w:lang w:val="en-US" w:eastAsia="zh-CN"/>
              </w:rPr>
              <w:t>其中1人具备</w:t>
            </w:r>
            <w:r>
              <w:rPr>
                <w:rFonts w:hint="eastAsia" w:eastAsiaTheme="minorEastAsia"/>
                <w:color w:val="auto"/>
                <w:kern w:val="0"/>
                <w:sz w:val="24"/>
                <w:szCs w:val="24"/>
                <w:highlight w:val="none"/>
              </w:rPr>
              <w:t>计算机技术与软件专业技术资格证书（</w:t>
            </w:r>
            <w:r>
              <w:rPr>
                <w:rFonts w:hint="eastAsia" w:ascii="Times New Roman" w:hAnsi="Times New Roman"/>
                <w:color w:val="auto"/>
                <w:sz w:val="24"/>
                <w:szCs w:val="24"/>
                <w:highlight w:val="none"/>
              </w:rPr>
              <w:t>系统集成项目管理工程师</w:t>
            </w:r>
            <w:r>
              <w:rPr>
                <w:rFonts w:hint="eastAsia" w:eastAsiaTheme="minorEastAsia"/>
                <w:color w:val="auto"/>
                <w:kern w:val="0"/>
                <w:sz w:val="24"/>
                <w:szCs w:val="24"/>
                <w:highlight w:val="none"/>
              </w:rPr>
              <w:t>）</w:t>
            </w:r>
            <w:r>
              <w:rPr>
                <w:rFonts w:hint="eastAsia" w:eastAsiaTheme="minorEastAsia"/>
                <w:color w:val="auto"/>
                <w:kern w:val="0"/>
                <w:sz w:val="24"/>
                <w:szCs w:val="24"/>
                <w:highlight w:val="none"/>
                <w:lang w:eastAsia="zh-CN"/>
              </w:rPr>
              <w:t>，</w:t>
            </w:r>
            <w:r>
              <w:rPr>
                <w:rFonts w:hint="eastAsia"/>
                <w:color w:val="auto"/>
                <w:sz w:val="24"/>
                <w:szCs w:val="24"/>
                <w:highlight w:val="none"/>
                <w:lang w:val="en-US" w:eastAsia="zh-CN"/>
              </w:rPr>
              <w:t>其中1人具备</w:t>
            </w:r>
            <w:r>
              <w:rPr>
                <w:rFonts w:hint="eastAsia" w:ascii="Times New Roman" w:hAnsi="Times New Roman"/>
                <w:color w:val="auto"/>
                <w:sz w:val="24"/>
                <w:szCs w:val="24"/>
                <w:highlight w:val="none"/>
              </w:rPr>
              <w:t>华为HCIE或新华三H3CIE网络认证工程师证书</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分；</w:t>
            </w:r>
          </w:p>
          <w:p w14:paraId="295576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eastAsiaTheme="minorEastAsia"/>
                <w:color w:val="auto"/>
                <w:kern w:val="0"/>
                <w:sz w:val="24"/>
                <w:szCs w:val="24"/>
                <w:highlight w:val="none"/>
              </w:rPr>
              <w:t>注：一人持多证不可以重复记分。</w:t>
            </w:r>
          </w:p>
        </w:tc>
        <w:tc>
          <w:tcPr>
            <w:tcW w:w="1140" w:type="dxa"/>
            <w:shd w:val="clear" w:color="auto" w:fill="auto"/>
            <w:vAlign w:val="center"/>
          </w:tcPr>
          <w:p w14:paraId="40DCEC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14</w:t>
            </w:r>
          </w:p>
        </w:tc>
      </w:tr>
      <w:tr w14:paraId="7E62A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D5028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25" w:type="dxa"/>
            <w:gridSpan w:val="2"/>
            <w:shd w:val="clear" w:color="auto" w:fill="auto"/>
            <w:vAlign w:val="center"/>
          </w:tcPr>
          <w:p w14:paraId="6E9AF4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7F1C3E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6</w:t>
            </w:r>
            <w:r>
              <w:rPr>
                <w:rFonts w:hint="eastAsia"/>
                <w:color w:val="auto"/>
                <w:kern w:val="0"/>
                <w:sz w:val="24"/>
                <w:szCs w:val="24"/>
                <w:highlight w:val="none"/>
              </w:rPr>
              <w:t>分，其他0分。</w:t>
            </w:r>
          </w:p>
        </w:tc>
        <w:tc>
          <w:tcPr>
            <w:tcW w:w="1140" w:type="dxa"/>
            <w:shd w:val="clear" w:color="auto" w:fill="auto"/>
            <w:vAlign w:val="center"/>
          </w:tcPr>
          <w:p w14:paraId="6AF212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27F5A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4C9AD0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60</w:t>
            </w:r>
            <w:r>
              <w:rPr>
                <w:color w:val="auto"/>
                <w:kern w:val="0"/>
                <w:sz w:val="24"/>
                <w:szCs w:val="24"/>
                <w:highlight w:val="none"/>
              </w:rPr>
              <w:t>分）</w:t>
            </w:r>
          </w:p>
        </w:tc>
        <w:tc>
          <w:tcPr>
            <w:tcW w:w="1140" w:type="dxa"/>
            <w:shd w:val="clear" w:color="auto" w:fill="auto"/>
            <w:vAlign w:val="center"/>
          </w:tcPr>
          <w:p w14:paraId="7E4291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687E8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B6C76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44A23C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项目需求理解分析评价</w:t>
            </w:r>
          </w:p>
        </w:tc>
        <w:tc>
          <w:tcPr>
            <w:tcW w:w="7314" w:type="dxa"/>
            <w:gridSpan w:val="2"/>
            <w:shd w:val="clear" w:color="auto" w:fill="auto"/>
            <w:vAlign w:val="center"/>
          </w:tcPr>
          <w:p w14:paraId="16993885">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至少包含系统现状、任务目标、</w:t>
            </w:r>
            <w:r>
              <w:rPr>
                <w:rFonts w:hint="eastAsia" w:cs="宋体"/>
                <w:color w:val="auto"/>
                <w:sz w:val="24"/>
                <w:szCs w:val="24"/>
                <w:highlight w:val="none"/>
                <w:lang w:val="zh-CN"/>
              </w:rPr>
              <w:t>实施要求等方面内容</w:t>
            </w:r>
          </w:p>
          <w:p w14:paraId="31D609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3F0989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34A61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7B6CB6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0C06E4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7D6941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2AF71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2872E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D714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777D14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项目服务人员评价</w:t>
            </w:r>
          </w:p>
        </w:tc>
        <w:tc>
          <w:tcPr>
            <w:tcW w:w="7314" w:type="dxa"/>
            <w:gridSpan w:val="2"/>
            <w:shd w:val="clear" w:color="auto" w:fill="auto"/>
            <w:vAlign w:val="center"/>
          </w:tcPr>
          <w:p w14:paraId="5F650D98">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至少包含人员分工、岗位职责、人员工作经验及技术实力、人员稳定性保障措施等方面内容</w:t>
            </w:r>
          </w:p>
          <w:p w14:paraId="0B94D1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1B13AE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4F54F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4A5409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5EF60D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083F15E7">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9E7AF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349CD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8F1D8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2C14C2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整体运行维护方案评价</w:t>
            </w:r>
          </w:p>
        </w:tc>
        <w:tc>
          <w:tcPr>
            <w:tcW w:w="7314" w:type="dxa"/>
            <w:gridSpan w:val="2"/>
            <w:shd w:val="clear" w:color="auto" w:fill="auto"/>
            <w:vAlign w:val="center"/>
          </w:tcPr>
          <w:p w14:paraId="168BB421">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至少包含针对本项目系统的运维计划、实施方案等方面内容</w:t>
            </w:r>
          </w:p>
          <w:p w14:paraId="0A8C24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0875D0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76658A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739DC2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4406E5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75AB98FA">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A3B67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3ED93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040DC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3A0400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szCs w:val="24"/>
                <w:highlight w:val="none"/>
                <w:lang w:val="zh-CN"/>
              </w:rPr>
              <w:t>网络及IT设备托管服务方案</w:t>
            </w:r>
          </w:p>
        </w:tc>
        <w:tc>
          <w:tcPr>
            <w:tcW w:w="7314" w:type="dxa"/>
            <w:gridSpan w:val="2"/>
            <w:shd w:val="clear" w:color="auto" w:fill="auto"/>
            <w:vAlign w:val="center"/>
          </w:tcPr>
          <w:p w14:paraId="0307152D">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w:t>
            </w:r>
            <w:r>
              <w:rPr>
                <w:rFonts w:hint="eastAsia" w:cs="宋体"/>
                <w:color w:val="auto"/>
                <w:sz w:val="24"/>
                <w:szCs w:val="24"/>
                <w:highlight w:val="none"/>
                <w:lang w:val="en-US" w:eastAsia="zh-CN"/>
              </w:rPr>
              <w:t>托管人员分工</w:t>
            </w:r>
            <w:r>
              <w:rPr>
                <w:rFonts w:hint="eastAsia" w:cs="宋体"/>
                <w:color w:val="auto"/>
                <w:sz w:val="24"/>
                <w:szCs w:val="24"/>
                <w:highlight w:val="none"/>
                <w:lang w:val="zh-CN"/>
              </w:rPr>
              <w:t>、</w:t>
            </w:r>
            <w:r>
              <w:rPr>
                <w:rFonts w:hint="eastAsia" w:cs="宋体"/>
                <w:color w:val="auto"/>
                <w:sz w:val="24"/>
                <w:szCs w:val="24"/>
                <w:highlight w:val="none"/>
                <w:lang w:val="en-US" w:eastAsia="zh-CN"/>
              </w:rPr>
              <w:t>软硬件监控服务实施方式</w:t>
            </w:r>
            <w:r>
              <w:rPr>
                <w:rFonts w:hint="eastAsia" w:cs="宋体"/>
                <w:color w:val="auto"/>
                <w:sz w:val="24"/>
                <w:szCs w:val="24"/>
                <w:highlight w:val="none"/>
                <w:lang w:val="zh-CN"/>
              </w:rPr>
              <w:t>、</w:t>
            </w:r>
            <w:r>
              <w:rPr>
                <w:rFonts w:hint="eastAsia" w:cs="宋体"/>
                <w:color w:val="auto"/>
                <w:sz w:val="24"/>
                <w:szCs w:val="24"/>
                <w:highlight w:val="none"/>
                <w:lang w:val="en-US" w:eastAsia="zh-CN"/>
              </w:rPr>
              <w:t>托管管理工具或平台介绍（至少包含功能介绍、技术支撑材料等）</w:t>
            </w:r>
            <w:r>
              <w:rPr>
                <w:rFonts w:hint="eastAsia" w:cs="宋体"/>
                <w:color w:val="auto"/>
                <w:sz w:val="24"/>
                <w:szCs w:val="24"/>
                <w:highlight w:val="none"/>
                <w:lang w:val="zh-CN"/>
              </w:rPr>
              <w:t>等方面内容</w:t>
            </w:r>
          </w:p>
          <w:p w14:paraId="78C371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12</w:t>
            </w:r>
            <w:r>
              <w:rPr>
                <w:color w:val="auto"/>
                <w:kern w:val="0"/>
                <w:sz w:val="24"/>
                <w:szCs w:val="24"/>
                <w:highlight w:val="none"/>
              </w:rPr>
              <w:t>分；</w:t>
            </w:r>
          </w:p>
          <w:p w14:paraId="21C523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9</w:t>
            </w:r>
            <w:r>
              <w:rPr>
                <w:color w:val="auto"/>
                <w:kern w:val="0"/>
                <w:sz w:val="24"/>
                <w:szCs w:val="24"/>
                <w:highlight w:val="none"/>
              </w:rPr>
              <w:t>分；</w:t>
            </w:r>
          </w:p>
          <w:p w14:paraId="62B4F5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333749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3</w:t>
            </w:r>
            <w:r>
              <w:rPr>
                <w:color w:val="auto"/>
                <w:kern w:val="0"/>
                <w:sz w:val="24"/>
                <w:szCs w:val="24"/>
                <w:highlight w:val="none"/>
              </w:rPr>
              <w:t>分；</w:t>
            </w:r>
          </w:p>
          <w:p w14:paraId="13423C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5B8200D9">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36C06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12</w:t>
            </w:r>
          </w:p>
        </w:tc>
      </w:tr>
      <w:tr w14:paraId="18B30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CE905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090098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szCs w:val="24"/>
                <w:highlight w:val="none"/>
                <w:lang w:val="zh-CN"/>
              </w:rPr>
              <w:t>故障管理处理方案</w:t>
            </w:r>
          </w:p>
        </w:tc>
        <w:tc>
          <w:tcPr>
            <w:tcW w:w="7314" w:type="dxa"/>
            <w:gridSpan w:val="2"/>
            <w:shd w:val="clear" w:color="auto" w:fill="auto"/>
            <w:vAlign w:val="center"/>
          </w:tcPr>
          <w:p w14:paraId="54706207">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至少包含响应时间、故障处理方案、防止再发方案等方面内容</w:t>
            </w:r>
          </w:p>
          <w:p w14:paraId="1683FB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7ED9CE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3CC2C9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61AB55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17FF70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6BE3DCA4">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BB16D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376A6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1F0F0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2AD98A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szCs w:val="24"/>
                <w:highlight w:val="none"/>
                <w:lang w:val="zh-CN"/>
              </w:rPr>
              <w:t>突发事件管理方案</w:t>
            </w:r>
          </w:p>
        </w:tc>
        <w:tc>
          <w:tcPr>
            <w:tcW w:w="7314" w:type="dxa"/>
            <w:gridSpan w:val="2"/>
            <w:shd w:val="clear" w:color="auto" w:fill="auto"/>
            <w:vAlign w:val="center"/>
          </w:tcPr>
          <w:p w14:paraId="326EA9EE">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szCs w:val="24"/>
                <w:highlight w:val="none"/>
                <w:lang w:val="zh-CN"/>
              </w:rPr>
              <w:t>至少包含针对恶意攻击、访问量激增等处理方案</w:t>
            </w:r>
          </w:p>
          <w:p w14:paraId="05D001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3FD518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1D279A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745A39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72D402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0DA7F5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610AB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780A0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C93FA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796AFE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szCs w:val="24"/>
                <w:highlight w:val="none"/>
                <w:lang w:val="zh-CN"/>
              </w:rPr>
              <w:t>备品备件、备机解决方案</w:t>
            </w:r>
          </w:p>
        </w:tc>
        <w:tc>
          <w:tcPr>
            <w:tcW w:w="7314" w:type="dxa"/>
            <w:gridSpan w:val="2"/>
            <w:shd w:val="clear" w:color="auto" w:fill="auto"/>
            <w:vAlign w:val="center"/>
          </w:tcPr>
          <w:p w14:paraId="28028E1F">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cs="宋体"/>
                <w:color w:val="auto"/>
                <w:sz w:val="24"/>
                <w:szCs w:val="24"/>
                <w:highlight w:val="none"/>
                <w:lang w:val="zh-CN"/>
              </w:rPr>
              <w:t>至少包含备品备件储备情况</w:t>
            </w:r>
            <w:r>
              <w:rPr>
                <w:rFonts w:hint="eastAsia" w:cs="宋体"/>
                <w:color w:val="auto"/>
                <w:sz w:val="24"/>
                <w:szCs w:val="24"/>
                <w:highlight w:val="none"/>
                <w:lang w:val="zh-CN"/>
              </w:rPr>
              <w:t>、</w:t>
            </w:r>
            <w:r>
              <w:rPr>
                <w:rFonts w:cs="宋体"/>
                <w:color w:val="auto"/>
                <w:sz w:val="24"/>
                <w:szCs w:val="24"/>
                <w:highlight w:val="none"/>
                <w:lang w:val="zh-CN"/>
              </w:rPr>
              <w:t>响应时间</w:t>
            </w:r>
            <w:r>
              <w:rPr>
                <w:rFonts w:hint="eastAsia" w:cs="宋体"/>
                <w:color w:val="auto"/>
                <w:sz w:val="24"/>
                <w:szCs w:val="24"/>
                <w:highlight w:val="none"/>
                <w:lang w:val="zh-CN"/>
              </w:rPr>
              <w:t>、</w:t>
            </w:r>
            <w:r>
              <w:rPr>
                <w:rFonts w:cs="宋体"/>
                <w:color w:val="auto"/>
                <w:sz w:val="24"/>
                <w:szCs w:val="24"/>
                <w:highlight w:val="none"/>
                <w:lang w:val="zh-CN"/>
              </w:rPr>
              <w:t>更换方案等方面内容</w:t>
            </w:r>
          </w:p>
          <w:p w14:paraId="7AD683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lang w:val="en-US" w:eastAsia="zh-CN"/>
              </w:rPr>
              <w:t>8</w:t>
            </w:r>
            <w:r>
              <w:rPr>
                <w:color w:val="auto"/>
                <w:kern w:val="0"/>
                <w:sz w:val="24"/>
                <w:szCs w:val="24"/>
                <w:highlight w:val="none"/>
              </w:rPr>
              <w:t>分；</w:t>
            </w:r>
          </w:p>
          <w:p w14:paraId="006FA5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lang w:val="en-US" w:eastAsia="zh-CN"/>
              </w:rPr>
              <w:t>6</w:t>
            </w:r>
            <w:r>
              <w:rPr>
                <w:color w:val="auto"/>
                <w:kern w:val="0"/>
                <w:sz w:val="24"/>
                <w:szCs w:val="24"/>
                <w:highlight w:val="none"/>
              </w:rPr>
              <w:t>分；</w:t>
            </w:r>
          </w:p>
          <w:p w14:paraId="6A5E66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lang w:val="en-US" w:eastAsia="zh-CN"/>
              </w:rPr>
              <w:t>4</w:t>
            </w:r>
            <w:r>
              <w:rPr>
                <w:color w:val="auto"/>
                <w:kern w:val="0"/>
                <w:sz w:val="24"/>
                <w:szCs w:val="24"/>
                <w:highlight w:val="none"/>
              </w:rPr>
              <w:t>分；</w:t>
            </w:r>
          </w:p>
          <w:p w14:paraId="2907DD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lang w:val="en-US" w:eastAsia="zh-CN"/>
              </w:rPr>
              <w:t>3</w:t>
            </w:r>
            <w:r>
              <w:rPr>
                <w:rFonts w:hint="eastAsia"/>
                <w:color w:val="auto"/>
                <w:kern w:val="0"/>
                <w:sz w:val="24"/>
                <w:szCs w:val="24"/>
                <w:highlight w:val="none"/>
              </w:rPr>
              <w:t>处瑕疵</w:t>
            </w:r>
            <w:r>
              <w:rPr>
                <w:color w:val="auto"/>
                <w:kern w:val="0"/>
                <w:sz w:val="24"/>
                <w:szCs w:val="24"/>
                <w:highlight w:val="none"/>
              </w:rPr>
              <w:t>：</w:t>
            </w:r>
            <w:r>
              <w:rPr>
                <w:rFonts w:hint="eastAsia"/>
                <w:color w:val="auto"/>
                <w:kern w:val="0"/>
                <w:sz w:val="24"/>
                <w:szCs w:val="24"/>
                <w:highlight w:val="none"/>
                <w:lang w:val="en-US" w:eastAsia="zh-CN"/>
              </w:rPr>
              <w:t>2</w:t>
            </w:r>
            <w:r>
              <w:rPr>
                <w:color w:val="auto"/>
                <w:kern w:val="0"/>
                <w:sz w:val="24"/>
                <w:szCs w:val="24"/>
                <w:highlight w:val="none"/>
              </w:rPr>
              <w:t>分；</w:t>
            </w:r>
          </w:p>
          <w:p w14:paraId="3EAC02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p>
          <w:p w14:paraId="14CE1B81">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56A86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0A7E8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611D46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1140" w:type="dxa"/>
            <w:shd w:val="clear" w:color="auto" w:fill="auto"/>
            <w:vAlign w:val="center"/>
          </w:tcPr>
          <w:p w14:paraId="148DC5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2F56F1BC">
      <w:pPr>
        <w:spacing w:line="360" w:lineRule="auto"/>
        <w:ind w:firstLine="480" w:firstLineChars="200"/>
        <w:outlineLvl w:val="0"/>
        <w:rPr>
          <w:color w:val="auto"/>
          <w:sz w:val="24"/>
          <w:highlight w:val="none"/>
        </w:rPr>
      </w:pPr>
      <w:r>
        <w:rPr>
          <w:color w:val="auto"/>
          <w:sz w:val="24"/>
          <w:highlight w:val="none"/>
        </w:rPr>
        <w:t>四、投标文件内容要求</w:t>
      </w:r>
    </w:p>
    <w:p w14:paraId="20F8DE8D">
      <w:pPr>
        <w:spacing w:line="360" w:lineRule="auto"/>
        <w:ind w:firstLine="480" w:firstLineChars="200"/>
        <w:outlineLvl w:val="0"/>
        <w:rPr>
          <w:color w:val="auto"/>
          <w:sz w:val="24"/>
          <w:highlight w:val="none"/>
        </w:rPr>
      </w:pPr>
      <w:r>
        <w:rPr>
          <w:rFonts w:hint="eastAsia"/>
          <w:color w:val="auto"/>
          <w:sz w:val="24"/>
          <w:highlight w:val="none"/>
        </w:rPr>
        <w:t>（一）</w:t>
      </w:r>
      <w:r>
        <w:rPr>
          <w:color w:val="auto"/>
          <w:sz w:val="24"/>
          <w:highlight w:val="none"/>
        </w:rPr>
        <w:t>投标人须按照《投标须知》“C 投标文件的编制”中的相关要求编制投标文件</w:t>
      </w:r>
      <w:r>
        <w:rPr>
          <w:rFonts w:hint="eastAsia"/>
          <w:color w:val="auto"/>
          <w:sz w:val="24"/>
          <w:highlight w:val="none"/>
        </w:rPr>
        <w:t>。</w:t>
      </w:r>
    </w:p>
    <w:p w14:paraId="59078505">
      <w:pPr>
        <w:spacing w:line="360" w:lineRule="auto"/>
        <w:ind w:firstLine="480" w:firstLineChars="200"/>
        <w:outlineLvl w:val="0"/>
        <w:rPr>
          <w:color w:val="auto"/>
          <w:sz w:val="24"/>
          <w:highlight w:val="none"/>
        </w:rPr>
      </w:pPr>
      <w:r>
        <w:rPr>
          <w:rFonts w:hint="eastAsia"/>
          <w:color w:val="auto"/>
          <w:sz w:val="24"/>
          <w:highlight w:val="none"/>
        </w:rPr>
        <w:t>（二）</w:t>
      </w:r>
      <w:r>
        <w:rPr>
          <w:color w:val="auto"/>
          <w:sz w:val="24"/>
          <w:highlight w:val="none"/>
        </w:rPr>
        <w:t>投标文件</w:t>
      </w:r>
      <w:r>
        <w:rPr>
          <w:rFonts w:hint="eastAsia"/>
          <w:color w:val="auto"/>
          <w:sz w:val="24"/>
          <w:highlight w:val="none"/>
        </w:rPr>
        <w:t>格式参照第五部分“投标文件格式”。</w:t>
      </w:r>
    </w:p>
    <w:p w14:paraId="78957821">
      <w:pPr>
        <w:spacing w:line="360" w:lineRule="auto"/>
        <w:jc w:val="center"/>
        <w:rPr>
          <w:b/>
          <w:color w:val="auto"/>
          <w:sz w:val="24"/>
          <w:highlight w:val="none"/>
        </w:rPr>
      </w:pPr>
      <w:r>
        <w:rPr>
          <w:color w:val="auto"/>
          <w:sz w:val="24"/>
          <w:highlight w:val="none"/>
          <w:u w:val="single"/>
        </w:rPr>
        <w:br w:type="page"/>
      </w:r>
      <w:r>
        <w:rPr>
          <w:b/>
          <w:color w:val="auto"/>
          <w:sz w:val="24"/>
          <w:highlight w:val="none"/>
        </w:rPr>
        <w:t>项目需求书</w:t>
      </w:r>
    </w:p>
    <w:p w14:paraId="40D87DBA">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b/>
          <w:bCs/>
          <w:color w:val="auto"/>
          <w:sz w:val="24"/>
          <w:highlight w:val="none"/>
        </w:rPr>
      </w:pPr>
      <w:r>
        <w:rPr>
          <w:rFonts w:hint="eastAsia"/>
          <w:b/>
          <w:bCs/>
          <w:color w:val="auto"/>
          <w:sz w:val="24"/>
          <w:highlight w:val="none"/>
        </w:rPr>
        <w:t>一、项目背景</w:t>
      </w:r>
    </w:p>
    <w:p w14:paraId="2CE1635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highlight w:val="none"/>
        </w:rPr>
      </w:pPr>
      <w:r>
        <w:rPr>
          <w:rFonts w:hint="eastAsia"/>
          <w:color w:val="auto"/>
          <w:sz w:val="24"/>
          <w:highlight w:val="none"/>
        </w:rPr>
        <w:t>服务范围：随着医院信息化建设的深入发展，网络基础设施及弱电系统已成为支撑医院业务正常运行的核心组成部分。为了确保医院信息系统的稳定性和安全性，同时保障弱电系统的可靠运行，特制定本项目需求书，明确硬件设备、基础系统和弱电维护的具体要求。</w:t>
      </w:r>
    </w:p>
    <w:p w14:paraId="34545A0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服务要求：达到本项目需求书中的全部要求</w:t>
      </w:r>
    </w:p>
    <w:p w14:paraId="206E792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本项目属于软件和信息技术服务业</w:t>
      </w:r>
    </w:p>
    <w:p w14:paraId="2DEC9AC9">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b/>
          <w:bCs/>
          <w:color w:val="auto"/>
          <w:sz w:val="24"/>
          <w:highlight w:val="none"/>
          <w:lang w:val="en-US" w:eastAsia="zh-CN"/>
        </w:rPr>
      </w:pPr>
      <w:r>
        <w:rPr>
          <w:rFonts w:hint="eastAsia"/>
          <w:b/>
          <w:bCs/>
          <w:color w:val="auto"/>
          <w:sz w:val="24"/>
          <w:highlight w:val="none"/>
          <w:lang w:val="en-US" w:eastAsia="zh-CN"/>
        </w:rPr>
        <w:t>二、运维清单及人员要求</w:t>
      </w:r>
    </w:p>
    <w:p w14:paraId="253FC4F3">
      <w:pPr>
        <w:spacing w:line="360" w:lineRule="auto"/>
        <w:ind w:firstLine="480" w:firstLineChars="200"/>
        <w:rPr>
          <w:rFonts w:ascii="Times New Roman" w:hAnsi="Times New Roman"/>
          <w:color w:val="auto"/>
          <w:sz w:val="24"/>
          <w:highlight w:val="none"/>
        </w:rPr>
      </w:pPr>
      <w:r>
        <w:rPr>
          <w:rFonts w:ascii="Times New Roman" w:hAnsi="Times New Roman"/>
          <w:color w:val="auto"/>
          <w:sz w:val="24"/>
          <w:highlight w:val="none"/>
        </w:rPr>
        <w:t>（一）运维硬件清单</w:t>
      </w:r>
    </w:p>
    <w:tbl>
      <w:tblPr>
        <w:tblStyle w:val="23"/>
        <w:tblW w:w="101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1461"/>
        <w:gridCol w:w="1026"/>
        <w:gridCol w:w="2670"/>
        <w:gridCol w:w="1065"/>
        <w:gridCol w:w="1818"/>
        <w:gridCol w:w="1249"/>
      </w:tblGrid>
      <w:tr w14:paraId="6B0B5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53D89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序号</w:t>
            </w:r>
          </w:p>
        </w:tc>
        <w:tc>
          <w:tcPr>
            <w:tcW w:w="1461" w:type="dxa"/>
            <w:vAlign w:val="center"/>
          </w:tcPr>
          <w:p w14:paraId="54DFC9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硬件名称</w:t>
            </w:r>
          </w:p>
        </w:tc>
        <w:tc>
          <w:tcPr>
            <w:tcW w:w="1026" w:type="dxa"/>
            <w:vAlign w:val="center"/>
          </w:tcPr>
          <w:p w14:paraId="283A17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品牌</w:t>
            </w:r>
          </w:p>
        </w:tc>
        <w:tc>
          <w:tcPr>
            <w:tcW w:w="2670" w:type="dxa"/>
            <w:vAlign w:val="center"/>
          </w:tcPr>
          <w:p w14:paraId="57A7D1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型号</w:t>
            </w:r>
          </w:p>
        </w:tc>
        <w:tc>
          <w:tcPr>
            <w:tcW w:w="1065" w:type="dxa"/>
            <w:vAlign w:val="center"/>
          </w:tcPr>
          <w:p w14:paraId="5C1A06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数量</w:t>
            </w:r>
          </w:p>
        </w:tc>
        <w:tc>
          <w:tcPr>
            <w:tcW w:w="1818" w:type="dxa"/>
            <w:vAlign w:val="center"/>
          </w:tcPr>
          <w:p w14:paraId="6D802B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投入使用时间</w:t>
            </w:r>
          </w:p>
        </w:tc>
        <w:tc>
          <w:tcPr>
            <w:tcW w:w="1249" w:type="dxa"/>
            <w:vAlign w:val="center"/>
          </w:tcPr>
          <w:p w14:paraId="5EFBC8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集采目录</w:t>
            </w:r>
          </w:p>
          <w:p w14:paraId="194208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内/外</w:t>
            </w:r>
          </w:p>
        </w:tc>
      </w:tr>
      <w:tr w14:paraId="439A1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CC46F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461" w:type="dxa"/>
            <w:noWrap/>
            <w:vAlign w:val="center"/>
          </w:tcPr>
          <w:p w14:paraId="16E57D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7CF927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HP</w:t>
            </w:r>
          </w:p>
        </w:tc>
        <w:tc>
          <w:tcPr>
            <w:tcW w:w="2670" w:type="dxa"/>
            <w:noWrap/>
            <w:vAlign w:val="center"/>
          </w:tcPr>
          <w:p w14:paraId="7D7B32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DL580</w:t>
            </w:r>
          </w:p>
        </w:tc>
        <w:tc>
          <w:tcPr>
            <w:tcW w:w="1065" w:type="dxa"/>
            <w:noWrap/>
            <w:vAlign w:val="center"/>
          </w:tcPr>
          <w:p w14:paraId="7A46DA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8</w:t>
            </w:r>
          </w:p>
        </w:tc>
        <w:tc>
          <w:tcPr>
            <w:tcW w:w="1818" w:type="dxa"/>
            <w:noWrap/>
            <w:vAlign w:val="center"/>
          </w:tcPr>
          <w:p w14:paraId="0B2D78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2018</w:t>
            </w:r>
            <w:r>
              <w:rPr>
                <w:rFonts w:hint="eastAsia" w:ascii="宋体" w:hAnsi="宋体" w:cs="宋体"/>
                <w:color w:val="auto"/>
                <w:kern w:val="0"/>
                <w:sz w:val="24"/>
                <w:szCs w:val="24"/>
                <w:highlight w:val="none"/>
                <w:lang w:val="en-US" w:eastAsia="zh-CN"/>
              </w:rPr>
              <w:t>-</w:t>
            </w:r>
            <w:r>
              <w:rPr>
                <w:rFonts w:hint="eastAsia" w:ascii="宋体" w:hAnsi="宋体" w:cs="宋体"/>
                <w:color w:val="auto"/>
                <w:kern w:val="0"/>
                <w:sz w:val="24"/>
                <w:szCs w:val="24"/>
                <w:highlight w:val="none"/>
              </w:rPr>
              <w:t>11</w:t>
            </w:r>
            <w:r>
              <w:rPr>
                <w:rFonts w:hint="eastAsia" w:ascii="宋体" w:hAnsi="宋体" w:cs="宋体"/>
                <w:color w:val="auto"/>
                <w:kern w:val="0"/>
                <w:sz w:val="24"/>
                <w:szCs w:val="24"/>
                <w:highlight w:val="none"/>
                <w:lang w:val="en-US" w:eastAsia="zh-CN"/>
              </w:rPr>
              <w:t>-</w:t>
            </w:r>
            <w:r>
              <w:rPr>
                <w:rFonts w:hint="eastAsia" w:ascii="宋体" w:hAnsi="宋体" w:cs="宋体"/>
                <w:color w:val="auto"/>
                <w:kern w:val="0"/>
                <w:sz w:val="24"/>
                <w:szCs w:val="24"/>
                <w:highlight w:val="none"/>
              </w:rPr>
              <w:t>1</w:t>
            </w:r>
          </w:p>
        </w:tc>
        <w:tc>
          <w:tcPr>
            <w:tcW w:w="1249" w:type="dxa"/>
            <w:vMerge w:val="restart"/>
            <w:noWrap/>
            <w:vAlign w:val="center"/>
          </w:tcPr>
          <w:p w14:paraId="3DD530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内</w:t>
            </w:r>
          </w:p>
        </w:tc>
      </w:tr>
      <w:tr w14:paraId="2B3EF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476A8D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461" w:type="dxa"/>
            <w:noWrap/>
            <w:vAlign w:val="center"/>
          </w:tcPr>
          <w:p w14:paraId="5DD270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6D3183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HP</w:t>
            </w:r>
          </w:p>
        </w:tc>
        <w:tc>
          <w:tcPr>
            <w:tcW w:w="2670" w:type="dxa"/>
            <w:noWrap/>
            <w:vAlign w:val="center"/>
          </w:tcPr>
          <w:p w14:paraId="1F7FA9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DL980</w:t>
            </w:r>
          </w:p>
        </w:tc>
        <w:tc>
          <w:tcPr>
            <w:tcW w:w="1065" w:type="dxa"/>
            <w:noWrap/>
            <w:vAlign w:val="center"/>
          </w:tcPr>
          <w:p w14:paraId="7F8371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w:t>
            </w:r>
          </w:p>
        </w:tc>
        <w:tc>
          <w:tcPr>
            <w:tcW w:w="1818" w:type="dxa"/>
            <w:noWrap/>
            <w:vAlign w:val="center"/>
          </w:tcPr>
          <w:p w14:paraId="70A5B8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2014-04</w:t>
            </w:r>
          </w:p>
        </w:tc>
        <w:tc>
          <w:tcPr>
            <w:tcW w:w="1249" w:type="dxa"/>
            <w:vMerge w:val="continue"/>
            <w:noWrap/>
            <w:vAlign w:val="center"/>
          </w:tcPr>
          <w:p w14:paraId="7725D6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p>
        </w:tc>
      </w:tr>
      <w:tr w14:paraId="6C62C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193F6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w:t>
            </w:r>
          </w:p>
        </w:tc>
        <w:tc>
          <w:tcPr>
            <w:tcW w:w="1461" w:type="dxa"/>
            <w:noWrap/>
            <w:vAlign w:val="center"/>
          </w:tcPr>
          <w:p w14:paraId="546B86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3C0CBD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HP</w:t>
            </w:r>
          </w:p>
        </w:tc>
        <w:tc>
          <w:tcPr>
            <w:tcW w:w="2670" w:type="dxa"/>
            <w:noWrap/>
            <w:vAlign w:val="center"/>
          </w:tcPr>
          <w:p w14:paraId="4FC502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DL560</w:t>
            </w:r>
          </w:p>
        </w:tc>
        <w:tc>
          <w:tcPr>
            <w:tcW w:w="1065" w:type="dxa"/>
            <w:noWrap/>
            <w:vAlign w:val="center"/>
          </w:tcPr>
          <w:p w14:paraId="53F77F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w:t>
            </w:r>
          </w:p>
        </w:tc>
        <w:tc>
          <w:tcPr>
            <w:tcW w:w="1818" w:type="dxa"/>
            <w:noWrap/>
            <w:vAlign w:val="center"/>
          </w:tcPr>
          <w:p w14:paraId="58D0E4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2022-07-11</w:t>
            </w:r>
          </w:p>
        </w:tc>
        <w:tc>
          <w:tcPr>
            <w:tcW w:w="1249" w:type="dxa"/>
            <w:vMerge w:val="continue"/>
            <w:noWrap/>
            <w:vAlign w:val="center"/>
          </w:tcPr>
          <w:p w14:paraId="13B5D4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1761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4EF32C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w:t>
            </w:r>
          </w:p>
        </w:tc>
        <w:tc>
          <w:tcPr>
            <w:tcW w:w="1461" w:type="dxa"/>
            <w:noWrap/>
            <w:vAlign w:val="center"/>
          </w:tcPr>
          <w:p w14:paraId="61FF26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148653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HP</w:t>
            </w:r>
          </w:p>
        </w:tc>
        <w:tc>
          <w:tcPr>
            <w:tcW w:w="2670" w:type="dxa"/>
            <w:noWrap/>
            <w:vAlign w:val="center"/>
          </w:tcPr>
          <w:p w14:paraId="003F49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DL388</w:t>
            </w:r>
          </w:p>
        </w:tc>
        <w:tc>
          <w:tcPr>
            <w:tcW w:w="1065" w:type="dxa"/>
            <w:noWrap/>
            <w:vAlign w:val="center"/>
          </w:tcPr>
          <w:p w14:paraId="16FA06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w:t>
            </w:r>
          </w:p>
        </w:tc>
        <w:tc>
          <w:tcPr>
            <w:tcW w:w="1818" w:type="dxa"/>
            <w:noWrap/>
            <w:vAlign w:val="center"/>
          </w:tcPr>
          <w:p w14:paraId="10EA87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2014-07-01</w:t>
            </w:r>
          </w:p>
        </w:tc>
        <w:tc>
          <w:tcPr>
            <w:tcW w:w="1249" w:type="dxa"/>
            <w:vMerge w:val="continue"/>
            <w:noWrap/>
            <w:vAlign w:val="center"/>
          </w:tcPr>
          <w:p w14:paraId="1A9D69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78920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280E1B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w:t>
            </w:r>
          </w:p>
        </w:tc>
        <w:tc>
          <w:tcPr>
            <w:tcW w:w="1461" w:type="dxa"/>
            <w:noWrap/>
            <w:vAlign w:val="center"/>
          </w:tcPr>
          <w:p w14:paraId="403A44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1664B0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2FD927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390X</w:t>
            </w:r>
          </w:p>
        </w:tc>
        <w:tc>
          <w:tcPr>
            <w:tcW w:w="1065" w:type="dxa"/>
            <w:noWrap/>
            <w:vAlign w:val="center"/>
          </w:tcPr>
          <w:p w14:paraId="38D780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3E5BBB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2018-05</w:t>
            </w:r>
          </w:p>
        </w:tc>
        <w:tc>
          <w:tcPr>
            <w:tcW w:w="1249" w:type="dxa"/>
            <w:vMerge w:val="continue"/>
            <w:noWrap/>
            <w:vAlign w:val="center"/>
          </w:tcPr>
          <w:p w14:paraId="22FA6A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p>
        </w:tc>
      </w:tr>
      <w:tr w14:paraId="06AAC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66543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w:t>
            </w:r>
          </w:p>
        </w:tc>
        <w:tc>
          <w:tcPr>
            <w:tcW w:w="1461" w:type="dxa"/>
            <w:noWrap/>
            <w:vAlign w:val="center"/>
          </w:tcPr>
          <w:p w14:paraId="75E8E4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0281A9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434137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R4900</w:t>
            </w:r>
          </w:p>
        </w:tc>
        <w:tc>
          <w:tcPr>
            <w:tcW w:w="1065" w:type="dxa"/>
            <w:noWrap/>
            <w:vAlign w:val="center"/>
          </w:tcPr>
          <w:p w14:paraId="37F3F5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251816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2019-05</w:t>
            </w:r>
          </w:p>
        </w:tc>
        <w:tc>
          <w:tcPr>
            <w:tcW w:w="1249" w:type="dxa"/>
            <w:vMerge w:val="continue"/>
            <w:noWrap/>
            <w:vAlign w:val="center"/>
          </w:tcPr>
          <w:p w14:paraId="47C78F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p>
        </w:tc>
      </w:tr>
      <w:tr w14:paraId="26EA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5C2F9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7</w:t>
            </w:r>
          </w:p>
        </w:tc>
        <w:tc>
          <w:tcPr>
            <w:tcW w:w="1461" w:type="dxa"/>
            <w:noWrap/>
            <w:vAlign w:val="center"/>
          </w:tcPr>
          <w:p w14:paraId="73E8B9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4210D0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CFCA</w:t>
            </w:r>
          </w:p>
        </w:tc>
        <w:tc>
          <w:tcPr>
            <w:tcW w:w="2670" w:type="dxa"/>
            <w:noWrap/>
            <w:vAlign w:val="center"/>
          </w:tcPr>
          <w:p w14:paraId="1A2A7D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SVS-2000C</w:t>
            </w:r>
          </w:p>
        </w:tc>
        <w:tc>
          <w:tcPr>
            <w:tcW w:w="1065" w:type="dxa"/>
            <w:noWrap/>
            <w:vAlign w:val="center"/>
          </w:tcPr>
          <w:p w14:paraId="6B155E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2DC978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2017-12-01</w:t>
            </w:r>
          </w:p>
        </w:tc>
        <w:tc>
          <w:tcPr>
            <w:tcW w:w="1249" w:type="dxa"/>
            <w:vMerge w:val="continue"/>
            <w:noWrap/>
            <w:vAlign w:val="center"/>
          </w:tcPr>
          <w:p w14:paraId="059AE4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66A3D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DC4E0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8</w:t>
            </w:r>
          </w:p>
        </w:tc>
        <w:tc>
          <w:tcPr>
            <w:tcW w:w="1461" w:type="dxa"/>
            <w:noWrap/>
            <w:vAlign w:val="center"/>
          </w:tcPr>
          <w:p w14:paraId="04D40A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559F9D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BJCA</w:t>
            </w:r>
          </w:p>
        </w:tc>
        <w:tc>
          <w:tcPr>
            <w:tcW w:w="2670" w:type="dxa"/>
            <w:noWrap/>
            <w:vAlign w:val="center"/>
          </w:tcPr>
          <w:p w14:paraId="67581B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CA时间戳服务器</w:t>
            </w:r>
          </w:p>
        </w:tc>
        <w:tc>
          <w:tcPr>
            <w:tcW w:w="1065" w:type="dxa"/>
            <w:noWrap/>
            <w:vAlign w:val="center"/>
          </w:tcPr>
          <w:p w14:paraId="3A2A27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7E4750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2017-12-01</w:t>
            </w:r>
          </w:p>
        </w:tc>
        <w:tc>
          <w:tcPr>
            <w:tcW w:w="1249" w:type="dxa"/>
            <w:vMerge w:val="continue"/>
            <w:noWrap/>
            <w:vAlign w:val="center"/>
          </w:tcPr>
          <w:p w14:paraId="4C22AC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26FC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B005E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9</w:t>
            </w:r>
          </w:p>
        </w:tc>
        <w:tc>
          <w:tcPr>
            <w:tcW w:w="1461" w:type="dxa"/>
            <w:noWrap/>
            <w:vAlign w:val="center"/>
          </w:tcPr>
          <w:p w14:paraId="5843E0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3F010E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BJCA</w:t>
            </w:r>
          </w:p>
        </w:tc>
        <w:tc>
          <w:tcPr>
            <w:tcW w:w="2670" w:type="dxa"/>
            <w:noWrap/>
            <w:vAlign w:val="center"/>
          </w:tcPr>
          <w:p w14:paraId="268853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CA数字签名验证服务器</w:t>
            </w:r>
          </w:p>
        </w:tc>
        <w:tc>
          <w:tcPr>
            <w:tcW w:w="1065" w:type="dxa"/>
            <w:noWrap/>
            <w:vAlign w:val="center"/>
          </w:tcPr>
          <w:p w14:paraId="57092E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165257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2017-12-01</w:t>
            </w:r>
          </w:p>
        </w:tc>
        <w:tc>
          <w:tcPr>
            <w:tcW w:w="1249" w:type="dxa"/>
            <w:vMerge w:val="continue"/>
            <w:noWrap/>
            <w:vAlign w:val="center"/>
          </w:tcPr>
          <w:p w14:paraId="5FD0B1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06D21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34813F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10</w:t>
            </w:r>
          </w:p>
        </w:tc>
        <w:tc>
          <w:tcPr>
            <w:tcW w:w="1461" w:type="dxa"/>
            <w:noWrap/>
            <w:vAlign w:val="center"/>
          </w:tcPr>
          <w:p w14:paraId="5D77C0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563140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BJCA</w:t>
            </w:r>
          </w:p>
        </w:tc>
        <w:tc>
          <w:tcPr>
            <w:tcW w:w="2670" w:type="dxa"/>
            <w:noWrap/>
            <w:vAlign w:val="center"/>
          </w:tcPr>
          <w:p w14:paraId="3A94B5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CA信手书服务器</w:t>
            </w:r>
          </w:p>
        </w:tc>
        <w:tc>
          <w:tcPr>
            <w:tcW w:w="1065" w:type="dxa"/>
            <w:noWrap/>
            <w:vAlign w:val="center"/>
          </w:tcPr>
          <w:p w14:paraId="760269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558C9F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2017-12-01</w:t>
            </w:r>
          </w:p>
        </w:tc>
        <w:tc>
          <w:tcPr>
            <w:tcW w:w="1249" w:type="dxa"/>
            <w:vMerge w:val="continue"/>
            <w:noWrap/>
            <w:vAlign w:val="center"/>
          </w:tcPr>
          <w:p w14:paraId="748765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42523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67FD9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11</w:t>
            </w:r>
          </w:p>
        </w:tc>
        <w:tc>
          <w:tcPr>
            <w:tcW w:w="1461" w:type="dxa"/>
            <w:noWrap/>
            <w:vAlign w:val="center"/>
          </w:tcPr>
          <w:p w14:paraId="41C2E6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6D1975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BJCA</w:t>
            </w:r>
          </w:p>
        </w:tc>
        <w:tc>
          <w:tcPr>
            <w:tcW w:w="2670" w:type="dxa"/>
            <w:noWrap/>
            <w:vAlign w:val="center"/>
          </w:tcPr>
          <w:p w14:paraId="04B923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CA证书管理服务器</w:t>
            </w:r>
          </w:p>
        </w:tc>
        <w:tc>
          <w:tcPr>
            <w:tcW w:w="1065" w:type="dxa"/>
            <w:noWrap/>
            <w:vAlign w:val="center"/>
          </w:tcPr>
          <w:p w14:paraId="4D8CB7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2A7660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2017-12-01</w:t>
            </w:r>
          </w:p>
        </w:tc>
        <w:tc>
          <w:tcPr>
            <w:tcW w:w="1249" w:type="dxa"/>
            <w:vMerge w:val="continue"/>
            <w:noWrap/>
            <w:vAlign w:val="center"/>
          </w:tcPr>
          <w:p w14:paraId="4FD4F4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66636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291CEA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12</w:t>
            </w:r>
          </w:p>
        </w:tc>
        <w:tc>
          <w:tcPr>
            <w:tcW w:w="1461" w:type="dxa"/>
            <w:noWrap/>
            <w:vAlign w:val="center"/>
          </w:tcPr>
          <w:p w14:paraId="556337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5A6553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DELL</w:t>
            </w:r>
          </w:p>
        </w:tc>
        <w:tc>
          <w:tcPr>
            <w:tcW w:w="2670" w:type="dxa"/>
            <w:noWrap/>
            <w:vAlign w:val="center"/>
          </w:tcPr>
          <w:p w14:paraId="7C3FEA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R740</w:t>
            </w:r>
          </w:p>
        </w:tc>
        <w:tc>
          <w:tcPr>
            <w:tcW w:w="1065" w:type="dxa"/>
            <w:noWrap/>
            <w:vAlign w:val="center"/>
          </w:tcPr>
          <w:p w14:paraId="3B0C5F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w:t>
            </w:r>
          </w:p>
        </w:tc>
        <w:tc>
          <w:tcPr>
            <w:tcW w:w="1818" w:type="dxa"/>
            <w:noWrap/>
            <w:vAlign w:val="center"/>
          </w:tcPr>
          <w:p w14:paraId="64B099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2019-05</w:t>
            </w:r>
          </w:p>
        </w:tc>
        <w:tc>
          <w:tcPr>
            <w:tcW w:w="1249" w:type="dxa"/>
            <w:vMerge w:val="continue"/>
            <w:noWrap/>
            <w:vAlign w:val="center"/>
          </w:tcPr>
          <w:p w14:paraId="7C58C8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p>
        </w:tc>
      </w:tr>
      <w:tr w14:paraId="0CCA5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387677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13</w:t>
            </w:r>
          </w:p>
        </w:tc>
        <w:tc>
          <w:tcPr>
            <w:tcW w:w="1461" w:type="dxa"/>
            <w:noWrap/>
            <w:vAlign w:val="center"/>
          </w:tcPr>
          <w:p w14:paraId="33C0EC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0B3A39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DELL</w:t>
            </w:r>
          </w:p>
        </w:tc>
        <w:tc>
          <w:tcPr>
            <w:tcW w:w="2670" w:type="dxa"/>
            <w:noWrap/>
            <w:vAlign w:val="center"/>
          </w:tcPr>
          <w:p w14:paraId="53C4AC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R720</w:t>
            </w:r>
          </w:p>
        </w:tc>
        <w:tc>
          <w:tcPr>
            <w:tcW w:w="1065" w:type="dxa"/>
            <w:noWrap/>
            <w:vAlign w:val="center"/>
          </w:tcPr>
          <w:p w14:paraId="3B0BF3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w:t>
            </w:r>
          </w:p>
        </w:tc>
        <w:tc>
          <w:tcPr>
            <w:tcW w:w="1818" w:type="dxa"/>
            <w:noWrap/>
            <w:vAlign w:val="center"/>
          </w:tcPr>
          <w:p w14:paraId="547C33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2013-05-01</w:t>
            </w:r>
          </w:p>
        </w:tc>
        <w:tc>
          <w:tcPr>
            <w:tcW w:w="1249" w:type="dxa"/>
            <w:vMerge w:val="continue"/>
            <w:noWrap/>
            <w:vAlign w:val="center"/>
          </w:tcPr>
          <w:p w14:paraId="0F67F5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8FFF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2A6A3D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14</w:t>
            </w:r>
          </w:p>
        </w:tc>
        <w:tc>
          <w:tcPr>
            <w:tcW w:w="1461" w:type="dxa"/>
            <w:noWrap/>
            <w:vAlign w:val="center"/>
          </w:tcPr>
          <w:p w14:paraId="48CA97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1F2ECF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DELL</w:t>
            </w:r>
          </w:p>
        </w:tc>
        <w:tc>
          <w:tcPr>
            <w:tcW w:w="2670" w:type="dxa"/>
            <w:noWrap/>
            <w:vAlign w:val="center"/>
          </w:tcPr>
          <w:p w14:paraId="61EE1D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R730</w:t>
            </w:r>
          </w:p>
        </w:tc>
        <w:tc>
          <w:tcPr>
            <w:tcW w:w="1065" w:type="dxa"/>
            <w:noWrap/>
            <w:vAlign w:val="center"/>
          </w:tcPr>
          <w:p w14:paraId="06EB32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080479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2013-05</w:t>
            </w:r>
          </w:p>
        </w:tc>
        <w:tc>
          <w:tcPr>
            <w:tcW w:w="1249" w:type="dxa"/>
            <w:vMerge w:val="continue"/>
            <w:noWrap/>
            <w:vAlign w:val="center"/>
          </w:tcPr>
          <w:p w14:paraId="6D8987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p>
        </w:tc>
      </w:tr>
      <w:tr w14:paraId="525E1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66141B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15</w:t>
            </w:r>
          </w:p>
        </w:tc>
        <w:tc>
          <w:tcPr>
            <w:tcW w:w="1461" w:type="dxa"/>
            <w:noWrap/>
            <w:vAlign w:val="center"/>
          </w:tcPr>
          <w:p w14:paraId="2C7D40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5C1F70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DELL</w:t>
            </w:r>
          </w:p>
        </w:tc>
        <w:tc>
          <w:tcPr>
            <w:tcW w:w="2670" w:type="dxa"/>
            <w:noWrap/>
            <w:vAlign w:val="center"/>
          </w:tcPr>
          <w:p w14:paraId="3D3337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R210 II</w:t>
            </w:r>
          </w:p>
        </w:tc>
        <w:tc>
          <w:tcPr>
            <w:tcW w:w="1065" w:type="dxa"/>
            <w:noWrap/>
            <w:vAlign w:val="center"/>
          </w:tcPr>
          <w:p w14:paraId="70E422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w:t>
            </w:r>
          </w:p>
        </w:tc>
        <w:tc>
          <w:tcPr>
            <w:tcW w:w="1818" w:type="dxa"/>
            <w:noWrap/>
            <w:vAlign w:val="center"/>
          </w:tcPr>
          <w:p w14:paraId="7B19F5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2013-02</w:t>
            </w:r>
          </w:p>
        </w:tc>
        <w:tc>
          <w:tcPr>
            <w:tcW w:w="1249" w:type="dxa"/>
            <w:vMerge w:val="continue"/>
            <w:noWrap/>
            <w:vAlign w:val="center"/>
          </w:tcPr>
          <w:p w14:paraId="014D72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p>
        </w:tc>
      </w:tr>
      <w:tr w14:paraId="75E49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30E264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16</w:t>
            </w:r>
          </w:p>
        </w:tc>
        <w:tc>
          <w:tcPr>
            <w:tcW w:w="1461" w:type="dxa"/>
            <w:noWrap/>
            <w:vAlign w:val="center"/>
          </w:tcPr>
          <w:p w14:paraId="783B3F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140DF7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DELL</w:t>
            </w:r>
          </w:p>
        </w:tc>
        <w:tc>
          <w:tcPr>
            <w:tcW w:w="2670" w:type="dxa"/>
            <w:noWrap/>
            <w:vAlign w:val="center"/>
          </w:tcPr>
          <w:p w14:paraId="76CF3C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T310</w:t>
            </w:r>
          </w:p>
        </w:tc>
        <w:tc>
          <w:tcPr>
            <w:tcW w:w="1065" w:type="dxa"/>
            <w:noWrap/>
            <w:vAlign w:val="center"/>
          </w:tcPr>
          <w:p w14:paraId="073DCB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68C718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2013-12-01</w:t>
            </w:r>
          </w:p>
        </w:tc>
        <w:tc>
          <w:tcPr>
            <w:tcW w:w="1249" w:type="dxa"/>
            <w:vMerge w:val="continue"/>
            <w:noWrap/>
            <w:vAlign w:val="center"/>
          </w:tcPr>
          <w:p w14:paraId="616AA7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54CF1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6E1E8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17</w:t>
            </w:r>
          </w:p>
        </w:tc>
        <w:tc>
          <w:tcPr>
            <w:tcW w:w="1461" w:type="dxa"/>
            <w:noWrap/>
            <w:vAlign w:val="center"/>
          </w:tcPr>
          <w:p w14:paraId="538E6B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19AD68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联想</w:t>
            </w:r>
          </w:p>
        </w:tc>
        <w:tc>
          <w:tcPr>
            <w:tcW w:w="2670" w:type="dxa"/>
            <w:noWrap/>
            <w:vAlign w:val="center"/>
          </w:tcPr>
          <w:p w14:paraId="2C8BF8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X3650</w:t>
            </w:r>
          </w:p>
        </w:tc>
        <w:tc>
          <w:tcPr>
            <w:tcW w:w="1065" w:type="dxa"/>
            <w:noWrap/>
            <w:vAlign w:val="center"/>
          </w:tcPr>
          <w:p w14:paraId="10D6F2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w:t>
            </w:r>
          </w:p>
        </w:tc>
        <w:tc>
          <w:tcPr>
            <w:tcW w:w="1818" w:type="dxa"/>
            <w:noWrap/>
            <w:vAlign w:val="center"/>
          </w:tcPr>
          <w:p w14:paraId="21315F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w:t>
            </w:r>
            <w:r>
              <w:rPr>
                <w:rFonts w:hint="eastAsia" w:ascii="宋体" w:hAnsi="宋体" w:cs="宋体"/>
                <w:color w:val="auto"/>
                <w:kern w:val="0"/>
                <w:sz w:val="24"/>
                <w:szCs w:val="24"/>
                <w:highlight w:val="none"/>
                <w:lang w:val="en-US" w:eastAsia="zh-CN"/>
              </w:rPr>
              <w:t>08</w:t>
            </w:r>
          </w:p>
        </w:tc>
        <w:tc>
          <w:tcPr>
            <w:tcW w:w="1249" w:type="dxa"/>
            <w:vMerge w:val="continue"/>
            <w:noWrap/>
            <w:vAlign w:val="center"/>
          </w:tcPr>
          <w:p w14:paraId="2FD46C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7AB0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3175D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18</w:t>
            </w:r>
          </w:p>
        </w:tc>
        <w:tc>
          <w:tcPr>
            <w:tcW w:w="1461" w:type="dxa"/>
            <w:noWrap/>
            <w:vAlign w:val="center"/>
          </w:tcPr>
          <w:p w14:paraId="625D3F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2E4934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联想</w:t>
            </w:r>
          </w:p>
        </w:tc>
        <w:tc>
          <w:tcPr>
            <w:tcW w:w="2670" w:type="dxa"/>
            <w:noWrap/>
            <w:vAlign w:val="center"/>
          </w:tcPr>
          <w:p w14:paraId="498092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联想Server-RS260</w:t>
            </w:r>
          </w:p>
        </w:tc>
        <w:tc>
          <w:tcPr>
            <w:tcW w:w="1065" w:type="dxa"/>
            <w:noWrap/>
            <w:vAlign w:val="center"/>
          </w:tcPr>
          <w:p w14:paraId="648BFA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690ED2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2013-02</w:t>
            </w:r>
          </w:p>
        </w:tc>
        <w:tc>
          <w:tcPr>
            <w:tcW w:w="1249" w:type="dxa"/>
            <w:vMerge w:val="continue"/>
            <w:noWrap/>
            <w:vAlign w:val="center"/>
          </w:tcPr>
          <w:p w14:paraId="2414C7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5005C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627D72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19</w:t>
            </w:r>
          </w:p>
        </w:tc>
        <w:tc>
          <w:tcPr>
            <w:tcW w:w="1461" w:type="dxa"/>
            <w:noWrap/>
            <w:vAlign w:val="center"/>
          </w:tcPr>
          <w:p w14:paraId="01A940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55181F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IBM</w:t>
            </w:r>
          </w:p>
        </w:tc>
        <w:tc>
          <w:tcPr>
            <w:tcW w:w="2670" w:type="dxa"/>
            <w:noWrap/>
            <w:vAlign w:val="center"/>
          </w:tcPr>
          <w:p w14:paraId="196D51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X3650</w:t>
            </w:r>
          </w:p>
        </w:tc>
        <w:tc>
          <w:tcPr>
            <w:tcW w:w="1065" w:type="dxa"/>
            <w:noWrap/>
            <w:vAlign w:val="center"/>
          </w:tcPr>
          <w:p w14:paraId="11EBF8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249956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2012-07</w:t>
            </w:r>
          </w:p>
        </w:tc>
        <w:tc>
          <w:tcPr>
            <w:tcW w:w="1249" w:type="dxa"/>
            <w:vMerge w:val="continue"/>
            <w:noWrap/>
            <w:vAlign w:val="center"/>
          </w:tcPr>
          <w:p w14:paraId="519C7B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02BC8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14F17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w:t>
            </w:r>
          </w:p>
        </w:tc>
        <w:tc>
          <w:tcPr>
            <w:tcW w:w="1461" w:type="dxa"/>
            <w:noWrap/>
            <w:vAlign w:val="center"/>
          </w:tcPr>
          <w:p w14:paraId="024D2C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65A8A2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IBM</w:t>
            </w:r>
          </w:p>
        </w:tc>
        <w:tc>
          <w:tcPr>
            <w:tcW w:w="2670" w:type="dxa"/>
            <w:noWrap/>
            <w:vAlign w:val="center"/>
          </w:tcPr>
          <w:p w14:paraId="117086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X3850 X5</w:t>
            </w:r>
          </w:p>
        </w:tc>
        <w:tc>
          <w:tcPr>
            <w:tcW w:w="1065" w:type="dxa"/>
            <w:noWrap/>
            <w:vAlign w:val="center"/>
          </w:tcPr>
          <w:p w14:paraId="24F496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5639B2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2013-05</w:t>
            </w:r>
          </w:p>
        </w:tc>
        <w:tc>
          <w:tcPr>
            <w:tcW w:w="1249" w:type="dxa"/>
            <w:vMerge w:val="continue"/>
            <w:noWrap/>
            <w:vAlign w:val="center"/>
          </w:tcPr>
          <w:p w14:paraId="369FAE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1BF8C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606269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21</w:t>
            </w:r>
          </w:p>
        </w:tc>
        <w:tc>
          <w:tcPr>
            <w:tcW w:w="1461" w:type="dxa"/>
            <w:noWrap/>
            <w:vAlign w:val="center"/>
          </w:tcPr>
          <w:p w14:paraId="3A68A3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5B5F11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浪潮</w:t>
            </w:r>
          </w:p>
        </w:tc>
        <w:tc>
          <w:tcPr>
            <w:tcW w:w="2670" w:type="dxa"/>
            <w:noWrap/>
            <w:vAlign w:val="center"/>
          </w:tcPr>
          <w:p w14:paraId="693CEA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NF5280M4</w:t>
            </w:r>
          </w:p>
        </w:tc>
        <w:tc>
          <w:tcPr>
            <w:tcW w:w="1065" w:type="dxa"/>
            <w:noWrap/>
            <w:vAlign w:val="center"/>
          </w:tcPr>
          <w:p w14:paraId="60F2B3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59EE34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2019-08</w:t>
            </w:r>
          </w:p>
        </w:tc>
        <w:tc>
          <w:tcPr>
            <w:tcW w:w="1249" w:type="dxa"/>
            <w:vMerge w:val="continue"/>
            <w:noWrap/>
            <w:vAlign w:val="center"/>
          </w:tcPr>
          <w:p w14:paraId="48DE13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0D98B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F5A3D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22</w:t>
            </w:r>
          </w:p>
        </w:tc>
        <w:tc>
          <w:tcPr>
            <w:tcW w:w="1461" w:type="dxa"/>
            <w:noWrap/>
            <w:vAlign w:val="center"/>
          </w:tcPr>
          <w:p w14:paraId="440167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04DFAE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中科曙光</w:t>
            </w:r>
          </w:p>
        </w:tc>
        <w:tc>
          <w:tcPr>
            <w:tcW w:w="2670" w:type="dxa"/>
            <w:noWrap/>
            <w:vAlign w:val="center"/>
          </w:tcPr>
          <w:p w14:paraId="14482B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SUMA</w:t>
            </w:r>
          </w:p>
        </w:tc>
        <w:tc>
          <w:tcPr>
            <w:tcW w:w="1065" w:type="dxa"/>
            <w:noWrap/>
            <w:vAlign w:val="center"/>
          </w:tcPr>
          <w:p w14:paraId="2FB89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568AA7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2020-02</w:t>
            </w:r>
          </w:p>
        </w:tc>
        <w:tc>
          <w:tcPr>
            <w:tcW w:w="1249" w:type="dxa"/>
            <w:vMerge w:val="continue"/>
            <w:noWrap/>
            <w:vAlign w:val="center"/>
          </w:tcPr>
          <w:p w14:paraId="24B695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p>
        </w:tc>
      </w:tr>
      <w:tr w14:paraId="1E87D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5CB865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23</w:t>
            </w:r>
          </w:p>
        </w:tc>
        <w:tc>
          <w:tcPr>
            <w:tcW w:w="1461" w:type="dxa"/>
            <w:noWrap/>
            <w:vAlign w:val="center"/>
          </w:tcPr>
          <w:p w14:paraId="291EAA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187902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GIOBAITIME</w:t>
            </w:r>
          </w:p>
        </w:tc>
        <w:tc>
          <w:tcPr>
            <w:tcW w:w="2670" w:type="dxa"/>
            <w:noWrap/>
            <w:vAlign w:val="center"/>
          </w:tcPr>
          <w:p w14:paraId="756C50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GTT200</w:t>
            </w:r>
          </w:p>
        </w:tc>
        <w:tc>
          <w:tcPr>
            <w:tcW w:w="1065" w:type="dxa"/>
            <w:noWrap/>
            <w:vAlign w:val="center"/>
          </w:tcPr>
          <w:p w14:paraId="57669C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16985E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2015-03-01</w:t>
            </w:r>
          </w:p>
        </w:tc>
        <w:tc>
          <w:tcPr>
            <w:tcW w:w="1249" w:type="dxa"/>
            <w:vMerge w:val="continue"/>
            <w:noWrap/>
            <w:vAlign w:val="center"/>
          </w:tcPr>
          <w:p w14:paraId="1F15F4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25640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224945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24</w:t>
            </w:r>
          </w:p>
        </w:tc>
        <w:tc>
          <w:tcPr>
            <w:tcW w:w="1461" w:type="dxa"/>
            <w:noWrap/>
            <w:vAlign w:val="center"/>
          </w:tcPr>
          <w:p w14:paraId="6FF9E1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服务器</w:t>
            </w:r>
          </w:p>
        </w:tc>
        <w:tc>
          <w:tcPr>
            <w:tcW w:w="1026" w:type="dxa"/>
            <w:noWrap/>
            <w:vAlign w:val="center"/>
          </w:tcPr>
          <w:p w14:paraId="604E04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深信服</w:t>
            </w:r>
          </w:p>
        </w:tc>
        <w:tc>
          <w:tcPr>
            <w:tcW w:w="2670" w:type="dxa"/>
            <w:noWrap/>
            <w:vAlign w:val="center"/>
          </w:tcPr>
          <w:p w14:paraId="2C0825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VDS-5050</w:t>
            </w:r>
          </w:p>
        </w:tc>
        <w:tc>
          <w:tcPr>
            <w:tcW w:w="1065" w:type="dxa"/>
            <w:noWrap/>
            <w:vAlign w:val="center"/>
          </w:tcPr>
          <w:p w14:paraId="4F9C91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448FBD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2017-02</w:t>
            </w:r>
          </w:p>
        </w:tc>
        <w:tc>
          <w:tcPr>
            <w:tcW w:w="1249" w:type="dxa"/>
            <w:vMerge w:val="continue"/>
            <w:noWrap/>
            <w:vAlign w:val="center"/>
          </w:tcPr>
          <w:p w14:paraId="240689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p>
        </w:tc>
      </w:tr>
      <w:tr w14:paraId="29709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9FB1F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25</w:t>
            </w:r>
          </w:p>
        </w:tc>
        <w:tc>
          <w:tcPr>
            <w:tcW w:w="1461" w:type="dxa"/>
            <w:noWrap/>
            <w:vAlign w:val="center"/>
          </w:tcPr>
          <w:p w14:paraId="01EB4F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存储网关</w:t>
            </w:r>
          </w:p>
        </w:tc>
        <w:tc>
          <w:tcPr>
            <w:tcW w:w="1026" w:type="dxa"/>
            <w:noWrap/>
            <w:vAlign w:val="center"/>
          </w:tcPr>
          <w:p w14:paraId="3B4CBC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EMC</w:t>
            </w:r>
          </w:p>
        </w:tc>
        <w:tc>
          <w:tcPr>
            <w:tcW w:w="2670" w:type="dxa"/>
            <w:noWrap/>
            <w:vAlign w:val="center"/>
          </w:tcPr>
          <w:p w14:paraId="09DC91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Vplex VS6</w:t>
            </w:r>
          </w:p>
        </w:tc>
        <w:tc>
          <w:tcPr>
            <w:tcW w:w="1065" w:type="dxa"/>
            <w:noWrap/>
            <w:vAlign w:val="center"/>
          </w:tcPr>
          <w:p w14:paraId="6DC6A2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78675B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2022-07-11</w:t>
            </w:r>
          </w:p>
        </w:tc>
        <w:tc>
          <w:tcPr>
            <w:tcW w:w="1249" w:type="dxa"/>
            <w:vMerge w:val="continue"/>
            <w:noWrap/>
            <w:vAlign w:val="center"/>
          </w:tcPr>
          <w:p w14:paraId="26A1B3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401AF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B69DC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26</w:t>
            </w:r>
          </w:p>
        </w:tc>
        <w:tc>
          <w:tcPr>
            <w:tcW w:w="1461" w:type="dxa"/>
            <w:noWrap/>
            <w:vAlign w:val="center"/>
          </w:tcPr>
          <w:p w14:paraId="473F88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存储</w:t>
            </w:r>
          </w:p>
        </w:tc>
        <w:tc>
          <w:tcPr>
            <w:tcW w:w="1026" w:type="dxa"/>
            <w:noWrap/>
            <w:vAlign w:val="center"/>
          </w:tcPr>
          <w:p w14:paraId="6B546C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EMC</w:t>
            </w:r>
          </w:p>
        </w:tc>
        <w:tc>
          <w:tcPr>
            <w:tcW w:w="2670" w:type="dxa"/>
            <w:noWrap/>
            <w:vAlign w:val="center"/>
          </w:tcPr>
          <w:p w14:paraId="20D5AF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Power store 1000T</w:t>
            </w:r>
          </w:p>
        </w:tc>
        <w:tc>
          <w:tcPr>
            <w:tcW w:w="1065" w:type="dxa"/>
            <w:noWrap/>
            <w:vAlign w:val="center"/>
          </w:tcPr>
          <w:p w14:paraId="40B982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27DC0E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2022-07-11</w:t>
            </w:r>
          </w:p>
        </w:tc>
        <w:tc>
          <w:tcPr>
            <w:tcW w:w="1249" w:type="dxa"/>
            <w:vMerge w:val="continue"/>
            <w:noWrap/>
            <w:vAlign w:val="center"/>
          </w:tcPr>
          <w:p w14:paraId="7D53FD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7D6CC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43CE45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27</w:t>
            </w:r>
          </w:p>
        </w:tc>
        <w:tc>
          <w:tcPr>
            <w:tcW w:w="1461" w:type="dxa"/>
            <w:noWrap/>
            <w:vAlign w:val="center"/>
          </w:tcPr>
          <w:p w14:paraId="5B3F5C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存储</w:t>
            </w:r>
          </w:p>
        </w:tc>
        <w:tc>
          <w:tcPr>
            <w:tcW w:w="1026" w:type="dxa"/>
            <w:noWrap/>
            <w:vAlign w:val="center"/>
          </w:tcPr>
          <w:p w14:paraId="28C126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NET APP</w:t>
            </w:r>
          </w:p>
        </w:tc>
        <w:tc>
          <w:tcPr>
            <w:tcW w:w="2670" w:type="dxa"/>
            <w:noWrap/>
            <w:vAlign w:val="center"/>
          </w:tcPr>
          <w:p w14:paraId="14FBA1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FAS3250</w:t>
            </w:r>
          </w:p>
        </w:tc>
        <w:tc>
          <w:tcPr>
            <w:tcW w:w="1065" w:type="dxa"/>
            <w:noWrap/>
            <w:vAlign w:val="center"/>
          </w:tcPr>
          <w:p w14:paraId="146DC4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521613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2014-04</w:t>
            </w:r>
          </w:p>
        </w:tc>
        <w:tc>
          <w:tcPr>
            <w:tcW w:w="1249" w:type="dxa"/>
            <w:vMerge w:val="continue"/>
            <w:noWrap/>
            <w:vAlign w:val="center"/>
          </w:tcPr>
          <w:p w14:paraId="034268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p>
        </w:tc>
      </w:tr>
      <w:tr w14:paraId="5D342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2852DF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28</w:t>
            </w:r>
          </w:p>
        </w:tc>
        <w:tc>
          <w:tcPr>
            <w:tcW w:w="1461" w:type="dxa"/>
            <w:noWrap/>
            <w:vAlign w:val="center"/>
          </w:tcPr>
          <w:p w14:paraId="0E5608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双活设备</w:t>
            </w:r>
          </w:p>
        </w:tc>
        <w:tc>
          <w:tcPr>
            <w:tcW w:w="1026" w:type="dxa"/>
            <w:noWrap/>
            <w:vAlign w:val="center"/>
          </w:tcPr>
          <w:p w14:paraId="158086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NET APP</w:t>
            </w:r>
          </w:p>
        </w:tc>
        <w:tc>
          <w:tcPr>
            <w:tcW w:w="2670" w:type="dxa"/>
            <w:noWrap/>
            <w:vAlign w:val="center"/>
          </w:tcPr>
          <w:p w14:paraId="7EA3E0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ATTO6500</w:t>
            </w:r>
          </w:p>
        </w:tc>
        <w:tc>
          <w:tcPr>
            <w:tcW w:w="1065" w:type="dxa"/>
            <w:noWrap/>
            <w:vAlign w:val="center"/>
          </w:tcPr>
          <w:p w14:paraId="6FE428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w:t>
            </w:r>
          </w:p>
        </w:tc>
        <w:tc>
          <w:tcPr>
            <w:tcW w:w="1818" w:type="dxa"/>
            <w:noWrap/>
            <w:vAlign w:val="center"/>
          </w:tcPr>
          <w:p w14:paraId="1EE839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2014-04</w:t>
            </w:r>
          </w:p>
        </w:tc>
        <w:tc>
          <w:tcPr>
            <w:tcW w:w="1249" w:type="dxa"/>
            <w:vMerge w:val="continue"/>
            <w:noWrap/>
            <w:vAlign w:val="center"/>
          </w:tcPr>
          <w:p w14:paraId="7D13D1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A61A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23BE6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29</w:t>
            </w:r>
          </w:p>
        </w:tc>
        <w:tc>
          <w:tcPr>
            <w:tcW w:w="1461" w:type="dxa"/>
            <w:noWrap/>
            <w:vAlign w:val="center"/>
          </w:tcPr>
          <w:p w14:paraId="4F0614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存储</w:t>
            </w:r>
          </w:p>
        </w:tc>
        <w:tc>
          <w:tcPr>
            <w:tcW w:w="1026" w:type="dxa"/>
            <w:noWrap/>
            <w:vAlign w:val="center"/>
          </w:tcPr>
          <w:p w14:paraId="374439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NET APP</w:t>
            </w:r>
          </w:p>
        </w:tc>
        <w:tc>
          <w:tcPr>
            <w:tcW w:w="2670" w:type="dxa"/>
            <w:noWrap/>
            <w:vAlign w:val="center"/>
          </w:tcPr>
          <w:p w14:paraId="4F69D6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FAS8200</w:t>
            </w:r>
          </w:p>
        </w:tc>
        <w:tc>
          <w:tcPr>
            <w:tcW w:w="1065" w:type="dxa"/>
            <w:noWrap/>
            <w:vAlign w:val="center"/>
          </w:tcPr>
          <w:p w14:paraId="2A69BB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w:t>
            </w:r>
          </w:p>
        </w:tc>
        <w:tc>
          <w:tcPr>
            <w:tcW w:w="1818" w:type="dxa"/>
            <w:noWrap/>
            <w:vAlign w:val="center"/>
          </w:tcPr>
          <w:p w14:paraId="354E90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2018-11-01</w:t>
            </w:r>
          </w:p>
        </w:tc>
        <w:tc>
          <w:tcPr>
            <w:tcW w:w="1249" w:type="dxa"/>
            <w:vMerge w:val="continue"/>
            <w:noWrap/>
            <w:vAlign w:val="center"/>
          </w:tcPr>
          <w:p w14:paraId="30263C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660D9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AFCA0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30</w:t>
            </w:r>
          </w:p>
        </w:tc>
        <w:tc>
          <w:tcPr>
            <w:tcW w:w="1461" w:type="dxa"/>
            <w:noWrap/>
            <w:vAlign w:val="center"/>
          </w:tcPr>
          <w:p w14:paraId="48B4F5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光纤交换机</w:t>
            </w:r>
          </w:p>
        </w:tc>
        <w:tc>
          <w:tcPr>
            <w:tcW w:w="1026" w:type="dxa"/>
            <w:noWrap/>
            <w:vAlign w:val="center"/>
          </w:tcPr>
          <w:p w14:paraId="6133D7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EMC</w:t>
            </w:r>
          </w:p>
        </w:tc>
        <w:tc>
          <w:tcPr>
            <w:tcW w:w="2670" w:type="dxa"/>
            <w:noWrap/>
            <w:vAlign w:val="center"/>
          </w:tcPr>
          <w:p w14:paraId="1CE30B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EMC 6620</w:t>
            </w:r>
          </w:p>
        </w:tc>
        <w:tc>
          <w:tcPr>
            <w:tcW w:w="1065" w:type="dxa"/>
            <w:noWrap/>
            <w:vAlign w:val="center"/>
          </w:tcPr>
          <w:p w14:paraId="4D2DF4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w:t>
            </w:r>
          </w:p>
        </w:tc>
        <w:tc>
          <w:tcPr>
            <w:tcW w:w="1818" w:type="dxa"/>
            <w:noWrap/>
            <w:vAlign w:val="center"/>
          </w:tcPr>
          <w:p w14:paraId="7710AA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2022-12-08</w:t>
            </w:r>
          </w:p>
        </w:tc>
        <w:tc>
          <w:tcPr>
            <w:tcW w:w="1249" w:type="dxa"/>
            <w:vMerge w:val="continue"/>
            <w:noWrap/>
            <w:vAlign w:val="center"/>
          </w:tcPr>
          <w:p w14:paraId="05752B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7DA32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31516E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31</w:t>
            </w:r>
          </w:p>
        </w:tc>
        <w:tc>
          <w:tcPr>
            <w:tcW w:w="1461" w:type="dxa"/>
            <w:noWrap/>
            <w:vAlign w:val="center"/>
          </w:tcPr>
          <w:p w14:paraId="1C01AD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光纤交换机</w:t>
            </w:r>
          </w:p>
        </w:tc>
        <w:tc>
          <w:tcPr>
            <w:tcW w:w="1026" w:type="dxa"/>
            <w:noWrap/>
            <w:vAlign w:val="center"/>
          </w:tcPr>
          <w:p w14:paraId="0758E2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长虹</w:t>
            </w:r>
          </w:p>
        </w:tc>
        <w:tc>
          <w:tcPr>
            <w:tcW w:w="2670" w:type="dxa"/>
            <w:noWrap/>
            <w:vAlign w:val="center"/>
          </w:tcPr>
          <w:p w14:paraId="77F82D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长虹 6510</w:t>
            </w:r>
          </w:p>
        </w:tc>
        <w:tc>
          <w:tcPr>
            <w:tcW w:w="1065" w:type="dxa"/>
            <w:noWrap/>
            <w:vAlign w:val="center"/>
          </w:tcPr>
          <w:p w14:paraId="06FE8D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6E97FC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2018-02</w:t>
            </w:r>
          </w:p>
        </w:tc>
        <w:tc>
          <w:tcPr>
            <w:tcW w:w="1249" w:type="dxa"/>
            <w:vMerge w:val="continue"/>
            <w:noWrap/>
            <w:vAlign w:val="center"/>
          </w:tcPr>
          <w:p w14:paraId="490092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p>
        </w:tc>
      </w:tr>
      <w:tr w14:paraId="5EDAD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F5223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32</w:t>
            </w:r>
          </w:p>
        </w:tc>
        <w:tc>
          <w:tcPr>
            <w:tcW w:w="1461" w:type="dxa"/>
            <w:noWrap/>
            <w:vAlign w:val="center"/>
          </w:tcPr>
          <w:p w14:paraId="0D1D40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光纤交换机</w:t>
            </w:r>
          </w:p>
        </w:tc>
        <w:tc>
          <w:tcPr>
            <w:tcW w:w="1026" w:type="dxa"/>
            <w:noWrap/>
            <w:vAlign w:val="center"/>
          </w:tcPr>
          <w:p w14:paraId="3652B4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HP</w:t>
            </w:r>
          </w:p>
        </w:tc>
        <w:tc>
          <w:tcPr>
            <w:tcW w:w="2670" w:type="dxa"/>
            <w:noWrap/>
            <w:vAlign w:val="center"/>
          </w:tcPr>
          <w:p w14:paraId="1DF3B6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340</w:t>
            </w:r>
          </w:p>
        </w:tc>
        <w:tc>
          <w:tcPr>
            <w:tcW w:w="1065" w:type="dxa"/>
            <w:noWrap/>
            <w:vAlign w:val="center"/>
          </w:tcPr>
          <w:p w14:paraId="29AC19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4A60B9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2014-04</w:t>
            </w:r>
          </w:p>
        </w:tc>
        <w:tc>
          <w:tcPr>
            <w:tcW w:w="1249" w:type="dxa"/>
            <w:vMerge w:val="continue"/>
            <w:noWrap/>
            <w:vAlign w:val="center"/>
          </w:tcPr>
          <w:p w14:paraId="041E36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lang w:val="en-US" w:eastAsia="zh-CN"/>
              </w:rPr>
            </w:pPr>
          </w:p>
        </w:tc>
      </w:tr>
      <w:tr w14:paraId="2CE8C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673C7C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33</w:t>
            </w:r>
          </w:p>
        </w:tc>
        <w:tc>
          <w:tcPr>
            <w:tcW w:w="1461" w:type="dxa"/>
            <w:noWrap/>
            <w:vAlign w:val="center"/>
          </w:tcPr>
          <w:p w14:paraId="1674C3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负载均衡</w:t>
            </w:r>
          </w:p>
        </w:tc>
        <w:tc>
          <w:tcPr>
            <w:tcW w:w="1026" w:type="dxa"/>
            <w:noWrap/>
            <w:vAlign w:val="center"/>
          </w:tcPr>
          <w:p w14:paraId="1882E0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深信服</w:t>
            </w:r>
          </w:p>
        </w:tc>
        <w:tc>
          <w:tcPr>
            <w:tcW w:w="2670" w:type="dxa"/>
            <w:noWrap/>
            <w:vAlign w:val="center"/>
          </w:tcPr>
          <w:p w14:paraId="6FF6A0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AD-1000-B2200</w:t>
            </w:r>
          </w:p>
        </w:tc>
        <w:tc>
          <w:tcPr>
            <w:tcW w:w="1065" w:type="dxa"/>
            <w:noWrap/>
            <w:vAlign w:val="center"/>
          </w:tcPr>
          <w:p w14:paraId="637D85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617F00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2022/3/25</w:t>
            </w:r>
          </w:p>
        </w:tc>
        <w:tc>
          <w:tcPr>
            <w:tcW w:w="1249" w:type="dxa"/>
            <w:vMerge w:val="continue"/>
            <w:noWrap/>
            <w:vAlign w:val="center"/>
          </w:tcPr>
          <w:p w14:paraId="6DC741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29BD8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D9951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34</w:t>
            </w:r>
          </w:p>
        </w:tc>
        <w:tc>
          <w:tcPr>
            <w:tcW w:w="1461" w:type="dxa"/>
            <w:noWrap/>
            <w:vAlign w:val="center"/>
          </w:tcPr>
          <w:p w14:paraId="1DE429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交换机</w:t>
            </w:r>
          </w:p>
        </w:tc>
        <w:tc>
          <w:tcPr>
            <w:tcW w:w="1026" w:type="dxa"/>
            <w:noWrap/>
            <w:vAlign w:val="center"/>
          </w:tcPr>
          <w:p w14:paraId="550789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1D3A77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S12508X-AF</w:t>
            </w:r>
          </w:p>
        </w:tc>
        <w:tc>
          <w:tcPr>
            <w:tcW w:w="1065" w:type="dxa"/>
            <w:noWrap/>
            <w:vAlign w:val="center"/>
          </w:tcPr>
          <w:p w14:paraId="671239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412587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2018-06-01</w:t>
            </w:r>
          </w:p>
        </w:tc>
        <w:tc>
          <w:tcPr>
            <w:tcW w:w="1249" w:type="dxa"/>
            <w:vMerge w:val="continue"/>
            <w:noWrap/>
            <w:vAlign w:val="center"/>
          </w:tcPr>
          <w:p w14:paraId="075285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0A44D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73E0D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35</w:t>
            </w:r>
          </w:p>
        </w:tc>
        <w:tc>
          <w:tcPr>
            <w:tcW w:w="1461" w:type="dxa"/>
            <w:noWrap/>
            <w:vAlign w:val="center"/>
          </w:tcPr>
          <w:p w14:paraId="72890D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交换机</w:t>
            </w:r>
          </w:p>
        </w:tc>
        <w:tc>
          <w:tcPr>
            <w:tcW w:w="1026" w:type="dxa"/>
            <w:noWrap/>
            <w:vAlign w:val="center"/>
          </w:tcPr>
          <w:p w14:paraId="0EC9D3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6FB563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S7506E</w:t>
            </w:r>
          </w:p>
        </w:tc>
        <w:tc>
          <w:tcPr>
            <w:tcW w:w="1065" w:type="dxa"/>
            <w:noWrap/>
            <w:vAlign w:val="center"/>
          </w:tcPr>
          <w:p w14:paraId="1CB89B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w:t>
            </w:r>
          </w:p>
        </w:tc>
        <w:tc>
          <w:tcPr>
            <w:tcW w:w="1818" w:type="dxa"/>
            <w:noWrap/>
            <w:vAlign w:val="center"/>
          </w:tcPr>
          <w:p w14:paraId="7121D7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2018-06-01</w:t>
            </w:r>
          </w:p>
        </w:tc>
        <w:tc>
          <w:tcPr>
            <w:tcW w:w="1249" w:type="dxa"/>
            <w:vMerge w:val="continue"/>
            <w:noWrap/>
            <w:vAlign w:val="center"/>
          </w:tcPr>
          <w:p w14:paraId="75976D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033F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D8B8E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36</w:t>
            </w:r>
          </w:p>
        </w:tc>
        <w:tc>
          <w:tcPr>
            <w:tcW w:w="1461" w:type="dxa"/>
            <w:noWrap/>
            <w:vAlign w:val="center"/>
          </w:tcPr>
          <w:p w14:paraId="3DE402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交换机</w:t>
            </w:r>
          </w:p>
        </w:tc>
        <w:tc>
          <w:tcPr>
            <w:tcW w:w="1026" w:type="dxa"/>
            <w:noWrap/>
            <w:vAlign w:val="center"/>
          </w:tcPr>
          <w:p w14:paraId="6F40E1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27295E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6800-4C</w:t>
            </w:r>
          </w:p>
        </w:tc>
        <w:tc>
          <w:tcPr>
            <w:tcW w:w="1065" w:type="dxa"/>
            <w:noWrap/>
            <w:vAlign w:val="center"/>
          </w:tcPr>
          <w:p w14:paraId="7922EC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w:t>
            </w:r>
          </w:p>
        </w:tc>
        <w:tc>
          <w:tcPr>
            <w:tcW w:w="1818" w:type="dxa"/>
            <w:noWrap/>
            <w:vAlign w:val="center"/>
          </w:tcPr>
          <w:p w14:paraId="4BC634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2022-07-11</w:t>
            </w:r>
          </w:p>
        </w:tc>
        <w:tc>
          <w:tcPr>
            <w:tcW w:w="1249" w:type="dxa"/>
            <w:vMerge w:val="continue"/>
            <w:noWrap/>
            <w:vAlign w:val="center"/>
          </w:tcPr>
          <w:p w14:paraId="1065B3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0FAB0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1C1CD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37</w:t>
            </w:r>
          </w:p>
        </w:tc>
        <w:tc>
          <w:tcPr>
            <w:tcW w:w="1461" w:type="dxa"/>
            <w:noWrap/>
            <w:vAlign w:val="center"/>
          </w:tcPr>
          <w:p w14:paraId="330147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交换机</w:t>
            </w:r>
          </w:p>
        </w:tc>
        <w:tc>
          <w:tcPr>
            <w:tcW w:w="1026" w:type="dxa"/>
            <w:noWrap/>
            <w:vAlign w:val="center"/>
          </w:tcPr>
          <w:p w14:paraId="5328A5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5964C2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S5560X</w:t>
            </w:r>
          </w:p>
        </w:tc>
        <w:tc>
          <w:tcPr>
            <w:tcW w:w="1065" w:type="dxa"/>
            <w:noWrap/>
            <w:vAlign w:val="center"/>
          </w:tcPr>
          <w:p w14:paraId="0983E1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236E1E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2022-03-21</w:t>
            </w:r>
          </w:p>
        </w:tc>
        <w:tc>
          <w:tcPr>
            <w:tcW w:w="1249" w:type="dxa"/>
            <w:vMerge w:val="continue"/>
            <w:noWrap/>
            <w:vAlign w:val="center"/>
          </w:tcPr>
          <w:p w14:paraId="4F006E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5E97B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6C6962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38</w:t>
            </w:r>
          </w:p>
        </w:tc>
        <w:tc>
          <w:tcPr>
            <w:tcW w:w="1461" w:type="dxa"/>
            <w:noWrap/>
            <w:vAlign w:val="center"/>
          </w:tcPr>
          <w:p w14:paraId="21F2FB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交换机</w:t>
            </w:r>
          </w:p>
        </w:tc>
        <w:tc>
          <w:tcPr>
            <w:tcW w:w="1026" w:type="dxa"/>
            <w:noWrap/>
            <w:vAlign w:val="center"/>
          </w:tcPr>
          <w:p w14:paraId="01998F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7B2DE7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C6509</w:t>
            </w:r>
          </w:p>
        </w:tc>
        <w:tc>
          <w:tcPr>
            <w:tcW w:w="1065" w:type="dxa"/>
            <w:noWrap/>
            <w:vAlign w:val="center"/>
          </w:tcPr>
          <w:p w14:paraId="2B1A4F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2B7AA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2011-12-01</w:t>
            </w:r>
          </w:p>
        </w:tc>
        <w:tc>
          <w:tcPr>
            <w:tcW w:w="1249" w:type="dxa"/>
            <w:vMerge w:val="continue"/>
            <w:noWrap/>
            <w:vAlign w:val="center"/>
          </w:tcPr>
          <w:p w14:paraId="62C1A6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1C181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F098A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39</w:t>
            </w:r>
          </w:p>
        </w:tc>
        <w:tc>
          <w:tcPr>
            <w:tcW w:w="1461" w:type="dxa"/>
            <w:noWrap/>
            <w:vAlign w:val="center"/>
          </w:tcPr>
          <w:p w14:paraId="2C0C89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交换机</w:t>
            </w:r>
          </w:p>
        </w:tc>
        <w:tc>
          <w:tcPr>
            <w:tcW w:w="1026" w:type="dxa"/>
            <w:noWrap/>
            <w:vAlign w:val="center"/>
          </w:tcPr>
          <w:p w14:paraId="78016E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69EA6C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S5130</w:t>
            </w:r>
          </w:p>
        </w:tc>
        <w:tc>
          <w:tcPr>
            <w:tcW w:w="1065" w:type="dxa"/>
            <w:noWrap/>
            <w:vAlign w:val="center"/>
          </w:tcPr>
          <w:p w14:paraId="614AE7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41</w:t>
            </w:r>
          </w:p>
        </w:tc>
        <w:tc>
          <w:tcPr>
            <w:tcW w:w="1818" w:type="dxa"/>
            <w:noWrap/>
            <w:vAlign w:val="center"/>
          </w:tcPr>
          <w:p w14:paraId="119C0A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2017-02-01</w:t>
            </w:r>
          </w:p>
        </w:tc>
        <w:tc>
          <w:tcPr>
            <w:tcW w:w="1249" w:type="dxa"/>
            <w:vMerge w:val="continue"/>
            <w:noWrap/>
            <w:vAlign w:val="center"/>
          </w:tcPr>
          <w:p w14:paraId="4DBEB9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5ECBE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D3191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40</w:t>
            </w:r>
          </w:p>
        </w:tc>
        <w:tc>
          <w:tcPr>
            <w:tcW w:w="1461" w:type="dxa"/>
            <w:noWrap/>
            <w:vAlign w:val="center"/>
          </w:tcPr>
          <w:p w14:paraId="419A90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交换机</w:t>
            </w:r>
          </w:p>
        </w:tc>
        <w:tc>
          <w:tcPr>
            <w:tcW w:w="1026" w:type="dxa"/>
            <w:noWrap/>
            <w:vAlign w:val="center"/>
          </w:tcPr>
          <w:p w14:paraId="61B04B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434E46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S5110</w:t>
            </w:r>
          </w:p>
        </w:tc>
        <w:tc>
          <w:tcPr>
            <w:tcW w:w="1065" w:type="dxa"/>
            <w:noWrap/>
            <w:vAlign w:val="center"/>
          </w:tcPr>
          <w:p w14:paraId="2D00AD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45</w:t>
            </w:r>
          </w:p>
        </w:tc>
        <w:tc>
          <w:tcPr>
            <w:tcW w:w="1818" w:type="dxa"/>
            <w:noWrap/>
            <w:vAlign w:val="center"/>
          </w:tcPr>
          <w:p w14:paraId="0E044A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2017-02-01</w:t>
            </w:r>
          </w:p>
        </w:tc>
        <w:tc>
          <w:tcPr>
            <w:tcW w:w="1249" w:type="dxa"/>
            <w:vMerge w:val="continue"/>
            <w:noWrap/>
            <w:vAlign w:val="center"/>
          </w:tcPr>
          <w:p w14:paraId="7C3467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3AF2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32F456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41</w:t>
            </w:r>
          </w:p>
        </w:tc>
        <w:tc>
          <w:tcPr>
            <w:tcW w:w="1461" w:type="dxa"/>
            <w:noWrap/>
            <w:vAlign w:val="center"/>
          </w:tcPr>
          <w:p w14:paraId="62941B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交换机</w:t>
            </w:r>
          </w:p>
        </w:tc>
        <w:tc>
          <w:tcPr>
            <w:tcW w:w="1026" w:type="dxa"/>
            <w:noWrap/>
            <w:vAlign w:val="center"/>
          </w:tcPr>
          <w:p w14:paraId="66F03E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299844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S5000</w:t>
            </w:r>
          </w:p>
        </w:tc>
        <w:tc>
          <w:tcPr>
            <w:tcW w:w="1065" w:type="dxa"/>
            <w:noWrap/>
            <w:vAlign w:val="center"/>
          </w:tcPr>
          <w:p w14:paraId="518204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w:t>
            </w:r>
          </w:p>
        </w:tc>
        <w:tc>
          <w:tcPr>
            <w:tcW w:w="1818" w:type="dxa"/>
            <w:noWrap/>
            <w:vAlign w:val="center"/>
          </w:tcPr>
          <w:p w14:paraId="03FC7F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2020-10-20</w:t>
            </w:r>
          </w:p>
        </w:tc>
        <w:tc>
          <w:tcPr>
            <w:tcW w:w="1249" w:type="dxa"/>
            <w:vMerge w:val="continue"/>
            <w:noWrap/>
            <w:vAlign w:val="center"/>
          </w:tcPr>
          <w:p w14:paraId="169B50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7731E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6553D3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42</w:t>
            </w:r>
          </w:p>
        </w:tc>
        <w:tc>
          <w:tcPr>
            <w:tcW w:w="1461" w:type="dxa"/>
            <w:noWrap/>
            <w:vAlign w:val="center"/>
          </w:tcPr>
          <w:p w14:paraId="5BF194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交换机</w:t>
            </w:r>
          </w:p>
        </w:tc>
        <w:tc>
          <w:tcPr>
            <w:tcW w:w="1026" w:type="dxa"/>
            <w:noWrap/>
            <w:vAlign w:val="center"/>
          </w:tcPr>
          <w:p w14:paraId="5DD226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6224C3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S5120</w:t>
            </w:r>
          </w:p>
        </w:tc>
        <w:tc>
          <w:tcPr>
            <w:tcW w:w="1065" w:type="dxa"/>
            <w:noWrap/>
            <w:vAlign w:val="center"/>
          </w:tcPr>
          <w:p w14:paraId="377E30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7F109A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2016-07-12</w:t>
            </w:r>
          </w:p>
        </w:tc>
        <w:tc>
          <w:tcPr>
            <w:tcW w:w="1249" w:type="dxa"/>
            <w:vMerge w:val="continue"/>
            <w:noWrap/>
            <w:vAlign w:val="center"/>
          </w:tcPr>
          <w:p w14:paraId="4335A9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61B3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57E9DC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43</w:t>
            </w:r>
          </w:p>
        </w:tc>
        <w:tc>
          <w:tcPr>
            <w:tcW w:w="1461" w:type="dxa"/>
            <w:noWrap/>
            <w:vAlign w:val="center"/>
          </w:tcPr>
          <w:p w14:paraId="41BF99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交换机</w:t>
            </w:r>
          </w:p>
        </w:tc>
        <w:tc>
          <w:tcPr>
            <w:tcW w:w="1026" w:type="dxa"/>
            <w:noWrap/>
            <w:vAlign w:val="center"/>
          </w:tcPr>
          <w:p w14:paraId="6E750E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华为</w:t>
            </w:r>
          </w:p>
        </w:tc>
        <w:tc>
          <w:tcPr>
            <w:tcW w:w="2670" w:type="dxa"/>
            <w:noWrap/>
            <w:vAlign w:val="center"/>
          </w:tcPr>
          <w:p w14:paraId="1BB279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S5700</w:t>
            </w:r>
          </w:p>
        </w:tc>
        <w:tc>
          <w:tcPr>
            <w:tcW w:w="1065" w:type="dxa"/>
            <w:noWrap/>
            <w:vAlign w:val="center"/>
          </w:tcPr>
          <w:p w14:paraId="28FAD2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w:t>
            </w:r>
          </w:p>
        </w:tc>
        <w:tc>
          <w:tcPr>
            <w:tcW w:w="1818" w:type="dxa"/>
            <w:noWrap/>
            <w:vAlign w:val="center"/>
          </w:tcPr>
          <w:p w14:paraId="395B2B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2019-11-13</w:t>
            </w:r>
          </w:p>
        </w:tc>
        <w:tc>
          <w:tcPr>
            <w:tcW w:w="1249" w:type="dxa"/>
            <w:vMerge w:val="continue"/>
            <w:noWrap/>
            <w:vAlign w:val="center"/>
          </w:tcPr>
          <w:p w14:paraId="05EB6A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4D5C5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34AD48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44</w:t>
            </w:r>
          </w:p>
        </w:tc>
        <w:tc>
          <w:tcPr>
            <w:tcW w:w="1461" w:type="dxa"/>
            <w:noWrap/>
            <w:vAlign w:val="center"/>
          </w:tcPr>
          <w:p w14:paraId="76D1BD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交换机</w:t>
            </w:r>
          </w:p>
        </w:tc>
        <w:tc>
          <w:tcPr>
            <w:tcW w:w="1026" w:type="dxa"/>
            <w:noWrap/>
            <w:vAlign w:val="center"/>
          </w:tcPr>
          <w:p w14:paraId="675EAD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思科</w:t>
            </w:r>
          </w:p>
        </w:tc>
        <w:tc>
          <w:tcPr>
            <w:tcW w:w="2670" w:type="dxa"/>
            <w:noWrap/>
            <w:vAlign w:val="center"/>
          </w:tcPr>
          <w:p w14:paraId="363B08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S2900</w:t>
            </w:r>
          </w:p>
        </w:tc>
        <w:tc>
          <w:tcPr>
            <w:tcW w:w="1065" w:type="dxa"/>
            <w:noWrap/>
            <w:vAlign w:val="center"/>
          </w:tcPr>
          <w:p w14:paraId="11C385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26</w:t>
            </w:r>
          </w:p>
        </w:tc>
        <w:tc>
          <w:tcPr>
            <w:tcW w:w="1818" w:type="dxa"/>
            <w:noWrap/>
            <w:vAlign w:val="center"/>
          </w:tcPr>
          <w:p w14:paraId="14EFEF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2021-11-03</w:t>
            </w:r>
          </w:p>
        </w:tc>
        <w:tc>
          <w:tcPr>
            <w:tcW w:w="1249" w:type="dxa"/>
            <w:vMerge w:val="continue"/>
            <w:noWrap/>
            <w:vAlign w:val="center"/>
          </w:tcPr>
          <w:p w14:paraId="4BEC4D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66DD4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4731E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45</w:t>
            </w:r>
          </w:p>
        </w:tc>
        <w:tc>
          <w:tcPr>
            <w:tcW w:w="1461" w:type="dxa"/>
            <w:noWrap/>
            <w:vAlign w:val="center"/>
          </w:tcPr>
          <w:p w14:paraId="1F64B8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无线控制器</w:t>
            </w:r>
          </w:p>
        </w:tc>
        <w:tc>
          <w:tcPr>
            <w:tcW w:w="1026" w:type="dxa"/>
            <w:noWrap/>
            <w:vAlign w:val="center"/>
          </w:tcPr>
          <w:p w14:paraId="760188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33D6B4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WX5540E</w:t>
            </w:r>
          </w:p>
        </w:tc>
        <w:tc>
          <w:tcPr>
            <w:tcW w:w="1065" w:type="dxa"/>
            <w:noWrap/>
            <w:vAlign w:val="center"/>
          </w:tcPr>
          <w:p w14:paraId="4ED7C4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46987F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2021-03-11</w:t>
            </w:r>
          </w:p>
        </w:tc>
        <w:tc>
          <w:tcPr>
            <w:tcW w:w="1249" w:type="dxa"/>
            <w:vMerge w:val="continue"/>
            <w:noWrap/>
            <w:vAlign w:val="center"/>
          </w:tcPr>
          <w:p w14:paraId="792065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0F3B4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334BBF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46</w:t>
            </w:r>
          </w:p>
        </w:tc>
        <w:tc>
          <w:tcPr>
            <w:tcW w:w="1461" w:type="dxa"/>
            <w:noWrap/>
            <w:vAlign w:val="center"/>
          </w:tcPr>
          <w:p w14:paraId="7C081C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无线AP</w:t>
            </w:r>
          </w:p>
        </w:tc>
        <w:tc>
          <w:tcPr>
            <w:tcW w:w="1026" w:type="dxa"/>
            <w:noWrap/>
            <w:vAlign w:val="center"/>
          </w:tcPr>
          <w:p w14:paraId="5E407F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6B6902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EWP-4320i</w:t>
            </w:r>
          </w:p>
        </w:tc>
        <w:tc>
          <w:tcPr>
            <w:tcW w:w="1065" w:type="dxa"/>
            <w:noWrap/>
            <w:vAlign w:val="center"/>
          </w:tcPr>
          <w:p w14:paraId="369306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16</w:t>
            </w:r>
          </w:p>
        </w:tc>
        <w:tc>
          <w:tcPr>
            <w:tcW w:w="1818" w:type="dxa"/>
            <w:noWrap/>
            <w:vAlign w:val="center"/>
          </w:tcPr>
          <w:p w14:paraId="417AC5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2017-02-21</w:t>
            </w:r>
          </w:p>
        </w:tc>
        <w:tc>
          <w:tcPr>
            <w:tcW w:w="1249" w:type="dxa"/>
            <w:vMerge w:val="continue"/>
            <w:noWrap/>
            <w:vAlign w:val="center"/>
          </w:tcPr>
          <w:p w14:paraId="36392D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5D170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312CB1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47</w:t>
            </w:r>
          </w:p>
        </w:tc>
        <w:tc>
          <w:tcPr>
            <w:tcW w:w="1461" w:type="dxa"/>
            <w:noWrap/>
            <w:vAlign w:val="center"/>
          </w:tcPr>
          <w:p w14:paraId="1A9934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无线AP</w:t>
            </w:r>
          </w:p>
        </w:tc>
        <w:tc>
          <w:tcPr>
            <w:tcW w:w="1026" w:type="dxa"/>
            <w:noWrap/>
            <w:vAlign w:val="center"/>
          </w:tcPr>
          <w:p w14:paraId="02765E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120415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EWP-WT1024-X-Q</w:t>
            </w:r>
          </w:p>
        </w:tc>
        <w:tc>
          <w:tcPr>
            <w:tcW w:w="1065" w:type="dxa"/>
            <w:noWrap/>
            <w:vAlign w:val="center"/>
          </w:tcPr>
          <w:p w14:paraId="41B9F9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noWrap/>
            <w:vAlign w:val="center"/>
          </w:tcPr>
          <w:p w14:paraId="16B18C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2021-03-11</w:t>
            </w:r>
          </w:p>
        </w:tc>
        <w:tc>
          <w:tcPr>
            <w:tcW w:w="1249" w:type="dxa"/>
            <w:vMerge w:val="continue"/>
            <w:noWrap/>
            <w:vAlign w:val="center"/>
          </w:tcPr>
          <w:p w14:paraId="473AB4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09685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6667F8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48</w:t>
            </w:r>
          </w:p>
        </w:tc>
        <w:tc>
          <w:tcPr>
            <w:tcW w:w="1461" w:type="dxa"/>
            <w:noWrap/>
            <w:vAlign w:val="center"/>
          </w:tcPr>
          <w:p w14:paraId="3DB548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无线AP</w:t>
            </w:r>
          </w:p>
        </w:tc>
        <w:tc>
          <w:tcPr>
            <w:tcW w:w="1026" w:type="dxa"/>
            <w:noWrap/>
            <w:vAlign w:val="center"/>
          </w:tcPr>
          <w:p w14:paraId="6EA296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6E6EA3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EWP-WTU430H-IOT</w:t>
            </w:r>
          </w:p>
        </w:tc>
        <w:tc>
          <w:tcPr>
            <w:tcW w:w="1065" w:type="dxa"/>
            <w:noWrap/>
            <w:vAlign w:val="center"/>
          </w:tcPr>
          <w:p w14:paraId="2592D1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16</w:t>
            </w:r>
          </w:p>
        </w:tc>
        <w:tc>
          <w:tcPr>
            <w:tcW w:w="1818" w:type="dxa"/>
            <w:noWrap/>
            <w:vAlign w:val="center"/>
          </w:tcPr>
          <w:p w14:paraId="0C7CDE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2021-03-11</w:t>
            </w:r>
          </w:p>
        </w:tc>
        <w:tc>
          <w:tcPr>
            <w:tcW w:w="1249" w:type="dxa"/>
            <w:vMerge w:val="continue"/>
            <w:noWrap/>
            <w:vAlign w:val="center"/>
          </w:tcPr>
          <w:p w14:paraId="3C505A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4A9BA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350FFD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49</w:t>
            </w:r>
          </w:p>
        </w:tc>
        <w:tc>
          <w:tcPr>
            <w:tcW w:w="1461" w:type="dxa"/>
            <w:noWrap/>
            <w:vAlign w:val="center"/>
          </w:tcPr>
          <w:p w14:paraId="4177B4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无线AP</w:t>
            </w:r>
          </w:p>
        </w:tc>
        <w:tc>
          <w:tcPr>
            <w:tcW w:w="1026" w:type="dxa"/>
            <w:noWrap/>
            <w:vAlign w:val="center"/>
          </w:tcPr>
          <w:p w14:paraId="285452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45F043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SURF-W-AP56</w:t>
            </w:r>
          </w:p>
        </w:tc>
        <w:tc>
          <w:tcPr>
            <w:tcW w:w="1065" w:type="dxa"/>
            <w:noWrap/>
            <w:vAlign w:val="center"/>
          </w:tcPr>
          <w:p w14:paraId="2D648D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23</w:t>
            </w:r>
          </w:p>
        </w:tc>
        <w:tc>
          <w:tcPr>
            <w:tcW w:w="1818" w:type="dxa"/>
            <w:noWrap/>
            <w:vAlign w:val="center"/>
          </w:tcPr>
          <w:p w14:paraId="05A08B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2019-08-22</w:t>
            </w:r>
          </w:p>
        </w:tc>
        <w:tc>
          <w:tcPr>
            <w:tcW w:w="1249" w:type="dxa"/>
            <w:vMerge w:val="continue"/>
            <w:noWrap/>
            <w:vAlign w:val="center"/>
          </w:tcPr>
          <w:p w14:paraId="7C412F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6CC9B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23CC3D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50</w:t>
            </w:r>
          </w:p>
        </w:tc>
        <w:tc>
          <w:tcPr>
            <w:tcW w:w="1461" w:type="dxa"/>
            <w:noWrap/>
            <w:vAlign w:val="center"/>
          </w:tcPr>
          <w:p w14:paraId="6D6917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无线AP</w:t>
            </w:r>
          </w:p>
        </w:tc>
        <w:tc>
          <w:tcPr>
            <w:tcW w:w="1026" w:type="dxa"/>
            <w:noWrap/>
            <w:vAlign w:val="center"/>
          </w:tcPr>
          <w:p w14:paraId="73C14B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598358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WA-4320i-X</w:t>
            </w:r>
          </w:p>
        </w:tc>
        <w:tc>
          <w:tcPr>
            <w:tcW w:w="1065" w:type="dxa"/>
            <w:noWrap/>
            <w:vAlign w:val="center"/>
          </w:tcPr>
          <w:p w14:paraId="1EEB7F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24</w:t>
            </w:r>
          </w:p>
        </w:tc>
        <w:tc>
          <w:tcPr>
            <w:tcW w:w="1818" w:type="dxa"/>
            <w:noWrap/>
            <w:vAlign w:val="center"/>
          </w:tcPr>
          <w:p w14:paraId="4B9417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2020-10-20</w:t>
            </w:r>
          </w:p>
        </w:tc>
        <w:tc>
          <w:tcPr>
            <w:tcW w:w="1249" w:type="dxa"/>
            <w:vMerge w:val="continue"/>
            <w:noWrap/>
            <w:vAlign w:val="center"/>
          </w:tcPr>
          <w:p w14:paraId="5AAE8C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1F851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41D7E1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51</w:t>
            </w:r>
          </w:p>
        </w:tc>
        <w:tc>
          <w:tcPr>
            <w:tcW w:w="1461" w:type="dxa"/>
            <w:noWrap/>
            <w:vAlign w:val="center"/>
          </w:tcPr>
          <w:p w14:paraId="11EF75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无线AP</w:t>
            </w:r>
          </w:p>
        </w:tc>
        <w:tc>
          <w:tcPr>
            <w:tcW w:w="1026" w:type="dxa"/>
            <w:noWrap/>
            <w:vAlign w:val="center"/>
          </w:tcPr>
          <w:p w14:paraId="2A79A3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178B06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WA4320I-ACN</w:t>
            </w:r>
          </w:p>
        </w:tc>
        <w:tc>
          <w:tcPr>
            <w:tcW w:w="1065" w:type="dxa"/>
            <w:noWrap/>
            <w:vAlign w:val="center"/>
          </w:tcPr>
          <w:p w14:paraId="4B82D7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25</w:t>
            </w:r>
          </w:p>
        </w:tc>
        <w:tc>
          <w:tcPr>
            <w:tcW w:w="1818" w:type="dxa"/>
            <w:noWrap/>
            <w:vAlign w:val="center"/>
          </w:tcPr>
          <w:p w14:paraId="759D70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2017-02-21</w:t>
            </w:r>
          </w:p>
        </w:tc>
        <w:tc>
          <w:tcPr>
            <w:tcW w:w="1249" w:type="dxa"/>
            <w:vMerge w:val="continue"/>
            <w:noWrap/>
            <w:vAlign w:val="center"/>
          </w:tcPr>
          <w:p w14:paraId="6E7477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2F7E9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5D42A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52</w:t>
            </w:r>
          </w:p>
        </w:tc>
        <w:tc>
          <w:tcPr>
            <w:tcW w:w="1461" w:type="dxa"/>
            <w:noWrap/>
            <w:vAlign w:val="center"/>
          </w:tcPr>
          <w:p w14:paraId="675E38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无线AP</w:t>
            </w:r>
          </w:p>
        </w:tc>
        <w:tc>
          <w:tcPr>
            <w:tcW w:w="1026" w:type="dxa"/>
            <w:noWrap/>
            <w:vAlign w:val="center"/>
          </w:tcPr>
          <w:p w14:paraId="24A853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H3C</w:t>
            </w:r>
          </w:p>
        </w:tc>
        <w:tc>
          <w:tcPr>
            <w:tcW w:w="2670" w:type="dxa"/>
            <w:noWrap/>
            <w:vAlign w:val="center"/>
          </w:tcPr>
          <w:p w14:paraId="68A544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WA5530-SI</w:t>
            </w:r>
          </w:p>
        </w:tc>
        <w:tc>
          <w:tcPr>
            <w:tcW w:w="1065" w:type="dxa"/>
            <w:noWrap/>
            <w:vAlign w:val="center"/>
          </w:tcPr>
          <w:p w14:paraId="2743F9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noWrap/>
            <w:vAlign w:val="center"/>
          </w:tcPr>
          <w:p w14:paraId="75C909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2021-05-31</w:t>
            </w:r>
          </w:p>
        </w:tc>
        <w:tc>
          <w:tcPr>
            <w:tcW w:w="1249" w:type="dxa"/>
            <w:vMerge w:val="continue"/>
            <w:noWrap/>
            <w:vAlign w:val="center"/>
          </w:tcPr>
          <w:p w14:paraId="311FFB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6A72B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53C390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53</w:t>
            </w:r>
          </w:p>
        </w:tc>
        <w:tc>
          <w:tcPr>
            <w:tcW w:w="1461" w:type="dxa"/>
            <w:noWrap/>
            <w:vAlign w:val="center"/>
          </w:tcPr>
          <w:p w14:paraId="108CC7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存储</w:t>
            </w:r>
          </w:p>
        </w:tc>
        <w:tc>
          <w:tcPr>
            <w:tcW w:w="1026" w:type="dxa"/>
            <w:noWrap/>
            <w:vAlign w:val="center"/>
          </w:tcPr>
          <w:p w14:paraId="03CAF9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1CDA8A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DS-A71024R/6T</w:t>
            </w:r>
          </w:p>
        </w:tc>
        <w:tc>
          <w:tcPr>
            <w:tcW w:w="1065" w:type="dxa"/>
            <w:noWrap/>
            <w:vAlign w:val="center"/>
          </w:tcPr>
          <w:p w14:paraId="0701BE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9</w:t>
            </w:r>
          </w:p>
        </w:tc>
        <w:tc>
          <w:tcPr>
            <w:tcW w:w="1818" w:type="dxa"/>
            <w:vAlign w:val="center"/>
          </w:tcPr>
          <w:p w14:paraId="68FBE3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2017-01-04</w:t>
            </w:r>
          </w:p>
        </w:tc>
        <w:tc>
          <w:tcPr>
            <w:tcW w:w="1249" w:type="dxa"/>
            <w:vMerge w:val="continue"/>
            <w:vAlign w:val="center"/>
          </w:tcPr>
          <w:p w14:paraId="7CEDFB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6AC83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8818D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54</w:t>
            </w:r>
          </w:p>
        </w:tc>
        <w:tc>
          <w:tcPr>
            <w:tcW w:w="1461" w:type="dxa"/>
            <w:noWrap/>
            <w:vAlign w:val="center"/>
          </w:tcPr>
          <w:p w14:paraId="3D1B73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硬盘录像机</w:t>
            </w:r>
          </w:p>
        </w:tc>
        <w:tc>
          <w:tcPr>
            <w:tcW w:w="1026" w:type="dxa"/>
            <w:noWrap/>
            <w:vAlign w:val="center"/>
          </w:tcPr>
          <w:p w14:paraId="61374E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21D31C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DS-8632N-K8</w:t>
            </w:r>
          </w:p>
        </w:tc>
        <w:tc>
          <w:tcPr>
            <w:tcW w:w="1065" w:type="dxa"/>
            <w:noWrap/>
            <w:vAlign w:val="center"/>
          </w:tcPr>
          <w:p w14:paraId="3AED64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w:t>
            </w:r>
          </w:p>
        </w:tc>
        <w:tc>
          <w:tcPr>
            <w:tcW w:w="1818" w:type="dxa"/>
            <w:vAlign w:val="center"/>
          </w:tcPr>
          <w:p w14:paraId="403982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2017-12-23</w:t>
            </w:r>
          </w:p>
        </w:tc>
        <w:tc>
          <w:tcPr>
            <w:tcW w:w="1249" w:type="dxa"/>
            <w:vMerge w:val="restart"/>
            <w:vAlign w:val="center"/>
          </w:tcPr>
          <w:p w14:paraId="6C738F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外</w:t>
            </w:r>
          </w:p>
        </w:tc>
      </w:tr>
      <w:tr w14:paraId="37748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7EDD52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55</w:t>
            </w:r>
          </w:p>
        </w:tc>
        <w:tc>
          <w:tcPr>
            <w:tcW w:w="1461" w:type="dxa"/>
            <w:noWrap/>
            <w:vAlign w:val="center"/>
          </w:tcPr>
          <w:p w14:paraId="0BB8FA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硬盘录像机</w:t>
            </w:r>
          </w:p>
        </w:tc>
        <w:tc>
          <w:tcPr>
            <w:tcW w:w="1026" w:type="dxa"/>
            <w:noWrap/>
            <w:vAlign w:val="center"/>
          </w:tcPr>
          <w:p w14:paraId="528144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441D85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DS-7716N</w:t>
            </w:r>
          </w:p>
        </w:tc>
        <w:tc>
          <w:tcPr>
            <w:tcW w:w="1065" w:type="dxa"/>
            <w:noWrap/>
            <w:vAlign w:val="center"/>
          </w:tcPr>
          <w:p w14:paraId="3B9303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1205AB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2017-02-01</w:t>
            </w:r>
          </w:p>
        </w:tc>
        <w:tc>
          <w:tcPr>
            <w:tcW w:w="1249" w:type="dxa"/>
            <w:vMerge w:val="continue"/>
            <w:vAlign w:val="center"/>
          </w:tcPr>
          <w:p w14:paraId="1D91C9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F0FC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2E63B7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56</w:t>
            </w:r>
          </w:p>
        </w:tc>
        <w:tc>
          <w:tcPr>
            <w:tcW w:w="1461" w:type="dxa"/>
            <w:noWrap/>
            <w:vAlign w:val="center"/>
          </w:tcPr>
          <w:p w14:paraId="428C7F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硬盘录像机</w:t>
            </w:r>
          </w:p>
        </w:tc>
        <w:tc>
          <w:tcPr>
            <w:tcW w:w="1026" w:type="dxa"/>
            <w:noWrap/>
            <w:vAlign w:val="center"/>
          </w:tcPr>
          <w:p w14:paraId="23096F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3C1982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c>
          <w:tcPr>
            <w:tcW w:w="1065" w:type="dxa"/>
            <w:noWrap/>
            <w:vAlign w:val="center"/>
          </w:tcPr>
          <w:p w14:paraId="39B1D5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764DFD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2017-01-04</w:t>
            </w:r>
          </w:p>
        </w:tc>
        <w:tc>
          <w:tcPr>
            <w:tcW w:w="1249" w:type="dxa"/>
            <w:vMerge w:val="continue"/>
            <w:vAlign w:val="center"/>
          </w:tcPr>
          <w:p w14:paraId="272A23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1782F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320811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57</w:t>
            </w:r>
          </w:p>
        </w:tc>
        <w:tc>
          <w:tcPr>
            <w:tcW w:w="1461" w:type="dxa"/>
            <w:noWrap/>
            <w:vAlign w:val="center"/>
          </w:tcPr>
          <w:p w14:paraId="7A9CCF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硬盘录像机</w:t>
            </w:r>
          </w:p>
        </w:tc>
        <w:tc>
          <w:tcPr>
            <w:tcW w:w="1026" w:type="dxa"/>
            <w:noWrap/>
            <w:vAlign w:val="center"/>
          </w:tcPr>
          <w:p w14:paraId="6CD363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0493D1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四路</w:t>
            </w:r>
          </w:p>
        </w:tc>
        <w:tc>
          <w:tcPr>
            <w:tcW w:w="1065" w:type="dxa"/>
            <w:noWrap/>
            <w:vAlign w:val="center"/>
          </w:tcPr>
          <w:p w14:paraId="35E215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3D695B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2016-11-03</w:t>
            </w:r>
          </w:p>
        </w:tc>
        <w:tc>
          <w:tcPr>
            <w:tcW w:w="1249" w:type="dxa"/>
            <w:vMerge w:val="continue"/>
            <w:vAlign w:val="center"/>
          </w:tcPr>
          <w:p w14:paraId="765B30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6CC1C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671C10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58</w:t>
            </w:r>
          </w:p>
        </w:tc>
        <w:tc>
          <w:tcPr>
            <w:tcW w:w="1461" w:type="dxa"/>
            <w:noWrap/>
            <w:vAlign w:val="center"/>
          </w:tcPr>
          <w:p w14:paraId="3AC38F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监控录像机</w:t>
            </w:r>
          </w:p>
        </w:tc>
        <w:tc>
          <w:tcPr>
            <w:tcW w:w="1026" w:type="dxa"/>
            <w:noWrap/>
            <w:vAlign w:val="center"/>
          </w:tcPr>
          <w:p w14:paraId="7B6E7F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5911FE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DS-7816H</w:t>
            </w:r>
          </w:p>
        </w:tc>
        <w:tc>
          <w:tcPr>
            <w:tcW w:w="1065" w:type="dxa"/>
            <w:noWrap/>
            <w:vAlign w:val="center"/>
          </w:tcPr>
          <w:p w14:paraId="224AFE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321ECB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2014-05-07</w:t>
            </w:r>
          </w:p>
        </w:tc>
        <w:tc>
          <w:tcPr>
            <w:tcW w:w="1249" w:type="dxa"/>
            <w:vMerge w:val="continue"/>
            <w:vAlign w:val="center"/>
          </w:tcPr>
          <w:p w14:paraId="3E056A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7BF60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3D92E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59</w:t>
            </w:r>
          </w:p>
        </w:tc>
        <w:tc>
          <w:tcPr>
            <w:tcW w:w="1461" w:type="dxa"/>
            <w:noWrap/>
            <w:vAlign w:val="center"/>
          </w:tcPr>
          <w:p w14:paraId="0DCF78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监控录像机</w:t>
            </w:r>
          </w:p>
        </w:tc>
        <w:tc>
          <w:tcPr>
            <w:tcW w:w="1026" w:type="dxa"/>
            <w:noWrap/>
            <w:vAlign w:val="center"/>
          </w:tcPr>
          <w:p w14:paraId="6B491C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6EDB9F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DS-7808</w:t>
            </w:r>
          </w:p>
        </w:tc>
        <w:tc>
          <w:tcPr>
            <w:tcW w:w="1065" w:type="dxa"/>
            <w:noWrap/>
            <w:vAlign w:val="center"/>
          </w:tcPr>
          <w:p w14:paraId="7A925E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5C3778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2013-02-20</w:t>
            </w:r>
          </w:p>
        </w:tc>
        <w:tc>
          <w:tcPr>
            <w:tcW w:w="1249" w:type="dxa"/>
            <w:vMerge w:val="continue"/>
            <w:vAlign w:val="center"/>
          </w:tcPr>
          <w:p w14:paraId="6BB765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8E32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86BBB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60</w:t>
            </w:r>
          </w:p>
        </w:tc>
        <w:tc>
          <w:tcPr>
            <w:tcW w:w="1461" w:type="dxa"/>
            <w:noWrap/>
            <w:vAlign w:val="center"/>
          </w:tcPr>
          <w:p w14:paraId="27FBD4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监控录像机</w:t>
            </w:r>
          </w:p>
        </w:tc>
        <w:tc>
          <w:tcPr>
            <w:tcW w:w="1026" w:type="dxa"/>
            <w:noWrap/>
            <w:vAlign w:val="center"/>
          </w:tcPr>
          <w:p w14:paraId="0303DB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461548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DS-7816</w:t>
            </w:r>
          </w:p>
        </w:tc>
        <w:tc>
          <w:tcPr>
            <w:tcW w:w="1065" w:type="dxa"/>
            <w:noWrap/>
            <w:vAlign w:val="center"/>
          </w:tcPr>
          <w:p w14:paraId="39920D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332D68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2013-01-20</w:t>
            </w:r>
          </w:p>
        </w:tc>
        <w:tc>
          <w:tcPr>
            <w:tcW w:w="1249" w:type="dxa"/>
            <w:vMerge w:val="continue"/>
            <w:vAlign w:val="center"/>
          </w:tcPr>
          <w:p w14:paraId="08A394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01C4B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15006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61</w:t>
            </w:r>
          </w:p>
        </w:tc>
        <w:tc>
          <w:tcPr>
            <w:tcW w:w="1461" w:type="dxa"/>
            <w:noWrap/>
            <w:vAlign w:val="center"/>
          </w:tcPr>
          <w:p w14:paraId="4603FB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硬盘录像机</w:t>
            </w:r>
          </w:p>
        </w:tc>
        <w:tc>
          <w:tcPr>
            <w:tcW w:w="1026" w:type="dxa"/>
            <w:noWrap/>
            <w:vAlign w:val="center"/>
          </w:tcPr>
          <w:p w14:paraId="21D470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6DE194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T808（1T）</w:t>
            </w:r>
          </w:p>
        </w:tc>
        <w:tc>
          <w:tcPr>
            <w:tcW w:w="1065" w:type="dxa"/>
            <w:noWrap/>
            <w:vAlign w:val="center"/>
          </w:tcPr>
          <w:p w14:paraId="01FC2E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428512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2012-04-16</w:t>
            </w:r>
          </w:p>
        </w:tc>
        <w:tc>
          <w:tcPr>
            <w:tcW w:w="1249" w:type="dxa"/>
            <w:vMerge w:val="continue"/>
            <w:vAlign w:val="center"/>
          </w:tcPr>
          <w:p w14:paraId="78F918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0FA68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62C989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62</w:t>
            </w:r>
          </w:p>
        </w:tc>
        <w:tc>
          <w:tcPr>
            <w:tcW w:w="1461" w:type="dxa"/>
            <w:noWrap/>
            <w:vAlign w:val="center"/>
          </w:tcPr>
          <w:p w14:paraId="68AE4D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硬盘录像机</w:t>
            </w:r>
          </w:p>
        </w:tc>
        <w:tc>
          <w:tcPr>
            <w:tcW w:w="1026" w:type="dxa"/>
            <w:noWrap/>
            <w:vAlign w:val="center"/>
          </w:tcPr>
          <w:p w14:paraId="01D73D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396378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高清8116</w:t>
            </w:r>
          </w:p>
        </w:tc>
        <w:tc>
          <w:tcPr>
            <w:tcW w:w="1065" w:type="dxa"/>
            <w:noWrap/>
            <w:vAlign w:val="center"/>
          </w:tcPr>
          <w:p w14:paraId="382385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45BCC9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2012-04-16</w:t>
            </w:r>
          </w:p>
        </w:tc>
        <w:tc>
          <w:tcPr>
            <w:tcW w:w="1249" w:type="dxa"/>
            <w:vMerge w:val="continue"/>
            <w:vAlign w:val="center"/>
          </w:tcPr>
          <w:p w14:paraId="028007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2D433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783D9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63</w:t>
            </w:r>
          </w:p>
        </w:tc>
        <w:tc>
          <w:tcPr>
            <w:tcW w:w="1461" w:type="dxa"/>
            <w:noWrap/>
            <w:vAlign w:val="center"/>
          </w:tcPr>
          <w:p w14:paraId="384036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硬盘录像机</w:t>
            </w:r>
          </w:p>
        </w:tc>
        <w:tc>
          <w:tcPr>
            <w:tcW w:w="1026" w:type="dxa"/>
            <w:noWrap/>
            <w:vAlign w:val="center"/>
          </w:tcPr>
          <w:p w14:paraId="128222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257230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DS-7732N-K4</w:t>
            </w:r>
          </w:p>
        </w:tc>
        <w:tc>
          <w:tcPr>
            <w:tcW w:w="1065" w:type="dxa"/>
            <w:noWrap/>
            <w:vAlign w:val="center"/>
          </w:tcPr>
          <w:p w14:paraId="28B90B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5DF783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2012-04-16</w:t>
            </w:r>
          </w:p>
        </w:tc>
        <w:tc>
          <w:tcPr>
            <w:tcW w:w="1249" w:type="dxa"/>
            <w:vMerge w:val="continue"/>
            <w:vAlign w:val="center"/>
          </w:tcPr>
          <w:p w14:paraId="7A82BD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4262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8374C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64</w:t>
            </w:r>
          </w:p>
        </w:tc>
        <w:tc>
          <w:tcPr>
            <w:tcW w:w="1461" w:type="dxa"/>
            <w:noWrap/>
            <w:vAlign w:val="center"/>
          </w:tcPr>
          <w:p w14:paraId="1C90D3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半球摄像头</w:t>
            </w:r>
          </w:p>
        </w:tc>
        <w:tc>
          <w:tcPr>
            <w:tcW w:w="1026" w:type="dxa"/>
            <w:noWrap/>
            <w:vAlign w:val="center"/>
          </w:tcPr>
          <w:p w14:paraId="7B1F4B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7AA9A2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DS-2CD2345CV4</w:t>
            </w:r>
          </w:p>
        </w:tc>
        <w:tc>
          <w:tcPr>
            <w:tcW w:w="1065" w:type="dxa"/>
            <w:noWrap/>
            <w:vAlign w:val="center"/>
          </w:tcPr>
          <w:p w14:paraId="58D180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599</w:t>
            </w:r>
          </w:p>
        </w:tc>
        <w:tc>
          <w:tcPr>
            <w:tcW w:w="1818" w:type="dxa"/>
            <w:vAlign w:val="center"/>
          </w:tcPr>
          <w:p w14:paraId="782AC3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2017-01-04</w:t>
            </w:r>
          </w:p>
        </w:tc>
        <w:tc>
          <w:tcPr>
            <w:tcW w:w="1249" w:type="dxa"/>
            <w:vMerge w:val="continue"/>
            <w:vAlign w:val="center"/>
          </w:tcPr>
          <w:p w14:paraId="484582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72855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EE37C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65</w:t>
            </w:r>
          </w:p>
        </w:tc>
        <w:tc>
          <w:tcPr>
            <w:tcW w:w="1461" w:type="dxa"/>
            <w:noWrap/>
            <w:vAlign w:val="center"/>
          </w:tcPr>
          <w:p w14:paraId="1819BC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枪型摄像头</w:t>
            </w:r>
          </w:p>
        </w:tc>
        <w:tc>
          <w:tcPr>
            <w:tcW w:w="1026" w:type="dxa"/>
            <w:noWrap/>
            <w:vAlign w:val="center"/>
          </w:tcPr>
          <w:p w14:paraId="2E72E7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海康威视</w:t>
            </w:r>
          </w:p>
        </w:tc>
        <w:tc>
          <w:tcPr>
            <w:tcW w:w="2670" w:type="dxa"/>
            <w:noWrap/>
            <w:vAlign w:val="center"/>
          </w:tcPr>
          <w:p w14:paraId="092749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DS-2CD2245CV6</w:t>
            </w:r>
          </w:p>
        </w:tc>
        <w:tc>
          <w:tcPr>
            <w:tcW w:w="1065" w:type="dxa"/>
            <w:noWrap/>
            <w:vAlign w:val="center"/>
          </w:tcPr>
          <w:p w14:paraId="434626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193</w:t>
            </w:r>
          </w:p>
        </w:tc>
        <w:tc>
          <w:tcPr>
            <w:tcW w:w="1818" w:type="dxa"/>
            <w:vAlign w:val="center"/>
          </w:tcPr>
          <w:p w14:paraId="7550C8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2017-01-04</w:t>
            </w:r>
          </w:p>
        </w:tc>
        <w:tc>
          <w:tcPr>
            <w:tcW w:w="1249" w:type="dxa"/>
            <w:vMerge w:val="continue"/>
            <w:vAlign w:val="center"/>
          </w:tcPr>
          <w:p w14:paraId="44C32C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5AFD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536A25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66</w:t>
            </w:r>
          </w:p>
        </w:tc>
        <w:tc>
          <w:tcPr>
            <w:tcW w:w="1461" w:type="dxa"/>
            <w:noWrap/>
            <w:vAlign w:val="center"/>
          </w:tcPr>
          <w:p w14:paraId="2A378F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数据中心UPS监控管理软件</w:t>
            </w:r>
          </w:p>
        </w:tc>
        <w:tc>
          <w:tcPr>
            <w:tcW w:w="1026" w:type="dxa"/>
            <w:noWrap/>
            <w:vAlign w:val="center"/>
          </w:tcPr>
          <w:p w14:paraId="307B48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卓佑</w:t>
            </w:r>
          </w:p>
        </w:tc>
        <w:tc>
          <w:tcPr>
            <w:tcW w:w="2670" w:type="dxa"/>
            <w:noWrap/>
            <w:vAlign w:val="center"/>
          </w:tcPr>
          <w:p w14:paraId="0489AF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V4.8(UPS)</w:t>
            </w:r>
          </w:p>
        </w:tc>
        <w:tc>
          <w:tcPr>
            <w:tcW w:w="1065" w:type="dxa"/>
            <w:noWrap/>
            <w:vAlign w:val="center"/>
          </w:tcPr>
          <w:p w14:paraId="3128AD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008289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2018-06-01</w:t>
            </w:r>
          </w:p>
        </w:tc>
        <w:tc>
          <w:tcPr>
            <w:tcW w:w="1249" w:type="dxa"/>
            <w:vMerge w:val="continue"/>
            <w:vAlign w:val="center"/>
          </w:tcPr>
          <w:p w14:paraId="7FE769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2066D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7091B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67</w:t>
            </w:r>
          </w:p>
        </w:tc>
        <w:tc>
          <w:tcPr>
            <w:tcW w:w="1461" w:type="dxa"/>
            <w:noWrap/>
            <w:vAlign w:val="center"/>
          </w:tcPr>
          <w:p w14:paraId="037F11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UPS软件接口协 议解析</w:t>
            </w:r>
          </w:p>
        </w:tc>
        <w:tc>
          <w:tcPr>
            <w:tcW w:w="1026" w:type="dxa"/>
            <w:noWrap/>
            <w:vAlign w:val="center"/>
          </w:tcPr>
          <w:p w14:paraId="3CCBF8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卓佑</w:t>
            </w:r>
          </w:p>
        </w:tc>
        <w:tc>
          <w:tcPr>
            <w:tcW w:w="2670" w:type="dxa"/>
            <w:noWrap/>
            <w:vAlign w:val="center"/>
          </w:tcPr>
          <w:p w14:paraId="77F8A3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V4.8(UPS)</w:t>
            </w:r>
          </w:p>
        </w:tc>
        <w:tc>
          <w:tcPr>
            <w:tcW w:w="1065" w:type="dxa"/>
            <w:noWrap/>
            <w:vAlign w:val="center"/>
          </w:tcPr>
          <w:p w14:paraId="18A8C0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1CE652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2022-10-18</w:t>
            </w:r>
          </w:p>
        </w:tc>
        <w:tc>
          <w:tcPr>
            <w:tcW w:w="1249" w:type="dxa"/>
            <w:vMerge w:val="continue"/>
            <w:vAlign w:val="center"/>
          </w:tcPr>
          <w:p w14:paraId="1CB490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7004F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49AFAF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68</w:t>
            </w:r>
          </w:p>
        </w:tc>
        <w:tc>
          <w:tcPr>
            <w:tcW w:w="1461" w:type="dxa"/>
            <w:noWrap/>
            <w:vAlign w:val="center"/>
          </w:tcPr>
          <w:p w14:paraId="73E8AC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UPS主机</w:t>
            </w:r>
          </w:p>
        </w:tc>
        <w:tc>
          <w:tcPr>
            <w:tcW w:w="1026" w:type="dxa"/>
            <w:noWrap/>
            <w:vAlign w:val="center"/>
          </w:tcPr>
          <w:p w14:paraId="4029D4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卓佑</w:t>
            </w:r>
          </w:p>
        </w:tc>
        <w:tc>
          <w:tcPr>
            <w:tcW w:w="2670" w:type="dxa"/>
            <w:noWrap/>
            <w:vAlign w:val="center"/>
          </w:tcPr>
          <w:p w14:paraId="1FC1E6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c>
          <w:tcPr>
            <w:tcW w:w="1065" w:type="dxa"/>
            <w:noWrap/>
            <w:vAlign w:val="center"/>
          </w:tcPr>
          <w:p w14:paraId="6CB9C7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2E1B83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2017-01-04</w:t>
            </w:r>
          </w:p>
        </w:tc>
        <w:tc>
          <w:tcPr>
            <w:tcW w:w="1249" w:type="dxa"/>
            <w:vMerge w:val="continue"/>
            <w:vAlign w:val="center"/>
          </w:tcPr>
          <w:p w14:paraId="34F8A8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6449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4A83F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69</w:t>
            </w:r>
          </w:p>
        </w:tc>
        <w:tc>
          <w:tcPr>
            <w:tcW w:w="1461" w:type="dxa"/>
            <w:noWrap/>
            <w:vAlign w:val="center"/>
          </w:tcPr>
          <w:p w14:paraId="458EA7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UPS电源机头</w:t>
            </w:r>
          </w:p>
        </w:tc>
        <w:tc>
          <w:tcPr>
            <w:tcW w:w="1026" w:type="dxa"/>
            <w:noWrap/>
            <w:vAlign w:val="center"/>
          </w:tcPr>
          <w:p w14:paraId="0CC671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维谛</w:t>
            </w:r>
          </w:p>
        </w:tc>
        <w:tc>
          <w:tcPr>
            <w:tcW w:w="2670" w:type="dxa"/>
            <w:noWrap/>
            <w:vAlign w:val="center"/>
          </w:tcPr>
          <w:p w14:paraId="33FC31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RPHM-60KVA</w:t>
            </w:r>
          </w:p>
        </w:tc>
        <w:tc>
          <w:tcPr>
            <w:tcW w:w="1065" w:type="dxa"/>
            <w:noWrap/>
            <w:vAlign w:val="center"/>
          </w:tcPr>
          <w:p w14:paraId="6D0045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3E7E41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2018-11-01</w:t>
            </w:r>
          </w:p>
        </w:tc>
        <w:tc>
          <w:tcPr>
            <w:tcW w:w="1249" w:type="dxa"/>
            <w:vMerge w:val="continue"/>
            <w:vAlign w:val="center"/>
          </w:tcPr>
          <w:p w14:paraId="1E87EC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75B83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20AC6B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70</w:t>
            </w:r>
          </w:p>
        </w:tc>
        <w:tc>
          <w:tcPr>
            <w:tcW w:w="1461" w:type="dxa"/>
            <w:noWrap/>
            <w:vAlign w:val="center"/>
          </w:tcPr>
          <w:p w14:paraId="1195FB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UPS电池组</w:t>
            </w:r>
          </w:p>
        </w:tc>
        <w:tc>
          <w:tcPr>
            <w:tcW w:w="1026" w:type="dxa"/>
            <w:noWrap/>
            <w:vAlign w:val="center"/>
          </w:tcPr>
          <w:p w14:paraId="41CCC8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理士</w:t>
            </w:r>
          </w:p>
        </w:tc>
        <w:tc>
          <w:tcPr>
            <w:tcW w:w="2670" w:type="dxa"/>
            <w:noWrap/>
            <w:vAlign w:val="center"/>
          </w:tcPr>
          <w:p w14:paraId="6824CD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32块电池</w:t>
            </w:r>
          </w:p>
        </w:tc>
        <w:tc>
          <w:tcPr>
            <w:tcW w:w="1065" w:type="dxa"/>
            <w:noWrap/>
            <w:vAlign w:val="center"/>
          </w:tcPr>
          <w:p w14:paraId="66F936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vAlign w:val="center"/>
          </w:tcPr>
          <w:p w14:paraId="019B6A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2018-11-01</w:t>
            </w:r>
          </w:p>
        </w:tc>
        <w:tc>
          <w:tcPr>
            <w:tcW w:w="1249" w:type="dxa"/>
            <w:vMerge w:val="continue"/>
            <w:vAlign w:val="center"/>
          </w:tcPr>
          <w:p w14:paraId="43985B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73FBE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2510C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71</w:t>
            </w:r>
          </w:p>
        </w:tc>
        <w:tc>
          <w:tcPr>
            <w:tcW w:w="1461" w:type="dxa"/>
            <w:noWrap/>
            <w:vAlign w:val="center"/>
          </w:tcPr>
          <w:p w14:paraId="4A5CFA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UPS主机</w:t>
            </w:r>
          </w:p>
        </w:tc>
        <w:tc>
          <w:tcPr>
            <w:tcW w:w="1026" w:type="dxa"/>
            <w:noWrap/>
            <w:vAlign w:val="center"/>
          </w:tcPr>
          <w:p w14:paraId="6C08FE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英威腾</w:t>
            </w:r>
          </w:p>
        </w:tc>
        <w:tc>
          <w:tcPr>
            <w:tcW w:w="2670" w:type="dxa"/>
            <w:noWrap/>
            <w:vAlign w:val="center"/>
          </w:tcPr>
          <w:p w14:paraId="300F14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HR1101L</w:t>
            </w:r>
          </w:p>
        </w:tc>
        <w:tc>
          <w:tcPr>
            <w:tcW w:w="1065" w:type="dxa"/>
            <w:noWrap/>
            <w:vAlign w:val="center"/>
          </w:tcPr>
          <w:p w14:paraId="4D84DE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7D57E5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2021-11-03</w:t>
            </w:r>
          </w:p>
        </w:tc>
        <w:tc>
          <w:tcPr>
            <w:tcW w:w="1249" w:type="dxa"/>
            <w:vMerge w:val="continue"/>
            <w:vAlign w:val="center"/>
          </w:tcPr>
          <w:p w14:paraId="307BAC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178C3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A033A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72</w:t>
            </w:r>
          </w:p>
        </w:tc>
        <w:tc>
          <w:tcPr>
            <w:tcW w:w="1461" w:type="dxa"/>
            <w:noWrap/>
            <w:vAlign w:val="center"/>
          </w:tcPr>
          <w:p w14:paraId="38D6AA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电池柜</w:t>
            </w:r>
          </w:p>
        </w:tc>
        <w:tc>
          <w:tcPr>
            <w:tcW w:w="1026" w:type="dxa"/>
            <w:noWrap/>
            <w:vAlign w:val="center"/>
          </w:tcPr>
          <w:p w14:paraId="1E5186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旭华</w:t>
            </w:r>
          </w:p>
        </w:tc>
        <w:tc>
          <w:tcPr>
            <w:tcW w:w="2670" w:type="dxa"/>
            <w:noWrap/>
            <w:vAlign w:val="center"/>
          </w:tcPr>
          <w:p w14:paraId="38934E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A16</w:t>
            </w:r>
          </w:p>
        </w:tc>
        <w:tc>
          <w:tcPr>
            <w:tcW w:w="1065" w:type="dxa"/>
            <w:noWrap/>
            <w:vAlign w:val="center"/>
          </w:tcPr>
          <w:p w14:paraId="0629B7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vAlign w:val="center"/>
          </w:tcPr>
          <w:p w14:paraId="096192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2022-07-12</w:t>
            </w:r>
          </w:p>
        </w:tc>
        <w:tc>
          <w:tcPr>
            <w:tcW w:w="1249" w:type="dxa"/>
            <w:vMerge w:val="continue"/>
            <w:vAlign w:val="center"/>
          </w:tcPr>
          <w:p w14:paraId="45A350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1601E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2F498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73</w:t>
            </w:r>
          </w:p>
        </w:tc>
        <w:tc>
          <w:tcPr>
            <w:tcW w:w="1461" w:type="dxa"/>
            <w:noWrap/>
            <w:vAlign w:val="center"/>
          </w:tcPr>
          <w:p w14:paraId="4C910F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w:t>
            </w:r>
          </w:p>
        </w:tc>
        <w:tc>
          <w:tcPr>
            <w:tcW w:w="1026" w:type="dxa"/>
            <w:noWrap/>
            <w:vAlign w:val="center"/>
          </w:tcPr>
          <w:p w14:paraId="741893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华为</w:t>
            </w:r>
          </w:p>
        </w:tc>
        <w:tc>
          <w:tcPr>
            <w:tcW w:w="2670" w:type="dxa"/>
            <w:noWrap/>
            <w:vAlign w:val="center"/>
          </w:tcPr>
          <w:p w14:paraId="6DEEC9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UPS2000-A-2KTTS</w:t>
            </w:r>
          </w:p>
        </w:tc>
        <w:tc>
          <w:tcPr>
            <w:tcW w:w="1065" w:type="dxa"/>
            <w:noWrap/>
            <w:vAlign w:val="center"/>
          </w:tcPr>
          <w:p w14:paraId="7CB9EE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0406E7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2019-11-13</w:t>
            </w:r>
          </w:p>
        </w:tc>
        <w:tc>
          <w:tcPr>
            <w:tcW w:w="1249" w:type="dxa"/>
            <w:vMerge w:val="continue"/>
            <w:vAlign w:val="center"/>
          </w:tcPr>
          <w:p w14:paraId="47073A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A88D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9A094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74</w:t>
            </w:r>
          </w:p>
        </w:tc>
        <w:tc>
          <w:tcPr>
            <w:tcW w:w="1461" w:type="dxa"/>
            <w:noWrap/>
            <w:vAlign w:val="center"/>
          </w:tcPr>
          <w:p w14:paraId="708084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w:t>
            </w:r>
          </w:p>
        </w:tc>
        <w:tc>
          <w:tcPr>
            <w:tcW w:w="1026" w:type="dxa"/>
            <w:noWrap/>
            <w:vAlign w:val="center"/>
          </w:tcPr>
          <w:p w14:paraId="0D6628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山特</w:t>
            </w:r>
          </w:p>
        </w:tc>
        <w:tc>
          <w:tcPr>
            <w:tcW w:w="2670" w:type="dxa"/>
            <w:noWrap/>
            <w:vAlign w:val="center"/>
          </w:tcPr>
          <w:p w14:paraId="231DAF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C6K</w:t>
            </w:r>
          </w:p>
        </w:tc>
        <w:tc>
          <w:tcPr>
            <w:tcW w:w="1065" w:type="dxa"/>
            <w:noWrap/>
            <w:vAlign w:val="center"/>
          </w:tcPr>
          <w:p w14:paraId="44E5D9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9</w:t>
            </w:r>
          </w:p>
        </w:tc>
        <w:tc>
          <w:tcPr>
            <w:tcW w:w="1818" w:type="dxa"/>
            <w:vAlign w:val="center"/>
          </w:tcPr>
          <w:p w14:paraId="40C931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2018-06-01</w:t>
            </w:r>
          </w:p>
        </w:tc>
        <w:tc>
          <w:tcPr>
            <w:tcW w:w="1249" w:type="dxa"/>
            <w:vMerge w:val="continue"/>
            <w:vAlign w:val="center"/>
          </w:tcPr>
          <w:p w14:paraId="3540F8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55E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31CF1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75</w:t>
            </w:r>
          </w:p>
        </w:tc>
        <w:tc>
          <w:tcPr>
            <w:tcW w:w="1461" w:type="dxa"/>
            <w:noWrap/>
            <w:vAlign w:val="center"/>
          </w:tcPr>
          <w:p w14:paraId="087A5D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w:t>
            </w:r>
          </w:p>
        </w:tc>
        <w:tc>
          <w:tcPr>
            <w:tcW w:w="1026" w:type="dxa"/>
            <w:noWrap/>
            <w:vAlign w:val="center"/>
          </w:tcPr>
          <w:p w14:paraId="595C30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山特</w:t>
            </w:r>
          </w:p>
        </w:tc>
        <w:tc>
          <w:tcPr>
            <w:tcW w:w="2670" w:type="dxa"/>
            <w:noWrap/>
            <w:vAlign w:val="center"/>
          </w:tcPr>
          <w:p w14:paraId="40CBF7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C3K</w:t>
            </w:r>
          </w:p>
        </w:tc>
        <w:tc>
          <w:tcPr>
            <w:tcW w:w="1065" w:type="dxa"/>
            <w:noWrap/>
            <w:vAlign w:val="center"/>
          </w:tcPr>
          <w:p w14:paraId="6BE319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w:t>
            </w:r>
          </w:p>
        </w:tc>
        <w:tc>
          <w:tcPr>
            <w:tcW w:w="1818" w:type="dxa"/>
            <w:vAlign w:val="center"/>
          </w:tcPr>
          <w:p w14:paraId="0261DD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2018-06-01</w:t>
            </w:r>
          </w:p>
        </w:tc>
        <w:tc>
          <w:tcPr>
            <w:tcW w:w="1249" w:type="dxa"/>
            <w:vMerge w:val="continue"/>
            <w:vAlign w:val="center"/>
          </w:tcPr>
          <w:p w14:paraId="480A1C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7A425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CED8E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76</w:t>
            </w:r>
          </w:p>
        </w:tc>
        <w:tc>
          <w:tcPr>
            <w:tcW w:w="1461" w:type="dxa"/>
            <w:noWrap/>
            <w:vAlign w:val="center"/>
          </w:tcPr>
          <w:p w14:paraId="1078B8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w:t>
            </w:r>
          </w:p>
        </w:tc>
        <w:tc>
          <w:tcPr>
            <w:tcW w:w="1026" w:type="dxa"/>
            <w:noWrap/>
            <w:vAlign w:val="center"/>
          </w:tcPr>
          <w:p w14:paraId="024FA2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山特</w:t>
            </w:r>
          </w:p>
        </w:tc>
        <w:tc>
          <w:tcPr>
            <w:tcW w:w="2670" w:type="dxa"/>
            <w:noWrap/>
            <w:vAlign w:val="center"/>
          </w:tcPr>
          <w:p w14:paraId="442364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C2K</w:t>
            </w:r>
          </w:p>
        </w:tc>
        <w:tc>
          <w:tcPr>
            <w:tcW w:w="1065" w:type="dxa"/>
            <w:noWrap/>
            <w:vAlign w:val="center"/>
          </w:tcPr>
          <w:p w14:paraId="1CCC0C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vAlign w:val="center"/>
          </w:tcPr>
          <w:p w14:paraId="5AFF1D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2018-06-01</w:t>
            </w:r>
          </w:p>
        </w:tc>
        <w:tc>
          <w:tcPr>
            <w:tcW w:w="1249" w:type="dxa"/>
            <w:vMerge w:val="continue"/>
            <w:vAlign w:val="center"/>
          </w:tcPr>
          <w:p w14:paraId="6ED568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3B1A0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19863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77</w:t>
            </w:r>
          </w:p>
        </w:tc>
        <w:tc>
          <w:tcPr>
            <w:tcW w:w="1461" w:type="dxa"/>
            <w:noWrap/>
            <w:vAlign w:val="center"/>
          </w:tcPr>
          <w:p w14:paraId="1E325E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w:t>
            </w:r>
          </w:p>
        </w:tc>
        <w:tc>
          <w:tcPr>
            <w:tcW w:w="1026" w:type="dxa"/>
            <w:noWrap/>
            <w:vAlign w:val="center"/>
          </w:tcPr>
          <w:p w14:paraId="0D64B2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山特</w:t>
            </w:r>
          </w:p>
        </w:tc>
        <w:tc>
          <w:tcPr>
            <w:tcW w:w="2670" w:type="dxa"/>
            <w:noWrap/>
            <w:vAlign w:val="center"/>
          </w:tcPr>
          <w:p w14:paraId="6B1D25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C1K</w:t>
            </w:r>
          </w:p>
        </w:tc>
        <w:tc>
          <w:tcPr>
            <w:tcW w:w="1065" w:type="dxa"/>
            <w:noWrap/>
            <w:vAlign w:val="center"/>
          </w:tcPr>
          <w:p w14:paraId="584425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8</w:t>
            </w:r>
          </w:p>
        </w:tc>
        <w:tc>
          <w:tcPr>
            <w:tcW w:w="1818" w:type="dxa"/>
            <w:vAlign w:val="center"/>
          </w:tcPr>
          <w:p w14:paraId="4954E3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2018-06-01</w:t>
            </w:r>
          </w:p>
        </w:tc>
        <w:tc>
          <w:tcPr>
            <w:tcW w:w="1249" w:type="dxa"/>
            <w:vMerge w:val="continue"/>
            <w:vAlign w:val="center"/>
          </w:tcPr>
          <w:p w14:paraId="1C69A1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07C7A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4F5BFE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78</w:t>
            </w:r>
          </w:p>
        </w:tc>
        <w:tc>
          <w:tcPr>
            <w:tcW w:w="1461" w:type="dxa"/>
            <w:noWrap/>
            <w:vAlign w:val="center"/>
          </w:tcPr>
          <w:p w14:paraId="174AEE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w:t>
            </w:r>
          </w:p>
        </w:tc>
        <w:tc>
          <w:tcPr>
            <w:tcW w:w="1026" w:type="dxa"/>
            <w:noWrap/>
            <w:vAlign w:val="center"/>
          </w:tcPr>
          <w:p w14:paraId="30A380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山特</w:t>
            </w:r>
          </w:p>
        </w:tc>
        <w:tc>
          <w:tcPr>
            <w:tcW w:w="2670" w:type="dxa"/>
            <w:noWrap/>
            <w:vAlign w:val="center"/>
          </w:tcPr>
          <w:p w14:paraId="0B92A5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6KVA</w:t>
            </w:r>
          </w:p>
        </w:tc>
        <w:tc>
          <w:tcPr>
            <w:tcW w:w="1065" w:type="dxa"/>
            <w:noWrap/>
            <w:vAlign w:val="center"/>
          </w:tcPr>
          <w:p w14:paraId="13E9C0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098D97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2021-07-05</w:t>
            </w:r>
          </w:p>
        </w:tc>
        <w:tc>
          <w:tcPr>
            <w:tcW w:w="1249" w:type="dxa"/>
            <w:vMerge w:val="continue"/>
            <w:vAlign w:val="center"/>
          </w:tcPr>
          <w:p w14:paraId="3DE902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5DEF2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423315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79</w:t>
            </w:r>
          </w:p>
        </w:tc>
        <w:tc>
          <w:tcPr>
            <w:tcW w:w="1461" w:type="dxa"/>
            <w:noWrap/>
            <w:vAlign w:val="center"/>
          </w:tcPr>
          <w:p w14:paraId="3CC586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w:t>
            </w:r>
          </w:p>
        </w:tc>
        <w:tc>
          <w:tcPr>
            <w:tcW w:w="1026" w:type="dxa"/>
            <w:noWrap/>
            <w:vAlign w:val="center"/>
          </w:tcPr>
          <w:p w14:paraId="00C351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山特</w:t>
            </w:r>
          </w:p>
        </w:tc>
        <w:tc>
          <w:tcPr>
            <w:tcW w:w="2670" w:type="dxa"/>
            <w:noWrap/>
            <w:vAlign w:val="center"/>
          </w:tcPr>
          <w:p w14:paraId="601A7B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1KVA</w:t>
            </w:r>
          </w:p>
        </w:tc>
        <w:tc>
          <w:tcPr>
            <w:tcW w:w="1065" w:type="dxa"/>
            <w:noWrap/>
            <w:vAlign w:val="center"/>
          </w:tcPr>
          <w:p w14:paraId="72EED2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4F0C64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2021-07-05</w:t>
            </w:r>
          </w:p>
        </w:tc>
        <w:tc>
          <w:tcPr>
            <w:tcW w:w="1249" w:type="dxa"/>
            <w:vMerge w:val="continue"/>
            <w:vAlign w:val="center"/>
          </w:tcPr>
          <w:p w14:paraId="7505F4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16775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195F14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80</w:t>
            </w:r>
          </w:p>
        </w:tc>
        <w:tc>
          <w:tcPr>
            <w:tcW w:w="1461" w:type="dxa"/>
            <w:noWrap/>
            <w:vAlign w:val="center"/>
          </w:tcPr>
          <w:p w14:paraId="6FAD1A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w:t>
            </w:r>
          </w:p>
        </w:tc>
        <w:tc>
          <w:tcPr>
            <w:tcW w:w="1026" w:type="dxa"/>
            <w:noWrap/>
            <w:vAlign w:val="center"/>
          </w:tcPr>
          <w:p w14:paraId="5ED491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山特</w:t>
            </w:r>
          </w:p>
        </w:tc>
        <w:tc>
          <w:tcPr>
            <w:tcW w:w="2670" w:type="dxa"/>
            <w:noWrap/>
            <w:vAlign w:val="center"/>
          </w:tcPr>
          <w:p w14:paraId="1BD8A8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BT06</w:t>
            </w:r>
          </w:p>
        </w:tc>
        <w:tc>
          <w:tcPr>
            <w:tcW w:w="1065" w:type="dxa"/>
            <w:noWrap/>
            <w:vAlign w:val="center"/>
          </w:tcPr>
          <w:p w14:paraId="61B68E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vAlign w:val="center"/>
          </w:tcPr>
          <w:p w14:paraId="337AD5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2021-11-03</w:t>
            </w:r>
          </w:p>
        </w:tc>
        <w:tc>
          <w:tcPr>
            <w:tcW w:w="1249" w:type="dxa"/>
            <w:vMerge w:val="continue"/>
            <w:vAlign w:val="center"/>
          </w:tcPr>
          <w:p w14:paraId="6AC135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6EF96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2409F2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81</w:t>
            </w:r>
          </w:p>
        </w:tc>
        <w:tc>
          <w:tcPr>
            <w:tcW w:w="1461" w:type="dxa"/>
            <w:noWrap/>
            <w:vAlign w:val="center"/>
          </w:tcPr>
          <w:p w14:paraId="2CA3FC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w:t>
            </w:r>
          </w:p>
        </w:tc>
        <w:tc>
          <w:tcPr>
            <w:tcW w:w="1026" w:type="dxa"/>
            <w:noWrap/>
            <w:vAlign w:val="center"/>
          </w:tcPr>
          <w:p w14:paraId="2A2CF4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山特</w:t>
            </w:r>
          </w:p>
        </w:tc>
        <w:tc>
          <w:tcPr>
            <w:tcW w:w="2670" w:type="dxa"/>
            <w:noWrap/>
            <w:vAlign w:val="center"/>
          </w:tcPr>
          <w:p w14:paraId="19A0A8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CASTLE</w:t>
            </w:r>
          </w:p>
        </w:tc>
        <w:tc>
          <w:tcPr>
            <w:tcW w:w="1065" w:type="dxa"/>
            <w:noWrap/>
            <w:vAlign w:val="center"/>
          </w:tcPr>
          <w:p w14:paraId="436B74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vAlign w:val="center"/>
          </w:tcPr>
          <w:p w14:paraId="0C56F2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2021-12-03</w:t>
            </w:r>
          </w:p>
        </w:tc>
        <w:tc>
          <w:tcPr>
            <w:tcW w:w="1249" w:type="dxa"/>
            <w:vMerge w:val="continue"/>
            <w:vAlign w:val="center"/>
          </w:tcPr>
          <w:p w14:paraId="1CF6E8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433D8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C3C6A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82</w:t>
            </w:r>
          </w:p>
        </w:tc>
        <w:tc>
          <w:tcPr>
            <w:tcW w:w="1461" w:type="dxa"/>
            <w:noWrap/>
            <w:vAlign w:val="center"/>
          </w:tcPr>
          <w:p w14:paraId="04BE95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w:t>
            </w:r>
          </w:p>
        </w:tc>
        <w:tc>
          <w:tcPr>
            <w:tcW w:w="1026" w:type="dxa"/>
            <w:noWrap/>
            <w:vAlign w:val="center"/>
          </w:tcPr>
          <w:p w14:paraId="1E7088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山特</w:t>
            </w:r>
          </w:p>
        </w:tc>
        <w:tc>
          <w:tcPr>
            <w:tcW w:w="2670" w:type="dxa"/>
            <w:noWrap/>
            <w:vAlign w:val="center"/>
          </w:tcPr>
          <w:p w14:paraId="5E22FF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6KVA/5.4KW</w:t>
            </w:r>
          </w:p>
        </w:tc>
        <w:tc>
          <w:tcPr>
            <w:tcW w:w="1065" w:type="dxa"/>
            <w:noWrap/>
            <w:vAlign w:val="center"/>
          </w:tcPr>
          <w:p w14:paraId="7FA638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818" w:type="dxa"/>
            <w:vAlign w:val="center"/>
          </w:tcPr>
          <w:p w14:paraId="26D163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2022-05-24</w:t>
            </w:r>
          </w:p>
        </w:tc>
        <w:tc>
          <w:tcPr>
            <w:tcW w:w="1249" w:type="dxa"/>
            <w:vMerge w:val="continue"/>
            <w:vAlign w:val="center"/>
          </w:tcPr>
          <w:p w14:paraId="6F432D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7EF3B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3C6035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83</w:t>
            </w:r>
          </w:p>
        </w:tc>
        <w:tc>
          <w:tcPr>
            <w:tcW w:w="1461" w:type="dxa"/>
            <w:noWrap/>
            <w:vAlign w:val="center"/>
          </w:tcPr>
          <w:p w14:paraId="51F591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UPS电源</w:t>
            </w:r>
          </w:p>
        </w:tc>
        <w:tc>
          <w:tcPr>
            <w:tcW w:w="1026" w:type="dxa"/>
            <w:noWrap/>
            <w:vAlign w:val="center"/>
          </w:tcPr>
          <w:p w14:paraId="54E8BB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山特</w:t>
            </w:r>
          </w:p>
        </w:tc>
        <w:tc>
          <w:tcPr>
            <w:tcW w:w="2670" w:type="dxa"/>
            <w:noWrap/>
            <w:vAlign w:val="center"/>
          </w:tcPr>
          <w:p w14:paraId="7F7681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3000VA/2400WC3K</w:t>
            </w:r>
          </w:p>
        </w:tc>
        <w:tc>
          <w:tcPr>
            <w:tcW w:w="1065" w:type="dxa"/>
            <w:noWrap/>
            <w:vAlign w:val="center"/>
          </w:tcPr>
          <w:p w14:paraId="004559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7F8A8D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2022-05-24</w:t>
            </w:r>
          </w:p>
        </w:tc>
        <w:tc>
          <w:tcPr>
            <w:tcW w:w="1249" w:type="dxa"/>
            <w:vMerge w:val="continue"/>
            <w:vAlign w:val="center"/>
          </w:tcPr>
          <w:p w14:paraId="4191AD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0F14C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52EA18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84</w:t>
            </w:r>
          </w:p>
        </w:tc>
        <w:tc>
          <w:tcPr>
            <w:tcW w:w="1461" w:type="dxa"/>
            <w:noWrap/>
            <w:vAlign w:val="center"/>
          </w:tcPr>
          <w:p w14:paraId="79B08E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UPS（不间断电源）</w:t>
            </w:r>
          </w:p>
        </w:tc>
        <w:tc>
          <w:tcPr>
            <w:tcW w:w="1026" w:type="dxa"/>
            <w:noWrap/>
            <w:vAlign w:val="center"/>
          </w:tcPr>
          <w:p w14:paraId="05639E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英威腾</w:t>
            </w:r>
          </w:p>
        </w:tc>
        <w:tc>
          <w:tcPr>
            <w:tcW w:w="2670" w:type="dxa"/>
            <w:noWrap/>
            <w:vAlign w:val="center"/>
          </w:tcPr>
          <w:p w14:paraId="59CEEA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RM060（模块化）</w:t>
            </w:r>
          </w:p>
        </w:tc>
        <w:tc>
          <w:tcPr>
            <w:tcW w:w="1065" w:type="dxa"/>
            <w:noWrap/>
            <w:vAlign w:val="center"/>
          </w:tcPr>
          <w:p w14:paraId="71FE38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818" w:type="dxa"/>
            <w:vAlign w:val="center"/>
          </w:tcPr>
          <w:p w14:paraId="40D6D5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2022-07-12</w:t>
            </w:r>
          </w:p>
        </w:tc>
        <w:tc>
          <w:tcPr>
            <w:tcW w:w="1249" w:type="dxa"/>
            <w:vMerge w:val="continue"/>
            <w:vAlign w:val="center"/>
          </w:tcPr>
          <w:p w14:paraId="679A0F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r w14:paraId="15237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825" w:type="dxa"/>
            <w:vAlign w:val="center"/>
          </w:tcPr>
          <w:p w14:paraId="01B11A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85</w:t>
            </w:r>
          </w:p>
        </w:tc>
        <w:tc>
          <w:tcPr>
            <w:tcW w:w="1461" w:type="dxa"/>
            <w:noWrap/>
            <w:vAlign w:val="center"/>
          </w:tcPr>
          <w:p w14:paraId="024016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弱电井网络机柜</w:t>
            </w:r>
          </w:p>
        </w:tc>
        <w:tc>
          <w:tcPr>
            <w:tcW w:w="1026" w:type="dxa"/>
            <w:noWrap/>
            <w:vAlign w:val="center"/>
          </w:tcPr>
          <w:p w14:paraId="6F9E6B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图腾</w:t>
            </w:r>
          </w:p>
        </w:tc>
        <w:tc>
          <w:tcPr>
            <w:tcW w:w="2670" w:type="dxa"/>
            <w:noWrap/>
            <w:vAlign w:val="center"/>
          </w:tcPr>
          <w:p w14:paraId="2B92BB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600*600*2000</w:t>
            </w:r>
          </w:p>
        </w:tc>
        <w:tc>
          <w:tcPr>
            <w:tcW w:w="1065" w:type="dxa"/>
            <w:noWrap/>
            <w:vAlign w:val="center"/>
          </w:tcPr>
          <w:p w14:paraId="372EDC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49</w:t>
            </w:r>
          </w:p>
        </w:tc>
        <w:tc>
          <w:tcPr>
            <w:tcW w:w="1818" w:type="dxa"/>
            <w:vAlign w:val="center"/>
          </w:tcPr>
          <w:p w14:paraId="1BD5FE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2012-04-16</w:t>
            </w:r>
          </w:p>
        </w:tc>
        <w:tc>
          <w:tcPr>
            <w:tcW w:w="1249" w:type="dxa"/>
            <w:vMerge w:val="continue"/>
            <w:vAlign w:val="center"/>
          </w:tcPr>
          <w:p w14:paraId="2D2057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kern w:val="0"/>
                <w:sz w:val="24"/>
                <w:szCs w:val="24"/>
                <w:highlight w:val="none"/>
              </w:rPr>
            </w:pPr>
          </w:p>
        </w:tc>
      </w:tr>
    </w:tbl>
    <w:p w14:paraId="39A6160E">
      <w:pPr>
        <w:spacing w:line="360" w:lineRule="auto"/>
        <w:ind w:firstLine="480" w:firstLineChars="200"/>
        <w:rPr>
          <w:rFonts w:ascii="Times New Roman" w:hAnsi="Times New Roman"/>
          <w:color w:val="auto"/>
          <w:sz w:val="24"/>
          <w:highlight w:val="none"/>
        </w:rPr>
      </w:pPr>
      <w:r>
        <w:rPr>
          <w:rFonts w:ascii="Times New Roman" w:hAnsi="Times New Roman"/>
          <w:color w:val="auto"/>
          <w:sz w:val="24"/>
          <w:highlight w:val="none"/>
        </w:rPr>
        <w:t>（二）运维人员要求</w:t>
      </w:r>
    </w:p>
    <w:tbl>
      <w:tblPr>
        <w:tblStyle w:val="23"/>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
        <w:gridCol w:w="1286"/>
        <w:gridCol w:w="735"/>
        <w:gridCol w:w="2385"/>
        <w:gridCol w:w="3675"/>
        <w:gridCol w:w="1121"/>
      </w:tblGrid>
      <w:tr w14:paraId="0705C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Align w:val="center"/>
          </w:tcPr>
          <w:p w14:paraId="33A8E8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序号</w:t>
            </w:r>
          </w:p>
        </w:tc>
        <w:tc>
          <w:tcPr>
            <w:tcW w:w="1286" w:type="dxa"/>
            <w:vAlign w:val="center"/>
          </w:tcPr>
          <w:p w14:paraId="71F913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岗位名称</w:t>
            </w:r>
          </w:p>
        </w:tc>
        <w:tc>
          <w:tcPr>
            <w:tcW w:w="735" w:type="dxa"/>
            <w:vAlign w:val="center"/>
          </w:tcPr>
          <w:p w14:paraId="7B7703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人数</w:t>
            </w:r>
          </w:p>
        </w:tc>
        <w:tc>
          <w:tcPr>
            <w:tcW w:w="2385" w:type="dxa"/>
            <w:vAlign w:val="center"/>
          </w:tcPr>
          <w:p w14:paraId="1FD842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要求</w:t>
            </w:r>
          </w:p>
        </w:tc>
        <w:tc>
          <w:tcPr>
            <w:tcW w:w="3675" w:type="dxa"/>
            <w:vAlign w:val="center"/>
          </w:tcPr>
          <w:p w14:paraId="46785F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工作职责</w:t>
            </w:r>
          </w:p>
        </w:tc>
        <w:tc>
          <w:tcPr>
            <w:tcW w:w="1121" w:type="dxa"/>
            <w:vAlign w:val="center"/>
          </w:tcPr>
          <w:p w14:paraId="12EC1C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是否驻场服务</w:t>
            </w:r>
          </w:p>
        </w:tc>
      </w:tr>
      <w:tr w14:paraId="533C9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Align w:val="center"/>
          </w:tcPr>
          <w:p w14:paraId="03F547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1</w:t>
            </w:r>
          </w:p>
        </w:tc>
        <w:tc>
          <w:tcPr>
            <w:tcW w:w="1286" w:type="dxa"/>
            <w:vAlign w:val="center"/>
          </w:tcPr>
          <w:p w14:paraId="73CD69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项目经理</w:t>
            </w:r>
          </w:p>
        </w:tc>
        <w:tc>
          <w:tcPr>
            <w:tcW w:w="735" w:type="dxa"/>
            <w:vAlign w:val="center"/>
          </w:tcPr>
          <w:p w14:paraId="2A5870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1</w:t>
            </w:r>
          </w:p>
        </w:tc>
        <w:tc>
          <w:tcPr>
            <w:tcW w:w="2385" w:type="dxa"/>
            <w:vAlign w:val="center"/>
          </w:tcPr>
          <w:p w14:paraId="1DD1F37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olor w:val="auto"/>
                <w:sz w:val="24"/>
                <w:szCs w:val="24"/>
                <w:highlight w:val="none"/>
                <w:lang w:eastAsia="zh-CN"/>
              </w:rPr>
            </w:pPr>
            <w:r>
              <w:rPr>
                <w:rFonts w:ascii="Times New Roman" w:hAnsi="Times New Roman"/>
                <w:color w:val="auto"/>
                <w:sz w:val="24"/>
                <w:szCs w:val="24"/>
                <w:highlight w:val="none"/>
              </w:rPr>
              <w:t>大</w:t>
            </w:r>
            <w:r>
              <w:rPr>
                <w:rFonts w:hint="eastAsia" w:ascii="Times New Roman" w:hAnsi="Times New Roman"/>
                <w:color w:val="auto"/>
                <w:sz w:val="24"/>
                <w:szCs w:val="24"/>
                <w:highlight w:val="none"/>
              </w:rPr>
              <w:t>学本科</w:t>
            </w:r>
            <w:r>
              <w:rPr>
                <w:rFonts w:ascii="Times New Roman" w:hAnsi="Times New Roman"/>
                <w:color w:val="auto"/>
                <w:sz w:val="24"/>
                <w:szCs w:val="24"/>
                <w:highlight w:val="none"/>
              </w:rPr>
              <w:t>或以上学历，5年或以上</w:t>
            </w:r>
            <w:r>
              <w:rPr>
                <w:rFonts w:hint="eastAsia"/>
                <w:color w:val="auto"/>
                <w:sz w:val="24"/>
                <w:szCs w:val="24"/>
                <w:highlight w:val="none"/>
                <w:lang w:val="en-US" w:eastAsia="zh-CN"/>
              </w:rPr>
              <w:t>信息化</w:t>
            </w:r>
            <w:r>
              <w:rPr>
                <w:rFonts w:ascii="Times New Roman" w:hAnsi="Times New Roman"/>
                <w:color w:val="auto"/>
                <w:sz w:val="24"/>
                <w:szCs w:val="24"/>
                <w:highlight w:val="none"/>
              </w:rPr>
              <w:t>硬件运行维护工作经验。</w:t>
            </w:r>
            <w:r>
              <w:rPr>
                <w:rFonts w:hint="eastAsia" w:ascii="Times New Roman" w:hAnsi="Times New Roman"/>
                <w:color w:val="auto"/>
                <w:sz w:val="24"/>
                <w:szCs w:val="24"/>
                <w:highlight w:val="none"/>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ascii="Times New Roman" w:hAnsi="Times New Roman"/>
                <w:color w:val="auto"/>
                <w:sz w:val="24"/>
                <w:szCs w:val="24"/>
                <w:highlight w:val="none"/>
              </w:rPr>
              <w:t>、</w:t>
            </w:r>
            <w:r>
              <w:rPr>
                <w:rFonts w:hint="eastAsia"/>
                <w:color w:val="auto"/>
                <w:sz w:val="24"/>
                <w:szCs w:val="24"/>
                <w:highlight w:val="none"/>
                <w:lang w:val="en-US" w:eastAsia="zh-CN"/>
              </w:rPr>
              <w:t>工程技术系列高级或以上职称证书（</w:t>
            </w:r>
            <w:r>
              <w:rPr>
                <w:rFonts w:hint="eastAsia" w:ascii="Times New Roman" w:hAnsi="Times New Roman"/>
                <w:color w:val="auto"/>
                <w:sz w:val="24"/>
                <w:szCs w:val="24"/>
                <w:highlight w:val="none"/>
              </w:rPr>
              <w:t>通信相关专业</w:t>
            </w:r>
            <w:r>
              <w:rPr>
                <w:rFonts w:hint="eastAsia"/>
                <w:color w:val="auto"/>
                <w:sz w:val="24"/>
                <w:szCs w:val="24"/>
                <w:highlight w:val="none"/>
                <w:lang w:val="en-US" w:eastAsia="zh-CN"/>
              </w:rPr>
              <w:t>）</w:t>
            </w:r>
            <w:r>
              <w:rPr>
                <w:rFonts w:hint="eastAsia"/>
                <w:color w:val="auto"/>
                <w:sz w:val="24"/>
                <w:szCs w:val="24"/>
                <w:highlight w:val="none"/>
                <w:lang w:eastAsia="zh-CN"/>
              </w:rPr>
              <w:t>。</w:t>
            </w:r>
          </w:p>
        </w:tc>
        <w:tc>
          <w:tcPr>
            <w:tcW w:w="3675" w:type="dxa"/>
            <w:vAlign w:val="center"/>
          </w:tcPr>
          <w:p w14:paraId="1A75B11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1121" w:type="dxa"/>
            <w:vAlign w:val="center"/>
          </w:tcPr>
          <w:p w14:paraId="4E028F34">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color w:val="auto"/>
                <w:sz w:val="24"/>
                <w:szCs w:val="24"/>
                <w:highlight w:val="none"/>
              </w:rPr>
            </w:pPr>
            <w:r>
              <w:rPr>
                <w:rFonts w:hint="eastAsia" w:ascii="Times New Roman" w:hAnsi="Times New Roman"/>
                <w:color w:val="auto"/>
                <w:sz w:val="24"/>
                <w:szCs w:val="24"/>
                <w:highlight w:val="none"/>
              </w:rPr>
              <w:t>不提供驻场，7*24小时响应</w:t>
            </w:r>
          </w:p>
        </w:tc>
      </w:tr>
      <w:tr w14:paraId="489C6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Align w:val="center"/>
          </w:tcPr>
          <w:p w14:paraId="579B46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hint="eastAsia" w:ascii="Times New Roman" w:hAnsi="Times New Roman"/>
                <w:color w:val="auto"/>
                <w:sz w:val="24"/>
                <w:szCs w:val="24"/>
                <w:highlight w:val="none"/>
              </w:rPr>
              <w:t>2</w:t>
            </w:r>
          </w:p>
        </w:tc>
        <w:tc>
          <w:tcPr>
            <w:tcW w:w="1286" w:type="dxa"/>
            <w:vAlign w:val="center"/>
          </w:tcPr>
          <w:p w14:paraId="7AF961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hint="eastAsia" w:ascii="Times New Roman" w:hAnsi="Times New Roman"/>
                <w:color w:val="auto"/>
                <w:sz w:val="24"/>
                <w:szCs w:val="24"/>
                <w:highlight w:val="none"/>
              </w:rPr>
              <w:t>技术人员</w:t>
            </w:r>
          </w:p>
        </w:tc>
        <w:tc>
          <w:tcPr>
            <w:tcW w:w="735" w:type="dxa"/>
            <w:vAlign w:val="center"/>
          </w:tcPr>
          <w:p w14:paraId="4C27CC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hint="eastAsia" w:ascii="Times New Roman" w:hAnsi="Times New Roman"/>
                <w:color w:val="auto"/>
                <w:sz w:val="24"/>
                <w:szCs w:val="24"/>
                <w:highlight w:val="none"/>
              </w:rPr>
              <w:t>1</w:t>
            </w:r>
          </w:p>
        </w:tc>
        <w:tc>
          <w:tcPr>
            <w:tcW w:w="2385" w:type="dxa"/>
            <w:vAlign w:val="center"/>
          </w:tcPr>
          <w:p w14:paraId="2DE4FA0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Theme="minorEastAsia"/>
                <w:color w:val="auto"/>
                <w:sz w:val="24"/>
                <w:szCs w:val="24"/>
                <w:highlight w:val="none"/>
                <w:lang w:eastAsia="zh-CN"/>
              </w:rPr>
            </w:pPr>
            <w:r>
              <w:rPr>
                <w:rFonts w:ascii="Times New Roman" w:hAnsi="Times New Roman"/>
                <w:color w:val="auto"/>
                <w:sz w:val="24"/>
                <w:szCs w:val="24"/>
                <w:highlight w:val="none"/>
              </w:rPr>
              <w:t>大</w:t>
            </w:r>
            <w:r>
              <w:rPr>
                <w:rFonts w:hint="eastAsia" w:ascii="Times New Roman" w:hAnsi="Times New Roman"/>
                <w:color w:val="auto"/>
                <w:sz w:val="24"/>
                <w:szCs w:val="24"/>
                <w:highlight w:val="none"/>
              </w:rPr>
              <w:t>学本科</w:t>
            </w:r>
            <w:r>
              <w:rPr>
                <w:rFonts w:ascii="Times New Roman" w:hAnsi="Times New Roman"/>
                <w:color w:val="auto"/>
                <w:sz w:val="24"/>
                <w:szCs w:val="24"/>
                <w:highlight w:val="none"/>
              </w:rPr>
              <w:t>或以上学历，3年或以上</w:t>
            </w:r>
            <w:r>
              <w:rPr>
                <w:rFonts w:hint="eastAsia"/>
                <w:color w:val="auto"/>
                <w:sz w:val="24"/>
                <w:szCs w:val="24"/>
                <w:highlight w:val="none"/>
                <w:lang w:val="en-US" w:eastAsia="zh-CN"/>
              </w:rPr>
              <w:t>信息化</w:t>
            </w:r>
            <w:r>
              <w:rPr>
                <w:rFonts w:ascii="Times New Roman" w:hAnsi="Times New Roman"/>
                <w:color w:val="auto"/>
                <w:sz w:val="24"/>
                <w:szCs w:val="24"/>
                <w:highlight w:val="none"/>
              </w:rPr>
              <w:t>硬件运行维护工作经验。</w:t>
            </w:r>
            <w:r>
              <w:rPr>
                <w:rFonts w:hint="eastAsia" w:ascii="Times New Roman" w:hAnsi="Times New Roman"/>
                <w:color w:val="auto"/>
                <w:sz w:val="24"/>
                <w:szCs w:val="24"/>
                <w:highlight w:val="none"/>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eastAsiaTheme="minorEastAsia"/>
                <w:color w:val="auto"/>
                <w:kern w:val="0"/>
                <w:sz w:val="24"/>
                <w:szCs w:val="24"/>
                <w:highlight w:val="none"/>
                <w:lang w:eastAsia="zh-CN"/>
              </w:rPr>
              <w:t>。</w:t>
            </w:r>
          </w:p>
        </w:tc>
        <w:tc>
          <w:tcPr>
            <w:tcW w:w="3675" w:type="dxa"/>
            <w:vAlign w:val="center"/>
          </w:tcPr>
          <w:p w14:paraId="4458697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1121" w:type="dxa"/>
            <w:vAlign w:val="center"/>
          </w:tcPr>
          <w:p w14:paraId="7BD57FFF">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color w:val="auto"/>
                <w:sz w:val="24"/>
                <w:szCs w:val="24"/>
                <w:highlight w:val="none"/>
              </w:rPr>
            </w:pPr>
            <w:r>
              <w:rPr>
                <w:rFonts w:hint="eastAsia" w:ascii="Times New Roman" w:hAnsi="Times New Roman"/>
                <w:color w:val="auto"/>
                <w:sz w:val="24"/>
                <w:szCs w:val="24"/>
                <w:highlight w:val="none"/>
              </w:rPr>
              <w:t>不提供驻场，7*24小时响应</w:t>
            </w:r>
          </w:p>
        </w:tc>
      </w:tr>
      <w:tr w14:paraId="25656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Align w:val="center"/>
          </w:tcPr>
          <w:p w14:paraId="32E16B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i w:val="0"/>
                <w:iCs w:val="0"/>
                <w:color w:val="auto"/>
                <w:sz w:val="24"/>
                <w:szCs w:val="24"/>
                <w:highlight w:val="none"/>
              </w:rPr>
            </w:pPr>
            <w:r>
              <w:rPr>
                <w:rFonts w:ascii="Times New Roman" w:hAnsi="Times New Roman"/>
                <w:i w:val="0"/>
                <w:iCs w:val="0"/>
                <w:color w:val="auto"/>
                <w:sz w:val="24"/>
                <w:szCs w:val="24"/>
                <w:highlight w:val="none"/>
              </w:rPr>
              <w:t>3</w:t>
            </w:r>
          </w:p>
        </w:tc>
        <w:tc>
          <w:tcPr>
            <w:tcW w:w="1286" w:type="dxa"/>
            <w:vAlign w:val="center"/>
          </w:tcPr>
          <w:p w14:paraId="0CE206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i w:val="0"/>
                <w:iCs w:val="0"/>
                <w:color w:val="auto"/>
                <w:sz w:val="24"/>
                <w:szCs w:val="24"/>
                <w:highlight w:val="none"/>
              </w:rPr>
            </w:pPr>
            <w:r>
              <w:rPr>
                <w:rFonts w:ascii="Times New Roman" w:hAnsi="Times New Roman"/>
                <w:i w:val="0"/>
                <w:iCs w:val="0"/>
                <w:color w:val="auto"/>
                <w:sz w:val="24"/>
                <w:szCs w:val="24"/>
                <w:highlight w:val="none"/>
              </w:rPr>
              <w:t>运维人员</w:t>
            </w:r>
          </w:p>
        </w:tc>
        <w:tc>
          <w:tcPr>
            <w:tcW w:w="735" w:type="dxa"/>
            <w:vAlign w:val="center"/>
          </w:tcPr>
          <w:p w14:paraId="563017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i w:val="0"/>
                <w:iCs w:val="0"/>
                <w:color w:val="auto"/>
                <w:sz w:val="24"/>
                <w:szCs w:val="24"/>
                <w:highlight w:val="none"/>
              </w:rPr>
            </w:pPr>
            <w:r>
              <w:rPr>
                <w:rFonts w:hint="eastAsia" w:ascii="Times New Roman" w:hAnsi="Times New Roman"/>
                <w:i w:val="0"/>
                <w:iCs w:val="0"/>
                <w:color w:val="auto"/>
                <w:sz w:val="24"/>
                <w:szCs w:val="24"/>
                <w:highlight w:val="none"/>
              </w:rPr>
              <w:t>4</w:t>
            </w:r>
          </w:p>
        </w:tc>
        <w:tc>
          <w:tcPr>
            <w:tcW w:w="2385" w:type="dxa"/>
            <w:vAlign w:val="center"/>
          </w:tcPr>
          <w:p w14:paraId="0DF6D1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i w:val="0"/>
                <w:iCs w:val="0"/>
                <w:color w:val="auto"/>
                <w:sz w:val="24"/>
                <w:szCs w:val="24"/>
                <w:highlight w:val="none"/>
                <w:lang w:eastAsia="zh-CN"/>
              </w:rPr>
            </w:pPr>
            <w:r>
              <w:rPr>
                <w:rFonts w:ascii="Times New Roman" w:hAnsi="Times New Roman"/>
                <w:i w:val="0"/>
                <w:iCs w:val="0"/>
                <w:color w:val="auto"/>
                <w:sz w:val="24"/>
                <w:szCs w:val="24"/>
                <w:highlight w:val="none"/>
              </w:rPr>
              <w:t>大</w:t>
            </w:r>
            <w:r>
              <w:rPr>
                <w:rFonts w:hint="eastAsia" w:ascii="Times New Roman" w:hAnsi="Times New Roman"/>
                <w:i w:val="0"/>
                <w:iCs w:val="0"/>
                <w:color w:val="auto"/>
                <w:sz w:val="24"/>
                <w:szCs w:val="24"/>
                <w:highlight w:val="none"/>
              </w:rPr>
              <w:t>学本科</w:t>
            </w:r>
            <w:r>
              <w:rPr>
                <w:rFonts w:ascii="Times New Roman" w:hAnsi="Times New Roman"/>
                <w:i w:val="0"/>
                <w:iCs w:val="0"/>
                <w:color w:val="auto"/>
                <w:sz w:val="24"/>
                <w:szCs w:val="24"/>
                <w:highlight w:val="none"/>
              </w:rPr>
              <w:t>或以上学历，3年或以上</w:t>
            </w:r>
            <w:r>
              <w:rPr>
                <w:rFonts w:hint="eastAsia"/>
                <w:i w:val="0"/>
                <w:iCs w:val="0"/>
                <w:color w:val="auto"/>
                <w:sz w:val="24"/>
                <w:szCs w:val="24"/>
                <w:highlight w:val="none"/>
                <w:lang w:val="en-US" w:eastAsia="zh-CN"/>
              </w:rPr>
              <w:t>信息化</w:t>
            </w:r>
            <w:r>
              <w:rPr>
                <w:rFonts w:ascii="Times New Roman" w:hAnsi="Times New Roman"/>
                <w:i w:val="0"/>
                <w:iCs w:val="0"/>
                <w:color w:val="auto"/>
                <w:sz w:val="24"/>
                <w:szCs w:val="24"/>
                <w:highlight w:val="none"/>
              </w:rPr>
              <w:t>硬件运行维护工作经验。</w:t>
            </w:r>
            <w:r>
              <w:rPr>
                <w:rFonts w:hint="eastAsia"/>
                <w:i w:val="0"/>
                <w:iCs w:val="0"/>
                <w:color w:val="auto"/>
                <w:sz w:val="24"/>
                <w:szCs w:val="24"/>
                <w:highlight w:val="none"/>
                <w:lang w:val="en-US" w:eastAsia="zh-CN"/>
              </w:rPr>
              <w:t>其中1人具备</w:t>
            </w:r>
            <w:r>
              <w:rPr>
                <w:rFonts w:hint="eastAsia" w:ascii="Times New Roman" w:hAnsi="Times New Roman"/>
                <w:i w:val="0"/>
                <w:iCs w:val="0"/>
                <w:color w:val="auto"/>
                <w:sz w:val="24"/>
                <w:szCs w:val="24"/>
                <w:highlight w:val="none"/>
              </w:rPr>
              <w:t>注册安全专业人员（CISO）证书</w:t>
            </w:r>
            <w:r>
              <w:rPr>
                <w:rFonts w:hint="eastAsia"/>
                <w:i w:val="0"/>
                <w:iCs w:val="0"/>
                <w:color w:val="auto"/>
                <w:sz w:val="24"/>
                <w:szCs w:val="24"/>
                <w:highlight w:val="none"/>
                <w:lang w:eastAsia="zh-CN"/>
              </w:rPr>
              <w:t>，</w:t>
            </w:r>
            <w:r>
              <w:rPr>
                <w:rFonts w:hint="eastAsia"/>
                <w:i w:val="0"/>
                <w:iCs w:val="0"/>
                <w:color w:val="auto"/>
                <w:sz w:val="24"/>
                <w:szCs w:val="24"/>
                <w:highlight w:val="none"/>
                <w:lang w:val="en-US" w:eastAsia="zh-CN"/>
              </w:rPr>
              <w:t>其中1人具备</w:t>
            </w:r>
            <w:r>
              <w:rPr>
                <w:rFonts w:hint="eastAsia" w:ascii="Times New Roman" w:hAnsi="Times New Roman"/>
                <w:i w:val="0"/>
                <w:iCs w:val="0"/>
                <w:color w:val="auto"/>
                <w:sz w:val="24"/>
                <w:szCs w:val="24"/>
                <w:highlight w:val="none"/>
              </w:rPr>
              <w:t>注册信息安全工程师（CISE）证书</w:t>
            </w:r>
            <w:r>
              <w:rPr>
                <w:rFonts w:hint="eastAsia"/>
                <w:i w:val="0"/>
                <w:iCs w:val="0"/>
                <w:color w:val="auto"/>
                <w:sz w:val="24"/>
                <w:szCs w:val="24"/>
                <w:highlight w:val="none"/>
                <w:lang w:eastAsia="zh-CN"/>
              </w:rPr>
              <w:t>，</w:t>
            </w:r>
            <w:r>
              <w:rPr>
                <w:rFonts w:hint="eastAsia"/>
                <w:i w:val="0"/>
                <w:iCs w:val="0"/>
                <w:color w:val="auto"/>
                <w:sz w:val="24"/>
                <w:szCs w:val="24"/>
                <w:highlight w:val="none"/>
                <w:lang w:val="en-US" w:eastAsia="zh-CN"/>
              </w:rPr>
              <w:t>其中1人具备</w:t>
            </w:r>
            <w:r>
              <w:rPr>
                <w:rFonts w:hint="eastAsia" w:eastAsiaTheme="minorEastAsia"/>
                <w:i w:val="0"/>
                <w:iCs w:val="0"/>
                <w:color w:val="auto"/>
                <w:kern w:val="0"/>
                <w:sz w:val="24"/>
                <w:szCs w:val="24"/>
                <w:highlight w:val="none"/>
              </w:rPr>
              <w:t>计算机技术与软件专业技术资格证书（</w:t>
            </w:r>
            <w:r>
              <w:rPr>
                <w:rFonts w:hint="eastAsia" w:ascii="Times New Roman" w:hAnsi="Times New Roman"/>
                <w:i w:val="0"/>
                <w:iCs w:val="0"/>
                <w:color w:val="auto"/>
                <w:sz w:val="24"/>
                <w:szCs w:val="24"/>
                <w:highlight w:val="none"/>
              </w:rPr>
              <w:t>系统集成项目管理工程师</w:t>
            </w:r>
            <w:r>
              <w:rPr>
                <w:rFonts w:hint="eastAsia" w:eastAsiaTheme="minorEastAsia"/>
                <w:i w:val="0"/>
                <w:iCs w:val="0"/>
                <w:color w:val="auto"/>
                <w:kern w:val="0"/>
                <w:sz w:val="24"/>
                <w:szCs w:val="24"/>
                <w:highlight w:val="none"/>
              </w:rPr>
              <w:t>）</w:t>
            </w:r>
            <w:r>
              <w:rPr>
                <w:rFonts w:hint="eastAsia" w:eastAsiaTheme="minorEastAsia"/>
                <w:i w:val="0"/>
                <w:iCs w:val="0"/>
                <w:color w:val="auto"/>
                <w:kern w:val="0"/>
                <w:sz w:val="24"/>
                <w:szCs w:val="24"/>
                <w:highlight w:val="none"/>
                <w:lang w:eastAsia="zh-CN"/>
              </w:rPr>
              <w:t>，</w:t>
            </w:r>
            <w:r>
              <w:rPr>
                <w:rFonts w:hint="eastAsia"/>
                <w:i w:val="0"/>
                <w:iCs w:val="0"/>
                <w:color w:val="auto"/>
                <w:sz w:val="24"/>
                <w:szCs w:val="24"/>
                <w:highlight w:val="none"/>
                <w:lang w:val="en-US" w:eastAsia="zh-CN"/>
              </w:rPr>
              <w:t>其中1人具备</w:t>
            </w:r>
            <w:r>
              <w:rPr>
                <w:rFonts w:hint="eastAsia" w:ascii="Times New Roman" w:hAnsi="Times New Roman"/>
                <w:i w:val="0"/>
                <w:iCs w:val="0"/>
                <w:color w:val="auto"/>
                <w:sz w:val="24"/>
                <w:szCs w:val="24"/>
                <w:highlight w:val="none"/>
              </w:rPr>
              <w:t>华为HCIE或新华三H3CIE网络认证工程师证书</w:t>
            </w:r>
            <w:r>
              <w:rPr>
                <w:rFonts w:hint="eastAsia"/>
                <w:i w:val="0"/>
                <w:iCs w:val="0"/>
                <w:color w:val="auto"/>
                <w:sz w:val="24"/>
                <w:szCs w:val="24"/>
                <w:highlight w:val="none"/>
                <w:lang w:eastAsia="zh-CN"/>
              </w:rPr>
              <w:t>，</w:t>
            </w:r>
            <w:r>
              <w:rPr>
                <w:rFonts w:hint="eastAsia"/>
                <w:i w:val="0"/>
                <w:iCs w:val="0"/>
                <w:color w:val="auto"/>
                <w:sz w:val="24"/>
                <w:szCs w:val="24"/>
                <w:highlight w:val="none"/>
                <w:lang w:val="en-US" w:eastAsia="zh-CN"/>
              </w:rPr>
              <w:t>上述证书持证人员不得为同一人</w:t>
            </w:r>
            <w:r>
              <w:rPr>
                <w:rFonts w:hint="eastAsia"/>
                <w:i w:val="0"/>
                <w:iCs w:val="0"/>
                <w:color w:val="auto"/>
                <w:sz w:val="24"/>
                <w:szCs w:val="24"/>
                <w:highlight w:val="none"/>
                <w:lang w:eastAsia="zh-CN"/>
              </w:rPr>
              <w:t>。</w:t>
            </w:r>
          </w:p>
        </w:tc>
        <w:tc>
          <w:tcPr>
            <w:tcW w:w="3675" w:type="dxa"/>
            <w:vAlign w:val="center"/>
          </w:tcPr>
          <w:p w14:paraId="61215D8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从事组织信息安全风险评估、信息安全总体规划编制、信息安全策略制度制定和监督落实等工作；</w:t>
            </w:r>
          </w:p>
          <w:p w14:paraId="580DCD1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从事信息系统安全集成、安全技术测试、安全加固和安全运维工作；</w:t>
            </w:r>
          </w:p>
          <w:p w14:paraId="248215B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从事信息系统项目管理工作；</w:t>
            </w:r>
          </w:p>
          <w:p w14:paraId="50CA2AA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对网络设备进行运行维护</w:t>
            </w:r>
          </w:p>
        </w:tc>
        <w:tc>
          <w:tcPr>
            <w:tcW w:w="1121" w:type="dxa"/>
            <w:vAlign w:val="center"/>
          </w:tcPr>
          <w:p w14:paraId="76D35B60">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i w:val="0"/>
                <w:iCs w:val="0"/>
                <w:color w:val="auto"/>
                <w:sz w:val="24"/>
                <w:szCs w:val="24"/>
                <w:highlight w:val="none"/>
              </w:rPr>
            </w:pPr>
            <w:r>
              <w:rPr>
                <w:rFonts w:hint="eastAsia" w:ascii="Times New Roman" w:hAnsi="Times New Roman"/>
                <w:i w:val="0"/>
                <w:iCs w:val="0"/>
                <w:color w:val="auto"/>
                <w:sz w:val="24"/>
                <w:szCs w:val="24"/>
                <w:highlight w:val="none"/>
              </w:rPr>
              <w:t>7*8工作时间驻场</w:t>
            </w:r>
          </w:p>
        </w:tc>
      </w:tr>
    </w:tbl>
    <w:p w14:paraId="798D6C5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b/>
          <w:bCs/>
          <w:i w:val="0"/>
          <w:iCs w:val="0"/>
          <w:color w:val="auto"/>
          <w:sz w:val="24"/>
          <w:highlight w:val="none"/>
        </w:rPr>
      </w:pPr>
      <w:r>
        <w:rPr>
          <w:rFonts w:hint="eastAsia"/>
          <w:b/>
          <w:bCs/>
          <w:i w:val="0"/>
          <w:iCs w:val="0"/>
          <w:color w:val="auto"/>
          <w:sz w:val="24"/>
          <w:highlight w:val="none"/>
          <w:lang w:val="en-US" w:eastAsia="zh-CN"/>
        </w:rPr>
        <w:t>三、</w:t>
      </w:r>
      <w:r>
        <w:rPr>
          <w:rFonts w:hint="eastAsia" w:ascii="Times New Roman" w:hAnsi="Times New Roman"/>
          <w:b/>
          <w:bCs/>
          <w:i w:val="0"/>
          <w:iCs w:val="0"/>
          <w:color w:val="auto"/>
          <w:sz w:val="24"/>
          <w:highlight w:val="none"/>
        </w:rPr>
        <w:t>运维服务要求</w:t>
      </w:r>
    </w:p>
    <w:p w14:paraId="3B54E200">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lang w:val="en-US" w:eastAsia="zh-CN"/>
        </w:rPr>
        <w:t>一</w:t>
      </w:r>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rPr>
        <w:t>项目目标</w:t>
      </w:r>
    </w:p>
    <w:p w14:paraId="426EE24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通过专业的托管服务，实现以下目标：</w:t>
      </w:r>
    </w:p>
    <w:p w14:paraId="32ECAF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1.确保医院核心网络设备、链路及无线网络的高可用性。</w:t>
      </w:r>
    </w:p>
    <w:p w14:paraId="3D03F1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2.提供高效的故障响应机制，减少停机时间。</w:t>
      </w:r>
    </w:p>
    <w:p w14:paraId="5B4BA7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3.完善IP地址管理及网络监控体系，优化网络性能。</w:t>
      </w:r>
    </w:p>
    <w:p w14:paraId="006005E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4.维护综合布线系统及机房基础设施，确保弱电系统的稳定性。</w:t>
      </w:r>
    </w:p>
    <w:p w14:paraId="7ECE6E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5.确保医院服务器、存储等设备稳定运行。</w:t>
      </w:r>
    </w:p>
    <w:p w14:paraId="5082E4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6.提供数据库维护能力，确保数据库稳定运行。</w:t>
      </w:r>
    </w:p>
    <w:p w14:paraId="4875857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7.提供虚拟化软件、中间件维护能力，确保软件稳定运行。</w:t>
      </w:r>
    </w:p>
    <w:p w14:paraId="5F8F40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为实现上述服务目标，保障医院信息化基础设施的高效管理服务，需建立或升级医院现有运行维护管理系统（网络（交换机、路由器）200点；无线AP设备400点管理授权；IT基础设施（服务器、虚拟机、中间件的）300点管理授权；办公终端准入2000点授权；设备网等哑终端准入500点授权），实现上述所需的全部功能；服务期内按月维度提供满足运行维护体系优化交付输出成果的流程管理工具、文档管理工具、知识管理工具，提供实施部署，确保相关服务管理能力在平台的落实。​</w:t>
      </w:r>
    </w:p>
    <w:p w14:paraId="15BCFA50">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b/>
          <w:bCs/>
          <w:i w:val="0"/>
          <w:iCs w:val="0"/>
          <w:color w:val="auto"/>
          <w:sz w:val="24"/>
          <w:szCs w:val="24"/>
          <w:highlight w:val="none"/>
        </w:rPr>
      </w:pPr>
      <w:bookmarkStart w:id="6" w:name="_Toc31287"/>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lang w:val="en-US" w:eastAsia="zh-CN"/>
        </w:rPr>
        <w:t>二</w:t>
      </w:r>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rPr>
        <w:t>基础设施服务内容及要求</w:t>
      </w:r>
      <w:bookmarkEnd w:id="6"/>
    </w:p>
    <w:p w14:paraId="0DDB7EB8">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b/>
          <w:bCs/>
          <w:i w:val="0"/>
          <w:iCs w:val="0"/>
          <w:color w:val="auto"/>
          <w:sz w:val="24"/>
          <w:szCs w:val="24"/>
          <w:highlight w:val="none"/>
        </w:rPr>
      </w:pPr>
      <w:bookmarkStart w:id="7" w:name="_Toc5398"/>
      <w:r>
        <w:rPr>
          <w:rFonts w:hint="eastAsia" w:ascii="宋体" w:hAnsi="宋体" w:cs="宋体"/>
          <w:b/>
          <w:bCs/>
          <w:i w:val="0"/>
          <w:iCs w:val="0"/>
          <w:color w:val="auto"/>
          <w:sz w:val="24"/>
          <w:szCs w:val="24"/>
          <w:highlight w:val="none"/>
        </w:rPr>
        <w:t>1网络基础设施托管</w:t>
      </w:r>
      <w:bookmarkEnd w:id="7"/>
    </w:p>
    <w:p w14:paraId="38992067">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1.1 网络设备托管</w:t>
      </w:r>
    </w:p>
    <w:p w14:paraId="657CD4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实现网络设备包括核心交换机、汇聚交换机、路由器、防火墙的日常维护服务，包括以下服务内容：</w:t>
      </w:r>
    </w:p>
    <w:p w14:paraId="00FC9D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（1）设备清单管理</w:t>
      </w:r>
    </w:p>
    <w:p w14:paraId="76447F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建立并维护完整的网络设备资产清单，包含：设备型号、序列号、MAC地址、安装位置、购置日期、保修期等。定期更新设备清单（每季度一次），确保信息准确无误。</w:t>
      </w:r>
    </w:p>
    <w:p w14:paraId="3CDDD2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（2）配置管理</w:t>
      </w:r>
    </w:p>
    <w:p w14:paraId="24E2AB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定期备份设备配置文件（每月一次），并记录所有配置变更。记录变更时间、变更人、变更原因、变更内容及结果。制定并执行固件版本升级计划，确保设备运行在最新稳定版本。</w:t>
      </w:r>
    </w:p>
    <w:p w14:paraId="26D891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（3）性能监控</w:t>
      </w:r>
    </w:p>
    <w:p w14:paraId="5D56A29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利用运行维护管理系统定期输出性能监控报表，包括但不限于：CPU/内存使用率：设置阈值为≥80%时告警，并提供性能优化建议。端口状态监控：实时监控端口UP/DOWN状态，记录异常情况。端口流量监控：设置阈值为≥80%带宽利用率时告警，分析流量异常原因。</w:t>
      </w:r>
    </w:p>
    <w:p w14:paraId="5FA7D5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（4）故障处理</w:t>
      </w:r>
    </w:p>
    <w:p w14:paraId="44AC7E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硬件故障诊断：快速定位硬件故障原因，进行维修或更换。</w:t>
      </w:r>
    </w:p>
    <w:p w14:paraId="2876DE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端口故障排查：通过抓包分析、替换测试等方式，解决端口相关问题。</w:t>
      </w:r>
    </w:p>
    <w:p w14:paraId="73470A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链路故障处理：快速响应链路中断事件，协调运营商恢复链路连接。</w:t>
      </w:r>
    </w:p>
    <w:p w14:paraId="075E0B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（5）私接路由防护</w:t>
      </w:r>
    </w:p>
    <w:p w14:paraId="3DE686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为解决各科室自行接入家用路由器导致多种终端接入，进而占用大量带宽资源、可能形成环路的问题，需提供防私接服务并进行严格网络管控，具体要构建防私接检测机制、实施带宽资源管控、防范网络环路风险、建立网络管控体系，同时提供监控与告警功能，以保障网络稳定、安全和高效运行。</w:t>
      </w:r>
    </w:p>
    <w:p w14:paraId="4FB2E6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（6）有线网络优化</w:t>
      </w:r>
    </w:p>
    <w:p w14:paraId="1D46E3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从网络高可用性、扩展能力、可管理性成本有效、安全性等方面评估网络架构的健壮性和对业务支撑的灵活性，并根据技术发展趋势和行业最佳实践，从VLAN、IP、整体路由策略,QOS、DNS、设备软件版本、设备配置基线等方面评估网络基础服务能力并给出架构及配置优化建议。</w:t>
      </w:r>
    </w:p>
    <w:p w14:paraId="4395F2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（7）网络监控与分析</w:t>
      </w:r>
    </w:p>
    <w:p w14:paraId="6A8B69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网络监控系统建设</w:t>
      </w:r>
    </w:p>
    <w:p w14:paraId="01611C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依托运行维护管理系统工具，实现全面的网络设备监控与管理系统。提供可视化的网络拓扑展示功能，方便维护人员直观掌握网络架构及设备连接情况，实现对医院网络的精细化管理与维护。</w:t>
      </w:r>
    </w:p>
    <w:p w14:paraId="058416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性能分析服务</w:t>
      </w:r>
    </w:p>
    <w:p w14:paraId="37682E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系统应能够实时监控现网所有网络设备的运行状态，包括设备的CPU使用率、内存占用、端口流量等关键指标。同时，具备对网络设备配置的统一管理功能，支持远程配置修改、固件升级等操作，提高服务效率。</w:t>
      </w:r>
    </w:p>
    <w:p w14:paraId="32D8E01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配置资产管理</w:t>
      </w:r>
    </w:p>
    <w:p w14:paraId="451912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对当前环境中的物理资源和逻辑资源进行梳理，通过收集多种来源资源信息与整合，建设集中、完整、统一、实时的资源管理数据库；记录、存储资源的应用系统信息、关联信息、软硬件基本信息、维护信息；为事件管理、问题管理、变更管理提供查询、诊断的基础；同时也为IT资产管理提供记录、查询、汇总、统计、分析基础。</w:t>
      </w:r>
    </w:p>
    <w:p w14:paraId="6DF3B49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IT应用资源监控</w:t>
      </w:r>
    </w:p>
    <w:p w14:paraId="3962F3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依托运行维护管理系统工具，针对各个业务应用的服务器主机、操作系统、数据库、中间件等IT资源进行资源配置信息、告警信息、性能指标等方面的统一综合监控。</w:t>
      </w:r>
    </w:p>
    <w:p w14:paraId="243559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网络自动化配置变更与排障</w:t>
      </w:r>
    </w:p>
    <w:p w14:paraId="2DBDA4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以网络服务为中心，提供面向业务的全流程、自助式网络变更服务，专注网络变更管理，提升变更风险管控能力。</w:t>
      </w:r>
    </w:p>
    <w:p w14:paraId="5F6CED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端到端路径探测，提升网络应急能力的查询和分析能力，“网络数字地图”可视化运行维护，提升网络应急效率，具备以下功能：</w:t>
      </w:r>
    </w:p>
    <w:p w14:paraId="70E39D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1）动态拓扑，全网动态拓扑，逐层导航；</w:t>
      </w:r>
    </w:p>
    <w:p w14:paraId="6718B4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2）搜素定位，支持任意设备的定位和关联拓扑展示；</w:t>
      </w:r>
    </w:p>
    <w:p w14:paraId="39D749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3）端到端路径导航，输入源目的IP/端口输出完整路径；</w:t>
      </w:r>
    </w:p>
    <w:p w14:paraId="132F78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4）网络拨测，端到端拨测，直观定位路径不可达的故障点；</w:t>
      </w:r>
    </w:p>
    <w:p w14:paraId="1F1F718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1.2无线网络托管服务</w:t>
      </w:r>
    </w:p>
    <w:p w14:paraId="14526F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本次需要对现有无线网络进行统一管理并对部分无线盲点区域进行优化改造，确保各类重点区域（门诊大厅、住院病房等）无线信号的无死角覆盖。优化信号强度与频段分配，保障在高密度终端接入场景下，网络仍能保持稳定运行，满足医院日常诊疗、患者移动设备接入等多场景的无线网络使用需求。</w:t>
      </w:r>
    </w:p>
    <w:p w14:paraId="399CBF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（1）无线控制器配置管理</w:t>
      </w:r>
    </w:p>
    <w:p w14:paraId="4D7B9E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配置并优化无线控制器参数，提升无线网络性能。</w:t>
      </w:r>
    </w:p>
    <w:p w14:paraId="1A8F63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定期检查无线控制器运行状态，确保其正常工作。</w:t>
      </w:r>
    </w:p>
    <w:p w14:paraId="09E6D8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（2）AP设备状态监控</w:t>
      </w:r>
    </w:p>
    <w:p w14:paraId="781994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依托网络运行维护管理平台对全院所有AP进行统一监控，实时监控无线AP设备运行状态，记录异常情况。</w:t>
      </w:r>
    </w:p>
    <w:p w14:paraId="086048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定期巡检AP设备（每月一次），确保设备物理状态良好。</w:t>
      </w:r>
    </w:p>
    <w:p w14:paraId="70C96E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（3）无线信号质量优化</w:t>
      </w:r>
    </w:p>
    <w:p w14:paraId="7AA999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每月一次进行信道干扰排查服务，通过调整信道频率或功率，优化无线信号覆盖。保证关键区域信号强度要求≥-65dBm，确保终端设备正常接入。</w:t>
      </w:r>
    </w:p>
    <w:p w14:paraId="5770E6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无线漫游切换时间≤100ms，提升用户体验。</w:t>
      </w:r>
    </w:p>
    <w:p w14:paraId="215559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服务期内按月度为单位提交无线网络质量报告，包含以下内容：信号覆盖范围、终端接入成功率、漫游切换时间、吞吐量等指标。</w:t>
      </w:r>
    </w:p>
    <w:p w14:paraId="624A98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（4）无线用户接入管理</w:t>
      </w:r>
    </w:p>
    <w:p w14:paraId="62D84D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提供无线用户及终端（包括办公终端及手持PDA）的接入控制服务，确保合法终端接入，防止非法设备接入网络。定期清理无效用户账户，释放无线资源。提供公众无线安全保护技术措施：如上网认证、记录用户信息等</w:t>
      </w:r>
    </w:p>
    <w:p w14:paraId="1F25E09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1.3医疗设备接入网加固服务</w:t>
      </w:r>
    </w:p>
    <w:p w14:paraId="0B24E9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服务期内提供专业的网络规划服务，根据院内现有网络的基础架构、性能、业务部署能力以及安全等各方面情况进行评估，在满足业务使用需求的基础上，将超声、CT、放射科、检验科等科室设备从现有业务网中划分出来，形成单独的设备网。规范管理网络区域，对网络结构、协议规划、设备配置参数等内容提供优化调整服务</w:t>
      </w:r>
    </w:p>
    <w:p w14:paraId="221BD0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提供东西向流量防火墙、VLAN划分等服务，实现业务网和设备网间的隔离，确保业务网数据安全，降低网络安全风险。能够主动感知设备入网行为，并对入网设备进行统一监测和管理的系统。通过终端指纹白名单，对接入网络的哑终端进行监控并过滤，经授权的设备才能继续接入网络。</w:t>
      </w:r>
    </w:p>
    <w:p w14:paraId="2024C4B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w:t>
      </w:r>
      <w:r>
        <w:rPr>
          <w:rFonts w:hint="eastAsia" w:ascii="宋体" w:hAnsi="宋体" w:cs="宋体"/>
          <w:b/>
          <w:bCs/>
          <w:i w:val="0"/>
          <w:iCs w:val="0"/>
          <w:color w:val="auto"/>
          <w:sz w:val="24"/>
          <w:szCs w:val="24"/>
          <w:highlight w:val="none"/>
          <w:lang w:val="en-US" w:eastAsia="zh-CN"/>
        </w:rPr>
        <w:t>4</w:t>
      </w:r>
      <w:r>
        <w:rPr>
          <w:rFonts w:hint="eastAsia" w:ascii="宋体" w:hAnsi="宋体" w:cs="宋体"/>
          <w:b/>
          <w:bCs/>
          <w:i w:val="0"/>
          <w:iCs w:val="0"/>
          <w:color w:val="auto"/>
          <w:sz w:val="24"/>
          <w:szCs w:val="24"/>
          <w:highlight w:val="none"/>
        </w:rPr>
        <w:t>IP地址规划及管理</w:t>
      </w:r>
    </w:p>
    <w:p w14:paraId="3D9AC4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（1）DHCP服务维护</w:t>
      </w:r>
    </w:p>
    <w:p w14:paraId="756487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确保DHCP服务正常运行，合理分配IP地址。</w:t>
      </w:r>
    </w:p>
    <w:p w14:paraId="2CBC95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配置DHCP租约时间，满足不同终端的需求。</w:t>
      </w:r>
    </w:p>
    <w:p w14:paraId="59AF12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（2）IP地址分配记录管理</w:t>
      </w:r>
    </w:p>
    <w:p w14:paraId="2C62BF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建立并维护IP地址分配记录表，防止IP冲突。</w:t>
      </w:r>
    </w:p>
    <w:p w14:paraId="6353E52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提供终端设备准入服务</w:t>
      </w:r>
    </w:p>
    <w:p w14:paraId="248A832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记录表需包含以下信息：</w:t>
      </w:r>
    </w:p>
    <w:p w14:paraId="70D71AC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IP地址、子网掩码、网关、所属设备、用途等。</w:t>
      </w:r>
    </w:p>
    <w:p w14:paraId="072C39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（3）办公终端设备准入</w:t>
      </w:r>
    </w:p>
    <w:p w14:paraId="469E87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为防止非法设备接入、保障数据安全及网络稳定运行，建立完善的有线、无线准入认证机制。需支持多种认证方式，包括用户名密码认证、MAC地址绑定认证等，满足医护人员、患者及访客等不同用户群体的接入需求。同时，准入认证系统需具备灵活的权限管理功能，可根据用户角色、部门等因素，对网络访问权限进行分级划分，限制非授权访问行为。</w:t>
      </w:r>
    </w:p>
    <w:p w14:paraId="4ABF30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此外，系统还应具备设备合规性检查能力，对接入网络的设备进行安全检测，如检查设备是否安装杀毒软件、系统补丁是否更新等，只有符合安全策略的设备才能接入网络，从源头上保障医院有线无线网络的安全性与稳定性。</w:t>
      </w:r>
    </w:p>
    <w:p w14:paraId="23A6244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b/>
          <w:bCs/>
          <w:i w:val="0"/>
          <w:iCs w:val="0"/>
          <w:color w:val="auto"/>
          <w:sz w:val="24"/>
          <w:szCs w:val="24"/>
          <w:highlight w:val="none"/>
        </w:rPr>
      </w:pPr>
      <w:bookmarkStart w:id="8" w:name="_Toc26"/>
      <w:r>
        <w:rPr>
          <w:rFonts w:hint="eastAsia" w:ascii="宋体" w:hAnsi="宋体" w:cs="宋体"/>
          <w:b/>
          <w:bCs/>
          <w:i w:val="0"/>
          <w:iCs w:val="0"/>
          <w:color w:val="auto"/>
          <w:sz w:val="24"/>
          <w:szCs w:val="24"/>
          <w:highlight w:val="none"/>
        </w:rPr>
        <w:t>2数据中心IT设备维护服务</w:t>
      </w:r>
      <w:bookmarkEnd w:id="8"/>
    </w:p>
    <w:p w14:paraId="37CB6E4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目前医院现网设备，使用年限较长，存在硬件老化、软件版本过低等问题，难以满足医院网络安全及业务持续稳定运行的要求。</w:t>
      </w:r>
    </w:p>
    <w:p w14:paraId="125328A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本次服务期间，如设备发生故障，进行免费维修服务，若设备无法维修将提供更换服务，以满足实际使用需求。</w:t>
      </w:r>
    </w:p>
    <w:p w14:paraId="1B4BA71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2.1服务器托管</w:t>
      </w:r>
    </w:p>
    <w:p w14:paraId="405548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对运行中的服务器设备将要出现的故障进行及时的诊断、维修，健康检查、性能评估及优化、系统安装、升级、配置等工作。</w:t>
      </w:r>
    </w:p>
    <w:p w14:paraId="22DAF7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（1）巡检服务</w:t>
      </w:r>
    </w:p>
    <w:p w14:paraId="455B6F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主机系统巡检：对服务器和操作系统运行状态进行检查；每日一次，检查设备主机硬件状况（外观、风扇、电源）检查，告警情况记录，CPU、内存、磁盘使用情况检查及记录。</w:t>
      </w:r>
    </w:p>
    <w:p w14:paraId="5FCF67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（2）设备维护操作</w:t>
      </w:r>
    </w:p>
    <w:p w14:paraId="32D368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基于安全管理员发起的安全管理需求，按照主机系统相关安全策略，实施系统安全维护相关工作，编写并提交月度维护报告。</w:t>
      </w:r>
    </w:p>
    <w:p w14:paraId="73529D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主机相关线缆整理、标签维护等。</w:t>
      </w:r>
    </w:p>
    <w:p w14:paraId="4380E4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 xml:space="preserve">对指定服务器、OS、CPU、内存进行日常检查及故障定位和排查、报修、处理。 </w:t>
      </w:r>
    </w:p>
    <w:p w14:paraId="42D8B7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服务器操作系统及相关软件安装配置，配合厂家调试等。</w:t>
      </w:r>
    </w:p>
    <w:p w14:paraId="0F025C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服务器的上架、移机、安装相关的布线、接线、网络配置、调试等。</w:t>
      </w:r>
    </w:p>
    <w:p w14:paraId="68B648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利旧老设备重新搭建测试环境等再整合集成相关工作。</w:t>
      </w:r>
    </w:p>
    <w:p w14:paraId="33FBC0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服务器系统升级、补丁、安全加固。</w:t>
      </w:r>
    </w:p>
    <w:p w14:paraId="5C0BA2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设备初始化设置：对指定的服务器设备进行初始化操作，或对服务器数据删除及配置清空。</w:t>
      </w:r>
    </w:p>
    <w:p w14:paraId="45784C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OS安装：对无法进行远程安装的服务器需要执行现场的OS安装。系统安装的镜像文件由招标人提供，投标人需自行准备安装介质（如光盘）；</w:t>
      </w:r>
    </w:p>
    <w:p w14:paraId="3319CCB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扩容升级：在指定设备上进行部件安装、拆除、更换等的操作。</w:t>
      </w:r>
    </w:p>
    <w:p w14:paraId="7FD05D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物理服务器主机及其它虚拟化主机硬件巡检及报修</w:t>
      </w:r>
    </w:p>
    <w:p w14:paraId="779664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（3）故障保障</w:t>
      </w:r>
    </w:p>
    <w:p w14:paraId="5F948D2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对于非维保范围内设备，协助设备原生产商进行故障分析、诊断、维修、更换配件等工作。</w:t>
      </w:r>
    </w:p>
    <w:p w14:paraId="60F84E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对于负责维保的设备，第一时间响应，组织协调认证工程师远程和现场处理，并负责免费设备维修和免费配件更换。</w:t>
      </w:r>
    </w:p>
    <w:p w14:paraId="30DD522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2.2存储托管服务</w:t>
      </w:r>
    </w:p>
    <w:p w14:paraId="35A632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负责进行存储及 SAN 网络监控、故障应急处理和故障报修，配置通过审批的存储需求、存储及SAN 网络的调整优化，参与存储及SAN 网络相关规划、结构调整和优化、升级扩容等项目的实施工作。具体包括项目沟通、现有环境信息提供、方案评审、实施环境准备、项目实施配合、项目转维护等工作。</w:t>
      </w:r>
    </w:p>
    <w:p w14:paraId="43F32F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（1）日常巡检</w:t>
      </w:r>
    </w:p>
    <w:p w14:paraId="6362D5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设备主机硬件状况（外观、风扇、电源）检查，磁盘告警情况记录，主机运行状况及使用状态、磁盘使用情况检查及记录，系统日志分析和监控等。</w:t>
      </w:r>
    </w:p>
    <w:p w14:paraId="61B405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编写并提交巡检月度分析报告。</w:t>
      </w:r>
    </w:p>
    <w:p w14:paraId="525667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相关线缆整理、标签维护等。</w:t>
      </w:r>
    </w:p>
    <w:p w14:paraId="57DE68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配置状态、网络连接、日志、错误报告等查看。</w:t>
      </w:r>
    </w:p>
    <w:p w14:paraId="0A65BD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存储配套设备的日常维护，如光纤交换机，虚拟化网关等。</w:t>
      </w:r>
    </w:p>
    <w:p w14:paraId="7C10CA1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设备上下架、移机及相关的接线、配置等工作；维护二次利用存储设备，如重新配置、划分卷、磁盘映射、配置双活、RP的CDP变更配置等。</w:t>
      </w:r>
    </w:p>
    <w:p w14:paraId="2B25E8C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系统及固件升级。</w:t>
      </w:r>
    </w:p>
    <w:p w14:paraId="686060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（2）故障保障</w:t>
      </w:r>
    </w:p>
    <w:p w14:paraId="546D92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对于非维保范围内设备，协助设备原生产商进行故障分析、诊断、维修、更换配件等工作。</w:t>
      </w:r>
    </w:p>
    <w:p w14:paraId="0A9A1B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对于负责维保的设备，第一时间响应，组织协调认证工程师远程和现场处理，并负责免费设备维修和免费配件更换。</w:t>
      </w:r>
    </w:p>
    <w:p w14:paraId="550BD64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2.3虚拟化软件托管服务</w:t>
      </w:r>
    </w:p>
    <w:p w14:paraId="422829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提供虚拟化软件监控及维护服务，对虚拟化平台进行纳管，包括如下功能：对虚拟化软件管理的数据中心、集群、宿主机、虚拟机、虚拟交换机等各个部件的状态进行监控，也可对各部件的CPU、内存、磁盘等资源使用，以及接口流量、磁盘I/O等性能数据监控。</w:t>
      </w:r>
    </w:p>
    <w:p w14:paraId="19CCE6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虚拟化监控指标包括：</w:t>
      </w:r>
    </w:p>
    <w:tbl>
      <w:tblPr>
        <w:tblStyle w:val="22"/>
        <w:tblW w:w="4999"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0"/>
        <w:gridCol w:w="6407"/>
      </w:tblGrid>
      <w:tr w14:paraId="045F9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243" w:type="pct"/>
            <w:vAlign w:val="center"/>
          </w:tcPr>
          <w:p w14:paraId="64BFDF8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数据中心监控</w:t>
            </w:r>
          </w:p>
        </w:tc>
        <w:tc>
          <w:tcPr>
            <w:tcW w:w="3756" w:type="pct"/>
            <w:vAlign w:val="center"/>
          </w:tcPr>
          <w:p w14:paraId="2FEF24B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群集、网络、数据存储、主机、虚拟机数量</w:t>
            </w:r>
          </w:p>
        </w:tc>
      </w:tr>
      <w:tr w14:paraId="7FD29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243" w:type="pct"/>
            <w:vAlign w:val="center"/>
          </w:tcPr>
          <w:p w14:paraId="61D6E29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群集监控</w:t>
            </w:r>
          </w:p>
        </w:tc>
        <w:tc>
          <w:tcPr>
            <w:tcW w:w="3756" w:type="pct"/>
            <w:vAlign w:val="center"/>
          </w:tcPr>
          <w:p w14:paraId="0BC0D5B1">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CPU、内存、CPU线程、数据存储、主机、虚拟机数量</w:t>
            </w:r>
          </w:p>
        </w:tc>
      </w:tr>
      <w:tr w14:paraId="57674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243" w:type="pct"/>
            <w:vAlign w:val="center"/>
          </w:tcPr>
          <w:p w14:paraId="4D29BA3B">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主机监控</w:t>
            </w:r>
          </w:p>
        </w:tc>
        <w:tc>
          <w:tcPr>
            <w:tcW w:w="3756" w:type="pct"/>
            <w:vAlign w:val="center"/>
          </w:tcPr>
          <w:p w14:paraId="54DA57CD">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CPU、内存、存储、网卡、虚拟机、连接状态、告警状态</w:t>
            </w:r>
          </w:p>
        </w:tc>
      </w:tr>
      <w:tr w14:paraId="6B7CE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243" w:type="pct"/>
            <w:vAlign w:val="center"/>
          </w:tcPr>
          <w:p w14:paraId="2F7562E1">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虚拟机监控</w:t>
            </w:r>
          </w:p>
        </w:tc>
        <w:tc>
          <w:tcPr>
            <w:tcW w:w="3756" w:type="pct"/>
            <w:vAlign w:val="center"/>
          </w:tcPr>
          <w:p w14:paraId="455F138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CPU、内存、存储、网卡、虚拟交换机、虚拟机信息</w:t>
            </w:r>
          </w:p>
        </w:tc>
      </w:tr>
      <w:tr w14:paraId="5A616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243" w:type="pct"/>
            <w:vAlign w:val="center"/>
          </w:tcPr>
          <w:p w14:paraId="31DB412D">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事件监控</w:t>
            </w:r>
          </w:p>
        </w:tc>
        <w:tc>
          <w:tcPr>
            <w:tcW w:w="3756" w:type="pct"/>
            <w:vAlign w:val="center"/>
          </w:tcPr>
          <w:p w14:paraId="4360246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事件信息、告警信息、任务信息</w:t>
            </w:r>
          </w:p>
        </w:tc>
      </w:tr>
    </w:tbl>
    <w:p w14:paraId="64D6180D">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2.4数据库监控及维护</w:t>
      </w:r>
    </w:p>
    <w:p w14:paraId="0465981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提供数据库监控服务，支持对各种数据库的管理，提供各种数据库可用性和性能的整体监控，包括数据库连接信息、数据库明细、表空间, 数据库大小、缓存性能、内存、读、写、I/O状态、SQL 统计、锁等等。</w:t>
      </w:r>
    </w:p>
    <w:p w14:paraId="4889983B">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需要对主流数据库包括但不限于Oracle、MySQL、MS SQL Server、达梦数据库、金仓数据库等进行上述监控和维护。</w:t>
      </w:r>
    </w:p>
    <w:p w14:paraId="61A1E766">
      <w:pPr>
        <w:spacing w:line="360" w:lineRule="auto"/>
        <w:ind w:firstLine="482" w:firstLineChars="200"/>
        <w:rPr>
          <w:rFonts w:hint="eastAsia" w:ascii="宋体" w:hAnsi="宋体" w:cs="宋体"/>
          <w:b/>
          <w:bCs/>
          <w:i w:val="0"/>
          <w:iCs w:val="0"/>
          <w:color w:val="auto"/>
          <w:sz w:val="24"/>
          <w:szCs w:val="24"/>
          <w:highlight w:val="none"/>
        </w:rPr>
      </w:pPr>
      <w:bookmarkStart w:id="9" w:name="_Toc18521"/>
      <w:r>
        <w:rPr>
          <w:rFonts w:hint="eastAsia" w:ascii="宋体" w:hAnsi="宋体" w:cs="宋体"/>
          <w:b/>
          <w:bCs/>
          <w:i w:val="0"/>
          <w:iCs w:val="0"/>
          <w:color w:val="auto"/>
          <w:sz w:val="24"/>
          <w:szCs w:val="24"/>
          <w:highlight w:val="none"/>
        </w:rPr>
        <w:t>3网络链路管理</w:t>
      </w:r>
      <w:bookmarkEnd w:id="9"/>
    </w:p>
    <w:p w14:paraId="1B371756">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3.1 院内网络链路维护</w:t>
      </w:r>
    </w:p>
    <w:p w14:paraId="2B870B9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（1）光纤链路日常维护</w:t>
      </w:r>
    </w:p>
    <w:p w14:paraId="76D3A4E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每季度进行光纤链路连通性测试，确保链路无中断。</w:t>
      </w:r>
    </w:p>
    <w:p w14:paraId="3069E29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每半年进行链路冗余测试，验证备用链路的有效性。</w:t>
      </w:r>
    </w:p>
    <w:p w14:paraId="6927CA4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（2）带宽使用情况分析</w:t>
      </w:r>
    </w:p>
    <w:p w14:paraId="3688ABF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每日统计并分析专线带宽使用情况，生成带宽使用报告。</w:t>
      </w:r>
    </w:p>
    <w:p w14:paraId="3439DADA">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根据带宽使用趋势，提出扩容或优化建议。</w:t>
      </w:r>
    </w:p>
    <w:p w14:paraId="2A8DB8E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（3）专线故障报修及协调</w:t>
      </w:r>
    </w:p>
    <w:p w14:paraId="19FB82B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每日记录专线运行状态，包括带宽利用率、延迟、丢包率等指标。</w:t>
      </w:r>
    </w:p>
    <w:p w14:paraId="60D23F3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故障响应时间不超过2小时，修复时间不超过24小时。</w:t>
      </w:r>
    </w:p>
    <w:p w14:paraId="7CCFABD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协调运营商快速解决专线故障，并记录故障处理过程。</w:t>
      </w:r>
    </w:p>
    <w:p w14:paraId="4600644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实时监控运营商专线状态，确保链路畅通。</w:t>
      </w:r>
    </w:p>
    <w:p w14:paraId="18138D00">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3.2出口带宽扩容服务​</w:t>
      </w:r>
    </w:p>
    <w:p w14:paraId="4114FBF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本次项目需对现有出口带宽进行扩容，根据医院实际业务流量及未来发展预测，合理规划带宽升级方案，大幅提升网络出口的吞吐能力。</w:t>
      </w:r>
    </w:p>
    <w:p w14:paraId="5D13DB38">
      <w:pPr>
        <w:spacing w:line="360" w:lineRule="auto"/>
        <w:ind w:firstLine="482" w:firstLineChars="200"/>
        <w:rPr>
          <w:rFonts w:hint="eastAsia" w:ascii="宋体" w:hAnsi="宋体" w:cs="宋体"/>
          <w:b/>
          <w:bCs/>
          <w:i w:val="0"/>
          <w:iCs w:val="0"/>
          <w:color w:val="auto"/>
          <w:sz w:val="24"/>
          <w:szCs w:val="24"/>
          <w:highlight w:val="none"/>
        </w:rPr>
      </w:pPr>
      <w:bookmarkStart w:id="10" w:name="_Toc24359"/>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lang w:val="en-US" w:eastAsia="zh-CN"/>
        </w:rPr>
        <w:t>三</w:t>
      </w:r>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rPr>
        <w:t>网络及IT设备托管服务</w:t>
      </w:r>
      <w:bookmarkEnd w:id="10"/>
      <w:r>
        <w:rPr>
          <w:rFonts w:hint="eastAsia" w:ascii="宋体" w:hAnsi="宋体" w:cs="宋体"/>
          <w:b/>
          <w:bCs/>
          <w:i w:val="0"/>
          <w:iCs w:val="0"/>
          <w:color w:val="auto"/>
          <w:sz w:val="24"/>
          <w:szCs w:val="24"/>
          <w:highlight w:val="none"/>
        </w:rPr>
        <w:t>内容及要求</w:t>
      </w:r>
    </w:p>
    <w:p w14:paraId="5DCDEA07">
      <w:pPr>
        <w:spacing w:line="360" w:lineRule="auto"/>
        <w:ind w:firstLine="482" w:firstLineChars="200"/>
        <w:rPr>
          <w:rFonts w:hint="eastAsia" w:ascii="宋体" w:hAnsi="宋体" w:cs="宋体"/>
          <w:b/>
          <w:bCs/>
          <w:i w:val="0"/>
          <w:iCs w:val="0"/>
          <w:color w:val="auto"/>
          <w:sz w:val="24"/>
          <w:szCs w:val="24"/>
          <w:highlight w:val="none"/>
        </w:rPr>
      </w:pPr>
      <w:bookmarkStart w:id="11" w:name="_Toc27082"/>
      <w:r>
        <w:rPr>
          <w:rFonts w:hint="eastAsia" w:ascii="宋体" w:hAnsi="宋体" w:cs="宋体"/>
          <w:b/>
          <w:bCs/>
          <w:i w:val="0"/>
          <w:iCs w:val="0"/>
          <w:color w:val="auto"/>
          <w:sz w:val="24"/>
          <w:szCs w:val="24"/>
          <w:highlight w:val="none"/>
        </w:rPr>
        <w:t>1托管设备维保要求</w:t>
      </w:r>
      <w:bookmarkEnd w:id="11"/>
    </w:p>
    <w:p w14:paraId="3F9803F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维保升级：为所有网络及数据中心IT设备提供延保服务。提供维保状态监控服务，建立设备维保到期预警系统（提前3个月提醒）；EOS/EOL管理：对即将停产设备提供升级替换方案；固件维护：包含在维保范围内的固件升级服务</w:t>
      </w:r>
    </w:p>
    <w:p w14:paraId="45DC99A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服务响应保障：</w:t>
      </w:r>
    </w:p>
    <w:p w14:paraId="3B00939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7×24小时电话支持</w:t>
      </w:r>
    </w:p>
    <w:p w14:paraId="202AA02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服务响应</w:t>
      </w:r>
      <w:r>
        <w:rPr>
          <w:rFonts w:hint="eastAsia" w:ascii="宋体" w:hAnsi="宋体" w:cs="宋体"/>
          <w:i w:val="0"/>
          <w:iCs w:val="0"/>
          <w:color w:val="auto"/>
          <w:sz w:val="24"/>
          <w:szCs w:val="24"/>
          <w:highlight w:val="none"/>
          <w:lang w:val="en-GB"/>
        </w:rPr>
        <w:t>时限</w:t>
      </w:r>
      <w:r>
        <w:rPr>
          <w:rFonts w:hint="eastAsia" w:ascii="宋体" w:hAnsi="宋体" w:cs="宋体"/>
          <w:i w:val="0"/>
          <w:iCs w:val="0"/>
          <w:color w:val="auto"/>
          <w:sz w:val="24"/>
          <w:szCs w:val="24"/>
          <w:highlight w:val="none"/>
        </w:rPr>
        <w:t>按照故障分类进行响应</w:t>
      </w:r>
    </w:p>
    <w:p w14:paraId="1E4E0C80">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8小时故障修复承诺</w:t>
      </w:r>
    </w:p>
    <w:p w14:paraId="33423D4D">
      <w:pPr>
        <w:spacing w:line="360" w:lineRule="auto"/>
        <w:ind w:firstLine="480" w:firstLineChars="200"/>
        <w:rPr>
          <w:rFonts w:hint="eastAsia" w:ascii="宋体" w:hAnsi="宋体" w:cs="宋体"/>
          <w:i w:val="0"/>
          <w:iCs w:val="0"/>
          <w:color w:val="auto"/>
          <w:sz w:val="24"/>
          <w:szCs w:val="24"/>
          <w:highlight w:val="none"/>
          <w:lang w:val="en-GB"/>
        </w:rPr>
      </w:pPr>
      <w:r>
        <w:rPr>
          <w:rFonts w:hint="eastAsia" w:ascii="宋体" w:hAnsi="宋体" w:cs="宋体"/>
          <w:i w:val="0"/>
          <w:iCs w:val="0"/>
          <w:color w:val="auto"/>
          <w:sz w:val="24"/>
          <w:szCs w:val="24"/>
          <w:highlight w:val="none"/>
        </w:rPr>
        <w:t>注：服务响应</w:t>
      </w:r>
      <w:r>
        <w:rPr>
          <w:rFonts w:hint="eastAsia" w:ascii="宋体" w:hAnsi="宋体" w:cs="宋体"/>
          <w:i w:val="0"/>
          <w:iCs w:val="0"/>
          <w:color w:val="auto"/>
          <w:sz w:val="24"/>
          <w:szCs w:val="24"/>
          <w:highlight w:val="none"/>
          <w:lang w:val="en-GB"/>
        </w:rPr>
        <w:t>时限：</w:t>
      </w:r>
    </w:p>
    <w:tbl>
      <w:tblPr>
        <w:tblStyle w:val="22"/>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5"/>
      </w:tblGrid>
      <w:tr w14:paraId="4642E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tcBorders>
              <w:top w:val="single" w:color="auto" w:sz="4" w:space="0"/>
              <w:left w:val="single" w:color="auto" w:sz="4" w:space="0"/>
              <w:bottom w:val="single" w:color="auto" w:sz="4" w:space="0"/>
              <w:right w:val="single" w:color="auto" w:sz="4" w:space="0"/>
            </w:tcBorders>
          </w:tcPr>
          <w:p w14:paraId="0F3692A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 xml:space="preserve">故障级别 </w:t>
            </w:r>
          </w:p>
        </w:tc>
        <w:tc>
          <w:tcPr>
            <w:tcW w:w="2500" w:type="pct"/>
            <w:tcBorders>
              <w:top w:val="single" w:color="auto" w:sz="4" w:space="0"/>
              <w:left w:val="single" w:color="auto" w:sz="4" w:space="0"/>
              <w:bottom w:val="single" w:color="auto" w:sz="4" w:space="0"/>
              <w:right w:val="single" w:color="auto" w:sz="4" w:space="0"/>
            </w:tcBorders>
          </w:tcPr>
          <w:p w14:paraId="3BA50F2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响应时限</w:t>
            </w:r>
          </w:p>
        </w:tc>
      </w:tr>
      <w:tr w14:paraId="16CD7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tcBorders>
              <w:top w:val="single" w:color="auto" w:sz="4" w:space="0"/>
              <w:left w:val="single" w:color="auto" w:sz="4" w:space="0"/>
              <w:bottom w:val="single" w:color="auto" w:sz="4" w:space="0"/>
              <w:right w:val="single" w:color="auto" w:sz="4" w:space="0"/>
            </w:tcBorders>
          </w:tcPr>
          <w:p w14:paraId="10F0EB7B">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一级故障</w:t>
            </w:r>
          </w:p>
        </w:tc>
        <w:tc>
          <w:tcPr>
            <w:tcW w:w="2500" w:type="pct"/>
            <w:tcBorders>
              <w:top w:val="single" w:color="auto" w:sz="4" w:space="0"/>
              <w:left w:val="single" w:color="auto" w:sz="4" w:space="0"/>
              <w:bottom w:val="single" w:color="auto" w:sz="4" w:space="0"/>
              <w:right w:val="single" w:color="auto" w:sz="4" w:space="0"/>
            </w:tcBorders>
          </w:tcPr>
          <w:p w14:paraId="0586934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小于5分钟</w:t>
            </w:r>
          </w:p>
        </w:tc>
      </w:tr>
      <w:tr w14:paraId="16C6D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tcBorders>
              <w:top w:val="single" w:color="auto" w:sz="4" w:space="0"/>
              <w:left w:val="single" w:color="auto" w:sz="4" w:space="0"/>
              <w:bottom w:val="single" w:color="auto" w:sz="4" w:space="0"/>
              <w:right w:val="single" w:color="auto" w:sz="4" w:space="0"/>
            </w:tcBorders>
          </w:tcPr>
          <w:p w14:paraId="62F2549B">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二级故障</w:t>
            </w:r>
          </w:p>
        </w:tc>
        <w:tc>
          <w:tcPr>
            <w:tcW w:w="2500" w:type="pct"/>
            <w:tcBorders>
              <w:top w:val="single" w:color="auto" w:sz="4" w:space="0"/>
              <w:left w:val="single" w:color="auto" w:sz="4" w:space="0"/>
              <w:bottom w:val="single" w:color="auto" w:sz="4" w:space="0"/>
              <w:right w:val="single" w:color="auto" w:sz="4" w:space="0"/>
            </w:tcBorders>
          </w:tcPr>
          <w:p w14:paraId="05A49A7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小于5分钟</w:t>
            </w:r>
          </w:p>
        </w:tc>
      </w:tr>
      <w:tr w14:paraId="6A25E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tcBorders>
              <w:top w:val="single" w:color="auto" w:sz="4" w:space="0"/>
              <w:left w:val="single" w:color="auto" w:sz="4" w:space="0"/>
              <w:bottom w:val="single" w:color="auto" w:sz="4" w:space="0"/>
              <w:right w:val="single" w:color="auto" w:sz="4" w:space="0"/>
            </w:tcBorders>
          </w:tcPr>
          <w:p w14:paraId="6544E35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三级故障</w:t>
            </w:r>
          </w:p>
        </w:tc>
        <w:tc>
          <w:tcPr>
            <w:tcW w:w="2500" w:type="pct"/>
            <w:tcBorders>
              <w:top w:val="single" w:color="auto" w:sz="4" w:space="0"/>
              <w:left w:val="single" w:color="auto" w:sz="4" w:space="0"/>
              <w:bottom w:val="single" w:color="auto" w:sz="4" w:space="0"/>
              <w:right w:val="single" w:color="auto" w:sz="4" w:space="0"/>
            </w:tcBorders>
          </w:tcPr>
          <w:p w14:paraId="1ED19AA1">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小于5分钟</w:t>
            </w:r>
          </w:p>
        </w:tc>
      </w:tr>
      <w:tr w14:paraId="5B4A5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tcBorders>
              <w:top w:val="single" w:color="auto" w:sz="4" w:space="0"/>
              <w:left w:val="single" w:color="auto" w:sz="4" w:space="0"/>
              <w:bottom w:val="single" w:color="auto" w:sz="4" w:space="0"/>
              <w:right w:val="single" w:color="auto" w:sz="4" w:space="0"/>
            </w:tcBorders>
          </w:tcPr>
          <w:p w14:paraId="4AAED24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四级故障</w:t>
            </w:r>
          </w:p>
        </w:tc>
        <w:tc>
          <w:tcPr>
            <w:tcW w:w="2500" w:type="pct"/>
            <w:tcBorders>
              <w:top w:val="single" w:color="auto" w:sz="4" w:space="0"/>
              <w:left w:val="single" w:color="auto" w:sz="4" w:space="0"/>
              <w:bottom w:val="single" w:color="auto" w:sz="4" w:space="0"/>
              <w:right w:val="single" w:color="auto" w:sz="4" w:space="0"/>
            </w:tcBorders>
          </w:tcPr>
          <w:p w14:paraId="2FC608B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小于10分钟</w:t>
            </w:r>
          </w:p>
        </w:tc>
      </w:tr>
    </w:tbl>
    <w:p w14:paraId="4D64580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故障级别定义：</w:t>
      </w:r>
    </w:p>
    <w:tbl>
      <w:tblPr>
        <w:tblStyle w:val="22"/>
        <w:tblW w:w="4999"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6717"/>
      </w:tblGrid>
      <w:tr w14:paraId="6B4DD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tcBorders>
              <w:top w:val="single" w:color="auto" w:sz="4" w:space="0"/>
              <w:left w:val="single" w:color="auto" w:sz="4" w:space="0"/>
              <w:bottom w:val="single" w:color="auto" w:sz="4" w:space="0"/>
              <w:right w:val="single" w:color="auto" w:sz="4" w:space="0"/>
            </w:tcBorders>
          </w:tcPr>
          <w:p w14:paraId="1D92F1F8">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 xml:space="preserve">故障级别 </w:t>
            </w:r>
          </w:p>
        </w:tc>
        <w:tc>
          <w:tcPr>
            <w:tcW w:w="3938" w:type="pct"/>
            <w:tcBorders>
              <w:top w:val="single" w:color="auto" w:sz="4" w:space="0"/>
              <w:left w:val="single" w:color="auto" w:sz="4" w:space="0"/>
              <w:bottom w:val="single" w:color="auto" w:sz="4" w:space="0"/>
              <w:right w:val="single" w:color="auto" w:sz="4" w:space="0"/>
            </w:tcBorders>
          </w:tcPr>
          <w:p w14:paraId="29598B9D">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级别定义</w:t>
            </w:r>
          </w:p>
        </w:tc>
      </w:tr>
      <w:tr w14:paraId="128DC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tcBorders>
              <w:top w:val="single" w:color="auto" w:sz="4" w:space="0"/>
              <w:left w:val="single" w:color="auto" w:sz="4" w:space="0"/>
              <w:bottom w:val="single" w:color="auto" w:sz="4" w:space="0"/>
              <w:right w:val="single" w:color="auto" w:sz="4" w:space="0"/>
            </w:tcBorders>
          </w:tcPr>
          <w:p w14:paraId="24F16D4B">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一级故障</w:t>
            </w:r>
          </w:p>
        </w:tc>
        <w:tc>
          <w:tcPr>
            <w:tcW w:w="3938" w:type="pct"/>
            <w:tcBorders>
              <w:top w:val="single" w:color="auto" w:sz="4" w:space="0"/>
              <w:left w:val="single" w:color="auto" w:sz="4" w:space="0"/>
              <w:bottom w:val="single" w:color="auto" w:sz="4" w:space="0"/>
              <w:right w:val="single" w:color="auto" w:sz="4" w:space="0"/>
            </w:tcBorders>
          </w:tcPr>
          <w:p w14:paraId="5CFA8A0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出现严重影响系统可用性问题或者出现任何一个系统瘫痪</w:t>
            </w:r>
          </w:p>
        </w:tc>
      </w:tr>
      <w:tr w14:paraId="5C6B8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tcBorders>
              <w:top w:val="single" w:color="auto" w:sz="4" w:space="0"/>
              <w:left w:val="single" w:color="auto" w:sz="4" w:space="0"/>
              <w:bottom w:val="single" w:color="auto" w:sz="4" w:space="0"/>
              <w:right w:val="single" w:color="auto" w:sz="4" w:space="0"/>
            </w:tcBorders>
          </w:tcPr>
          <w:p w14:paraId="6558EBB0">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二级故障</w:t>
            </w:r>
          </w:p>
        </w:tc>
        <w:tc>
          <w:tcPr>
            <w:tcW w:w="3938" w:type="pct"/>
            <w:tcBorders>
              <w:top w:val="single" w:color="auto" w:sz="4" w:space="0"/>
              <w:left w:val="single" w:color="auto" w:sz="4" w:space="0"/>
              <w:bottom w:val="single" w:color="auto" w:sz="4" w:space="0"/>
              <w:right w:val="single" w:color="auto" w:sz="4" w:space="0"/>
            </w:tcBorders>
          </w:tcPr>
          <w:p w14:paraId="1F56B50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系统出现影响系统可用性或者出现系统故障的问题</w:t>
            </w:r>
          </w:p>
        </w:tc>
      </w:tr>
      <w:tr w14:paraId="74BC4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tcBorders>
              <w:top w:val="single" w:color="auto" w:sz="4" w:space="0"/>
              <w:left w:val="single" w:color="auto" w:sz="4" w:space="0"/>
              <w:bottom w:val="single" w:color="auto" w:sz="4" w:space="0"/>
              <w:right w:val="single" w:color="auto" w:sz="4" w:space="0"/>
            </w:tcBorders>
          </w:tcPr>
          <w:p w14:paraId="24C85CE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 xml:space="preserve">三级故障 </w:t>
            </w:r>
          </w:p>
        </w:tc>
        <w:tc>
          <w:tcPr>
            <w:tcW w:w="3938" w:type="pct"/>
            <w:tcBorders>
              <w:top w:val="single" w:color="auto" w:sz="4" w:space="0"/>
              <w:left w:val="single" w:color="auto" w:sz="4" w:space="0"/>
              <w:bottom w:val="single" w:color="auto" w:sz="4" w:space="0"/>
              <w:right w:val="single" w:color="auto" w:sz="4" w:space="0"/>
            </w:tcBorders>
          </w:tcPr>
          <w:p w14:paraId="35A0CBE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影响业务的主机系统、数据库、网络传输中断等故障</w:t>
            </w:r>
          </w:p>
        </w:tc>
      </w:tr>
      <w:tr w14:paraId="71C8A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tcBorders>
              <w:top w:val="single" w:color="auto" w:sz="4" w:space="0"/>
              <w:left w:val="single" w:color="auto" w:sz="4" w:space="0"/>
              <w:bottom w:val="single" w:color="auto" w:sz="4" w:space="0"/>
              <w:right w:val="single" w:color="auto" w:sz="4" w:space="0"/>
            </w:tcBorders>
          </w:tcPr>
          <w:p w14:paraId="759410F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四级故障</w:t>
            </w:r>
          </w:p>
        </w:tc>
        <w:tc>
          <w:tcPr>
            <w:tcW w:w="3938" w:type="pct"/>
            <w:tcBorders>
              <w:top w:val="single" w:color="auto" w:sz="4" w:space="0"/>
              <w:left w:val="single" w:color="auto" w:sz="4" w:space="0"/>
              <w:bottom w:val="single" w:color="auto" w:sz="4" w:space="0"/>
              <w:right w:val="single" w:color="auto" w:sz="4" w:space="0"/>
            </w:tcBorders>
          </w:tcPr>
          <w:p w14:paraId="4C5B9DF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遇到系统操作疑难或者系统出现不正常状态</w:t>
            </w:r>
          </w:p>
        </w:tc>
      </w:tr>
    </w:tbl>
    <w:p w14:paraId="28190B7C">
      <w:pPr>
        <w:spacing w:line="360" w:lineRule="auto"/>
        <w:ind w:firstLine="482" w:firstLineChars="200"/>
        <w:rPr>
          <w:rFonts w:hint="eastAsia" w:ascii="宋体" w:hAnsi="宋体" w:cs="宋体"/>
          <w:b/>
          <w:bCs/>
          <w:i w:val="0"/>
          <w:iCs w:val="0"/>
          <w:color w:val="auto"/>
          <w:sz w:val="24"/>
          <w:szCs w:val="24"/>
          <w:highlight w:val="none"/>
        </w:rPr>
      </w:pPr>
      <w:bookmarkStart w:id="12" w:name="_Toc17322"/>
      <w:r>
        <w:rPr>
          <w:rFonts w:hint="eastAsia" w:ascii="宋体" w:hAnsi="宋体" w:cs="宋体"/>
          <w:b/>
          <w:bCs/>
          <w:i w:val="0"/>
          <w:iCs w:val="0"/>
          <w:color w:val="auto"/>
          <w:sz w:val="24"/>
          <w:szCs w:val="24"/>
          <w:highlight w:val="none"/>
        </w:rPr>
        <w:t>2托管服务要求</w:t>
      </w:r>
      <w:bookmarkEnd w:id="12"/>
    </w:p>
    <w:p w14:paraId="63DA5EAC">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2.1 服务内容</w:t>
      </w:r>
    </w:p>
    <w:p w14:paraId="4B6EE964">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本项目需配备不少于4人的驻场人员，技术能力可覆盖网络、服务器存储设备及机房管理。管理对象包括交换机、路由器、防火墙、服务器、存储、机房动环监控设备及系统、电源系统、精密空调、机柜和列头柜等。</w:t>
      </w:r>
    </w:p>
    <w:p w14:paraId="78FC734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网络服务内容包括不限于网络相关配置、调试、接入，拓扑更新、系统固件升级、配合厂家设备接入、项目实施等。</w:t>
      </w:r>
    </w:p>
    <w:p w14:paraId="07E01FE0">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机房服务内容包括不限于机房巡检、线缆维护、机房日常管理、机房清洁、机房环境与系统维护等。</w:t>
      </w:r>
    </w:p>
    <w:p w14:paraId="3C339231">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投标人须为医院提供软硬件监控服务，服务期内应配备成熟商用的智能管理工具或平台将医院机房资产进行统一监控管理，实现智能化管理。该工具或平台需支持后续扩容。智能管理工具或平台需采集、融合医院数据中心机房的各类设备日志、指标等数据，构建智能运行维护，进一步提升医院机房管理的整体效率，更好的支撑业务系统稳定、高效运行。本次涉及的工具需要满足医院实际使用需求，本次需要实现的详细参数要求如下所述，以满足实际使用需求。</w:t>
      </w:r>
    </w:p>
    <w:tbl>
      <w:tblPr>
        <w:tblStyle w:val="22"/>
        <w:tblW w:w="4998" w:type="pct"/>
        <w:tblInd w:w="-113" w:type="dxa"/>
        <w:tblLayout w:type="fixed"/>
        <w:tblCellMar>
          <w:top w:w="0" w:type="dxa"/>
          <w:left w:w="108" w:type="dxa"/>
          <w:bottom w:w="0" w:type="dxa"/>
          <w:right w:w="108" w:type="dxa"/>
        </w:tblCellMar>
      </w:tblPr>
      <w:tblGrid>
        <w:gridCol w:w="603"/>
        <w:gridCol w:w="1519"/>
        <w:gridCol w:w="1722"/>
        <w:gridCol w:w="4682"/>
      </w:tblGrid>
      <w:tr w14:paraId="2820E2EA">
        <w:tblPrEx>
          <w:tblCellMar>
            <w:top w:w="0" w:type="dxa"/>
            <w:left w:w="108" w:type="dxa"/>
            <w:bottom w:w="0" w:type="dxa"/>
            <w:right w:w="108" w:type="dxa"/>
          </w:tblCellMar>
        </w:tblPrEx>
        <w:trPr>
          <w:trHeight w:val="425" w:hRule="atLeast"/>
        </w:trPr>
        <w:tc>
          <w:tcPr>
            <w:tcW w:w="354" w:type="pct"/>
            <w:tcBorders>
              <w:top w:val="single" w:color="000000" w:sz="4" w:space="0"/>
              <w:left w:val="single" w:color="000000" w:sz="4" w:space="0"/>
              <w:bottom w:val="single" w:color="000000" w:sz="4" w:space="0"/>
              <w:right w:val="single" w:color="000000" w:sz="4" w:space="0"/>
            </w:tcBorders>
            <w:vAlign w:val="center"/>
          </w:tcPr>
          <w:p w14:paraId="217C3606">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序号</w:t>
            </w:r>
          </w:p>
        </w:tc>
        <w:tc>
          <w:tcPr>
            <w:tcW w:w="891" w:type="pct"/>
            <w:tcBorders>
              <w:top w:val="single" w:color="000000" w:sz="4" w:space="0"/>
              <w:left w:val="single" w:color="000000" w:sz="4" w:space="0"/>
              <w:bottom w:val="single" w:color="000000" w:sz="4" w:space="0"/>
              <w:right w:val="single" w:color="000000" w:sz="4" w:space="0"/>
            </w:tcBorders>
            <w:vAlign w:val="center"/>
          </w:tcPr>
          <w:p w14:paraId="35313DF3">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参数类型</w:t>
            </w:r>
          </w:p>
        </w:tc>
        <w:tc>
          <w:tcPr>
            <w:tcW w:w="1010" w:type="pct"/>
            <w:tcBorders>
              <w:top w:val="single" w:color="000000" w:sz="4" w:space="0"/>
              <w:left w:val="single" w:color="000000" w:sz="4" w:space="0"/>
              <w:bottom w:val="single" w:color="000000" w:sz="4" w:space="0"/>
              <w:right w:val="single" w:color="000000" w:sz="4" w:space="0"/>
            </w:tcBorders>
            <w:vAlign w:val="center"/>
          </w:tcPr>
          <w:p w14:paraId="3D226ED7">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子类型</w:t>
            </w:r>
          </w:p>
        </w:tc>
        <w:tc>
          <w:tcPr>
            <w:tcW w:w="2744" w:type="pct"/>
            <w:tcBorders>
              <w:top w:val="single" w:color="000000" w:sz="4" w:space="0"/>
              <w:left w:val="single" w:color="000000" w:sz="4" w:space="0"/>
              <w:bottom w:val="single" w:color="000000" w:sz="4" w:space="0"/>
              <w:right w:val="single" w:color="000000" w:sz="4" w:space="0"/>
            </w:tcBorders>
            <w:vAlign w:val="center"/>
          </w:tcPr>
          <w:p w14:paraId="6D030698">
            <w:pPr>
              <w:widowControl/>
              <w:spacing w:line="360" w:lineRule="auto"/>
              <w:jc w:val="center"/>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详细技术参数</w:t>
            </w:r>
          </w:p>
        </w:tc>
      </w:tr>
      <w:tr w14:paraId="18DACBF9">
        <w:tblPrEx>
          <w:tblCellMar>
            <w:top w:w="0" w:type="dxa"/>
            <w:left w:w="108" w:type="dxa"/>
            <w:bottom w:w="0" w:type="dxa"/>
            <w:right w:w="108" w:type="dxa"/>
          </w:tblCellMar>
        </w:tblPrEx>
        <w:trPr>
          <w:trHeight w:val="425" w:hRule="atLeast"/>
        </w:trPr>
        <w:tc>
          <w:tcPr>
            <w:tcW w:w="354" w:type="pct"/>
            <w:vMerge w:val="restart"/>
            <w:tcBorders>
              <w:top w:val="single" w:color="000000" w:sz="4" w:space="0"/>
              <w:left w:val="single" w:color="000000" w:sz="4" w:space="0"/>
              <w:bottom w:val="single" w:color="000000" w:sz="4" w:space="0"/>
              <w:right w:val="single" w:color="000000" w:sz="4" w:space="0"/>
            </w:tcBorders>
            <w:noWrap/>
            <w:vAlign w:val="center"/>
          </w:tcPr>
          <w:p w14:paraId="10AE01DA">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1</w:t>
            </w:r>
          </w:p>
        </w:tc>
        <w:tc>
          <w:tcPr>
            <w:tcW w:w="891" w:type="pct"/>
            <w:vMerge w:val="restart"/>
            <w:tcBorders>
              <w:top w:val="single" w:color="000000" w:sz="4" w:space="0"/>
              <w:left w:val="single" w:color="000000" w:sz="4" w:space="0"/>
              <w:bottom w:val="single" w:color="000000" w:sz="4" w:space="0"/>
              <w:right w:val="single" w:color="000000" w:sz="4" w:space="0"/>
            </w:tcBorders>
            <w:noWrap/>
            <w:vAlign w:val="center"/>
          </w:tcPr>
          <w:p w14:paraId="7E89CFAC">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统一运行维护平台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7F104A1">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技术架构</w:t>
            </w:r>
          </w:p>
        </w:tc>
        <w:tc>
          <w:tcPr>
            <w:tcW w:w="2744" w:type="pct"/>
            <w:tcBorders>
              <w:top w:val="single" w:color="000000" w:sz="4" w:space="0"/>
              <w:left w:val="single" w:color="000000" w:sz="4" w:space="0"/>
              <w:bottom w:val="single" w:color="000000" w:sz="4" w:space="0"/>
              <w:right w:val="single" w:color="000000" w:sz="4" w:space="0"/>
            </w:tcBorders>
          </w:tcPr>
          <w:p w14:paraId="444B53CE">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为应对医院对云计算、大数据等新技术的应用，以及IT资源种类和数量不断增加，运行维护管理平台应采用可弹性扩展的微服务架构，以适应未来业务发展和弹性扩展的要求。</w:t>
            </w:r>
          </w:p>
        </w:tc>
      </w:tr>
      <w:tr w14:paraId="2FC757C6">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1CCFC389">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698D1B76">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5635CA6">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部署架构</w:t>
            </w:r>
          </w:p>
        </w:tc>
        <w:tc>
          <w:tcPr>
            <w:tcW w:w="2744" w:type="pct"/>
            <w:tcBorders>
              <w:top w:val="single" w:color="000000" w:sz="4" w:space="0"/>
              <w:left w:val="single" w:color="000000" w:sz="4" w:space="0"/>
              <w:bottom w:val="single" w:color="000000" w:sz="4" w:space="0"/>
              <w:right w:val="single" w:color="000000" w:sz="4" w:space="0"/>
            </w:tcBorders>
          </w:tcPr>
          <w:p w14:paraId="2FE643E4">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为了满足统一运行维护平台的可靠性部署，本次提供不低于3台物理服务器承载集群业务，单台配置为2颗国产化CPU（单颗核数≥16核，主频≥2.5GHz），≥8条32G内存；≥2块960G SSD，≥4块1.92TSSD硬盘，≥2端口万兆光，≥4端口千兆电</w:t>
            </w:r>
          </w:p>
        </w:tc>
      </w:tr>
      <w:tr w14:paraId="04B1CF42">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0D7F0785">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5D5042D2">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205365">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统一运行维护认证</w:t>
            </w:r>
          </w:p>
        </w:tc>
        <w:tc>
          <w:tcPr>
            <w:tcW w:w="2744" w:type="pct"/>
            <w:tcBorders>
              <w:top w:val="single" w:color="000000" w:sz="4" w:space="0"/>
              <w:left w:val="single" w:color="000000" w:sz="4" w:space="0"/>
              <w:bottom w:val="single" w:color="000000" w:sz="4" w:space="0"/>
              <w:right w:val="single" w:color="000000" w:sz="4" w:space="0"/>
            </w:tcBorders>
          </w:tcPr>
          <w:p w14:paraId="522C331D">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要求统一运行维护和终端认证拉通，支持基于容器底座的融合部署，统一权限管理、统一入口、统一底座</w:t>
            </w:r>
          </w:p>
        </w:tc>
      </w:tr>
      <w:tr w14:paraId="2DEB6390">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3468C3C9">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322BC153">
            <w:pPr>
              <w:spacing w:line="360" w:lineRule="auto"/>
              <w:jc w:val="center"/>
              <w:rPr>
                <w:rFonts w:hint="eastAsia" w:ascii="宋体" w:hAnsi="宋体" w:cs="宋体"/>
                <w:i w:val="0"/>
                <w:iCs w:val="0"/>
                <w:color w:val="auto"/>
                <w:sz w:val="24"/>
                <w:szCs w:val="24"/>
                <w:highlight w:val="none"/>
              </w:rPr>
            </w:pPr>
          </w:p>
        </w:tc>
        <w:tc>
          <w:tcPr>
            <w:tcW w:w="1010" w:type="pct"/>
            <w:vMerge w:val="restart"/>
            <w:tcBorders>
              <w:top w:val="single" w:color="000000" w:sz="4" w:space="0"/>
              <w:left w:val="single" w:color="000000" w:sz="4" w:space="0"/>
              <w:bottom w:val="single" w:color="000000" w:sz="4" w:space="0"/>
              <w:right w:val="single" w:color="000000" w:sz="4" w:space="0"/>
            </w:tcBorders>
            <w:noWrap/>
            <w:vAlign w:val="center"/>
          </w:tcPr>
          <w:p w14:paraId="53A455AF">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扩展性</w:t>
            </w:r>
          </w:p>
        </w:tc>
        <w:tc>
          <w:tcPr>
            <w:tcW w:w="2744" w:type="pct"/>
            <w:tcBorders>
              <w:top w:val="single" w:color="000000" w:sz="4" w:space="0"/>
              <w:left w:val="single" w:color="000000" w:sz="4" w:space="0"/>
              <w:bottom w:val="single" w:color="000000" w:sz="4" w:space="0"/>
              <w:right w:val="single" w:color="000000" w:sz="4" w:space="0"/>
            </w:tcBorders>
          </w:tcPr>
          <w:p w14:paraId="6277EDD1">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了保证扩展性，工具或平台要求为模块化设计，能够灵活扩展各个功能模块。工具或平台能够扩展对网络、计算、存储、容器、虚拟化、云资源、终端、物联等的统一监控管理（包括展现与操作），业务服务管理，及ITSM服务管理、CMDB资源配置管理，运行维护日志分析管理，移动运行维护APP等功能组件</w:t>
            </w:r>
            <w:r>
              <w:rPr>
                <w:rStyle w:val="57"/>
                <w:rFonts w:hint="eastAsia"/>
                <w:b/>
                <w:bCs/>
                <w:i w:val="0"/>
                <w:iCs w:val="0"/>
                <w:color w:val="auto"/>
                <w:sz w:val="24"/>
                <w:szCs w:val="24"/>
                <w:highlight w:val="none"/>
                <w:lang w:bidi="ar"/>
              </w:rPr>
              <w:t>。</w:t>
            </w:r>
          </w:p>
        </w:tc>
      </w:tr>
      <w:tr w14:paraId="640FF901">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3A574FB9">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429A3FD4">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328F76C4">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44CC135F">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为保障架构稳定性与数据互通性，不得采用OEM第三方产品或组件。</w:t>
            </w:r>
          </w:p>
        </w:tc>
      </w:tr>
      <w:tr w14:paraId="64387C40">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53D07EDE">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009FECE2">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24F529A">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权限分配</w:t>
            </w:r>
          </w:p>
        </w:tc>
        <w:tc>
          <w:tcPr>
            <w:tcW w:w="2744" w:type="pct"/>
            <w:tcBorders>
              <w:top w:val="single" w:color="000000" w:sz="4" w:space="0"/>
              <w:left w:val="single" w:color="000000" w:sz="4" w:space="0"/>
              <w:bottom w:val="single" w:color="000000" w:sz="4" w:space="0"/>
              <w:right w:val="single" w:color="000000" w:sz="4" w:space="0"/>
            </w:tcBorders>
          </w:tcPr>
          <w:p w14:paraId="08208FC7">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运行维护平台需要具有基于角色访问控制的授权机制，支持角色和资源分组自定义，通过将角色和资源分组与用户关联，以实现不同人员可管理不同资源对象，还可以实现不同人员对同类资源对象拥有不同的操作权限（增、删、改、查等）</w:t>
            </w:r>
          </w:p>
        </w:tc>
      </w:tr>
      <w:tr w14:paraId="2173BEA3">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66039939">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331A0C81">
            <w:pPr>
              <w:spacing w:line="360" w:lineRule="auto"/>
              <w:jc w:val="center"/>
              <w:rPr>
                <w:rFonts w:hint="eastAsia" w:ascii="宋体" w:hAnsi="宋体" w:cs="宋体"/>
                <w:i w:val="0"/>
                <w:iCs w:val="0"/>
                <w:color w:val="auto"/>
                <w:sz w:val="24"/>
                <w:szCs w:val="24"/>
                <w:highlight w:val="none"/>
              </w:rPr>
            </w:pPr>
          </w:p>
        </w:tc>
        <w:tc>
          <w:tcPr>
            <w:tcW w:w="1010" w:type="pct"/>
            <w:vMerge w:val="restart"/>
            <w:tcBorders>
              <w:top w:val="single" w:color="000000" w:sz="4" w:space="0"/>
              <w:left w:val="single" w:color="000000" w:sz="4" w:space="0"/>
              <w:bottom w:val="single" w:color="000000" w:sz="4" w:space="0"/>
              <w:right w:val="single" w:color="000000" w:sz="4" w:space="0"/>
            </w:tcBorders>
            <w:noWrap/>
            <w:vAlign w:val="center"/>
          </w:tcPr>
          <w:p w14:paraId="095E80D1">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告警提醒</w:t>
            </w:r>
          </w:p>
        </w:tc>
        <w:tc>
          <w:tcPr>
            <w:tcW w:w="2744" w:type="pct"/>
            <w:tcBorders>
              <w:top w:val="single" w:color="000000" w:sz="4" w:space="0"/>
              <w:left w:val="single" w:color="000000" w:sz="4" w:space="0"/>
              <w:bottom w:val="single" w:color="000000" w:sz="4" w:space="0"/>
              <w:right w:val="single" w:color="000000" w:sz="4" w:space="0"/>
            </w:tcBorders>
          </w:tcPr>
          <w:p w14:paraId="09807E23">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各业务域都会有告警产生和提醒能力，为避免多处查看告警，运行维护平台应提供集中统一的告警管理中心。集中告警管理中心应具有查看历史告警和活动告警的能力，并且能按资源类型、告警级别、资源名称、IP地址、告警状态、时间段、资源分组等维度作为单独或组合的查询条件进行历史告警和活动告警查询。</w:t>
            </w:r>
          </w:p>
        </w:tc>
      </w:tr>
      <w:tr w14:paraId="33B33A16">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70653659">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75E2EAF1">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1D5C0E13">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6F949F61">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平台应提供告警关联影响分析能力，可查看与该告警对象有直接关联的资源对象，以帮助运行维护人员确定影响或被影响关系。用户可直观地看出告警对象所关联的左节点和右节点或告警对象的上连与下接资源对象。</w:t>
            </w:r>
          </w:p>
        </w:tc>
      </w:tr>
      <w:tr w14:paraId="2C3B3B9A">
        <w:tblPrEx>
          <w:tblCellMar>
            <w:top w:w="0" w:type="dxa"/>
            <w:left w:w="108" w:type="dxa"/>
            <w:bottom w:w="0" w:type="dxa"/>
            <w:right w:w="108" w:type="dxa"/>
          </w:tblCellMar>
        </w:tblPrEx>
        <w:trPr>
          <w:trHeight w:val="425" w:hRule="atLeast"/>
        </w:trPr>
        <w:tc>
          <w:tcPr>
            <w:tcW w:w="354" w:type="pct"/>
            <w:vMerge w:val="restart"/>
            <w:tcBorders>
              <w:top w:val="single" w:color="000000" w:sz="4" w:space="0"/>
              <w:left w:val="single" w:color="000000" w:sz="4" w:space="0"/>
              <w:bottom w:val="single" w:color="000000" w:sz="4" w:space="0"/>
              <w:right w:val="single" w:color="000000" w:sz="4" w:space="0"/>
            </w:tcBorders>
            <w:vAlign w:val="center"/>
          </w:tcPr>
          <w:p w14:paraId="7DC81C8E">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2</w:t>
            </w:r>
          </w:p>
        </w:tc>
        <w:tc>
          <w:tcPr>
            <w:tcW w:w="891" w:type="pct"/>
            <w:vMerge w:val="restart"/>
            <w:tcBorders>
              <w:top w:val="single" w:color="000000" w:sz="4" w:space="0"/>
              <w:left w:val="single" w:color="000000" w:sz="4" w:space="0"/>
              <w:bottom w:val="single" w:color="000000" w:sz="4" w:space="0"/>
              <w:right w:val="single" w:color="000000" w:sz="4" w:space="0"/>
            </w:tcBorders>
            <w:noWrap/>
            <w:vAlign w:val="center"/>
          </w:tcPr>
          <w:p w14:paraId="00FC6721">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有线无线网络管理</w:t>
            </w:r>
          </w:p>
        </w:tc>
        <w:tc>
          <w:tcPr>
            <w:tcW w:w="1010" w:type="pct"/>
            <w:vMerge w:val="restart"/>
            <w:tcBorders>
              <w:top w:val="single" w:color="000000" w:sz="4" w:space="0"/>
              <w:left w:val="single" w:color="000000" w:sz="4" w:space="0"/>
              <w:bottom w:val="single" w:color="000000" w:sz="4" w:space="0"/>
              <w:right w:val="single" w:color="000000" w:sz="4" w:space="0"/>
            </w:tcBorders>
            <w:noWrap/>
            <w:vAlign w:val="center"/>
          </w:tcPr>
          <w:p w14:paraId="6E0D140F">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有线无线网络管理</w:t>
            </w:r>
          </w:p>
        </w:tc>
        <w:tc>
          <w:tcPr>
            <w:tcW w:w="2744" w:type="pct"/>
            <w:tcBorders>
              <w:top w:val="single" w:color="000000" w:sz="4" w:space="0"/>
              <w:left w:val="single" w:color="000000" w:sz="4" w:space="0"/>
              <w:bottom w:val="single" w:color="000000" w:sz="4" w:space="0"/>
              <w:right w:val="single" w:color="000000" w:sz="4" w:space="0"/>
            </w:tcBorders>
          </w:tcPr>
          <w:p w14:paraId="06C770B3">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对医院全网异构厂商设备的统一、自动化管理，产品能力需要满足，提供对医院已有H3C、华为、思科、锐捷等适配。支持周期性自动化通过ping、SNMP扫描指定多个网段发现未纳管的设备，可设置排除IP，可自动遍历匹配SNMP团队字，可自动添加监控指标并配置告警阈值。</w:t>
            </w:r>
          </w:p>
        </w:tc>
      </w:tr>
      <w:tr w14:paraId="425255F6">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776A3BBD">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4182B5B9">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4E8261FB">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7AF5C9F9">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支持自动同步网络设备基础信息及接口信息，如设备版本、序列号、接口速率、接口对端设备IP/名称/接口等信息，可实时同步设备ARP表、MAC表，可查看设备聚合接口表、入网IP地址列表等。</w:t>
            </w:r>
          </w:p>
        </w:tc>
      </w:tr>
      <w:tr w14:paraId="61221563">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6BB8859F">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20EB1B00">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76779AC0">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6578AA17">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支持有线无线一体化管理，可统一管理现网AC、AP、无线终端、PoE交换机等设备，支持在拓扑上支持展示设备告警、状态。支持查看AC与AP之间真实物理链路连接。</w:t>
            </w:r>
          </w:p>
        </w:tc>
      </w:tr>
      <w:tr w14:paraId="38EB5234">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739B596B">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29C251A3">
            <w:pPr>
              <w:spacing w:line="360" w:lineRule="auto"/>
              <w:jc w:val="center"/>
              <w:rPr>
                <w:rFonts w:hint="eastAsia" w:ascii="宋体" w:hAnsi="宋体" w:cs="宋体"/>
                <w:i w:val="0"/>
                <w:iCs w:val="0"/>
                <w:color w:val="auto"/>
                <w:sz w:val="24"/>
                <w:szCs w:val="24"/>
                <w:highlight w:val="none"/>
              </w:rPr>
            </w:pPr>
          </w:p>
        </w:tc>
        <w:tc>
          <w:tcPr>
            <w:tcW w:w="1010" w:type="pct"/>
            <w:vMerge w:val="restart"/>
            <w:tcBorders>
              <w:top w:val="single" w:color="000000" w:sz="4" w:space="0"/>
              <w:left w:val="single" w:color="000000" w:sz="4" w:space="0"/>
              <w:bottom w:val="single" w:color="000000" w:sz="4" w:space="0"/>
              <w:right w:val="single" w:color="000000" w:sz="4" w:space="0"/>
            </w:tcBorders>
            <w:noWrap/>
            <w:vAlign w:val="center"/>
          </w:tcPr>
          <w:p w14:paraId="1EC2A61F">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设备监控</w:t>
            </w:r>
          </w:p>
        </w:tc>
        <w:tc>
          <w:tcPr>
            <w:tcW w:w="2744" w:type="pct"/>
            <w:tcBorders>
              <w:top w:val="single" w:color="000000" w:sz="4" w:space="0"/>
              <w:left w:val="single" w:color="000000" w:sz="4" w:space="0"/>
              <w:bottom w:val="single" w:color="000000" w:sz="4" w:space="0"/>
              <w:right w:val="single" w:color="000000" w:sz="4" w:space="0"/>
            </w:tcBorders>
          </w:tcPr>
          <w:p w14:paraId="2C6BA6D0">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为实现对设备和接口全面、快速监控，产品能力需要满足：</w:t>
            </w:r>
          </w:p>
        </w:tc>
      </w:tr>
      <w:tr w14:paraId="3115A0DC">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36BD6A29">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1B9E757F">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290E515F">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255460E3">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1.支持内置CPU、内存、电源、风扇、温度、响应时长、IP报文速率、IP报文丢弃率等指标。</w:t>
            </w:r>
          </w:p>
        </w:tc>
      </w:tr>
      <w:tr w14:paraId="4845B4FC">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25C8DAD6">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257FFF16">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3A69C370">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067B6E5E">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2.支持内置接口级速率、带宽利用率、广播包/多播包速率、接发包数、丢弃率/丢弃包数/丢弃报文数、错包率/错包数/错包报文数、光功率等指标。</w:t>
            </w:r>
          </w:p>
        </w:tc>
      </w:tr>
      <w:tr w14:paraId="34AECDCD">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353D0129">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00626507">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59CA7CEE">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4827A9ED">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2.支持按设备或单监控指标实例查看监控数据，并可通过设备、分组、指标等维度过滤搜索，数据可通过曲线、柱状、环状等图表呈现并支持导出。</w:t>
            </w:r>
          </w:p>
        </w:tc>
      </w:tr>
      <w:tr w14:paraId="6B5A92A0">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311A101C">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4FE8C575">
            <w:pPr>
              <w:spacing w:line="360" w:lineRule="auto"/>
              <w:jc w:val="center"/>
              <w:rPr>
                <w:rFonts w:hint="eastAsia" w:ascii="宋体" w:hAnsi="宋体" w:cs="宋体"/>
                <w:i w:val="0"/>
                <w:iCs w:val="0"/>
                <w:color w:val="auto"/>
                <w:sz w:val="24"/>
                <w:szCs w:val="24"/>
                <w:highlight w:val="none"/>
              </w:rPr>
            </w:pPr>
          </w:p>
        </w:tc>
        <w:tc>
          <w:tcPr>
            <w:tcW w:w="1010" w:type="pct"/>
            <w:vMerge w:val="restart"/>
            <w:tcBorders>
              <w:top w:val="single" w:color="000000" w:sz="4" w:space="0"/>
              <w:left w:val="single" w:color="000000" w:sz="4" w:space="0"/>
              <w:bottom w:val="single" w:color="000000" w:sz="4" w:space="0"/>
              <w:right w:val="single" w:color="000000" w:sz="4" w:space="0"/>
            </w:tcBorders>
            <w:noWrap/>
            <w:vAlign w:val="center"/>
          </w:tcPr>
          <w:p w14:paraId="2FEBF7B1">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可视化图拓扑能力</w:t>
            </w:r>
          </w:p>
        </w:tc>
        <w:tc>
          <w:tcPr>
            <w:tcW w:w="2744" w:type="pct"/>
            <w:tcBorders>
              <w:top w:val="single" w:color="000000" w:sz="4" w:space="0"/>
              <w:left w:val="single" w:color="000000" w:sz="4" w:space="0"/>
              <w:bottom w:val="single" w:color="000000" w:sz="4" w:space="0"/>
              <w:right w:val="single" w:color="000000" w:sz="4" w:space="0"/>
            </w:tcBorders>
          </w:tcPr>
          <w:p w14:paraId="0A8A0125">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可实现快速、自动化构建可视化网络拓扑，基于拓扑快速分析网络问题、执行排查操作等，支持多种协议自动构建网络拓扑，支持物理拓扑、MSTP实例拓扑。支持将多设备创建为分组，可折叠或展开分组内设备拓扑连接关系及和分组外设备之间的拓扑连接关系。</w:t>
            </w:r>
          </w:p>
        </w:tc>
      </w:tr>
      <w:tr w14:paraId="64891991">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0CB7E815">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064F2D19">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2681C5CA">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5B8DA894">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按照设备IP、设备名称查找设备所属拓扑并定位设备在拓扑中的位置。支持分析拓扑完整性，找出和拓扑图内设备有连线的，且尚未被纳管的设备。支持将拓扑设置为基线，并提供当前拓扑与基线拓扑对比能力。</w:t>
            </w:r>
          </w:p>
        </w:tc>
      </w:tr>
      <w:tr w14:paraId="07BFB1B7">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7AA6CDC7">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6C314007">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38724CBF">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13F70D23">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实现自动化备份配置、对比配置差异、部署配置等，支持创建任务周期性自动备份配置，可设置备份文件生成策略（每次都生成、配置内容有变化才生成），可设置配置文件保留个数和天数，可设置设置备份文件命名策略等。支持查看历史运行配置、启动配置备份记录，可实时与当前设备配置进行比较，可导出配置文件。</w:t>
            </w:r>
          </w:p>
        </w:tc>
      </w:tr>
      <w:tr w14:paraId="32942A3B">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60115D38">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15321FD6">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3EFC1D33">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68F8F9CD">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支持批量将配置部署至设备，可配置串行或并行部署，串行可设置部署顺序及错误处理机制，可查看部署前后的变化，可配置部署前或后将配置设置为启动配置并备份。</w:t>
            </w:r>
          </w:p>
        </w:tc>
      </w:tr>
      <w:tr w14:paraId="6691AE5B">
        <w:tblPrEx>
          <w:tblCellMar>
            <w:top w:w="0" w:type="dxa"/>
            <w:left w:w="108" w:type="dxa"/>
            <w:bottom w:w="0" w:type="dxa"/>
            <w:right w:w="108" w:type="dxa"/>
          </w:tblCellMar>
        </w:tblPrEx>
        <w:trPr>
          <w:trHeight w:val="425" w:hRule="atLeast"/>
        </w:trPr>
        <w:tc>
          <w:tcPr>
            <w:tcW w:w="354" w:type="pct"/>
            <w:vMerge w:val="restart"/>
            <w:tcBorders>
              <w:top w:val="single" w:color="000000" w:sz="4" w:space="0"/>
              <w:left w:val="single" w:color="000000" w:sz="4" w:space="0"/>
              <w:bottom w:val="single" w:color="000000" w:sz="4" w:space="0"/>
              <w:right w:val="single" w:color="000000" w:sz="4" w:space="0"/>
            </w:tcBorders>
            <w:vAlign w:val="center"/>
          </w:tcPr>
          <w:p w14:paraId="7924DD77">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3</w:t>
            </w:r>
          </w:p>
        </w:tc>
        <w:tc>
          <w:tcPr>
            <w:tcW w:w="891" w:type="pct"/>
            <w:vMerge w:val="restart"/>
            <w:tcBorders>
              <w:top w:val="single" w:color="000000" w:sz="4" w:space="0"/>
              <w:left w:val="single" w:color="000000" w:sz="4" w:space="0"/>
              <w:bottom w:val="single" w:color="000000" w:sz="4" w:space="0"/>
              <w:right w:val="single" w:color="000000" w:sz="4" w:space="0"/>
            </w:tcBorders>
            <w:noWrap/>
            <w:vAlign w:val="center"/>
          </w:tcPr>
          <w:p w14:paraId="16511BBD">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IT设备管理</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A1DEBA">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虚拟机监控</w:t>
            </w:r>
          </w:p>
        </w:tc>
        <w:tc>
          <w:tcPr>
            <w:tcW w:w="2744" w:type="pct"/>
            <w:tcBorders>
              <w:top w:val="single" w:color="000000" w:sz="4" w:space="0"/>
              <w:left w:val="single" w:color="000000" w:sz="4" w:space="0"/>
              <w:bottom w:val="single" w:color="000000" w:sz="4" w:space="0"/>
              <w:right w:val="single" w:color="000000" w:sz="4" w:space="0"/>
            </w:tcBorders>
          </w:tcPr>
          <w:p w14:paraId="1CEA60D6">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为了满足不同场景数据采集的需求，产品应提供灵活的数据采集方式，采集方式有且不限于如下数据方式：Agent、第三方数据接入、 自定义采集。支持通过API接口实现对医院虚拟化设备进行监控和管理，从集群、主机、虚机等多维度的关键指标进行监控，如协议连通性/Ping是否可达/各监控状态统计，集群的CPU/内存/存储的资源使用情况、虚机密度；主机的名称、状态、CPU/内存/磁盘资源使用情况、CPU的频率/型号/数量；虚机的状态、CPU/内存/磁盘资源使用情况、网卡流量、磁盘IO、操作系统名称等。</w:t>
            </w:r>
          </w:p>
        </w:tc>
      </w:tr>
      <w:tr w14:paraId="3A99567A">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7DDAD73C">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4F801481">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F9F6E81">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操作系统监控</w:t>
            </w:r>
          </w:p>
        </w:tc>
        <w:tc>
          <w:tcPr>
            <w:tcW w:w="2744" w:type="pct"/>
            <w:tcBorders>
              <w:top w:val="single" w:color="000000" w:sz="4" w:space="0"/>
              <w:left w:val="single" w:color="000000" w:sz="4" w:space="0"/>
              <w:bottom w:val="single" w:color="000000" w:sz="4" w:space="0"/>
              <w:right w:val="single" w:color="000000" w:sz="4" w:space="0"/>
            </w:tcBorders>
          </w:tcPr>
          <w:p w14:paraId="225F3C4F">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通过SSH/SNMP/WMI等协议对Windows/Linux等操作系统进行监控和管理，包括：协议连通性/Ping是否可达/各监控状态统计，主机名，版本，系统运行时间，CPU利用率，内存利用率，磁盘利用率，磁盘IO，网卡情况，CPU/内存多维度的进程TOP统计，针对重点关注进程可以从进程数量变化/进程ID变更/进程消失多维度的告警。</w:t>
            </w:r>
          </w:p>
        </w:tc>
      </w:tr>
      <w:tr w14:paraId="59C8D45D">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27974D81">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728516C4">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6C75349">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服务器监控</w:t>
            </w:r>
          </w:p>
        </w:tc>
        <w:tc>
          <w:tcPr>
            <w:tcW w:w="2744" w:type="pct"/>
            <w:tcBorders>
              <w:top w:val="single" w:color="000000" w:sz="4" w:space="0"/>
              <w:left w:val="single" w:color="000000" w:sz="4" w:space="0"/>
              <w:bottom w:val="single" w:color="000000" w:sz="4" w:space="0"/>
              <w:right w:val="single" w:color="000000" w:sz="4" w:space="0"/>
            </w:tcBorders>
          </w:tcPr>
          <w:p w14:paraId="57D321E9">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通过Redfish/IPMI/SNMP等协议对H3C/HW/浪潮/IBM/DELL等厂商的服务器进行带外监控和管理，包括：协议连通性/Ping是否可达/各监控状态统计，服务器型号/序列号、处理器状态/频率/核数、内存名称/状态/大小、存储名称/容量/状态/序列号、电源状态、风扇名称/转速/状态、网卡名称/mac、传感器的名称/状态/温度；此外还可以对服务器进行上下电/重启等远程管理。</w:t>
            </w:r>
          </w:p>
        </w:tc>
      </w:tr>
      <w:tr w14:paraId="2D40014D">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0887E322">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60213FAE">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694D61E">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存储监控</w:t>
            </w:r>
          </w:p>
        </w:tc>
        <w:tc>
          <w:tcPr>
            <w:tcW w:w="2744" w:type="pct"/>
            <w:tcBorders>
              <w:top w:val="single" w:color="000000" w:sz="4" w:space="0"/>
              <w:left w:val="single" w:color="000000" w:sz="4" w:space="0"/>
              <w:bottom w:val="single" w:color="000000" w:sz="4" w:space="0"/>
              <w:right w:val="single" w:color="000000" w:sz="4" w:space="0"/>
            </w:tcBorders>
          </w:tcPr>
          <w:p w14:paraId="46E729EB">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通过SMI-S/SNMP/REST等协议对H3C/HW/HP/IBM/DELL/EMC/Broacade等厂商的集中式/分布式存储以及光交进行监控和管理，包括：协议连通性/Ping是否可达/各监控状态统计，集中式存储磁盘阵列的数据读写速率、磁盘的健康状况和IO性能、存储卷的健康状况/类型/容量分配、电源健康状况，分布式存储集群健康状况、节点状态/容量统计/资源使用状况，光交的健康状况、内存/CPU利用率、接口光衰/丢包/速率/状态/WWPN/对端设备、交换机信息。</w:t>
            </w:r>
          </w:p>
        </w:tc>
      </w:tr>
      <w:tr w14:paraId="24353B27">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0B7EB427">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16D1F318">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F6798AB">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数据库监控</w:t>
            </w:r>
          </w:p>
        </w:tc>
        <w:tc>
          <w:tcPr>
            <w:tcW w:w="2744" w:type="pct"/>
            <w:tcBorders>
              <w:top w:val="single" w:color="000000" w:sz="4" w:space="0"/>
              <w:left w:val="single" w:color="000000" w:sz="4" w:space="0"/>
              <w:bottom w:val="single" w:color="000000" w:sz="4" w:space="0"/>
              <w:right w:val="single" w:color="000000" w:sz="4" w:space="0"/>
            </w:tcBorders>
          </w:tcPr>
          <w:p w14:paraId="14588D66">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支持通过JDBC/REST/API接口等方式对Oracle/Mysql/Sqlserver/PG/金仓/达梦/MongoDB/Redis等多种数据库的监控，包括：协议连通性/Ping是否可达/各监控状态统计，针对不同的数据库重要指标进行监控</w:t>
            </w:r>
          </w:p>
        </w:tc>
      </w:tr>
      <w:tr w14:paraId="1656DDC4">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292B0A61">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733A0274">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37D0678">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中间件监控</w:t>
            </w:r>
          </w:p>
        </w:tc>
        <w:tc>
          <w:tcPr>
            <w:tcW w:w="2744" w:type="pct"/>
            <w:tcBorders>
              <w:top w:val="single" w:color="000000" w:sz="4" w:space="0"/>
              <w:left w:val="single" w:color="000000" w:sz="4" w:space="0"/>
              <w:bottom w:val="single" w:color="000000" w:sz="4" w:space="0"/>
              <w:right w:val="single" w:color="000000" w:sz="4" w:space="0"/>
            </w:tcBorders>
          </w:tcPr>
          <w:p w14:paraId="3E6DD37B">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通过JMX/REST/API接口等方式对Nginx/Tomcat/东方通/金蝶/kafka/WMQ/SMTP等常用消息中间件/Web服务器/邮件服务器进行监控和管理,包括：协议连通性/Ping是否可达/各监控状态统计，针对不同的中间件重要指标进行监控,如Nginx的版本、连接数统计、连接失败率，Tomcat的版本、内存使用情况、线程数统计、连接数统计、类加载统计、GC信息、应用明细，kafka内存使用情况、线程数统计、生产者数据、消费者数据、离线副本数等。</w:t>
            </w:r>
          </w:p>
        </w:tc>
      </w:tr>
      <w:tr w14:paraId="30262B3C">
        <w:tblPrEx>
          <w:tblCellMar>
            <w:top w:w="0" w:type="dxa"/>
            <w:left w:w="108" w:type="dxa"/>
            <w:bottom w:w="0" w:type="dxa"/>
            <w:right w:w="108" w:type="dxa"/>
          </w:tblCellMar>
        </w:tblPrEx>
        <w:trPr>
          <w:trHeight w:val="425" w:hRule="atLeast"/>
        </w:trPr>
        <w:tc>
          <w:tcPr>
            <w:tcW w:w="354" w:type="pct"/>
            <w:vMerge w:val="restart"/>
            <w:tcBorders>
              <w:top w:val="single" w:color="000000" w:sz="4" w:space="0"/>
              <w:left w:val="single" w:color="000000" w:sz="4" w:space="0"/>
              <w:bottom w:val="single" w:color="000000" w:sz="4" w:space="0"/>
              <w:right w:val="single" w:color="000000" w:sz="4" w:space="0"/>
            </w:tcBorders>
            <w:vAlign w:val="center"/>
          </w:tcPr>
          <w:p w14:paraId="1D867801">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4</w:t>
            </w:r>
          </w:p>
        </w:tc>
        <w:tc>
          <w:tcPr>
            <w:tcW w:w="891" w:type="pct"/>
            <w:vMerge w:val="restart"/>
            <w:tcBorders>
              <w:top w:val="single" w:color="000000" w:sz="4" w:space="0"/>
              <w:left w:val="single" w:color="000000" w:sz="4" w:space="0"/>
              <w:bottom w:val="single" w:color="000000" w:sz="4" w:space="0"/>
              <w:right w:val="single" w:color="000000" w:sz="4" w:space="0"/>
            </w:tcBorders>
            <w:noWrap/>
            <w:vAlign w:val="center"/>
          </w:tcPr>
          <w:p w14:paraId="4AB682FF">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报表管理</w:t>
            </w:r>
          </w:p>
        </w:tc>
        <w:tc>
          <w:tcPr>
            <w:tcW w:w="1010" w:type="pct"/>
            <w:vMerge w:val="restart"/>
            <w:tcBorders>
              <w:top w:val="single" w:color="000000" w:sz="4" w:space="0"/>
              <w:left w:val="single" w:color="000000" w:sz="4" w:space="0"/>
              <w:bottom w:val="single" w:color="000000" w:sz="4" w:space="0"/>
              <w:right w:val="single" w:color="000000" w:sz="4" w:space="0"/>
            </w:tcBorders>
            <w:noWrap/>
            <w:vAlign w:val="center"/>
          </w:tcPr>
          <w:p w14:paraId="56CC5929">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自定义报表能力</w:t>
            </w:r>
          </w:p>
        </w:tc>
        <w:tc>
          <w:tcPr>
            <w:tcW w:w="2744" w:type="pct"/>
            <w:tcBorders>
              <w:top w:val="single" w:color="000000" w:sz="4" w:space="0"/>
              <w:left w:val="single" w:color="000000" w:sz="4" w:space="0"/>
              <w:bottom w:val="single" w:color="000000" w:sz="4" w:space="0"/>
              <w:right w:val="single" w:color="000000" w:sz="4" w:space="0"/>
            </w:tcBorders>
          </w:tcPr>
          <w:p w14:paraId="788562A4">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运行维护平台应具有可视化自定义报表能力，包括数据库表、指标字段、过滤条件的选择和自定义。产品应预置有相关的报表模板和可视化控件，用户可根据模板快速生成报表，也可自行设计模板和生成报表。</w:t>
            </w:r>
          </w:p>
        </w:tc>
      </w:tr>
      <w:tr w14:paraId="494F2BB6">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vAlign w:val="center"/>
          </w:tcPr>
          <w:p w14:paraId="435567CD">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3E7BF67E">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34AC2381">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4ADADCA3">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报表平台应提供报表任务管理能力，用户可选定报表模板、执行周期、文件格式设置报表任务，以便于定期生成报表。用户可根据实际需要设置周期报表的保存时间、接收人，以便于系统可自动清理过期文件和将报表推送到相应的邮箱。</w:t>
            </w:r>
          </w:p>
        </w:tc>
      </w:tr>
      <w:tr w14:paraId="5DD14E06">
        <w:tblPrEx>
          <w:tblCellMar>
            <w:top w:w="0" w:type="dxa"/>
            <w:left w:w="108" w:type="dxa"/>
            <w:bottom w:w="0" w:type="dxa"/>
            <w:right w:w="108" w:type="dxa"/>
          </w:tblCellMar>
        </w:tblPrEx>
        <w:trPr>
          <w:trHeight w:val="425" w:hRule="atLeast"/>
        </w:trPr>
        <w:tc>
          <w:tcPr>
            <w:tcW w:w="354" w:type="pct"/>
            <w:vMerge w:val="restart"/>
            <w:tcBorders>
              <w:top w:val="single" w:color="000000" w:sz="4" w:space="0"/>
              <w:left w:val="single" w:color="000000" w:sz="4" w:space="0"/>
              <w:bottom w:val="single" w:color="000000" w:sz="4" w:space="0"/>
              <w:right w:val="single" w:color="000000" w:sz="4" w:space="0"/>
            </w:tcBorders>
            <w:noWrap/>
            <w:vAlign w:val="center"/>
          </w:tcPr>
          <w:p w14:paraId="7D4CBE6E">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5</w:t>
            </w:r>
          </w:p>
        </w:tc>
        <w:tc>
          <w:tcPr>
            <w:tcW w:w="891" w:type="pct"/>
            <w:vMerge w:val="restart"/>
            <w:tcBorders>
              <w:top w:val="single" w:color="000000" w:sz="4" w:space="0"/>
              <w:left w:val="single" w:color="000000" w:sz="4" w:space="0"/>
              <w:bottom w:val="single" w:color="000000" w:sz="4" w:space="0"/>
              <w:right w:val="single" w:color="000000" w:sz="4" w:space="0"/>
            </w:tcBorders>
            <w:noWrap/>
            <w:vAlign w:val="center"/>
          </w:tcPr>
          <w:p w14:paraId="04326F96">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终端认证</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DEF7714">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多因素认证</w:t>
            </w:r>
          </w:p>
        </w:tc>
        <w:tc>
          <w:tcPr>
            <w:tcW w:w="2744" w:type="pct"/>
            <w:tcBorders>
              <w:top w:val="single" w:color="000000" w:sz="4" w:space="0"/>
              <w:left w:val="single" w:color="000000" w:sz="4" w:space="0"/>
              <w:bottom w:val="single" w:color="000000" w:sz="4" w:space="0"/>
              <w:right w:val="single" w:color="000000" w:sz="4" w:space="0"/>
            </w:tcBorders>
          </w:tcPr>
          <w:p w14:paraId="06B80CD7">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支持多因素认证：除支持本地账号密码认证外，可单独使用或叠加其它第三方认证方式进行认证，如微信、微信小程序、企业微信、短信平台等。</w:t>
            </w:r>
          </w:p>
        </w:tc>
      </w:tr>
      <w:tr w14:paraId="374D1FE7">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41AB25AE">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5DD15475">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2A1FAF3">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哑终端认证</w:t>
            </w:r>
          </w:p>
        </w:tc>
        <w:tc>
          <w:tcPr>
            <w:tcW w:w="2744" w:type="pct"/>
            <w:tcBorders>
              <w:top w:val="single" w:color="000000" w:sz="4" w:space="0"/>
              <w:left w:val="single" w:color="000000" w:sz="4" w:space="0"/>
              <w:bottom w:val="single" w:color="000000" w:sz="4" w:space="0"/>
              <w:right w:val="single" w:color="000000" w:sz="4" w:space="0"/>
            </w:tcBorders>
          </w:tcPr>
          <w:p w14:paraId="5B250C13">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哑终端如网络打印机、IP电话等终端用户的认证授权功能，支持哑终端的用户配置修改；支持哑终端审批；支持基于MAC和基于IP的哑终端认证；支持限定MAC地址范围、IP地址范围、终端类型；支持哑终端用户配置批量导入导出等功能。</w:t>
            </w:r>
          </w:p>
        </w:tc>
      </w:tr>
      <w:tr w14:paraId="2D26DC5A">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24CDA315">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7FF61F03">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010B3BF">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动态授权</w:t>
            </w:r>
          </w:p>
        </w:tc>
        <w:tc>
          <w:tcPr>
            <w:tcW w:w="2744" w:type="pct"/>
            <w:tcBorders>
              <w:top w:val="single" w:color="000000" w:sz="4" w:space="0"/>
              <w:left w:val="single" w:color="000000" w:sz="4" w:space="0"/>
              <w:bottom w:val="single" w:color="000000" w:sz="4" w:space="0"/>
              <w:right w:val="single" w:color="000000" w:sz="4" w:space="0"/>
            </w:tcBorders>
          </w:tcPr>
          <w:p w14:paraId="3BCC7164">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动态授权：ACL、VLAN等访问权限策略下发：可以在认证通过后下发用户的ACL、VLAN、QoS、VSI、用户组给接入设备，由设备动态控制用户的访问网络权限；支持下发DACL（动态ACL），认证后可以直接下发ACL规则给接入设备，无需通过获取网络设备管理权限进行设备配置变更。</w:t>
            </w:r>
          </w:p>
        </w:tc>
      </w:tr>
      <w:tr w14:paraId="4F100F54">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46E02610">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20210496">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DB9C0FD">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帐号接入管理</w:t>
            </w:r>
          </w:p>
        </w:tc>
        <w:tc>
          <w:tcPr>
            <w:tcW w:w="2744" w:type="pct"/>
            <w:tcBorders>
              <w:top w:val="single" w:color="000000" w:sz="4" w:space="0"/>
              <w:left w:val="single" w:color="000000" w:sz="4" w:space="0"/>
              <w:bottom w:val="single" w:color="000000" w:sz="4" w:space="0"/>
              <w:right w:val="single" w:color="000000" w:sz="4" w:space="0"/>
            </w:tcBorders>
          </w:tcPr>
          <w:p w14:paraId="4A2D8339">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账号接入控制：支持用户同时在线数限制、最大闲置时长限制，支持黑名单限制接入、支持自动加入黑名单、限制接入客户端的类型和版本，支持限制用户修改终端MAC地址和使用代理等策略，支持限制用户组最大开户数量；支持单次最大在线时长限制；支持日累计在线时长限制。</w:t>
            </w:r>
          </w:p>
        </w:tc>
      </w:tr>
      <w:tr w14:paraId="7A7FA4E9">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3628D964">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58289CEE">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9193ADE">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IP地址管理</w:t>
            </w:r>
          </w:p>
        </w:tc>
        <w:tc>
          <w:tcPr>
            <w:tcW w:w="2744" w:type="pct"/>
            <w:tcBorders>
              <w:top w:val="single" w:color="000000" w:sz="4" w:space="0"/>
              <w:left w:val="single" w:color="000000" w:sz="4" w:space="0"/>
              <w:bottom w:val="single" w:color="000000" w:sz="4" w:space="0"/>
              <w:right w:val="single" w:color="000000" w:sz="4" w:space="0"/>
            </w:tcBorders>
          </w:tcPr>
          <w:p w14:paraId="47F41969">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提供IP地址管理能力，实现全网各类设备的IP地址规划、分配、变更、回收、使用状态监控等管理，能实现僵尸IP地址的自动回收，能限制IP地址获取方式（动态/静态），能限制设备修改IP地址和MAC地址，能禁止使用多网卡、禁止认证网卡配置多IP地址。</w:t>
            </w:r>
          </w:p>
        </w:tc>
      </w:tr>
      <w:tr w14:paraId="55577515">
        <w:tblPrEx>
          <w:tblCellMar>
            <w:top w:w="0" w:type="dxa"/>
            <w:left w:w="108" w:type="dxa"/>
            <w:bottom w:w="0" w:type="dxa"/>
            <w:right w:w="108" w:type="dxa"/>
          </w:tblCellMar>
        </w:tblPrEx>
        <w:trPr>
          <w:trHeight w:val="425" w:hRule="atLeast"/>
        </w:trPr>
        <w:tc>
          <w:tcPr>
            <w:tcW w:w="354" w:type="pct"/>
            <w:vMerge w:val="restart"/>
            <w:tcBorders>
              <w:top w:val="single" w:color="000000" w:sz="4" w:space="0"/>
              <w:left w:val="single" w:color="000000" w:sz="4" w:space="0"/>
              <w:bottom w:val="single" w:color="000000" w:sz="4" w:space="0"/>
              <w:right w:val="single" w:color="000000" w:sz="4" w:space="0"/>
            </w:tcBorders>
            <w:noWrap/>
            <w:vAlign w:val="center"/>
          </w:tcPr>
          <w:p w14:paraId="0DE681B3">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6</w:t>
            </w:r>
          </w:p>
        </w:tc>
        <w:tc>
          <w:tcPr>
            <w:tcW w:w="891" w:type="pct"/>
            <w:vMerge w:val="restart"/>
            <w:tcBorders>
              <w:top w:val="single" w:color="000000" w:sz="4" w:space="0"/>
              <w:left w:val="single" w:color="000000" w:sz="4" w:space="0"/>
              <w:bottom w:val="single" w:color="000000" w:sz="4" w:space="0"/>
              <w:right w:val="single" w:color="000000" w:sz="4" w:space="0"/>
            </w:tcBorders>
            <w:noWrap/>
            <w:vAlign w:val="center"/>
          </w:tcPr>
          <w:p w14:paraId="5F0A57AA">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资源管理</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AD1F1F8">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数据采集</w:t>
            </w:r>
          </w:p>
        </w:tc>
        <w:tc>
          <w:tcPr>
            <w:tcW w:w="2744" w:type="pct"/>
            <w:tcBorders>
              <w:top w:val="single" w:color="000000" w:sz="4" w:space="0"/>
              <w:left w:val="single" w:color="000000" w:sz="4" w:space="0"/>
              <w:bottom w:val="single" w:color="000000" w:sz="4" w:space="0"/>
              <w:right w:val="single" w:color="000000" w:sz="4" w:space="0"/>
            </w:tcBorders>
          </w:tcPr>
          <w:p w14:paraId="533C8F6F">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实现资源之间的关系管理，需支持通过定义资源类型之间字段匹配的方式，建立资源类型间的关联关系规则，具体资源之间的关系自动生成。为方便用户管理CMDB的资源数据，CMDB需支持手工维护数据，包括新增，修改（包括批量修改）和删除（包括批量删除）。</w:t>
            </w:r>
          </w:p>
        </w:tc>
      </w:tr>
      <w:tr w14:paraId="250B5CA6">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173385B7">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2E9D8437">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E5F770">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数据治理</w:t>
            </w:r>
          </w:p>
        </w:tc>
        <w:tc>
          <w:tcPr>
            <w:tcW w:w="2744" w:type="pct"/>
            <w:tcBorders>
              <w:top w:val="single" w:color="000000" w:sz="4" w:space="0"/>
              <w:left w:val="single" w:color="000000" w:sz="4" w:space="0"/>
              <w:bottom w:val="single" w:color="000000" w:sz="4" w:space="0"/>
              <w:right w:val="single" w:color="000000" w:sz="4" w:space="0"/>
            </w:tcBorders>
          </w:tcPr>
          <w:p w14:paraId="70526C23">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提高CMDB数据的准确率和维护效率，CMDB需支持设置规则实现不同资源类型之间的数据同步修改。例如某个业务系统对象的“维护人”属性修改后，支撑该业务系统的服务器、操作系统、中间件等相关资源的“维护人”属性自动同步修改。</w:t>
            </w:r>
          </w:p>
        </w:tc>
      </w:tr>
      <w:tr w14:paraId="133A95BC">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3FEE0F5E">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2AD0526E">
            <w:pPr>
              <w:spacing w:line="360" w:lineRule="auto"/>
              <w:jc w:val="center"/>
              <w:rPr>
                <w:rFonts w:hint="eastAsia" w:ascii="宋体" w:hAnsi="宋体" w:cs="宋体"/>
                <w:i w:val="0"/>
                <w:iCs w:val="0"/>
                <w:color w:val="auto"/>
                <w:sz w:val="24"/>
                <w:szCs w:val="24"/>
                <w:highlight w:val="none"/>
              </w:rPr>
            </w:pPr>
          </w:p>
        </w:tc>
        <w:tc>
          <w:tcPr>
            <w:tcW w:w="1010" w:type="pct"/>
            <w:vMerge w:val="restart"/>
            <w:tcBorders>
              <w:top w:val="single" w:color="000000" w:sz="4" w:space="0"/>
              <w:left w:val="single" w:color="000000" w:sz="4" w:space="0"/>
              <w:bottom w:val="single" w:color="000000" w:sz="4" w:space="0"/>
              <w:right w:val="single" w:color="000000" w:sz="4" w:space="0"/>
            </w:tcBorders>
            <w:noWrap/>
            <w:vAlign w:val="center"/>
          </w:tcPr>
          <w:p w14:paraId="14F7122A">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资源维护</w:t>
            </w:r>
          </w:p>
        </w:tc>
        <w:tc>
          <w:tcPr>
            <w:tcW w:w="2744" w:type="pct"/>
            <w:tcBorders>
              <w:top w:val="single" w:color="000000" w:sz="4" w:space="0"/>
              <w:left w:val="single" w:color="000000" w:sz="4" w:space="0"/>
              <w:bottom w:val="single" w:color="000000" w:sz="4" w:space="0"/>
              <w:right w:val="single" w:color="000000" w:sz="4" w:space="0"/>
            </w:tcBorders>
          </w:tcPr>
          <w:p w14:paraId="6580A4AE">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实现多个资源的关键属性数据拉齐，CMDB需支持同一类型的多个资源共享同一基线（例如支撑同一个业务系统的所有虚机的操作系统要求关键参数一致），支持通过基线对比及时发现资源对象与基线数据不一致的属性。</w:t>
            </w:r>
          </w:p>
        </w:tc>
      </w:tr>
      <w:tr w14:paraId="33611C4B">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498EFDB3">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0DA7A2E8">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732160D1">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628C1727">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快速实现CMDB数据的回滚，CMDB需支持基于数据级的版本管理，当任意一条资源数据发生改变时，系统能够自动为该资源生成一条新的版本数据，版本之间可比对数据差异，可基于任意版本对某条资源数据进行回滚。</w:t>
            </w:r>
          </w:p>
        </w:tc>
      </w:tr>
      <w:tr w14:paraId="3E9BC8C5">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2F873D04">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723C9F23">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1AB1F602">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38375A9B">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为实现资源对象的快速和灵活查询，CMDB需支持多维查询，用户可以在查询时选择查询条件匹配方式，如：大于、小于、等于、包含等，查询条件可保存。</w:t>
            </w:r>
          </w:p>
        </w:tc>
      </w:tr>
      <w:tr w14:paraId="72E573E8">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79720CF2">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2767A8E3">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4EC6C170">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39F7CFA3">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运行维护地图中的资源连线至少支持5种不同的展示方式，如直线、曲线、自定义折线等。连线可选择显示名称、链路接口、连线类型、两端设备名称等信息，并可打开流量开关。</w:t>
            </w:r>
          </w:p>
        </w:tc>
      </w:tr>
      <w:tr w14:paraId="14388D62">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679C875C">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noWrap/>
            <w:vAlign w:val="center"/>
          </w:tcPr>
          <w:p w14:paraId="7B01CCD4">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noWrap/>
            <w:vAlign w:val="center"/>
          </w:tcPr>
          <w:p w14:paraId="0F1BDD40">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3B039A05">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为方便分析资源对象的业务影响范围，所有的拓扑都需支持模拟某个资源中断后，其影响范围涉及其它哪些资源对象。</w:t>
            </w:r>
          </w:p>
        </w:tc>
      </w:tr>
      <w:tr w14:paraId="31A4A263">
        <w:tblPrEx>
          <w:tblCellMar>
            <w:top w:w="0" w:type="dxa"/>
            <w:left w:w="108" w:type="dxa"/>
            <w:bottom w:w="0" w:type="dxa"/>
            <w:right w:w="108" w:type="dxa"/>
          </w:tblCellMar>
        </w:tblPrEx>
        <w:trPr>
          <w:trHeight w:val="425" w:hRule="atLeast"/>
        </w:trPr>
        <w:tc>
          <w:tcPr>
            <w:tcW w:w="354" w:type="pct"/>
            <w:vMerge w:val="restart"/>
            <w:tcBorders>
              <w:top w:val="single" w:color="000000" w:sz="4" w:space="0"/>
              <w:left w:val="single" w:color="000000" w:sz="4" w:space="0"/>
              <w:bottom w:val="single" w:color="000000" w:sz="4" w:space="0"/>
              <w:right w:val="single" w:color="000000" w:sz="4" w:space="0"/>
            </w:tcBorders>
            <w:noWrap/>
            <w:vAlign w:val="center"/>
          </w:tcPr>
          <w:p w14:paraId="58949ABA">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7</w:t>
            </w:r>
          </w:p>
        </w:tc>
        <w:tc>
          <w:tcPr>
            <w:tcW w:w="891" w:type="pct"/>
            <w:vMerge w:val="restart"/>
            <w:tcBorders>
              <w:top w:val="single" w:color="000000" w:sz="4" w:space="0"/>
              <w:left w:val="single" w:color="000000" w:sz="4" w:space="0"/>
              <w:bottom w:val="single" w:color="000000" w:sz="4" w:space="0"/>
              <w:right w:val="single" w:color="000000" w:sz="4" w:space="0"/>
            </w:tcBorders>
            <w:vAlign w:val="center"/>
          </w:tcPr>
          <w:p w14:paraId="5800BF44">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网络变更管理</w:t>
            </w:r>
          </w:p>
        </w:tc>
        <w:tc>
          <w:tcPr>
            <w:tcW w:w="1010" w:type="pct"/>
            <w:vMerge w:val="restart"/>
            <w:tcBorders>
              <w:top w:val="single" w:color="000000" w:sz="4" w:space="0"/>
              <w:left w:val="single" w:color="000000" w:sz="4" w:space="0"/>
              <w:bottom w:val="single" w:color="000000" w:sz="4" w:space="0"/>
              <w:right w:val="single" w:color="000000" w:sz="4" w:space="0"/>
            </w:tcBorders>
            <w:vAlign w:val="center"/>
          </w:tcPr>
          <w:p w14:paraId="2FB66A8C">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 xml:space="preserve"> 网络变更全流程自动化</w:t>
            </w:r>
          </w:p>
        </w:tc>
        <w:tc>
          <w:tcPr>
            <w:tcW w:w="2744" w:type="pct"/>
            <w:tcBorders>
              <w:top w:val="single" w:color="000000" w:sz="4" w:space="0"/>
              <w:left w:val="single" w:color="000000" w:sz="4" w:space="0"/>
              <w:bottom w:val="single" w:color="000000" w:sz="4" w:space="0"/>
              <w:right w:val="single" w:color="000000" w:sz="4" w:space="0"/>
            </w:tcBorders>
          </w:tcPr>
          <w:p w14:paraId="04224458">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以流程为入口，自动化嵌入流程节点，根据不同的工单节点展示不同的自动化能力，在提单节点选变更场景、变更预检查、下发和回退命令生成，在复核节点可以查看变更参数和高危命令等，在实施节点可以执行变更下发、回退、变更报告查看等。</w:t>
            </w:r>
          </w:p>
        </w:tc>
      </w:tr>
      <w:tr w14:paraId="5DC7C9B3">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13F66F35">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7015036A">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7130FE6E">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7F9DA4CA">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支持按照设备类型选择变更场景，变更提单的时候，支持以场景名称作为搜索场景，场景以分类形式展现，类别为：交换机、路由器、防火墙、负载均衡、DNS 、通用类、套餐，也可自定义新的分类。</w:t>
            </w:r>
          </w:p>
        </w:tc>
      </w:tr>
      <w:tr w14:paraId="7F12DBF1">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5491BCA8">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75FF50B2">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5EC7AA6F">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2CE24236">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根据变更管理要求，支持变更概要 、变更类型、变更方案及计划、变更实施风险分析、变更方案及回退方案、变更实施验等信息填写，可以设置模板，根据模板自动填写。</w:t>
            </w:r>
          </w:p>
        </w:tc>
      </w:tr>
      <w:tr w14:paraId="1DEC12F8">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118CB3F3">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5DE02D71">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7C3C42C8">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2EDAE0BA">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系统提供变更参数表的全流程管理功能：首先，支持用户下载标准化的参数模板，便于规范填写；其次，允许用户上传填写完成的变更参数表，提交本次变更需求；在整个变更流程中，用户可随时查看已提交的变更参数内容，也能将其下载保存，确保变更信息可追溯、可管理，为变更操作提供全面的数据支持与便捷的交互体验。</w:t>
            </w:r>
          </w:p>
        </w:tc>
      </w:tr>
      <w:tr w14:paraId="0F9C1D43">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04A06DF1">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19A672B9">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218BD137">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0BE5F2B1">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支持在变更前自动做变更前预检查，有效规避风险，校验参数格式是否正确、全角检查、设备是否能正常登录、根据不同场景的个性化检查（比如端口开通 需要检查vlan是否存在 、接口是否重复、接口是否存在等）,如果检查不通过，要展示检查不通过的原因，针对必检项不通过的变更，不允许继续提交工单，非必检项不通过，则需要填写跳过预检查原因，在后续流程中高亮展示，允许继续提交工单</w:t>
            </w:r>
            <w:r>
              <w:rPr>
                <w:rFonts w:hint="eastAsia" w:ascii="宋体" w:hAnsi="宋体" w:cs="宋体"/>
                <w:b/>
                <w:bCs/>
                <w:i w:val="0"/>
                <w:iCs w:val="0"/>
                <w:color w:val="auto"/>
                <w:kern w:val="0"/>
                <w:sz w:val="24"/>
                <w:szCs w:val="24"/>
                <w:highlight w:val="none"/>
                <w:lang w:bidi="ar"/>
              </w:rPr>
              <w:t>。</w:t>
            </w:r>
          </w:p>
        </w:tc>
      </w:tr>
      <w:tr w14:paraId="15402F08">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731B4637">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786192A1">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524324FF">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74EF23E0">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在变更申请阶段选择的变更场景和导入参数，自动根据不同厂商和型号自动生成变更执行脚本和回退脚本，按照设备维度每行变更参数对应一组执行和回退命令，并且生成后的脚本在后续变更环节都可以查看和导出</w:t>
            </w:r>
            <w:r>
              <w:rPr>
                <w:rFonts w:hint="eastAsia" w:ascii="宋体" w:hAnsi="宋体" w:cs="宋体"/>
                <w:b/>
                <w:bCs/>
                <w:i w:val="0"/>
                <w:iCs w:val="0"/>
                <w:color w:val="auto"/>
                <w:kern w:val="0"/>
                <w:sz w:val="24"/>
                <w:szCs w:val="24"/>
                <w:highlight w:val="none"/>
                <w:lang w:bidi="ar"/>
              </w:rPr>
              <w:t>。</w:t>
            </w:r>
          </w:p>
        </w:tc>
      </w:tr>
      <w:tr w14:paraId="44CE65A9">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5A58F3B0">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2189801B">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33044521">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45DCDB1B">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 xml:space="preserve">变更过程包含审核环节，申请人在我的审核中可以看到待审核的工单，审核人可以对本次变更的脚本或者手工传的执行命令和回退命令进行人工审核，结合预检查结果，高危命令识别情况，设备信息等选择允许变更和不允许变更 </w:t>
            </w:r>
          </w:p>
        </w:tc>
      </w:tr>
      <w:tr w14:paraId="0D179566">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3D1EEFD8">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66E3F713">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528A8A4A">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27E8126D">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在变更实施阶段，根据流程上设置的变更窗口（指定变更开始和结束时间），未到变更窗口，需要等待，不允许执行，也可以取消作业，执行结果选择未实施后，继续流转工单</w:t>
            </w:r>
          </w:p>
        </w:tc>
      </w:tr>
      <w:tr w14:paraId="5A800B90">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5CCB2D90">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799FE066">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0570A943">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4E1A1AB9">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在变更窗口内支持自动执行或者手工执行变更</w:t>
            </w:r>
          </w:p>
        </w:tc>
      </w:tr>
      <w:tr w14:paraId="3E7E2E20">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7D4883C7">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61F45BC8">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7671F679">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0D09729A">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在超过变更窗口则无法执行</w:t>
            </w:r>
          </w:p>
        </w:tc>
      </w:tr>
      <w:tr w14:paraId="764F861A">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09BC539A">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18DFE37C">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6026C9C9">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4B1817A2">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变更执行人权限校验，执行人必须是指定变更实施人</w:t>
            </w:r>
          </w:p>
        </w:tc>
      </w:tr>
      <w:tr w14:paraId="19E81812">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63D894FF">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06D8D6BA">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47B25A1D">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2037DB63">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变更执行可以查看变更执行日志、也可以查看命令行方式查看执行结果</w:t>
            </w:r>
          </w:p>
        </w:tc>
      </w:tr>
      <w:tr w14:paraId="2EFC4316">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77F0195E">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510A1924">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0B736CCC">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6621851B">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变更完成后7天内，如果变更异常、未达到预期效果或者变更引发问题，支持一键回退，支持单设备或者多设备的回退，可以查看回退执行日志、执行时间等信息</w:t>
            </w:r>
          </w:p>
        </w:tc>
      </w:tr>
      <w:tr w14:paraId="522596E5">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1EA67A83">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73B6AD0F">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4219FE80">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7A455D9F">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变更完成后，支持查看执行结果、回退结果、也支持命令行方式查看设备回显信息。 系统可自动为每个变更场景生成报告。报告内容包括工单信息、变更提交人、实施人、设备信息、执行日志及回退日志等。</w:t>
            </w:r>
          </w:p>
        </w:tc>
      </w:tr>
      <w:tr w14:paraId="153C2CFE">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071AAC08">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25466468">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1886B7C9">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034550DF">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提供统一查询入口，支持按照工单或者设备维度快速查询指定时间段内的变更相关信息，包括工单概要、单号、实施方式、变更日志、变更结果等，并且支持多维度搜索，对搜索结果支持导出</w:t>
            </w:r>
            <w:r>
              <w:rPr>
                <w:rFonts w:hint="eastAsia" w:ascii="宋体" w:hAnsi="宋体" w:cs="宋体"/>
                <w:b/>
                <w:bCs/>
                <w:i w:val="0"/>
                <w:iCs w:val="0"/>
                <w:color w:val="auto"/>
                <w:kern w:val="0"/>
                <w:sz w:val="24"/>
                <w:szCs w:val="24"/>
                <w:highlight w:val="none"/>
                <w:lang w:bidi="ar"/>
              </w:rPr>
              <w:t>。</w:t>
            </w:r>
          </w:p>
        </w:tc>
      </w:tr>
      <w:tr w14:paraId="5AB69EB8">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4096C5AC">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732A2735">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332F0049">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2D2AB6E1">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支持变更统计分析，统计信息按照场景、套餐、预备检查、结果校验四个维度统计本月、本季度、本年、上年的增长统计，可以按照今日、本周、本月、全年维度展示变更趋势图，高频变更场景排名。</w:t>
            </w:r>
          </w:p>
        </w:tc>
      </w:tr>
      <w:tr w14:paraId="4A246312">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2AF3CF8A">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666D9AAD">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15D3CBDF">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变更过程监控</w:t>
            </w:r>
          </w:p>
        </w:tc>
        <w:tc>
          <w:tcPr>
            <w:tcW w:w="2744" w:type="pct"/>
            <w:tcBorders>
              <w:top w:val="single" w:color="000000" w:sz="4" w:space="0"/>
              <w:left w:val="single" w:color="000000" w:sz="4" w:space="0"/>
              <w:bottom w:val="single" w:color="000000" w:sz="4" w:space="0"/>
              <w:right w:val="single" w:color="000000" w:sz="4" w:space="0"/>
            </w:tcBorders>
          </w:tcPr>
          <w:p w14:paraId="7940E880">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展示变更前后配置差异，根据用户设定的变更开始计划时间，提前半小时获取一次所有变更设备的配置；变更结束后，再获取一次所有变更设备的配置；获取到两次配置后，显示设备变更前后配置的差异结果（新增、删除、修改），支持查看差异详情。配置差异详情包括新增配置命令详情、删除配置详情、修改配置详情；作业日志模块，后边显示变更计划开始时间，点击时候后的》符号，展示显示自动化-作业平台-执行历史中的作业详情。</w:t>
            </w:r>
          </w:p>
        </w:tc>
      </w:tr>
      <w:tr w14:paraId="189A6788">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70F98B05">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305724B8">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1A2881E2">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网络变更场景管理</w:t>
            </w:r>
          </w:p>
        </w:tc>
        <w:tc>
          <w:tcPr>
            <w:tcW w:w="2744" w:type="pct"/>
            <w:tcBorders>
              <w:top w:val="single" w:color="000000" w:sz="4" w:space="0"/>
              <w:left w:val="single" w:color="000000" w:sz="4" w:space="0"/>
              <w:bottom w:val="single" w:color="000000" w:sz="4" w:space="0"/>
              <w:right w:val="single" w:color="000000" w:sz="4" w:space="0"/>
            </w:tcBorders>
          </w:tcPr>
          <w:p w14:paraId="1F0B892E">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运行维护人员可以把预检查、命令生成、命令执行、回退等组合编排为一个场景，在场景管理模块新建场景、发布审核、审核通过后在流程服务目录入口直接选择新建的场景提交变更申请，完成变更动作</w:t>
            </w:r>
            <w:r>
              <w:rPr>
                <w:rFonts w:hint="eastAsia" w:ascii="宋体" w:hAnsi="宋体" w:cs="宋体"/>
                <w:b/>
                <w:bCs/>
                <w:i w:val="0"/>
                <w:iCs w:val="0"/>
                <w:color w:val="auto"/>
                <w:kern w:val="0"/>
                <w:sz w:val="24"/>
                <w:szCs w:val="24"/>
                <w:highlight w:val="none"/>
                <w:lang w:bidi="ar"/>
              </w:rPr>
              <w:t>。</w:t>
            </w:r>
          </w:p>
        </w:tc>
      </w:tr>
      <w:tr w14:paraId="7CB9F56B">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76827A42">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06993C7A">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3FB1C998">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网络变更套餐管理</w:t>
            </w:r>
          </w:p>
        </w:tc>
        <w:tc>
          <w:tcPr>
            <w:tcW w:w="2744" w:type="pct"/>
            <w:tcBorders>
              <w:top w:val="single" w:color="000000" w:sz="4" w:space="0"/>
              <w:left w:val="single" w:color="000000" w:sz="4" w:space="0"/>
              <w:bottom w:val="single" w:color="000000" w:sz="4" w:space="0"/>
              <w:right w:val="single" w:color="000000" w:sz="4" w:space="0"/>
            </w:tcBorders>
          </w:tcPr>
          <w:p w14:paraId="228FABAE">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运行维护人员可以将多个场景编排成套餐，支持拖拉拽方式，编排支持并行、串行、自定义步骤，发布套餐时候支持审批、启用、停用、发布等功能，发布成功后可以在流程服务目录入口直接选择新建的套餐提交变更申请，完成变更动作。满足复杂变更、跨群组变更和多步骤变更需</w:t>
            </w:r>
            <w:r>
              <w:rPr>
                <w:rFonts w:hint="eastAsia" w:ascii="宋体" w:hAnsi="宋体" w:cs="宋体"/>
                <w:b/>
                <w:bCs/>
                <w:i w:val="0"/>
                <w:iCs w:val="0"/>
                <w:color w:val="auto"/>
                <w:kern w:val="0"/>
                <w:sz w:val="24"/>
                <w:szCs w:val="24"/>
                <w:highlight w:val="none"/>
                <w:lang w:bidi="ar"/>
              </w:rPr>
              <w:t>。</w:t>
            </w:r>
          </w:p>
        </w:tc>
      </w:tr>
      <w:tr w14:paraId="0BA5BB4C">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05090774">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466FB11A">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45EA029E">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高危管理</w:t>
            </w:r>
          </w:p>
        </w:tc>
        <w:tc>
          <w:tcPr>
            <w:tcW w:w="2744" w:type="pct"/>
            <w:tcBorders>
              <w:top w:val="single" w:color="000000" w:sz="4" w:space="0"/>
              <w:left w:val="single" w:color="000000" w:sz="4" w:space="0"/>
              <w:bottom w:val="single" w:color="000000" w:sz="4" w:space="0"/>
              <w:right w:val="single" w:color="000000" w:sz="4" w:space="0"/>
            </w:tcBorders>
          </w:tcPr>
          <w:p w14:paraId="3D734EE0">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支持变更高危命令的新增、详情、编辑、删除，高危命令的启用和停用都需要审批，在变更命令生成后触发高危命令检测，并且高亮展示启用的高危命令，并且在后续所有流程节点都能查看高危命令。</w:t>
            </w:r>
          </w:p>
        </w:tc>
      </w:tr>
      <w:tr w14:paraId="2F146719">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700F16DE">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0DED2EB3">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5F2539CE">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网络变更场景库</w:t>
            </w:r>
          </w:p>
        </w:tc>
        <w:tc>
          <w:tcPr>
            <w:tcW w:w="2744" w:type="pct"/>
            <w:tcBorders>
              <w:top w:val="single" w:color="000000" w:sz="4" w:space="0"/>
              <w:left w:val="single" w:color="000000" w:sz="4" w:space="0"/>
              <w:bottom w:val="single" w:color="000000" w:sz="4" w:space="0"/>
              <w:right w:val="single" w:color="000000" w:sz="4" w:space="0"/>
            </w:tcBorders>
          </w:tcPr>
          <w:p w14:paraId="32277731">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支持通用变更（命令）、物理操作通用类、防火墙策略开通、交换机端口开通、交换机端口回收、交换机新增 ACL 策略、负载均衡新增 VS、负载均衡修改连接数限制、负载均衡 member 扩容、负载均衡 member 缩容、负载均衡 member 状态启停、套餐变更、防火墙 nat 策略开通、 管理网汇聚开端口、新增本地镜像、外联 CE 收核心网路由、外联路由器删除专线路由、删除 BGP 邻居及路由策略、端口状态变更、外联专线开端口、内网域名 - AL、公网域名 - GTM、外联路由器加专线路由、外联路由器关端口等场景。同时，系统兼容多厂商设备为多场景、多厂商的变更需求提供高效、稳定的支持，并且针对新型号能快速支持</w:t>
            </w:r>
            <w:r>
              <w:rPr>
                <w:rFonts w:hint="eastAsia" w:ascii="宋体" w:hAnsi="宋体" w:cs="宋体"/>
                <w:b/>
                <w:bCs/>
                <w:i w:val="0"/>
                <w:iCs w:val="0"/>
                <w:color w:val="auto"/>
                <w:kern w:val="0"/>
                <w:sz w:val="24"/>
                <w:szCs w:val="24"/>
                <w:highlight w:val="none"/>
                <w:lang w:bidi="ar"/>
              </w:rPr>
              <w:t>。</w:t>
            </w:r>
          </w:p>
        </w:tc>
      </w:tr>
      <w:tr w14:paraId="00F5A1D6">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3CC3EAD2">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431451BB">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7D904BCC">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变更审核管理</w:t>
            </w:r>
          </w:p>
        </w:tc>
        <w:tc>
          <w:tcPr>
            <w:tcW w:w="2744" w:type="pct"/>
            <w:tcBorders>
              <w:top w:val="single" w:color="000000" w:sz="4" w:space="0"/>
              <w:left w:val="single" w:color="000000" w:sz="4" w:space="0"/>
              <w:bottom w:val="single" w:color="000000" w:sz="4" w:space="0"/>
              <w:right w:val="single" w:color="000000" w:sz="4" w:space="0"/>
            </w:tcBorders>
          </w:tcPr>
          <w:p w14:paraId="23B8BB49">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变更场景、套餐的启用和停用都需要审批，在审核管理模块，包含审核人管理和我的审核功能，管理员可以增加删除审批人，在我的审核的待审核中可以查询的申请详情，可以选择审核操作，审核通过和审核不通并填写审核说明，所有审核历史都可以在已审核中查看，并且支持审核类型、审核时间、审核状态的搜索功能。</w:t>
            </w:r>
          </w:p>
        </w:tc>
      </w:tr>
      <w:tr w14:paraId="282757D4">
        <w:tblPrEx>
          <w:tblCellMar>
            <w:top w:w="0" w:type="dxa"/>
            <w:left w:w="108" w:type="dxa"/>
            <w:bottom w:w="0" w:type="dxa"/>
            <w:right w:w="108" w:type="dxa"/>
          </w:tblCellMar>
        </w:tblPrEx>
        <w:trPr>
          <w:trHeight w:val="425" w:hRule="atLeast"/>
        </w:trPr>
        <w:tc>
          <w:tcPr>
            <w:tcW w:w="354" w:type="pct"/>
            <w:vMerge w:val="restart"/>
            <w:tcBorders>
              <w:top w:val="single" w:color="000000" w:sz="4" w:space="0"/>
              <w:left w:val="single" w:color="000000" w:sz="4" w:space="0"/>
              <w:bottom w:val="single" w:color="000000" w:sz="4" w:space="0"/>
              <w:right w:val="single" w:color="000000" w:sz="4" w:space="0"/>
            </w:tcBorders>
            <w:noWrap/>
            <w:vAlign w:val="center"/>
          </w:tcPr>
          <w:p w14:paraId="6A4E38B3">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8</w:t>
            </w:r>
          </w:p>
        </w:tc>
        <w:tc>
          <w:tcPr>
            <w:tcW w:w="891" w:type="pct"/>
            <w:vMerge w:val="restart"/>
            <w:tcBorders>
              <w:top w:val="single" w:color="000000" w:sz="4" w:space="0"/>
              <w:left w:val="single" w:color="000000" w:sz="4" w:space="0"/>
              <w:bottom w:val="single" w:color="000000" w:sz="4" w:space="0"/>
              <w:right w:val="single" w:color="000000" w:sz="4" w:space="0"/>
            </w:tcBorders>
            <w:vAlign w:val="center"/>
          </w:tcPr>
          <w:p w14:paraId="55E22071">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端到端路径探测</w:t>
            </w:r>
          </w:p>
        </w:tc>
        <w:tc>
          <w:tcPr>
            <w:tcW w:w="1010" w:type="pct"/>
            <w:tcBorders>
              <w:top w:val="single" w:color="000000" w:sz="4" w:space="0"/>
              <w:left w:val="single" w:color="000000" w:sz="4" w:space="0"/>
              <w:bottom w:val="single" w:color="000000" w:sz="4" w:space="0"/>
              <w:right w:val="single" w:color="000000" w:sz="4" w:space="0"/>
            </w:tcBorders>
            <w:vAlign w:val="center"/>
          </w:tcPr>
          <w:p w14:paraId="5F036631">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数据建模</w:t>
            </w:r>
          </w:p>
        </w:tc>
        <w:tc>
          <w:tcPr>
            <w:tcW w:w="2744" w:type="pct"/>
            <w:tcBorders>
              <w:top w:val="single" w:color="000000" w:sz="4" w:space="0"/>
              <w:left w:val="single" w:color="000000" w:sz="4" w:space="0"/>
              <w:bottom w:val="single" w:color="000000" w:sz="4" w:space="0"/>
              <w:right w:val="single" w:color="000000" w:sz="4" w:space="0"/>
            </w:tcBorders>
          </w:tcPr>
          <w:p w14:paraId="20744928">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围绕业务场景构建统一设备模型，摒弃原有的以设备厂商、型号为维度的数据模型，打造交换机、防火墙、路由器、负载均衡四大业务视角共46个配置子项模型，以及根据配置子项进行数据清洗、加工后的16个明细数据模型。模型配置子项支持灵活扩展，可统一存储现网所有网络设备的非结构化数据，实现网络配置数据的标准化，统一化管理。</w:t>
            </w:r>
          </w:p>
        </w:tc>
      </w:tr>
      <w:tr w14:paraId="1A61D2E1">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086120C2">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1132638F">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55221773">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数据采集</w:t>
            </w:r>
          </w:p>
        </w:tc>
        <w:tc>
          <w:tcPr>
            <w:tcW w:w="2744" w:type="pct"/>
            <w:tcBorders>
              <w:top w:val="single" w:color="000000" w:sz="4" w:space="0"/>
              <w:left w:val="single" w:color="000000" w:sz="4" w:space="0"/>
              <w:bottom w:val="single" w:color="000000" w:sz="4" w:space="0"/>
              <w:right w:val="single" w:color="000000" w:sz="4" w:space="0"/>
            </w:tcBorders>
          </w:tcPr>
          <w:p w14:paraId="17EA80F4">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基于46个配置子项模型，按厂商、型号维度开发采集脚本，对现网的网络设备的自动化定时采集原始配置数据，构建统一数据入库API，另外根据16个基础配置数据模型，比如：设备LLDP信息、路由表、交换机PBR等，实现清洗后数据的高效非结构化持久化存储，入库时会自动根据业务数据模型对字段完整性、格式规范性进行严格校验，保证入库的数据100%合规；同时提供标准化数据统一消费接口，支持灵活复杂的查询条件实现秒级数据查询。</w:t>
            </w:r>
          </w:p>
        </w:tc>
      </w:tr>
      <w:tr w14:paraId="36FCE938">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35E3CB18">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7EF32AE3">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51C13821">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端到端路径计算</w:t>
            </w:r>
          </w:p>
        </w:tc>
        <w:tc>
          <w:tcPr>
            <w:tcW w:w="2744" w:type="pct"/>
            <w:tcBorders>
              <w:top w:val="single" w:color="000000" w:sz="4" w:space="0"/>
              <w:left w:val="single" w:color="000000" w:sz="4" w:space="0"/>
              <w:bottom w:val="single" w:color="000000" w:sz="4" w:space="0"/>
              <w:right w:val="single" w:color="000000" w:sz="4" w:space="0"/>
            </w:tcBorders>
          </w:tcPr>
          <w:p w14:paraId="7C9338F4">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基于采集的全网设备配置（包括ARP、路由表、PBR策略、ACL规则、防火墙策略、VRRP状态、负载均衡策略等），构建端到端流量路径的算法。系统根据配置模拟数据包转发行为，结合路由、策略匹配和拓扑信息，精确推导从源到目的地的完整传输路径，并记录路径上所有经过的网络设备、接口及关键策略命中点（如匹配的ACL规则、NAT转换条目）。</w:t>
            </w:r>
          </w:p>
        </w:tc>
      </w:tr>
      <w:tr w14:paraId="054D7382">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1F8BD77F">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52D6E7EC">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198C18D6">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路径展示</w:t>
            </w:r>
          </w:p>
        </w:tc>
        <w:tc>
          <w:tcPr>
            <w:tcW w:w="2744" w:type="pct"/>
            <w:tcBorders>
              <w:top w:val="single" w:color="000000" w:sz="4" w:space="0"/>
              <w:left w:val="single" w:color="000000" w:sz="4" w:space="0"/>
              <w:bottom w:val="single" w:color="000000" w:sz="4" w:space="0"/>
              <w:right w:val="single" w:color="000000" w:sz="4" w:space="0"/>
            </w:tcBorders>
          </w:tcPr>
          <w:p w14:paraId="2EA183E3">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基于网络计算结果，系统通过动态拓扑引擎自动生成交互式路径视图，直观呈现端到端访问链路。拓扑以不同颜色和图标区分设备类型，通过方向箭头明确流量走向，并实时标注关键状态信息（如防火墙策略拒绝时显示❌并提示阻断原因）。支持拓扑缩放、路径高亮、设备详情钻取等交互操作，可快速定位策略阻断点，同时提供通断测试模拟功能，实现网络路径动态展示。</w:t>
            </w:r>
          </w:p>
        </w:tc>
      </w:tr>
      <w:tr w14:paraId="67A49089">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0755061E">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63D84FBD">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7C77F141">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防火墙定位及校验</w:t>
            </w:r>
          </w:p>
        </w:tc>
        <w:tc>
          <w:tcPr>
            <w:tcW w:w="2744" w:type="pct"/>
            <w:tcBorders>
              <w:top w:val="single" w:color="000000" w:sz="4" w:space="0"/>
              <w:left w:val="single" w:color="000000" w:sz="4" w:space="0"/>
              <w:bottom w:val="single" w:color="000000" w:sz="4" w:space="0"/>
              <w:right w:val="single" w:color="000000" w:sz="4" w:space="0"/>
            </w:tcBorders>
          </w:tcPr>
          <w:p w14:paraId="206F4486">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根据输入的源IP和目的IP，系统自动分析网络拓扑，精确定位流量路径中经过的所有防火墙设备，并自动识别相关安全策略（包括ACL、NAT及会话状态）。支持防火墙策略自动化变更中的设备自动定位。同时提供开通后自动校验，快速确认策略是否按预期放行流量，避免配置遗漏或冲突，提升防火墙策略变更的准确性和安全性。</w:t>
            </w:r>
          </w:p>
        </w:tc>
      </w:tr>
      <w:tr w14:paraId="13A75C97">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2F49B907">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3A4C128B">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13701F89">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路径影响分析</w:t>
            </w:r>
          </w:p>
        </w:tc>
        <w:tc>
          <w:tcPr>
            <w:tcW w:w="2744" w:type="pct"/>
            <w:tcBorders>
              <w:top w:val="single" w:color="000000" w:sz="4" w:space="0"/>
              <w:left w:val="single" w:color="000000" w:sz="4" w:space="0"/>
              <w:bottom w:val="single" w:color="000000" w:sz="4" w:space="0"/>
              <w:right w:val="single" w:color="000000" w:sz="4" w:space="0"/>
            </w:tcBorders>
          </w:tcPr>
          <w:p w14:paraId="4F7697B8">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支持在端到端路径中点击任意设备节点，实时展示影响当前路径的关键配置详情，包括ACL策略规则、NAT转换条目、路由表项等核心参数。方便快速查看配置，显著提升排查效率。</w:t>
            </w:r>
          </w:p>
        </w:tc>
      </w:tr>
      <w:tr w14:paraId="7742C0E9">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1697D22B">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59666FC5">
            <w:pPr>
              <w:spacing w:line="360" w:lineRule="auto"/>
              <w:jc w:val="center"/>
              <w:rPr>
                <w:rFonts w:hint="eastAsia" w:ascii="宋体" w:hAnsi="宋体" w:cs="宋体"/>
                <w:i w:val="0"/>
                <w:iCs w:val="0"/>
                <w:color w:val="auto"/>
                <w:sz w:val="24"/>
                <w:szCs w:val="24"/>
                <w:highlight w:val="none"/>
              </w:rPr>
            </w:pPr>
          </w:p>
        </w:tc>
        <w:tc>
          <w:tcPr>
            <w:tcW w:w="1010" w:type="pct"/>
            <w:vMerge w:val="restart"/>
            <w:tcBorders>
              <w:top w:val="single" w:color="000000" w:sz="4" w:space="0"/>
              <w:left w:val="single" w:color="000000" w:sz="4" w:space="0"/>
              <w:bottom w:val="single" w:color="000000" w:sz="4" w:space="0"/>
              <w:right w:val="single" w:color="000000" w:sz="4" w:space="0"/>
            </w:tcBorders>
            <w:vAlign w:val="center"/>
          </w:tcPr>
          <w:p w14:paraId="49DAC297">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路径功能叠加</w:t>
            </w:r>
          </w:p>
        </w:tc>
        <w:tc>
          <w:tcPr>
            <w:tcW w:w="2744" w:type="pct"/>
            <w:tcBorders>
              <w:top w:val="single" w:color="000000" w:sz="4" w:space="0"/>
              <w:left w:val="single" w:color="000000" w:sz="4" w:space="0"/>
              <w:bottom w:val="single" w:color="000000" w:sz="4" w:space="0"/>
              <w:right w:val="single" w:color="000000" w:sz="4" w:space="0"/>
            </w:tcBorders>
          </w:tcPr>
          <w:p w14:paraId="6867F584">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在端到端路径中叠加变更工单数据（如变更时间、工单数量等），点击数量，展示该设备在变更执行开始时间内所有的变更详情，实现网络路径与运行维护变更的实时联动分析，快速定位业务异常与工单变更的因果关系。</w:t>
            </w:r>
          </w:p>
        </w:tc>
      </w:tr>
      <w:tr w14:paraId="1728CF55">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56EFA36E">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425D854F">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18CFF314">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7CAD15C3">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深度集成配置备份功能，点击路径中的任意设备，展示该设备的配置（包括运行配置和启动配置）。</w:t>
            </w:r>
          </w:p>
        </w:tc>
      </w:tr>
      <w:tr w14:paraId="5BAB6570">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13A69C2A">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79C1B824">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17C248D2">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137070FD">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支持多版本配置的差异化比对（可视化差异展示），可精准定位历史变更对当前路径的影响范围，实现从路径异常到配置变更的快速溯源与影响评估。</w:t>
            </w:r>
          </w:p>
        </w:tc>
      </w:tr>
      <w:tr w14:paraId="0C4B32A1">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595F571F">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399E2D82">
            <w:pPr>
              <w:spacing w:line="360" w:lineRule="auto"/>
              <w:jc w:val="center"/>
              <w:rPr>
                <w:rFonts w:hint="eastAsia" w:ascii="宋体" w:hAnsi="宋体" w:cs="宋体"/>
                <w:i w:val="0"/>
                <w:iCs w:val="0"/>
                <w:color w:val="auto"/>
                <w:sz w:val="24"/>
                <w:szCs w:val="24"/>
                <w:highlight w:val="none"/>
              </w:rPr>
            </w:pPr>
          </w:p>
        </w:tc>
        <w:tc>
          <w:tcPr>
            <w:tcW w:w="1010" w:type="pct"/>
            <w:vMerge w:val="continue"/>
            <w:tcBorders>
              <w:top w:val="single" w:color="000000" w:sz="4" w:space="0"/>
              <w:left w:val="single" w:color="000000" w:sz="4" w:space="0"/>
              <w:bottom w:val="single" w:color="000000" w:sz="4" w:space="0"/>
              <w:right w:val="single" w:color="000000" w:sz="4" w:space="0"/>
            </w:tcBorders>
            <w:vAlign w:val="center"/>
          </w:tcPr>
          <w:p w14:paraId="0444A7A0">
            <w:pPr>
              <w:spacing w:line="360" w:lineRule="auto"/>
              <w:jc w:val="center"/>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tcPr>
          <w:p w14:paraId="58DF5EF8">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备份导出功能，支持对当前路径中的设备最新</w:t>
            </w:r>
          </w:p>
        </w:tc>
      </w:tr>
      <w:tr w14:paraId="6F859C69">
        <w:tblPrEx>
          <w:tblCellMar>
            <w:top w:w="0" w:type="dxa"/>
            <w:left w:w="108" w:type="dxa"/>
            <w:bottom w:w="0" w:type="dxa"/>
            <w:right w:w="108" w:type="dxa"/>
          </w:tblCellMar>
        </w:tblPrEx>
        <w:trPr>
          <w:trHeight w:val="425" w:hRule="atLeast"/>
        </w:trPr>
        <w:tc>
          <w:tcPr>
            <w:tcW w:w="354" w:type="pct"/>
            <w:vMerge w:val="continue"/>
            <w:tcBorders>
              <w:top w:val="single" w:color="000000" w:sz="4" w:space="0"/>
              <w:left w:val="single" w:color="000000" w:sz="4" w:space="0"/>
              <w:bottom w:val="single" w:color="000000" w:sz="4" w:space="0"/>
              <w:right w:val="single" w:color="000000" w:sz="4" w:space="0"/>
            </w:tcBorders>
            <w:noWrap/>
            <w:vAlign w:val="center"/>
          </w:tcPr>
          <w:p w14:paraId="3BE1F87F">
            <w:pPr>
              <w:spacing w:line="360" w:lineRule="auto"/>
              <w:jc w:val="center"/>
              <w:rPr>
                <w:rFonts w:hint="eastAsia" w:ascii="宋体" w:hAnsi="宋体" w:cs="宋体"/>
                <w:i w:val="0"/>
                <w:iCs w:val="0"/>
                <w:color w:val="auto"/>
                <w:sz w:val="24"/>
                <w:szCs w:val="24"/>
                <w:highlight w:val="none"/>
              </w:rPr>
            </w:pPr>
          </w:p>
        </w:tc>
        <w:tc>
          <w:tcPr>
            <w:tcW w:w="891" w:type="pct"/>
            <w:vMerge w:val="continue"/>
            <w:tcBorders>
              <w:top w:val="single" w:color="000000" w:sz="4" w:space="0"/>
              <w:left w:val="single" w:color="000000" w:sz="4" w:space="0"/>
              <w:bottom w:val="single" w:color="000000" w:sz="4" w:space="0"/>
              <w:right w:val="single" w:color="000000" w:sz="4" w:space="0"/>
            </w:tcBorders>
            <w:vAlign w:val="center"/>
          </w:tcPr>
          <w:p w14:paraId="6706E7D7">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0EF91CCB">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网络拨测</w:t>
            </w:r>
          </w:p>
        </w:tc>
        <w:tc>
          <w:tcPr>
            <w:tcW w:w="2744" w:type="pct"/>
            <w:tcBorders>
              <w:top w:val="single" w:color="000000" w:sz="4" w:space="0"/>
              <w:left w:val="single" w:color="000000" w:sz="4" w:space="0"/>
              <w:bottom w:val="single" w:color="000000" w:sz="4" w:space="0"/>
              <w:right w:val="single" w:color="000000" w:sz="4" w:space="0"/>
            </w:tcBorders>
          </w:tcPr>
          <w:p w14:paraId="05D24AA0">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路径计算完成后，会自动发起源端到目的端、源端到源网关、源端到目的网关、目的端到目的网关四个方向的ping检测及源目tranceroute检测，鼠标悬停拨测路线，展示源IP、目的IP、拨测详情情况，快速查看连通性情况帮助定位问题</w:t>
            </w:r>
          </w:p>
        </w:tc>
      </w:tr>
      <w:tr w14:paraId="340469AC">
        <w:tblPrEx>
          <w:tblCellMar>
            <w:top w:w="0" w:type="dxa"/>
            <w:left w:w="108" w:type="dxa"/>
            <w:bottom w:w="0" w:type="dxa"/>
            <w:right w:w="108" w:type="dxa"/>
          </w:tblCellMar>
        </w:tblPrEx>
        <w:trPr>
          <w:trHeight w:val="425" w:hRule="atLeast"/>
        </w:trPr>
        <w:tc>
          <w:tcPr>
            <w:tcW w:w="354" w:type="pct"/>
            <w:vMerge w:val="restart"/>
            <w:tcBorders>
              <w:top w:val="single" w:color="000000" w:sz="4" w:space="0"/>
              <w:left w:val="single" w:color="000000" w:sz="4" w:space="0"/>
              <w:right w:val="single" w:color="000000" w:sz="4" w:space="0"/>
            </w:tcBorders>
            <w:noWrap/>
            <w:vAlign w:val="center"/>
          </w:tcPr>
          <w:p w14:paraId="73CE6280">
            <w:pPr>
              <w:spacing w:line="360" w:lineRule="auto"/>
              <w:jc w:val="center"/>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9</w:t>
            </w:r>
          </w:p>
        </w:tc>
        <w:tc>
          <w:tcPr>
            <w:tcW w:w="891" w:type="pct"/>
            <w:vMerge w:val="restart"/>
            <w:tcBorders>
              <w:top w:val="single" w:color="000000" w:sz="4" w:space="0"/>
              <w:left w:val="single" w:color="000000" w:sz="4" w:space="0"/>
              <w:right w:val="single" w:color="000000" w:sz="4" w:space="0"/>
            </w:tcBorders>
            <w:vAlign w:val="center"/>
          </w:tcPr>
          <w:p w14:paraId="4FA5BA2A">
            <w:pPr>
              <w:spacing w:line="360" w:lineRule="auto"/>
              <w:jc w:val="center"/>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数据中心资源自动化巡检</w:t>
            </w:r>
          </w:p>
        </w:tc>
        <w:tc>
          <w:tcPr>
            <w:tcW w:w="1010" w:type="pct"/>
            <w:tcBorders>
              <w:top w:val="single" w:color="000000" w:sz="4" w:space="0"/>
              <w:left w:val="single" w:color="000000" w:sz="4" w:space="0"/>
              <w:bottom w:val="single" w:color="000000" w:sz="4" w:space="0"/>
              <w:right w:val="single" w:color="000000" w:sz="4" w:space="0"/>
            </w:tcBorders>
            <w:vAlign w:val="center"/>
          </w:tcPr>
          <w:p w14:paraId="23E3CC3B">
            <w:pPr>
              <w:widowControl/>
              <w:snapToGrid w:val="0"/>
              <w:jc w:val="left"/>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作业执行</w:t>
            </w:r>
          </w:p>
        </w:tc>
        <w:tc>
          <w:tcPr>
            <w:tcW w:w="2744" w:type="pct"/>
            <w:tcBorders>
              <w:top w:val="single" w:color="000000" w:sz="4" w:space="0"/>
              <w:left w:val="single" w:color="000000" w:sz="4" w:space="0"/>
              <w:bottom w:val="single" w:color="000000" w:sz="4" w:space="0"/>
              <w:right w:val="single" w:color="000000" w:sz="4" w:space="0"/>
            </w:tcBorders>
            <w:vAlign w:val="center"/>
          </w:tcPr>
          <w:p w14:paraId="751EA748">
            <w:pPr>
              <w:widowControl/>
              <w:snapToGrid w:val="0"/>
              <w:jc w:val="left"/>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支持灵活设置作业执行方式，单次、定时调度执行，执行时候可以从资源选择操作对象，也支持多个步骤成一个作业流，步骤里面可以选择脚本和文件分发</w:t>
            </w:r>
            <w:r>
              <w:rPr>
                <w:rFonts w:hint="eastAsia" w:ascii="宋体" w:hAnsi="宋体" w:cs="宋体"/>
                <w:i w:val="0"/>
                <w:iCs w:val="0"/>
                <w:color w:val="auto"/>
                <w:kern w:val="0"/>
                <w:sz w:val="24"/>
                <w:szCs w:val="24"/>
                <w:highlight w:val="none"/>
                <w:lang w:bidi="ar"/>
              </w:rPr>
              <w:t>。</w:t>
            </w:r>
          </w:p>
        </w:tc>
      </w:tr>
      <w:tr w14:paraId="54843D24">
        <w:tblPrEx>
          <w:tblCellMar>
            <w:top w:w="0" w:type="dxa"/>
            <w:left w:w="108" w:type="dxa"/>
            <w:bottom w:w="0" w:type="dxa"/>
            <w:right w:w="108" w:type="dxa"/>
          </w:tblCellMar>
        </w:tblPrEx>
        <w:trPr>
          <w:trHeight w:val="425" w:hRule="atLeast"/>
        </w:trPr>
        <w:tc>
          <w:tcPr>
            <w:tcW w:w="354" w:type="pct"/>
            <w:vMerge w:val="continue"/>
            <w:tcBorders>
              <w:left w:val="single" w:color="000000" w:sz="4" w:space="0"/>
              <w:right w:val="single" w:color="000000" w:sz="4" w:space="0"/>
            </w:tcBorders>
            <w:noWrap/>
            <w:vAlign w:val="center"/>
          </w:tcPr>
          <w:p w14:paraId="2856B058">
            <w:pPr>
              <w:spacing w:line="360" w:lineRule="auto"/>
              <w:jc w:val="center"/>
              <w:rPr>
                <w:rFonts w:hint="eastAsia" w:ascii="宋体" w:hAnsi="宋体" w:cs="宋体"/>
                <w:i w:val="0"/>
                <w:iCs w:val="0"/>
                <w:color w:val="auto"/>
                <w:sz w:val="24"/>
                <w:szCs w:val="24"/>
                <w:highlight w:val="none"/>
              </w:rPr>
            </w:pPr>
          </w:p>
        </w:tc>
        <w:tc>
          <w:tcPr>
            <w:tcW w:w="891" w:type="pct"/>
            <w:vMerge w:val="continue"/>
            <w:tcBorders>
              <w:left w:val="single" w:color="000000" w:sz="4" w:space="0"/>
              <w:right w:val="single" w:color="000000" w:sz="4" w:space="0"/>
            </w:tcBorders>
            <w:vAlign w:val="center"/>
          </w:tcPr>
          <w:p w14:paraId="20B7F70A">
            <w:pPr>
              <w:spacing w:line="360" w:lineRule="auto"/>
              <w:jc w:val="center"/>
              <w:rPr>
                <w:rFonts w:hint="eastAsia" w:ascii="宋体" w:hAnsi="宋体" w:cs="宋体"/>
                <w:i w:val="0"/>
                <w:iCs w:val="0"/>
                <w:color w:val="auto"/>
                <w:sz w:val="24"/>
                <w:szCs w:val="24"/>
                <w:highlight w:val="none"/>
              </w:rPr>
            </w:pPr>
          </w:p>
        </w:tc>
        <w:tc>
          <w:tcPr>
            <w:tcW w:w="1010" w:type="pct"/>
            <w:vMerge w:val="restart"/>
            <w:tcBorders>
              <w:top w:val="single" w:color="000000" w:sz="4" w:space="0"/>
              <w:left w:val="single" w:color="000000" w:sz="4" w:space="0"/>
              <w:right w:val="single" w:color="000000" w:sz="4" w:space="0"/>
            </w:tcBorders>
            <w:vAlign w:val="center"/>
          </w:tcPr>
          <w:p w14:paraId="4C8CF0A8">
            <w:pPr>
              <w:widowControl/>
              <w:snapToGrid w:val="0"/>
              <w:jc w:val="left"/>
              <w:rPr>
                <w:rFonts w:hint="eastAsia" w:ascii="宋体" w:hAnsi="宋体" w:cs="宋体"/>
                <w:i w:val="0"/>
                <w:iCs w:val="0"/>
                <w:color w:val="auto"/>
                <w:kern w:val="0"/>
                <w:sz w:val="24"/>
                <w:szCs w:val="24"/>
                <w:highlight w:val="none"/>
                <w:lang w:bidi="ar"/>
              </w:rPr>
            </w:pPr>
            <w:r>
              <w:rPr>
                <w:rFonts w:hint="eastAsia" w:ascii="宋体" w:hAnsi="宋体" w:cs="宋体"/>
                <w:i w:val="0"/>
                <w:iCs w:val="0"/>
                <w:color w:val="auto"/>
                <w:sz w:val="24"/>
                <w:szCs w:val="24"/>
                <w:highlight w:val="none"/>
              </w:rPr>
              <w:t>巡检管理</w:t>
            </w:r>
          </w:p>
        </w:tc>
        <w:tc>
          <w:tcPr>
            <w:tcW w:w="2744" w:type="pct"/>
            <w:tcBorders>
              <w:top w:val="single" w:color="000000" w:sz="4" w:space="0"/>
              <w:left w:val="single" w:color="000000" w:sz="4" w:space="0"/>
              <w:bottom w:val="single" w:color="000000" w:sz="4" w:space="0"/>
              <w:right w:val="single" w:color="000000" w:sz="4" w:space="0"/>
            </w:tcBorders>
            <w:vAlign w:val="center"/>
          </w:tcPr>
          <w:p w14:paraId="55F93572">
            <w:pPr>
              <w:adjustRightInd w:val="0"/>
              <w:snapToGrid w:val="0"/>
              <w:jc w:val="left"/>
              <w:rPr>
                <w:rFonts w:hint="eastAsia" w:ascii="宋体" w:hAnsi="宋体" w:cs="宋体"/>
                <w:i w:val="0"/>
                <w:iCs w:val="0"/>
                <w:color w:val="auto"/>
                <w:kern w:val="0"/>
                <w:sz w:val="24"/>
                <w:szCs w:val="24"/>
                <w:highlight w:val="none"/>
                <w:lang w:bidi="ar"/>
              </w:rPr>
            </w:pPr>
            <w:r>
              <w:rPr>
                <w:rFonts w:hint="eastAsia" w:ascii="宋体" w:hAnsi="宋体" w:cs="宋体"/>
                <w:i w:val="0"/>
                <w:iCs w:val="0"/>
                <w:color w:val="auto"/>
                <w:sz w:val="24"/>
                <w:szCs w:val="24"/>
                <w:highlight w:val="none"/>
              </w:rPr>
              <w:t>支持对IT资源进行巡检，内置巡检模板包含操作系统和数据库，至少包含日志、文件系统、进程、SWAP、网络、安全检查、资源、时钟同步等8大类，不少于500巡检指标</w:t>
            </w:r>
            <w:r>
              <w:rPr>
                <w:rFonts w:hint="eastAsia" w:ascii="宋体" w:hAnsi="宋体" w:cs="宋体"/>
                <w:i w:val="0"/>
                <w:iCs w:val="0"/>
                <w:color w:val="auto"/>
                <w:kern w:val="0"/>
                <w:sz w:val="24"/>
                <w:szCs w:val="24"/>
                <w:highlight w:val="none"/>
                <w:lang w:bidi="ar"/>
              </w:rPr>
              <w:t>。</w:t>
            </w:r>
          </w:p>
        </w:tc>
      </w:tr>
      <w:tr w14:paraId="0F55BAFB">
        <w:tblPrEx>
          <w:tblCellMar>
            <w:top w:w="0" w:type="dxa"/>
            <w:left w:w="108" w:type="dxa"/>
            <w:bottom w:w="0" w:type="dxa"/>
            <w:right w:w="108" w:type="dxa"/>
          </w:tblCellMar>
        </w:tblPrEx>
        <w:trPr>
          <w:trHeight w:val="425" w:hRule="atLeast"/>
        </w:trPr>
        <w:tc>
          <w:tcPr>
            <w:tcW w:w="354" w:type="pct"/>
            <w:vMerge w:val="continue"/>
            <w:tcBorders>
              <w:left w:val="single" w:color="000000" w:sz="4" w:space="0"/>
              <w:right w:val="single" w:color="000000" w:sz="4" w:space="0"/>
            </w:tcBorders>
            <w:noWrap/>
            <w:vAlign w:val="center"/>
          </w:tcPr>
          <w:p w14:paraId="702A690A">
            <w:pPr>
              <w:spacing w:line="360" w:lineRule="auto"/>
              <w:jc w:val="center"/>
              <w:rPr>
                <w:rFonts w:hint="eastAsia" w:ascii="宋体" w:hAnsi="宋体" w:cs="宋体"/>
                <w:i w:val="0"/>
                <w:iCs w:val="0"/>
                <w:color w:val="auto"/>
                <w:sz w:val="24"/>
                <w:szCs w:val="24"/>
                <w:highlight w:val="none"/>
              </w:rPr>
            </w:pPr>
          </w:p>
        </w:tc>
        <w:tc>
          <w:tcPr>
            <w:tcW w:w="891" w:type="pct"/>
            <w:vMerge w:val="continue"/>
            <w:tcBorders>
              <w:left w:val="single" w:color="000000" w:sz="4" w:space="0"/>
              <w:right w:val="single" w:color="000000" w:sz="4" w:space="0"/>
            </w:tcBorders>
            <w:vAlign w:val="center"/>
          </w:tcPr>
          <w:p w14:paraId="260C921B">
            <w:pPr>
              <w:spacing w:line="360" w:lineRule="auto"/>
              <w:jc w:val="center"/>
              <w:rPr>
                <w:rFonts w:hint="eastAsia" w:ascii="宋体" w:hAnsi="宋体" w:cs="宋体"/>
                <w:i w:val="0"/>
                <w:iCs w:val="0"/>
                <w:color w:val="auto"/>
                <w:sz w:val="24"/>
                <w:szCs w:val="24"/>
                <w:highlight w:val="none"/>
              </w:rPr>
            </w:pPr>
          </w:p>
        </w:tc>
        <w:tc>
          <w:tcPr>
            <w:tcW w:w="1010" w:type="pct"/>
            <w:vMerge w:val="continue"/>
            <w:tcBorders>
              <w:left w:val="single" w:color="000000" w:sz="4" w:space="0"/>
              <w:right w:val="single" w:color="000000" w:sz="4" w:space="0"/>
            </w:tcBorders>
            <w:vAlign w:val="center"/>
          </w:tcPr>
          <w:p w14:paraId="4B4DD7D2">
            <w:pPr>
              <w:widowControl/>
              <w:snapToGrid w:val="0"/>
              <w:jc w:val="left"/>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vAlign w:val="center"/>
          </w:tcPr>
          <w:p w14:paraId="045D6E1B">
            <w:pPr>
              <w:adjustRightInd w:val="0"/>
              <w:snapToGrid w:val="0"/>
              <w:jc w:val="left"/>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需要支持规则管理，通过规则自定义巡检项，规则可以直接写脚本，可以定义成功退出条件，可以定义阈值</w:t>
            </w:r>
            <w:r>
              <w:rPr>
                <w:rFonts w:hint="eastAsia" w:ascii="宋体" w:hAnsi="宋体" w:cs="宋体"/>
                <w:i w:val="0"/>
                <w:iCs w:val="0"/>
                <w:color w:val="auto"/>
                <w:kern w:val="0"/>
                <w:sz w:val="24"/>
                <w:szCs w:val="24"/>
                <w:highlight w:val="none"/>
                <w:lang w:bidi="ar"/>
              </w:rPr>
              <w:t>。</w:t>
            </w:r>
            <w:r>
              <w:rPr>
                <w:rFonts w:hint="eastAsia" w:ascii="宋体" w:hAnsi="宋体" w:cs="宋体"/>
                <w:i w:val="0"/>
                <w:iCs w:val="0"/>
                <w:color w:val="auto"/>
                <w:sz w:val="24"/>
                <w:szCs w:val="24"/>
                <w:highlight w:val="none"/>
              </w:rPr>
              <w:t xml:space="preserve"> </w:t>
            </w:r>
          </w:p>
        </w:tc>
      </w:tr>
      <w:tr w14:paraId="3FD0427A">
        <w:tblPrEx>
          <w:tblCellMar>
            <w:top w:w="0" w:type="dxa"/>
            <w:left w:w="108" w:type="dxa"/>
            <w:bottom w:w="0" w:type="dxa"/>
            <w:right w:w="108" w:type="dxa"/>
          </w:tblCellMar>
        </w:tblPrEx>
        <w:trPr>
          <w:trHeight w:val="425" w:hRule="atLeast"/>
        </w:trPr>
        <w:tc>
          <w:tcPr>
            <w:tcW w:w="354" w:type="pct"/>
            <w:vMerge w:val="continue"/>
            <w:tcBorders>
              <w:left w:val="single" w:color="000000" w:sz="4" w:space="0"/>
              <w:right w:val="single" w:color="000000" w:sz="4" w:space="0"/>
            </w:tcBorders>
            <w:noWrap/>
            <w:vAlign w:val="center"/>
          </w:tcPr>
          <w:p w14:paraId="66F2F95C">
            <w:pPr>
              <w:spacing w:line="360" w:lineRule="auto"/>
              <w:jc w:val="center"/>
              <w:rPr>
                <w:rFonts w:hint="eastAsia" w:ascii="宋体" w:hAnsi="宋体" w:cs="宋体"/>
                <w:i w:val="0"/>
                <w:iCs w:val="0"/>
                <w:color w:val="auto"/>
                <w:sz w:val="24"/>
                <w:szCs w:val="24"/>
                <w:highlight w:val="none"/>
              </w:rPr>
            </w:pPr>
          </w:p>
        </w:tc>
        <w:tc>
          <w:tcPr>
            <w:tcW w:w="891" w:type="pct"/>
            <w:vMerge w:val="continue"/>
            <w:tcBorders>
              <w:left w:val="single" w:color="000000" w:sz="4" w:space="0"/>
              <w:right w:val="single" w:color="000000" w:sz="4" w:space="0"/>
            </w:tcBorders>
            <w:vAlign w:val="center"/>
          </w:tcPr>
          <w:p w14:paraId="125537E2">
            <w:pPr>
              <w:spacing w:line="360" w:lineRule="auto"/>
              <w:jc w:val="center"/>
              <w:rPr>
                <w:rFonts w:hint="eastAsia" w:ascii="宋体" w:hAnsi="宋体" w:cs="宋体"/>
                <w:i w:val="0"/>
                <w:iCs w:val="0"/>
                <w:color w:val="auto"/>
                <w:sz w:val="24"/>
                <w:szCs w:val="24"/>
                <w:highlight w:val="none"/>
              </w:rPr>
            </w:pPr>
          </w:p>
        </w:tc>
        <w:tc>
          <w:tcPr>
            <w:tcW w:w="1010" w:type="pct"/>
            <w:vMerge w:val="continue"/>
            <w:tcBorders>
              <w:left w:val="single" w:color="000000" w:sz="4" w:space="0"/>
              <w:right w:val="single" w:color="000000" w:sz="4" w:space="0"/>
            </w:tcBorders>
            <w:vAlign w:val="center"/>
          </w:tcPr>
          <w:p w14:paraId="6A4D9D6F">
            <w:pPr>
              <w:widowControl/>
              <w:snapToGrid w:val="0"/>
              <w:jc w:val="left"/>
              <w:rPr>
                <w:rFonts w:hint="eastAsia" w:ascii="宋体" w:hAnsi="宋体" w:cs="宋体"/>
                <w:i w:val="0"/>
                <w:iCs w:val="0"/>
                <w:color w:val="auto"/>
                <w:sz w:val="24"/>
                <w:szCs w:val="24"/>
                <w:highlight w:val="none"/>
              </w:rPr>
            </w:pPr>
          </w:p>
        </w:tc>
        <w:tc>
          <w:tcPr>
            <w:tcW w:w="2744" w:type="pct"/>
            <w:tcBorders>
              <w:top w:val="single" w:color="000000" w:sz="4" w:space="0"/>
              <w:left w:val="single" w:color="000000" w:sz="4" w:space="0"/>
              <w:bottom w:val="single" w:color="000000" w:sz="4" w:space="0"/>
              <w:right w:val="single" w:color="000000" w:sz="4" w:space="0"/>
            </w:tcBorders>
            <w:vAlign w:val="center"/>
          </w:tcPr>
          <w:p w14:paraId="3E9D9E57">
            <w:pPr>
              <w:adjustRightInd w:val="0"/>
              <w:snapToGrid w:val="0"/>
              <w:jc w:val="left"/>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需要支持策略管理把多个规则组合一个巡检策略。 需要支持一次性、定时以及周期执行巡检，巡检对象可指定一个或多个且巡检任务支持编辑、克隆、启动、暂停等，支持指定不同操作系统用户执行巡检，支持对阀值高危命令检测，阀值csv导入功能</w:t>
            </w:r>
            <w:r>
              <w:rPr>
                <w:rFonts w:hint="eastAsia" w:ascii="宋体" w:hAnsi="宋体" w:cs="宋体"/>
                <w:i w:val="0"/>
                <w:iCs w:val="0"/>
                <w:color w:val="auto"/>
                <w:kern w:val="0"/>
                <w:sz w:val="24"/>
                <w:szCs w:val="24"/>
                <w:highlight w:val="none"/>
                <w:lang w:bidi="ar"/>
              </w:rPr>
              <w:t>。</w:t>
            </w:r>
          </w:p>
        </w:tc>
      </w:tr>
      <w:tr w14:paraId="6C8CC5C1">
        <w:tblPrEx>
          <w:tblCellMar>
            <w:top w:w="0" w:type="dxa"/>
            <w:left w:w="108" w:type="dxa"/>
            <w:bottom w:w="0" w:type="dxa"/>
            <w:right w:w="108" w:type="dxa"/>
          </w:tblCellMar>
        </w:tblPrEx>
        <w:trPr>
          <w:trHeight w:val="425" w:hRule="atLeast"/>
        </w:trPr>
        <w:tc>
          <w:tcPr>
            <w:tcW w:w="354" w:type="pct"/>
            <w:vMerge w:val="continue"/>
            <w:tcBorders>
              <w:left w:val="single" w:color="000000" w:sz="4" w:space="0"/>
              <w:right w:val="single" w:color="000000" w:sz="4" w:space="0"/>
            </w:tcBorders>
            <w:noWrap/>
            <w:vAlign w:val="center"/>
          </w:tcPr>
          <w:p w14:paraId="3393181D">
            <w:pPr>
              <w:spacing w:line="360" w:lineRule="auto"/>
              <w:jc w:val="center"/>
              <w:rPr>
                <w:rFonts w:hint="eastAsia" w:ascii="宋体" w:hAnsi="宋体" w:cs="宋体"/>
                <w:i w:val="0"/>
                <w:iCs w:val="0"/>
                <w:color w:val="auto"/>
                <w:sz w:val="24"/>
                <w:szCs w:val="24"/>
                <w:highlight w:val="none"/>
              </w:rPr>
            </w:pPr>
          </w:p>
        </w:tc>
        <w:tc>
          <w:tcPr>
            <w:tcW w:w="891" w:type="pct"/>
            <w:vMerge w:val="continue"/>
            <w:tcBorders>
              <w:left w:val="single" w:color="000000" w:sz="4" w:space="0"/>
              <w:right w:val="single" w:color="000000" w:sz="4" w:space="0"/>
            </w:tcBorders>
            <w:vAlign w:val="center"/>
          </w:tcPr>
          <w:p w14:paraId="2D10E98D">
            <w:pPr>
              <w:spacing w:line="360" w:lineRule="auto"/>
              <w:jc w:val="center"/>
              <w:rPr>
                <w:rFonts w:hint="eastAsia" w:ascii="宋体" w:hAnsi="宋体" w:cs="宋体"/>
                <w:i w:val="0"/>
                <w:iCs w:val="0"/>
                <w:color w:val="auto"/>
                <w:sz w:val="24"/>
                <w:szCs w:val="24"/>
                <w:highlight w:val="none"/>
              </w:rPr>
            </w:pPr>
          </w:p>
        </w:tc>
        <w:tc>
          <w:tcPr>
            <w:tcW w:w="1010" w:type="pct"/>
            <w:vMerge w:val="continue"/>
            <w:tcBorders>
              <w:left w:val="single" w:color="000000" w:sz="4" w:space="0"/>
              <w:bottom w:val="single" w:color="000000" w:sz="4" w:space="0"/>
              <w:right w:val="single" w:color="000000" w:sz="4" w:space="0"/>
            </w:tcBorders>
            <w:vAlign w:val="center"/>
          </w:tcPr>
          <w:p w14:paraId="7CDC97F7">
            <w:pPr>
              <w:widowControl/>
              <w:snapToGrid w:val="0"/>
              <w:jc w:val="left"/>
              <w:rPr>
                <w:rFonts w:hint="eastAsia" w:ascii="宋体" w:hAnsi="宋体" w:cs="宋体"/>
                <w:i w:val="0"/>
                <w:iCs w:val="0"/>
                <w:color w:val="auto"/>
                <w:kern w:val="0"/>
                <w:sz w:val="24"/>
                <w:szCs w:val="24"/>
                <w:highlight w:val="none"/>
                <w:lang w:bidi="ar"/>
              </w:rPr>
            </w:pPr>
          </w:p>
        </w:tc>
        <w:tc>
          <w:tcPr>
            <w:tcW w:w="2744" w:type="pct"/>
            <w:tcBorders>
              <w:top w:val="single" w:color="000000" w:sz="4" w:space="0"/>
              <w:left w:val="single" w:color="000000" w:sz="4" w:space="0"/>
              <w:bottom w:val="single" w:color="000000" w:sz="4" w:space="0"/>
              <w:right w:val="single" w:color="000000" w:sz="4" w:space="0"/>
            </w:tcBorders>
            <w:vAlign w:val="center"/>
          </w:tcPr>
          <w:p w14:paraId="35BEE574">
            <w:pPr>
              <w:adjustRightInd w:val="0"/>
              <w:snapToGrid w:val="0"/>
              <w:jc w:val="left"/>
              <w:rPr>
                <w:rFonts w:hint="eastAsia" w:ascii="宋体" w:hAnsi="宋体" w:cs="宋体"/>
                <w:i w:val="0"/>
                <w:iCs w:val="0"/>
                <w:color w:val="auto"/>
                <w:sz w:val="24"/>
                <w:szCs w:val="24"/>
                <w:highlight w:val="none"/>
              </w:rPr>
            </w:pPr>
          </w:p>
          <w:p w14:paraId="77755D64">
            <w:pPr>
              <w:rPr>
                <w:rFonts w:hint="eastAsia" w:ascii="宋体" w:hAnsi="宋体" w:cs="宋体"/>
                <w:i w:val="0"/>
                <w:iCs w:val="0"/>
                <w:color w:val="auto"/>
                <w:kern w:val="0"/>
                <w:sz w:val="24"/>
                <w:szCs w:val="24"/>
                <w:highlight w:val="none"/>
                <w:lang w:bidi="ar"/>
              </w:rPr>
            </w:pPr>
            <w:r>
              <w:rPr>
                <w:rFonts w:hint="eastAsia" w:ascii="宋体" w:hAnsi="宋体" w:cs="宋体"/>
                <w:i w:val="0"/>
                <w:iCs w:val="0"/>
                <w:color w:val="auto"/>
                <w:sz w:val="24"/>
                <w:szCs w:val="24"/>
                <w:highlight w:val="none"/>
              </w:rPr>
              <w:t>自动生成在线的巡检报告，需要展示巡检项的结果信息；报告支持导出成pdf、world、excel格式，支持巡检失败项统计报告，需要支持针对历史巡检报告的查询和详情查看，作审核用途； 支持将巡检失败结果邮件通知相关人员，支持转工单，方便值班人员进行处理</w:t>
            </w:r>
            <w:r>
              <w:rPr>
                <w:rFonts w:hint="eastAsia" w:ascii="宋体" w:hAnsi="宋体" w:cs="宋体"/>
                <w:i w:val="0"/>
                <w:iCs w:val="0"/>
                <w:color w:val="auto"/>
                <w:kern w:val="0"/>
                <w:sz w:val="24"/>
                <w:szCs w:val="24"/>
                <w:highlight w:val="none"/>
                <w:lang w:bidi="ar"/>
              </w:rPr>
              <w:t>。</w:t>
            </w:r>
          </w:p>
        </w:tc>
      </w:tr>
      <w:tr w14:paraId="5F35E576">
        <w:tblPrEx>
          <w:tblCellMar>
            <w:top w:w="0" w:type="dxa"/>
            <w:left w:w="108" w:type="dxa"/>
            <w:bottom w:w="0" w:type="dxa"/>
            <w:right w:w="108" w:type="dxa"/>
          </w:tblCellMar>
        </w:tblPrEx>
        <w:trPr>
          <w:trHeight w:val="425" w:hRule="atLeast"/>
        </w:trPr>
        <w:tc>
          <w:tcPr>
            <w:tcW w:w="354" w:type="pct"/>
            <w:vMerge w:val="continue"/>
            <w:tcBorders>
              <w:left w:val="single" w:color="000000" w:sz="4" w:space="0"/>
              <w:bottom w:val="single" w:color="000000" w:sz="4" w:space="0"/>
              <w:right w:val="single" w:color="000000" w:sz="4" w:space="0"/>
            </w:tcBorders>
            <w:noWrap/>
            <w:vAlign w:val="center"/>
          </w:tcPr>
          <w:p w14:paraId="6F8B63D6">
            <w:pPr>
              <w:spacing w:line="360" w:lineRule="auto"/>
              <w:jc w:val="center"/>
              <w:rPr>
                <w:rFonts w:hint="eastAsia" w:ascii="宋体" w:hAnsi="宋体" w:cs="宋体"/>
                <w:i w:val="0"/>
                <w:iCs w:val="0"/>
                <w:color w:val="auto"/>
                <w:sz w:val="24"/>
                <w:szCs w:val="24"/>
                <w:highlight w:val="none"/>
              </w:rPr>
            </w:pPr>
          </w:p>
        </w:tc>
        <w:tc>
          <w:tcPr>
            <w:tcW w:w="891" w:type="pct"/>
            <w:vMerge w:val="continue"/>
            <w:tcBorders>
              <w:left w:val="single" w:color="000000" w:sz="4" w:space="0"/>
              <w:bottom w:val="single" w:color="000000" w:sz="4" w:space="0"/>
              <w:right w:val="single" w:color="000000" w:sz="4" w:space="0"/>
            </w:tcBorders>
            <w:vAlign w:val="center"/>
          </w:tcPr>
          <w:p w14:paraId="51820A25">
            <w:pPr>
              <w:spacing w:line="360" w:lineRule="auto"/>
              <w:jc w:val="center"/>
              <w:rPr>
                <w:rFonts w:hint="eastAsia" w:ascii="宋体" w:hAnsi="宋体" w:cs="宋体"/>
                <w:i w:val="0"/>
                <w:iCs w:val="0"/>
                <w:color w:val="auto"/>
                <w:sz w:val="24"/>
                <w:szCs w:val="24"/>
                <w:highlight w:val="none"/>
              </w:rPr>
            </w:pPr>
          </w:p>
        </w:tc>
        <w:tc>
          <w:tcPr>
            <w:tcW w:w="1010" w:type="pct"/>
            <w:tcBorders>
              <w:top w:val="single" w:color="000000" w:sz="4" w:space="0"/>
              <w:left w:val="single" w:color="000000" w:sz="4" w:space="0"/>
              <w:bottom w:val="single" w:color="000000" w:sz="4" w:space="0"/>
              <w:right w:val="single" w:color="000000" w:sz="4" w:space="0"/>
            </w:tcBorders>
            <w:vAlign w:val="center"/>
          </w:tcPr>
          <w:p w14:paraId="04CBFB98">
            <w:pPr>
              <w:adjustRightInd w:val="0"/>
              <w:snapToGrid w:val="0"/>
              <w:jc w:val="left"/>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操作日志</w:t>
            </w:r>
          </w:p>
        </w:tc>
        <w:tc>
          <w:tcPr>
            <w:tcW w:w="2744" w:type="pct"/>
            <w:tcBorders>
              <w:top w:val="single" w:color="000000" w:sz="4" w:space="0"/>
              <w:left w:val="single" w:color="000000" w:sz="4" w:space="0"/>
              <w:bottom w:val="single" w:color="000000" w:sz="4" w:space="0"/>
              <w:right w:val="single" w:color="000000" w:sz="4" w:space="0"/>
            </w:tcBorders>
            <w:vAlign w:val="center"/>
          </w:tcPr>
          <w:p w14:paraId="207FBB01">
            <w:pPr>
              <w:adjustRightInd w:val="0"/>
              <w:snapToGrid w:val="0"/>
              <w:jc w:val="left"/>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支持每个用户在平台上面操作留痕与记录，方便审计与溯源</w:t>
            </w:r>
            <w:r>
              <w:rPr>
                <w:rFonts w:hint="eastAsia" w:ascii="宋体" w:hAnsi="宋体" w:cs="宋体"/>
                <w:i w:val="0"/>
                <w:iCs w:val="0"/>
                <w:color w:val="auto"/>
                <w:kern w:val="0"/>
                <w:sz w:val="24"/>
                <w:szCs w:val="24"/>
                <w:highlight w:val="none"/>
                <w:lang w:bidi="ar"/>
              </w:rPr>
              <w:t>。</w:t>
            </w:r>
          </w:p>
        </w:tc>
      </w:tr>
      <w:tr w14:paraId="235E9E4F">
        <w:tblPrEx>
          <w:tblCellMar>
            <w:top w:w="0" w:type="dxa"/>
            <w:left w:w="108" w:type="dxa"/>
            <w:bottom w:w="0" w:type="dxa"/>
            <w:right w:w="108" w:type="dxa"/>
          </w:tblCellMar>
        </w:tblPrEx>
        <w:trPr>
          <w:trHeight w:val="425" w:hRule="atLeast"/>
        </w:trPr>
        <w:tc>
          <w:tcPr>
            <w:tcW w:w="354" w:type="pct"/>
            <w:tcBorders>
              <w:top w:val="single" w:color="000000" w:sz="4" w:space="0"/>
              <w:left w:val="single" w:color="000000" w:sz="4" w:space="0"/>
              <w:bottom w:val="single" w:color="000000" w:sz="4" w:space="0"/>
              <w:right w:val="single" w:color="000000" w:sz="4" w:space="0"/>
            </w:tcBorders>
            <w:noWrap/>
            <w:vAlign w:val="center"/>
          </w:tcPr>
          <w:p w14:paraId="31B0C060">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10</w:t>
            </w:r>
          </w:p>
        </w:tc>
        <w:tc>
          <w:tcPr>
            <w:tcW w:w="891" w:type="pct"/>
            <w:tcBorders>
              <w:top w:val="single" w:color="000000" w:sz="4" w:space="0"/>
              <w:left w:val="single" w:color="000000" w:sz="4" w:space="0"/>
              <w:bottom w:val="single" w:color="000000" w:sz="4" w:space="0"/>
              <w:right w:val="single" w:color="000000" w:sz="4" w:space="0"/>
            </w:tcBorders>
            <w:vAlign w:val="center"/>
          </w:tcPr>
          <w:p w14:paraId="64D0FAEA">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实际配置</w:t>
            </w:r>
          </w:p>
        </w:tc>
        <w:tc>
          <w:tcPr>
            <w:tcW w:w="1010" w:type="pct"/>
            <w:tcBorders>
              <w:top w:val="single" w:color="000000" w:sz="4" w:space="0"/>
              <w:left w:val="single" w:color="000000" w:sz="4" w:space="0"/>
              <w:bottom w:val="single" w:color="000000" w:sz="4" w:space="0"/>
              <w:right w:val="single" w:color="000000" w:sz="4" w:space="0"/>
            </w:tcBorders>
            <w:vAlign w:val="center"/>
          </w:tcPr>
          <w:p w14:paraId="4036CD42">
            <w:pPr>
              <w:widowControl/>
              <w:spacing w:line="360" w:lineRule="auto"/>
              <w:jc w:val="center"/>
              <w:textAlignment w:val="center"/>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实际配置</w:t>
            </w:r>
          </w:p>
        </w:tc>
        <w:tc>
          <w:tcPr>
            <w:tcW w:w="2744" w:type="pct"/>
            <w:tcBorders>
              <w:top w:val="single" w:color="000000" w:sz="4" w:space="0"/>
              <w:left w:val="single" w:color="000000" w:sz="4" w:space="0"/>
              <w:bottom w:val="single" w:color="000000" w:sz="4" w:space="0"/>
              <w:right w:val="single" w:color="000000" w:sz="4" w:space="0"/>
            </w:tcBorders>
          </w:tcPr>
          <w:p w14:paraId="116D262F">
            <w:pPr>
              <w:widowControl/>
              <w:spacing w:line="360" w:lineRule="auto"/>
              <w:jc w:val="left"/>
              <w:textAlignment w:val="top"/>
              <w:rPr>
                <w:rFonts w:hint="eastAsia" w:ascii="宋体" w:hAnsi="宋体" w:cs="宋体"/>
                <w:i w:val="0"/>
                <w:iCs w:val="0"/>
                <w:color w:val="auto"/>
                <w:sz w:val="24"/>
                <w:szCs w:val="24"/>
                <w:highlight w:val="none"/>
              </w:rPr>
            </w:pPr>
            <w:r>
              <w:rPr>
                <w:rFonts w:hint="eastAsia" w:ascii="宋体" w:hAnsi="宋体" w:cs="宋体"/>
                <w:i w:val="0"/>
                <w:iCs w:val="0"/>
                <w:color w:val="auto"/>
                <w:kern w:val="0"/>
                <w:sz w:val="24"/>
                <w:szCs w:val="24"/>
                <w:highlight w:val="none"/>
                <w:lang w:bidi="ar"/>
              </w:rPr>
              <w:t>本次配置授权数量应满足全院ICT基础设施使用需求，其中有线网络管理不低于200点；网络变更管理不低于200点；端到端路径探测不低于200点；无线AP管理授权不低于400点；数据中心服务器、存储、虚拟机、操作系统、中间件、数据库等不低于300点（含资产管理能力）；数据中心资源自动化巡检不低于50点；内外网终端认证不低于2000点；哑终端认证不低于500点</w:t>
            </w:r>
            <w:r>
              <w:rPr>
                <w:rFonts w:hint="eastAsia" w:ascii="宋体" w:hAnsi="宋体" w:cs="宋体"/>
                <w:b/>
                <w:bCs/>
                <w:i w:val="0"/>
                <w:iCs w:val="0"/>
                <w:color w:val="auto"/>
                <w:kern w:val="0"/>
                <w:sz w:val="24"/>
                <w:szCs w:val="24"/>
                <w:highlight w:val="none"/>
                <w:lang w:bidi="ar"/>
              </w:rPr>
              <w:t>。</w:t>
            </w:r>
          </w:p>
        </w:tc>
      </w:tr>
    </w:tbl>
    <w:p w14:paraId="7FEC103E">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2.2体系优化服务</w:t>
      </w:r>
    </w:p>
    <w:p w14:paraId="1E3808A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充分结合医院现状和管理要求，规范化相关工作，参考行业的最佳实践，梳理管理流程，优化工作记录、周报、月报、月度服务报告，编写SOP标准操作手册，编制维护作业计划。</w:t>
      </w:r>
    </w:p>
    <w:p w14:paraId="66B1628F">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2.3认证培训服务</w:t>
      </w:r>
    </w:p>
    <w:p w14:paraId="3E1EEB01">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为</w:t>
      </w:r>
      <w:r>
        <w:rPr>
          <w:rFonts w:hint="eastAsia" w:ascii="宋体" w:hAnsi="宋体" w:cs="宋体"/>
          <w:i w:val="0"/>
          <w:iCs w:val="0"/>
          <w:color w:val="auto"/>
          <w:sz w:val="24"/>
          <w:szCs w:val="24"/>
          <w:highlight w:val="none"/>
          <w:lang w:val="en-US" w:eastAsia="zh-CN"/>
        </w:rPr>
        <w:t>采购人</w:t>
      </w:r>
      <w:r>
        <w:rPr>
          <w:rFonts w:hint="eastAsia" w:ascii="宋体" w:hAnsi="宋体" w:cs="宋体"/>
          <w:i w:val="0"/>
          <w:iCs w:val="0"/>
          <w:color w:val="auto"/>
          <w:sz w:val="24"/>
          <w:szCs w:val="24"/>
          <w:highlight w:val="none"/>
        </w:rPr>
        <w:t>提供不少于9人次的工信部颁发的技术认证，可选认证包括：</w:t>
      </w:r>
    </w:p>
    <w:p w14:paraId="432A642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网络安全架构师</w:t>
      </w:r>
    </w:p>
    <w:p w14:paraId="4C50D70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网络信息安全工程师</w:t>
      </w:r>
    </w:p>
    <w:p w14:paraId="5455FD7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网络与信息安全工程师</w:t>
      </w:r>
    </w:p>
    <w:p w14:paraId="01EA6501">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网络工程师</w:t>
      </w:r>
    </w:p>
    <w:p w14:paraId="18317A8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信息系统运维管理工程师</w:t>
      </w:r>
    </w:p>
    <w:p w14:paraId="3D3587F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信息系统集成管理</w:t>
      </w:r>
    </w:p>
    <w:p w14:paraId="49AE358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信息安全管理</w:t>
      </w:r>
    </w:p>
    <w:p w14:paraId="3B4815E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数据中心(机房)运维管理工程师</w:t>
      </w:r>
    </w:p>
    <w:p w14:paraId="577CBF3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数据安全管理师</w:t>
      </w:r>
    </w:p>
    <w:p w14:paraId="67C096B1">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2.4域名和SSL证书服务</w:t>
      </w:r>
    </w:p>
    <w:p w14:paraId="6261EBDA">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为医院申请与医院名称、品牌相关且易记的域名，确保域名的合法性、唯一性和长期可用性。依据医院的名称、品牌和业务特点，提供至少5个可供选择的域名方案，包括.com、.cn、.net 等常见后缀。所选域名需符合国家相关法律法规和互联网域名管理规定。</w:t>
      </w:r>
    </w:p>
    <w:p w14:paraId="61A1E51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（1）域名注册</w:t>
      </w:r>
    </w:p>
    <w:p w14:paraId="1ADE3D2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完成所选域名的注册手续，确保注册信息准确无误，包括医院的中英文名称、联系方式、注册年限等。</w:t>
      </w:r>
    </w:p>
    <w:p w14:paraId="5ADC076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域名注册年限不少于 3 年，以保障域名的长期稳定性。</w:t>
      </w:r>
    </w:p>
    <w:p w14:paraId="46151A9D">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（2）域名管理</w:t>
      </w:r>
    </w:p>
    <w:p w14:paraId="32AAE03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提供域名管理平台的使用培训，方便医院管理人员进行域名的日常管理，如 DNS 解析设置、域名续费提醒等。</w:t>
      </w:r>
    </w:p>
    <w:p w14:paraId="6068560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实时监控域名状态，及时处理域名到期续费、被恶意攻击等异常情况，并在第一时间通知医院。</w:t>
      </w:r>
    </w:p>
    <w:p w14:paraId="1DB91F4A">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为医院详细讲解域名备案的政策法规、流程、所需材料等内容。</w:t>
      </w:r>
    </w:p>
    <w:p w14:paraId="61F21E11">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帮助医院整理和准备备案所需的各项材料。</w:t>
      </w:r>
    </w:p>
    <w:p w14:paraId="2078574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实时跟进备案审核进度，及时与相关部门沟通。如果审核过程中出现问题，如材料不完整或信息不准确，投标人及时通知医院补充或修改，并重新提交审核。</w:t>
      </w:r>
    </w:p>
    <w:p w14:paraId="43B833BA">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（3）SSL 证书服务</w:t>
      </w:r>
    </w:p>
    <w:p w14:paraId="0CA53B9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为医院网站（业务系统）配置合适的 SSL 证书，实现网站数据传输的加密，防止信息泄露和中间人攻击，增强用户对医院网站的信任。根据医院网站（业务系统）的规模、业务需求和安全级别，推荐合适的 SSL 证书类型，如 DV（域名验证）、OV（组织验证）、EV（扩展验证）。考虑到医院网站（业务系统）涉及患者隐私信息和敏感数据，优先推荐 OV 或 EV 类型的 SSL 证书。详细说明所选证书类型的特点、优势和适用场景，供医院决策参考。协助医院完成 SSL 证书的申请流程，包括提交申请资料、配合 CA 机构进行验证等。在医院网站（业务系统）服务器上正确部署 SSL 证书，确保网站能够正常启用 HTTPS 协议，实现数据加密传输。进行全面的兼容性测试，确保 SSL 证书在主流浏览器（如 Chrome、Firefox、IE 等）和移动设备上都能正常显示和使用。提供证书有效期内的免费维护服务，包括证书状态监控、故障排除等。在证书到期前 60 天，主动提醒医院进行证书更新，并协助完成更新手续，确保网站（业务系统）的 SSL 加密服务不间断。</w:t>
      </w:r>
    </w:p>
    <w:p w14:paraId="39ECD618">
      <w:pPr>
        <w:spacing w:line="360" w:lineRule="auto"/>
        <w:ind w:firstLine="482" w:firstLineChars="200"/>
        <w:rPr>
          <w:rFonts w:hint="eastAsia" w:ascii="宋体" w:hAnsi="宋体" w:cs="宋体"/>
          <w:b/>
          <w:bCs/>
          <w:i w:val="0"/>
          <w:iCs w:val="0"/>
          <w:color w:val="auto"/>
          <w:sz w:val="24"/>
          <w:szCs w:val="24"/>
          <w:highlight w:val="none"/>
        </w:rPr>
      </w:pPr>
      <w:bookmarkStart w:id="13" w:name="_Toc21470"/>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lang w:val="en-US" w:eastAsia="zh-CN"/>
        </w:rPr>
        <w:t>三</w:t>
      </w:r>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rPr>
        <w:t>弱电系统基础托管服务内容及要求</w:t>
      </w:r>
    </w:p>
    <w:p w14:paraId="4DDE2B50">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1综合布线服务</w:t>
      </w:r>
    </w:p>
    <w:p w14:paraId="5F3078A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为医院提供全年综合布线作业，具体布线技术要求如下：</w:t>
      </w:r>
    </w:p>
    <w:p w14:paraId="61924BC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线缆需采用六类或超五类非屏蔽网线；</w:t>
      </w:r>
    </w:p>
    <w:p w14:paraId="4472F833">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模块需采用86面板，内装六类或超五类网络模块；</w:t>
      </w:r>
    </w:p>
    <w:p w14:paraId="09A8989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配线架需选用24口六类网络配线架；</w:t>
      </w:r>
    </w:p>
    <w:p w14:paraId="23F3A1F1">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网络跳线需采用六类或超五类成品跳线；</w:t>
      </w:r>
    </w:p>
    <w:p w14:paraId="54986B6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光缆需采用12芯室内万兆多或单模光缆；</w:t>
      </w:r>
    </w:p>
    <w:p w14:paraId="765D0184">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交换机需交换容量≥672Gbps，包转发率≥171Mpps，静音无风扇，提供≥24个10/100/1000BASE-T电口，提供≥4个1/10GE SFP+端口，支持基于端口的VLAN，支持基于协议的VLAN；</w:t>
      </w:r>
    </w:p>
    <w:p w14:paraId="69102082">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1.1配线架管理</w:t>
      </w:r>
    </w:p>
    <w:p w14:paraId="2ABC094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端口标识管理：确保每个端口有清晰的标识，便于管理。</w:t>
      </w:r>
    </w:p>
    <w:p w14:paraId="0ABD7BE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连接状态检查：每季度检查一次，记录异常情况。</w:t>
      </w:r>
    </w:p>
    <w:p w14:paraId="224832B4">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跳线整理：保持配线架整洁有序，避免跳线杂乱。</w:t>
      </w:r>
    </w:p>
    <w:p w14:paraId="46CDE3AE">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1.2线缆管理</w:t>
      </w:r>
    </w:p>
    <w:p w14:paraId="63A45E34">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线路通断测试：定期检测线路通断情况，确保线路完好。</w:t>
      </w:r>
    </w:p>
    <w:p w14:paraId="33BEE27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故障线路维修：及时修复故障线路，记录维修过程。</w:t>
      </w:r>
    </w:p>
    <w:p w14:paraId="3D03709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标签管理：确保线缆标签完整无误，便于识别。</w:t>
      </w:r>
    </w:p>
    <w:p w14:paraId="4803E80A">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1.3机柜管理</w:t>
      </w:r>
    </w:p>
    <w:p w14:paraId="58E9998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设备摆放整理：保持机柜内设备整齐，避免设备过热。</w:t>
      </w:r>
    </w:p>
    <w:p w14:paraId="14B3BE5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电源线路检查：定期检查电源线路，确保供电安全。</w:t>
      </w:r>
    </w:p>
    <w:p w14:paraId="4E99D178">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接地检查：每季度检查接地系统，防止静电干扰。</w:t>
      </w:r>
    </w:p>
    <w:p w14:paraId="7E05B577">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1.4监控摄像头系统</w:t>
      </w:r>
    </w:p>
    <w:p w14:paraId="3C0FA45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设备巡检：每周对所有监控摄像头设备（包括摄像头、交换机、存储设备等）进行一次全面巡检，检查设备的运行状态、连接情况、电源供应等，记录设备的工作参数和运行日志。</w:t>
      </w:r>
    </w:p>
    <w:p w14:paraId="3F219A04">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故障处理：对现有系统进行管理，保证现有存储时间的稳定，如存储硬盘损坏，需及时利用备品备件进行更换。对监控摄像头系统出现的故障及时进行维修，包括设备损坏、图像模糊、信号中断等问题。故障响应时间不超过2小时，重大故障修复时间不超过8小时。</w:t>
      </w:r>
    </w:p>
    <w:p w14:paraId="071E6C90">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软件升级：定期对监控摄像头系统的软件进行升级，以提高系统的性能和安全可靠性。</w:t>
      </w:r>
    </w:p>
    <w:p w14:paraId="35379360">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图像质量优化：根据医院的实际需求，对监控摄像头的图像质量进行优化，调整摄像头的焦距、光圈、亮度等参数，提高图像的清晰度和辨识度。</w:t>
      </w:r>
    </w:p>
    <w:p w14:paraId="301D9328">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新增点位：对于新增点位需要能够接入到现有平台，并能实现现有平台相应功能。</w:t>
      </w:r>
    </w:p>
    <w:p w14:paraId="79A331BB">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1.5电话系统</w:t>
      </w:r>
    </w:p>
    <w:p w14:paraId="04B7C8BA">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线路检查：每月对医院的电话线路进行一次全面检查，包括室内外电缆、配线架等，检查线路的连接情况、绝缘性能、信号传输等，确保电话线路的畅通。</w:t>
      </w:r>
    </w:p>
    <w:p w14:paraId="199C295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设备维护：对电话系统的设备（配线架、面板模块）进行日常维护，清洁设备表面、检查设备的运行状态、更换老化的零部件等。</w:t>
      </w:r>
    </w:p>
    <w:p w14:paraId="16EBAB8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故障排除：对电话系统出现的故障及时进行排除，包括通话中断、杂音、无法拨号等问题。故障响应时间不超过1小时，一般故障修复时间不超过2小时。</w:t>
      </w:r>
    </w:p>
    <w:p w14:paraId="6A21271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对院内电话拓扑图进行管理，新增、更换、故障进行拓扑点位更新及标注。</w:t>
      </w:r>
    </w:p>
    <w:p w14:paraId="14E5D2FC">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1.6电视系统</w:t>
      </w:r>
    </w:p>
    <w:p w14:paraId="4FDBCC6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线路检查：每月对医院的电视线路进行一次全面检查，包括数字电视（网络线路），卫星电视（同轴线路）的连接情况、线路标识情况等进行维护，确保信号传输通畅。</w:t>
      </w:r>
    </w:p>
    <w:p w14:paraId="3E3DC13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故障排除：对电视系统出现的故障进行及时排除，包括信号不通、前端无视频信号、图像模糊不清等。</w:t>
      </w:r>
    </w:p>
    <w:p w14:paraId="622967F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对院内电视系统进行托管，新增、更换、故障进行拓扑点位更新及标注。</w:t>
      </w:r>
    </w:p>
    <w:p w14:paraId="69864F89">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1.7大屏系统</w:t>
      </w:r>
    </w:p>
    <w:p w14:paraId="60A62EA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为了确保LED显示屏的稳定运行和延长其使用寿命，需进行以下日常维护：</w:t>
      </w:r>
    </w:p>
    <w:p w14:paraId="6259C95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环境监测：每日检查显示屏所处的环境温度和湿度，确保它们符合显示屏的工作要求。</w:t>
      </w:r>
    </w:p>
    <w:p w14:paraId="298DD950">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定期使用：每周至少启动显示屏及其相关设备两次，每次持续两小时。如果显示屏连续14天未使用，则在重新使用前应进行预热。</w:t>
      </w:r>
    </w:p>
    <w:p w14:paraId="41D6893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定期清洁保养：定期对大屏风扇进行检测，大屏亮度颜色进行监控，每月使用专为显示屏设计的防静电软毛刷，清除屏幕表面的灰尘，以保证显示效果不受影响。</w:t>
      </w:r>
    </w:p>
    <w:p w14:paraId="5E5AAA7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安全检查：每季度对配电箱的元器件进行检查，同时确认显示屏电源信号线的连接是否牢固且安全，以及显示屏的接地是否有效。</w:t>
      </w:r>
    </w:p>
    <w:p w14:paraId="574A8CD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结构稳固性检查：每年对显示屏的钢结构部分进行稳固性检查，确保其结构完整，能够稳固支撑显示屏。</w:t>
      </w:r>
    </w:p>
    <w:p w14:paraId="620B013B">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2机房基础设施托管及升级服务</w:t>
      </w:r>
    </w:p>
    <w:p w14:paraId="5B3B1371">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2.1 托管服务</w:t>
      </w:r>
    </w:p>
    <w:p w14:paraId="0465BC2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提供供配电系统、环境系统日常维护服务，服务内容如下：</w:t>
      </w:r>
    </w:p>
    <w:p w14:paraId="4DF0FA4A">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（1）供配电系统维护服务</w:t>
      </w:r>
    </w:p>
    <w:p w14:paraId="30BED0F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全院UPS系统</w:t>
      </w:r>
    </w:p>
    <w:p w14:paraId="23632C4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运行状态检查：每日检查一次，记录UPS运行状态。</w:t>
      </w:r>
    </w:p>
    <w:p w14:paraId="2EA79C5B">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电池状态检查：每月检查一次，记录电池电压、温度等参数。</w:t>
      </w:r>
    </w:p>
    <w:p w14:paraId="6F2617BD">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放电测试：每季度进行一次放电测试，评估电池容量。</w:t>
      </w:r>
    </w:p>
    <w:p w14:paraId="23698ED8">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维保：对故障解决提供7*8现场服务，紧急问题如远程调试无法解决，维护人员需2小时内赶到现场，免费检修及配件更换。</w:t>
      </w:r>
    </w:p>
    <w:p w14:paraId="2399BE93">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UPS改造：对弱电井现有UPS系统增加ATS开关，实现UPS设备的维修旁路功能。</w:t>
      </w:r>
    </w:p>
    <w:p w14:paraId="5C30D98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配电系统</w:t>
      </w:r>
    </w:p>
    <w:p w14:paraId="5915FED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配电柜指示灯检查：每日检查一次，确保指示灯正常，反映设备运行状态。</w:t>
      </w:r>
    </w:p>
    <w:p w14:paraId="3BDF3090">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空开状态检查：每日检查一次，检查空开状态，防止过载。</w:t>
      </w:r>
    </w:p>
    <w:p w14:paraId="7C56DAB4">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电缆温度检测：每日检查一次，期检测电缆温度，防止电缆过热。</w:t>
      </w:r>
    </w:p>
    <w:p w14:paraId="2B1115CA">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（2）环境系统维护服务</w:t>
      </w:r>
    </w:p>
    <w:p w14:paraId="497DBD8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空调系统</w:t>
      </w:r>
    </w:p>
    <w:p w14:paraId="77DCA108">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运行状态检查：每日检查空调运行状态，记录温度、湿度等参数。</w:t>
      </w:r>
    </w:p>
    <w:p w14:paraId="661AAA90">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滤网清洁：每季度清洁一次滤网，提升制冷效果。</w:t>
      </w:r>
    </w:p>
    <w:p w14:paraId="280E3D7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制冷效果测试：每月测试制冷效果，确保机房温湿度达标。</w:t>
      </w:r>
    </w:p>
    <w:p w14:paraId="4559C2D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维保：对故障解决提供7*8现场服务，紧急问题如远程调试无法解决，维护人员需2小时内赶到现场，免费检修及配件更换。</w:t>
      </w:r>
    </w:p>
    <w:p w14:paraId="1F93C70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消防系统（弱电机房内）</w:t>
      </w:r>
    </w:p>
    <w:p w14:paraId="0347687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消防系统巡检：每周对该系统进行巡检，记录相应信息，如遇故障及时上报。</w:t>
      </w:r>
    </w:p>
    <w:p w14:paraId="657F0F38">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灭火器压力检查：每月检查灭火器压力，确保灭火器可用。</w:t>
      </w:r>
    </w:p>
    <w:p w14:paraId="5677B27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环境监控系统</w:t>
      </w:r>
    </w:p>
    <w:p w14:paraId="49061E8D">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温湿度传感器校准：每半年校准一次温湿度传感器，确保测量精度。</w:t>
      </w:r>
    </w:p>
    <w:p w14:paraId="0ACEDE38">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漏水检测测试：每半年测试漏水检测系统，防止水患。</w:t>
      </w:r>
    </w:p>
    <w:p w14:paraId="3D2FB96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信息机房门禁测试：每半年对门禁系统进行检测，确保电源及控制器无异常。</w:t>
      </w:r>
    </w:p>
    <w:p w14:paraId="6AE85A9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入侵监测测试：每季度对入侵监测系统进行测试，以防失灵。</w:t>
      </w:r>
    </w:p>
    <w:p w14:paraId="6EE83934">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维保：对故障解决提供7*8现场服务，紧急问题如远程调试无法解决，维护人员需2小时内赶到现场，免费检修及配件更换。</w:t>
      </w:r>
    </w:p>
    <w:p w14:paraId="5DE784E3">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2.2升级服务</w:t>
      </w:r>
    </w:p>
    <w:p w14:paraId="15E1E231">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全院UPS系统：</w:t>
      </w:r>
    </w:p>
    <w:p w14:paraId="15AF3098">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包含电池组维修及更换服务</w:t>
      </w:r>
    </w:p>
    <w:p w14:paraId="7CE7F2E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半年一次深度放电测试</w:t>
      </w:r>
    </w:p>
    <w:p w14:paraId="695FB21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季度性维护保养</w:t>
      </w:r>
    </w:p>
    <w:p w14:paraId="1740BC9B">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精密空调：</w:t>
      </w:r>
    </w:p>
    <w:p w14:paraId="2990576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包含制冷剂补充服务</w:t>
      </w:r>
    </w:p>
    <w:p w14:paraId="2175129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整机保修</w:t>
      </w:r>
    </w:p>
    <w:p w14:paraId="2357B381">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季度滤网更换</w:t>
      </w:r>
    </w:p>
    <w:p w14:paraId="768E249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动环系统：</w:t>
      </w:r>
    </w:p>
    <w:p w14:paraId="461FA98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门禁系统、监控系统、温湿度、漏水检测等维保工作</w:t>
      </w:r>
    </w:p>
    <w:p w14:paraId="47B84C48">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lang w:val="en-US" w:eastAsia="zh-CN"/>
        </w:rPr>
        <w:t>五</w:t>
      </w:r>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rPr>
        <w:t>院内智能会议系统托管服务内容及要求</w:t>
      </w:r>
      <w:bookmarkEnd w:id="13"/>
    </w:p>
    <w:p w14:paraId="045339A1">
      <w:pPr>
        <w:spacing w:line="360" w:lineRule="auto"/>
        <w:ind w:firstLine="482" w:firstLineChars="200"/>
        <w:rPr>
          <w:rFonts w:hint="eastAsia" w:ascii="宋体" w:hAnsi="宋体" w:cs="宋体"/>
          <w:b/>
          <w:bCs/>
          <w:i w:val="0"/>
          <w:iCs w:val="0"/>
          <w:color w:val="auto"/>
          <w:sz w:val="24"/>
          <w:szCs w:val="24"/>
          <w:highlight w:val="none"/>
        </w:rPr>
      </w:pPr>
      <w:bookmarkStart w:id="14" w:name="_Toc26676"/>
      <w:r>
        <w:rPr>
          <w:rFonts w:hint="eastAsia" w:ascii="宋体" w:hAnsi="宋体" w:cs="宋体"/>
          <w:b/>
          <w:bCs/>
          <w:i w:val="0"/>
          <w:iCs w:val="0"/>
          <w:color w:val="auto"/>
          <w:sz w:val="24"/>
          <w:szCs w:val="24"/>
          <w:highlight w:val="none"/>
        </w:rPr>
        <w:t>1需求与目标</w:t>
      </w:r>
      <w:bookmarkEnd w:id="14"/>
    </w:p>
    <w:p w14:paraId="07D6964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在日常的临床工作中，交接班、查房、病例讨论、科间会诊等工作中存在大量协作交流的场景，工作流程的简化快捷，医疗信息数据的准确全面，学术示教指导的可用性等多方面诉求，本次服务建设立足于医院现有的信息化建设基础和资源条件，着眼医院未来在服务能力、服务效率、服务水平的全面提升。</w:t>
      </w:r>
    </w:p>
    <w:p w14:paraId="4E50E66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根据总体工作计划及当前工作需要，需提供一套基于云会议技术的统一、完善、高清、稳定的远程会议系统，满足院内各个部门的需要。该系统可实现日常办公视频会议召开、远程会诊、医院探视、多点研讨、远程培训等应用。</w:t>
      </w:r>
    </w:p>
    <w:p w14:paraId="10A3125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总体功能要求如下：</w:t>
      </w:r>
    </w:p>
    <w:p w14:paraId="5B03A484">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1.院内会议</w:t>
      </w:r>
    </w:p>
    <w:p w14:paraId="35CB4108">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会议系统能够完整覆盖医院大型会议室、小型会议室、科室办公室、领导办公室等区域，能够提供科室间快速呼叫、辅流共享、动态批注等功能。</w:t>
      </w:r>
    </w:p>
    <w:p w14:paraId="518AAB0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2.远程会议、会诊</w:t>
      </w:r>
    </w:p>
    <w:p w14:paraId="4FCFB3D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可对接院外、院内第三方远程会诊系统，赋能远程会诊音视频通讯能力，可实现远程会诊系统日程同步、账号同步，系统间相互调用。</w:t>
      </w:r>
    </w:p>
    <w:p w14:paraId="6E33DEFA">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3.远程阅片</w:t>
      </w:r>
    </w:p>
    <w:p w14:paraId="56FE17C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远程阅片满足医院跨楼层、跨院区每日晨读阅片的需求，医生无需来回奔波，远程即可实现晨读阅片需求，并且支持远程模拟仿真控制，满足主任调阅影像需求。</w:t>
      </w:r>
    </w:p>
    <w:p w14:paraId="6CE309FA">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4.远程查房</w:t>
      </w:r>
    </w:p>
    <w:p w14:paraId="5D02B01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远程查房能够实现对住院病人开展床旁监护及多学科会诊，针对相关病例</w:t>
      </w:r>
    </w:p>
    <w:p w14:paraId="4B2AF86A">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其他医师进行示教是医学教学和学习的情况，可实现远程接入，不再受到时间和空间的束缚，确保每位医师可以便捷地全面学习。</w:t>
      </w:r>
    </w:p>
    <w:p w14:paraId="4A88D6F8">
      <w:pPr>
        <w:spacing w:line="360" w:lineRule="auto"/>
        <w:ind w:firstLine="482" w:firstLineChars="200"/>
        <w:rPr>
          <w:rFonts w:hint="eastAsia" w:ascii="宋体" w:hAnsi="宋体" w:cs="宋体"/>
          <w:b/>
          <w:bCs/>
          <w:i w:val="0"/>
          <w:iCs w:val="0"/>
          <w:color w:val="auto"/>
          <w:sz w:val="24"/>
          <w:szCs w:val="24"/>
          <w:highlight w:val="none"/>
        </w:rPr>
      </w:pPr>
      <w:bookmarkStart w:id="15" w:name="_Toc16654"/>
      <w:r>
        <w:rPr>
          <w:rFonts w:hint="eastAsia" w:ascii="宋体" w:hAnsi="宋体" w:cs="宋体"/>
          <w:b/>
          <w:bCs/>
          <w:i w:val="0"/>
          <w:iCs w:val="0"/>
          <w:color w:val="auto"/>
          <w:sz w:val="24"/>
          <w:szCs w:val="24"/>
          <w:highlight w:val="none"/>
        </w:rPr>
        <w:t>2建设原则</w:t>
      </w:r>
      <w:bookmarkEnd w:id="15"/>
    </w:p>
    <w:p w14:paraId="7EABC779">
      <w:pPr>
        <w:spacing w:line="360" w:lineRule="auto"/>
        <w:ind w:firstLine="480" w:firstLineChars="200"/>
        <w:rPr>
          <w:rFonts w:hint="eastAsia" w:ascii="宋体" w:hAnsi="宋体" w:cs="宋体"/>
          <w:i w:val="0"/>
          <w:iCs w:val="0"/>
          <w:color w:val="auto"/>
          <w:sz w:val="24"/>
          <w:szCs w:val="24"/>
          <w:highlight w:val="none"/>
        </w:rPr>
      </w:pPr>
      <w:bookmarkStart w:id="16" w:name="_Toc1757"/>
      <w:r>
        <w:rPr>
          <w:rFonts w:hint="eastAsia" w:ascii="宋体" w:hAnsi="宋体" w:cs="宋体"/>
          <w:i w:val="0"/>
          <w:iCs w:val="0"/>
          <w:color w:val="auto"/>
          <w:sz w:val="24"/>
          <w:szCs w:val="24"/>
          <w:highlight w:val="none"/>
        </w:rPr>
        <w:t>1.规范性原则</w:t>
      </w:r>
      <w:bookmarkEnd w:id="16"/>
    </w:p>
    <w:p w14:paraId="1F1075E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项目建设符合国家医疗信息系统建设规范，根据国家“突出重点，建立示范”以及“稳步推进，鼓励创新”的指导原则，充分发挥已建成系统的价值，在融入国家医疗服务与监管体系的前提下，根据本地特色进行进一步提高效率，适当创新，提升医疗信息系统价值。</w:t>
      </w:r>
    </w:p>
    <w:p w14:paraId="5588E06F">
      <w:pPr>
        <w:spacing w:line="360" w:lineRule="auto"/>
        <w:ind w:firstLine="480" w:firstLineChars="200"/>
        <w:rPr>
          <w:rFonts w:hint="eastAsia" w:ascii="宋体" w:hAnsi="宋体" w:cs="宋体"/>
          <w:i w:val="0"/>
          <w:iCs w:val="0"/>
          <w:color w:val="auto"/>
          <w:sz w:val="24"/>
          <w:szCs w:val="24"/>
          <w:highlight w:val="none"/>
        </w:rPr>
      </w:pPr>
      <w:bookmarkStart w:id="17" w:name="_Toc20106"/>
      <w:bookmarkStart w:id="18" w:name="_Toc3550"/>
      <w:bookmarkStart w:id="19" w:name="_Toc1639735293"/>
      <w:bookmarkStart w:id="20" w:name="_Toc27407"/>
      <w:r>
        <w:rPr>
          <w:rFonts w:hint="eastAsia" w:ascii="宋体" w:hAnsi="宋体" w:cs="宋体"/>
          <w:i w:val="0"/>
          <w:iCs w:val="0"/>
          <w:color w:val="auto"/>
          <w:sz w:val="24"/>
          <w:szCs w:val="24"/>
          <w:highlight w:val="none"/>
        </w:rPr>
        <w:t>2.先进性原则</w:t>
      </w:r>
      <w:bookmarkEnd w:id="17"/>
      <w:bookmarkEnd w:id="18"/>
      <w:bookmarkEnd w:id="19"/>
      <w:bookmarkEnd w:id="20"/>
    </w:p>
    <w:p w14:paraId="7F16EC45">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系统必须严格遵循国际标准、国家标准和国内通信行业的规范要求；</w:t>
      </w:r>
    </w:p>
    <w:p w14:paraId="2D730D20">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需符合视频技术以及通信行业和医疗行业的发展趋势，并确保采用当前成熟的产品技术；</w:t>
      </w:r>
    </w:p>
    <w:p w14:paraId="31CB5A6B">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符合会议定义，</w:t>
      </w:r>
      <w:r>
        <w:rPr>
          <w:rFonts w:hint="eastAsia" w:ascii="宋体" w:hAnsi="宋体" w:cs="宋体"/>
          <w:i w:val="0"/>
          <w:iCs w:val="0"/>
          <w:color w:val="auto"/>
          <w:sz w:val="24"/>
          <w:szCs w:val="24"/>
          <w:highlight w:val="none"/>
          <w:lang w:eastAsia="zh-Hans"/>
        </w:rPr>
        <w:t>系统</w:t>
      </w:r>
      <w:r>
        <w:rPr>
          <w:rFonts w:hint="eastAsia" w:ascii="宋体" w:hAnsi="宋体" w:cs="宋体"/>
          <w:i w:val="0"/>
          <w:iCs w:val="0"/>
          <w:color w:val="auto"/>
          <w:sz w:val="24"/>
          <w:szCs w:val="24"/>
          <w:highlight w:val="none"/>
        </w:rPr>
        <w:t>必须基于高清会议系统，并跟随技术革新，支持到高清双流1080P能力。</w:t>
      </w:r>
    </w:p>
    <w:p w14:paraId="615893E2">
      <w:pPr>
        <w:spacing w:line="360" w:lineRule="auto"/>
        <w:ind w:firstLine="480" w:firstLineChars="200"/>
        <w:rPr>
          <w:rFonts w:hint="eastAsia" w:ascii="宋体" w:hAnsi="宋体" w:cs="宋体"/>
          <w:i w:val="0"/>
          <w:iCs w:val="0"/>
          <w:color w:val="auto"/>
          <w:sz w:val="24"/>
          <w:szCs w:val="24"/>
          <w:highlight w:val="none"/>
        </w:rPr>
      </w:pPr>
      <w:bookmarkStart w:id="21" w:name="_Toc12354"/>
      <w:bookmarkStart w:id="22" w:name="_Toc6944"/>
      <w:bookmarkStart w:id="23" w:name="_Toc373427500"/>
      <w:bookmarkStart w:id="24" w:name="_Toc19878"/>
      <w:r>
        <w:rPr>
          <w:rFonts w:hint="eastAsia" w:ascii="宋体" w:hAnsi="宋体" w:cs="宋体"/>
          <w:i w:val="0"/>
          <w:iCs w:val="0"/>
          <w:color w:val="auto"/>
          <w:sz w:val="24"/>
          <w:szCs w:val="24"/>
          <w:highlight w:val="none"/>
        </w:rPr>
        <w:t>3.经济性原则</w:t>
      </w:r>
      <w:bookmarkEnd w:id="21"/>
      <w:bookmarkEnd w:id="22"/>
      <w:bookmarkEnd w:id="23"/>
      <w:bookmarkEnd w:id="24"/>
    </w:p>
    <w:p w14:paraId="1E2E3D3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建设经济性：提供的方案在性能价格比在同类系统和条件下达到最优</w:t>
      </w:r>
      <w:r>
        <w:rPr>
          <w:rFonts w:hint="eastAsia" w:ascii="宋体" w:hAnsi="宋体" w:cs="宋体"/>
          <w:i w:val="0"/>
          <w:iCs w:val="0"/>
          <w:color w:val="auto"/>
          <w:sz w:val="24"/>
          <w:szCs w:val="24"/>
          <w:highlight w:val="none"/>
          <w:lang w:eastAsia="zh-Hans"/>
        </w:rPr>
        <w:t>，同时能够兼容利旧原有设备。</w:t>
      </w:r>
    </w:p>
    <w:p w14:paraId="6EEF20F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网络租用费用经济性：能够实现2M 1080P 30编解码，同时要求系统对网络具备强适应能力，在丢包率40%的情况下能保证视频流畅传输</w:t>
      </w:r>
      <w:r>
        <w:rPr>
          <w:rFonts w:hint="eastAsia" w:ascii="宋体" w:hAnsi="宋体" w:cs="宋体"/>
          <w:i w:val="0"/>
          <w:iCs w:val="0"/>
          <w:color w:val="auto"/>
          <w:sz w:val="24"/>
          <w:szCs w:val="24"/>
          <w:highlight w:val="none"/>
          <w:lang w:eastAsia="zh-Hans"/>
        </w:rPr>
        <w:t>。</w:t>
      </w:r>
      <w:bookmarkStart w:id="25" w:name="_Toc30764"/>
      <w:bookmarkStart w:id="26" w:name="_Toc392840757"/>
      <w:bookmarkStart w:id="27" w:name="_Toc6636"/>
    </w:p>
    <w:p w14:paraId="66D0E0EC">
      <w:pPr>
        <w:spacing w:line="360" w:lineRule="auto"/>
        <w:ind w:firstLine="482" w:firstLineChars="200"/>
        <w:rPr>
          <w:rFonts w:hint="eastAsia" w:ascii="宋体" w:hAnsi="宋体" w:cs="宋体"/>
          <w:b/>
          <w:bCs/>
          <w:i w:val="0"/>
          <w:iCs w:val="0"/>
          <w:color w:val="auto"/>
          <w:sz w:val="24"/>
          <w:szCs w:val="24"/>
          <w:highlight w:val="none"/>
        </w:rPr>
      </w:pPr>
      <w:bookmarkStart w:id="28" w:name="_Toc10648"/>
      <w:r>
        <w:rPr>
          <w:rFonts w:hint="eastAsia" w:ascii="宋体" w:hAnsi="宋体" w:cs="宋体"/>
          <w:b/>
          <w:bCs/>
          <w:i w:val="0"/>
          <w:iCs w:val="0"/>
          <w:color w:val="auto"/>
          <w:sz w:val="24"/>
          <w:szCs w:val="24"/>
          <w:highlight w:val="none"/>
        </w:rPr>
        <w:t>3标准规范</w:t>
      </w:r>
      <w:bookmarkEnd w:id="25"/>
      <w:bookmarkEnd w:id="26"/>
      <w:bookmarkEnd w:id="27"/>
      <w:bookmarkEnd w:id="28"/>
    </w:p>
    <w:p w14:paraId="7651B04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会议系统需遵循以下标准</w:t>
      </w:r>
    </w:p>
    <w:p w14:paraId="36E54966">
      <w:pPr>
        <w:spacing w:line="360" w:lineRule="auto"/>
        <w:ind w:firstLine="480" w:firstLineChars="200"/>
        <w:rPr>
          <w:rFonts w:hint="eastAsia" w:ascii="宋体" w:hAnsi="宋体" w:cs="宋体"/>
          <w:i w:val="0"/>
          <w:iCs w:val="0"/>
          <w:color w:val="auto"/>
          <w:sz w:val="24"/>
          <w:szCs w:val="24"/>
          <w:highlight w:val="none"/>
        </w:rPr>
      </w:pPr>
      <w:bookmarkStart w:id="29" w:name="_Toc298164916"/>
      <w:bookmarkStart w:id="30" w:name="_Toc5375"/>
      <w:bookmarkStart w:id="31" w:name="_Toc14048"/>
      <w:bookmarkStart w:id="32" w:name="_Toc21465"/>
      <w:r>
        <w:rPr>
          <w:rFonts w:hint="eastAsia" w:ascii="宋体" w:hAnsi="宋体" w:cs="宋体"/>
          <w:i w:val="0"/>
          <w:iCs w:val="0"/>
          <w:color w:val="auto"/>
          <w:sz w:val="24"/>
          <w:szCs w:val="24"/>
          <w:highlight w:val="none"/>
        </w:rPr>
        <w:t>1) 协议标准</w:t>
      </w:r>
      <w:bookmarkEnd w:id="29"/>
      <w:bookmarkEnd w:id="30"/>
      <w:bookmarkEnd w:id="31"/>
      <w:bookmarkEnd w:id="32"/>
    </w:p>
    <w:p w14:paraId="153D963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视频标准：</w:t>
      </w:r>
      <w:r>
        <w:rPr>
          <w:rFonts w:hint="eastAsia" w:ascii="宋体" w:hAnsi="宋体" w:cs="宋体"/>
          <w:i w:val="0"/>
          <w:iCs w:val="0"/>
          <w:color w:val="auto"/>
          <w:sz w:val="24"/>
          <w:szCs w:val="24"/>
          <w:highlight w:val="none"/>
          <w:lang w:eastAsia="zh-Hans"/>
        </w:rPr>
        <w:t>平台</w:t>
      </w:r>
      <w:r>
        <w:rPr>
          <w:rFonts w:hint="eastAsia" w:ascii="宋体" w:hAnsi="宋体" w:cs="宋体"/>
          <w:i w:val="0"/>
          <w:iCs w:val="0"/>
          <w:color w:val="auto"/>
          <w:sz w:val="24"/>
          <w:szCs w:val="24"/>
          <w:highlight w:val="none"/>
        </w:rPr>
        <w:t>支持H.264/H.264 SVC编解码协议，</w:t>
      </w:r>
      <w:r>
        <w:rPr>
          <w:rFonts w:hint="eastAsia" w:ascii="宋体" w:hAnsi="宋体" w:cs="宋体"/>
          <w:i w:val="0"/>
          <w:iCs w:val="0"/>
          <w:color w:val="auto"/>
          <w:sz w:val="24"/>
          <w:szCs w:val="24"/>
          <w:highlight w:val="none"/>
          <w:lang w:eastAsia="zh-Hans"/>
        </w:rPr>
        <w:t>可根据不同带宽与网络环境，发送不同帧率和分辨率的视频码流，视频分辨率</w:t>
      </w:r>
      <w:r>
        <w:rPr>
          <w:rFonts w:hint="eastAsia" w:ascii="宋体" w:hAnsi="宋体" w:cs="宋体"/>
          <w:i w:val="0"/>
          <w:iCs w:val="0"/>
          <w:color w:val="auto"/>
          <w:sz w:val="24"/>
          <w:szCs w:val="24"/>
          <w:highlight w:val="none"/>
        </w:rPr>
        <w:t>支持180p、360p、720p、1080p、4K等</w:t>
      </w:r>
      <w:r>
        <w:rPr>
          <w:rFonts w:hint="eastAsia" w:ascii="宋体" w:hAnsi="宋体" w:cs="宋体"/>
          <w:i w:val="0"/>
          <w:iCs w:val="0"/>
          <w:color w:val="auto"/>
          <w:sz w:val="24"/>
          <w:szCs w:val="24"/>
          <w:highlight w:val="none"/>
          <w:lang w:eastAsia="zh-Hans"/>
        </w:rPr>
        <w:t>。</w:t>
      </w:r>
    </w:p>
    <w:p w14:paraId="76B86C6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音频标准：音频</w:t>
      </w:r>
      <w:r>
        <w:rPr>
          <w:rFonts w:hint="eastAsia" w:ascii="宋体" w:hAnsi="宋体" w:cs="宋体"/>
          <w:i w:val="0"/>
          <w:iCs w:val="0"/>
          <w:color w:val="auto"/>
          <w:sz w:val="24"/>
          <w:szCs w:val="24"/>
          <w:highlight w:val="none"/>
          <w:lang w:eastAsia="zh-Hans"/>
        </w:rPr>
        <w:t>协议</w:t>
      </w:r>
      <w:r>
        <w:rPr>
          <w:rFonts w:hint="eastAsia" w:ascii="宋体" w:hAnsi="宋体" w:cs="宋体"/>
          <w:i w:val="0"/>
          <w:iCs w:val="0"/>
          <w:color w:val="auto"/>
          <w:sz w:val="24"/>
          <w:szCs w:val="24"/>
          <w:highlight w:val="none"/>
        </w:rPr>
        <w:t>支持G.711、G.722、OPUS，支持48K采样率的全带音频</w:t>
      </w:r>
      <w:r>
        <w:rPr>
          <w:rFonts w:hint="eastAsia" w:ascii="宋体" w:hAnsi="宋体" w:cs="宋体"/>
          <w:i w:val="0"/>
          <w:iCs w:val="0"/>
          <w:color w:val="auto"/>
          <w:sz w:val="24"/>
          <w:szCs w:val="24"/>
          <w:highlight w:val="none"/>
          <w:lang w:eastAsia="zh-Hans"/>
        </w:rPr>
        <w:t>。</w:t>
      </w:r>
    </w:p>
    <w:p w14:paraId="1C22D27B">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双流标准：共享内容</w:t>
      </w:r>
      <w:r>
        <w:rPr>
          <w:rFonts w:hint="eastAsia" w:ascii="宋体" w:hAnsi="宋体" w:cs="宋体"/>
          <w:i w:val="0"/>
          <w:iCs w:val="0"/>
          <w:color w:val="auto"/>
          <w:sz w:val="24"/>
          <w:szCs w:val="24"/>
          <w:highlight w:val="none"/>
          <w:lang w:eastAsia="zh-Hans"/>
        </w:rPr>
        <w:t>分辨率</w:t>
      </w:r>
      <w:r>
        <w:rPr>
          <w:rFonts w:hint="eastAsia" w:ascii="宋体" w:hAnsi="宋体" w:cs="宋体"/>
          <w:i w:val="0"/>
          <w:iCs w:val="0"/>
          <w:color w:val="auto"/>
          <w:sz w:val="24"/>
          <w:szCs w:val="24"/>
          <w:highlight w:val="none"/>
        </w:rPr>
        <w:t>支持720P、1080P、2.5K等</w:t>
      </w:r>
      <w:r>
        <w:rPr>
          <w:rFonts w:hint="eastAsia" w:ascii="宋体" w:hAnsi="宋体" w:cs="宋体"/>
          <w:i w:val="0"/>
          <w:iCs w:val="0"/>
          <w:color w:val="auto"/>
          <w:sz w:val="24"/>
          <w:szCs w:val="24"/>
          <w:highlight w:val="none"/>
          <w:lang w:eastAsia="zh-Hans"/>
        </w:rPr>
        <w:t>，</w:t>
      </w:r>
      <w:r>
        <w:rPr>
          <w:rFonts w:hint="eastAsia" w:ascii="宋体" w:hAnsi="宋体" w:cs="宋体"/>
          <w:i w:val="0"/>
          <w:iCs w:val="0"/>
          <w:color w:val="auto"/>
          <w:sz w:val="24"/>
          <w:szCs w:val="24"/>
          <w:highlight w:val="none"/>
        </w:rPr>
        <w:t>支持</w:t>
      </w:r>
      <w:r>
        <w:rPr>
          <w:rFonts w:hint="eastAsia" w:ascii="宋体" w:hAnsi="宋体" w:cs="宋体"/>
          <w:i w:val="0"/>
          <w:iCs w:val="0"/>
          <w:color w:val="auto"/>
          <w:sz w:val="24"/>
          <w:szCs w:val="24"/>
          <w:highlight w:val="none"/>
          <w:lang w:eastAsia="zh-Hans"/>
        </w:rPr>
        <w:t>自适应带宽情况下，</w:t>
      </w:r>
      <w:r>
        <w:rPr>
          <w:rFonts w:hint="eastAsia" w:ascii="宋体" w:hAnsi="宋体" w:cs="宋体"/>
          <w:i w:val="0"/>
          <w:iCs w:val="0"/>
          <w:color w:val="auto"/>
          <w:sz w:val="24"/>
          <w:szCs w:val="24"/>
          <w:highlight w:val="none"/>
        </w:rPr>
        <w:t>共享内容自动选择最佳分辨率与帧率。</w:t>
      </w:r>
    </w:p>
    <w:p w14:paraId="7EF17B4B">
      <w:pPr>
        <w:spacing w:line="360" w:lineRule="auto"/>
        <w:ind w:firstLine="480" w:firstLineChars="200"/>
        <w:rPr>
          <w:rFonts w:hint="eastAsia" w:ascii="宋体" w:hAnsi="宋体" w:cs="宋体"/>
          <w:i w:val="0"/>
          <w:iCs w:val="0"/>
          <w:color w:val="auto"/>
          <w:sz w:val="24"/>
          <w:szCs w:val="24"/>
          <w:highlight w:val="none"/>
        </w:rPr>
      </w:pPr>
      <w:bookmarkStart w:id="33" w:name="_Toc1178394761"/>
      <w:bookmarkStart w:id="34" w:name="_Toc5045"/>
      <w:bookmarkStart w:id="35" w:name="_Toc25827"/>
      <w:bookmarkStart w:id="36" w:name="_Toc11972"/>
      <w:r>
        <w:rPr>
          <w:rFonts w:hint="eastAsia" w:ascii="宋体" w:hAnsi="宋体" w:cs="宋体"/>
          <w:i w:val="0"/>
          <w:iCs w:val="0"/>
          <w:color w:val="auto"/>
          <w:sz w:val="24"/>
          <w:szCs w:val="24"/>
          <w:highlight w:val="none"/>
        </w:rPr>
        <w:t>2) 网络适应性标准</w:t>
      </w:r>
      <w:bookmarkEnd w:id="33"/>
      <w:bookmarkEnd w:id="34"/>
      <w:bookmarkEnd w:id="35"/>
      <w:bookmarkEnd w:id="36"/>
    </w:p>
    <w:p w14:paraId="1113D87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视频呼叫支持100Kbps至10Mbps带宽自适应，并可实时显示当前自适应呼叫带宽。</w:t>
      </w:r>
    </w:p>
    <w:p w14:paraId="41634BFB">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w:t>
      </w:r>
      <w:r>
        <w:rPr>
          <w:rFonts w:hint="eastAsia" w:ascii="宋体" w:hAnsi="宋体" w:cs="宋体"/>
          <w:i w:val="0"/>
          <w:iCs w:val="0"/>
          <w:color w:val="auto"/>
          <w:sz w:val="24"/>
          <w:szCs w:val="24"/>
          <w:highlight w:val="none"/>
          <w:lang w:eastAsia="zh-Hans"/>
        </w:rPr>
        <w:t>平台</w:t>
      </w:r>
      <w:r>
        <w:rPr>
          <w:rFonts w:hint="eastAsia" w:ascii="宋体" w:hAnsi="宋体" w:cs="宋体"/>
          <w:i w:val="0"/>
          <w:iCs w:val="0"/>
          <w:color w:val="auto"/>
          <w:sz w:val="24"/>
          <w:szCs w:val="24"/>
          <w:highlight w:val="none"/>
        </w:rPr>
        <w:t>支持网络抗丢包</w:t>
      </w:r>
      <w:r>
        <w:rPr>
          <w:rFonts w:hint="eastAsia" w:ascii="宋体" w:hAnsi="宋体" w:cs="宋体"/>
          <w:i w:val="0"/>
          <w:iCs w:val="0"/>
          <w:color w:val="auto"/>
          <w:sz w:val="24"/>
          <w:szCs w:val="24"/>
          <w:highlight w:val="none"/>
          <w:lang w:eastAsia="zh-Hans"/>
        </w:rPr>
        <w:t>能力</w:t>
      </w:r>
      <w:r>
        <w:rPr>
          <w:rFonts w:hint="eastAsia" w:ascii="宋体" w:hAnsi="宋体" w:cs="宋体"/>
          <w:i w:val="0"/>
          <w:iCs w:val="0"/>
          <w:color w:val="auto"/>
          <w:sz w:val="24"/>
          <w:szCs w:val="24"/>
          <w:highlight w:val="none"/>
        </w:rPr>
        <w:t>，在丢包率40%的情况下能保证视频流畅传输；（</w:t>
      </w:r>
      <w:r>
        <w:rPr>
          <w:rFonts w:hint="eastAsia" w:ascii="宋体" w:hAnsi="宋体" w:cs="宋体"/>
          <w:i w:val="0"/>
          <w:iCs w:val="0"/>
          <w:color w:val="auto"/>
          <w:sz w:val="24"/>
          <w:szCs w:val="24"/>
          <w:highlight w:val="none"/>
          <w:lang w:eastAsia="zh-Hans"/>
        </w:rPr>
        <w:t>平均帧率不低于20帧/秒）；</w:t>
      </w:r>
      <w:r>
        <w:rPr>
          <w:rFonts w:hint="eastAsia" w:ascii="宋体" w:hAnsi="宋体" w:cs="宋体"/>
          <w:i w:val="0"/>
          <w:iCs w:val="0"/>
          <w:color w:val="auto"/>
          <w:sz w:val="24"/>
          <w:szCs w:val="24"/>
          <w:highlight w:val="none"/>
        </w:rPr>
        <w:t>，在丢包率50%的情况下能保证视频</w:t>
      </w:r>
      <w:r>
        <w:rPr>
          <w:rFonts w:hint="eastAsia" w:ascii="宋体" w:hAnsi="宋体" w:cs="宋体"/>
          <w:i w:val="0"/>
          <w:iCs w:val="0"/>
          <w:color w:val="auto"/>
          <w:sz w:val="24"/>
          <w:szCs w:val="24"/>
          <w:highlight w:val="none"/>
          <w:lang w:eastAsia="zh-Hans"/>
        </w:rPr>
        <w:t>稳定</w:t>
      </w:r>
      <w:r>
        <w:rPr>
          <w:rFonts w:hint="eastAsia" w:ascii="宋体" w:hAnsi="宋体" w:cs="宋体"/>
          <w:i w:val="0"/>
          <w:iCs w:val="0"/>
          <w:color w:val="auto"/>
          <w:sz w:val="24"/>
          <w:szCs w:val="24"/>
          <w:highlight w:val="none"/>
        </w:rPr>
        <w:t>传输；（</w:t>
      </w:r>
      <w:r>
        <w:rPr>
          <w:rFonts w:hint="eastAsia" w:ascii="宋体" w:hAnsi="宋体" w:cs="宋体"/>
          <w:i w:val="0"/>
          <w:iCs w:val="0"/>
          <w:color w:val="auto"/>
          <w:sz w:val="24"/>
          <w:szCs w:val="24"/>
          <w:highlight w:val="none"/>
          <w:lang w:eastAsia="zh-Hans"/>
        </w:rPr>
        <w:t>平均帧率不低于15帧/秒）</w:t>
      </w:r>
      <w:r>
        <w:rPr>
          <w:rFonts w:hint="eastAsia" w:ascii="宋体" w:hAnsi="宋体" w:cs="宋体"/>
          <w:i w:val="0"/>
          <w:iCs w:val="0"/>
          <w:color w:val="auto"/>
          <w:sz w:val="24"/>
          <w:szCs w:val="24"/>
          <w:highlight w:val="none"/>
        </w:rPr>
        <w:t>。在网络丢包率80%时，语音质量评测值MOS_LQO不低于2.8</w:t>
      </w:r>
      <w:r>
        <w:rPr>
          <w:rFonts w:hint="eastAsia" w:ascii="宋体" w:hAnsi="宋体" w:cs="宋体"/>
          <w:i w:val="0"/>
          <w:iCs w:val="0"/>
          <w:color w:val="auto"/>
          <w:sz w:val="24"/>
          <w:szCs w:val="24"/>
          <w:highlight w:val="none"/>
          <w:lang w:eastAsia="zh-Hans"/>
        </w:rPr>
        <w:t>。</w:t>
      </w:r>
    </w:p>
    <w:p w14:paraId="1966A95D">
      <w:pPr>
        <w:spacing w:line="360" w:lineRule="auto"/>
        <w:ind w:firstLine="480" w:firstLineChars="200"/>
        <w:rPr>
          <w:rFonts w:hint="eastAsia" w:ascii="宋体" w:hAnsi="宋体" w:cs="宋体"/>
          <w:i w:val="0"/>
          <w:iCs w:val="0"/>
          <w:color w:val="auto"/>
          <w:sz w:val="24"/>
          <w:szCs w:val="24"/>
          <w:highlight w:val="none"/>
        </w:rPr>
      </w:pPr>
      <w:bookmarkStart w:id="37" w:name="_Toc28089"/>
      <w:bookmarkStart w:id="38" w:name="_Toc3950"/>
      <w:bookmarkStart w:id="39" w:name="_Toc1186555493"/>
      <w:bookmarkStart w:id="40" w:name="_Toc4466"/>
      <w:r>
        <w:rPr>
          <w:rFonts w:hint="eastAsia" w:ascii="宋体" w:hAnsi="宋体" w:cs="宋体"/>
          <w:i w:val="0"/>
          <w:iCs w:val="0"/>
          <w:color w:val="auto"/>
          <w:sz w:val="24"/>
          <w:szCs w:val="24"/>
          <w:highlight w:val="none"/>
        </w:rPr>
        <w:t>3) 安全稳定性标准</w:t>
      </w:r>
      <w:bookmarkEnd w:id="37"/>
      <w:bookmarkEnd w:id="38"/>
      <w:bookmarkEnd w:id="39"/>
      <w:bookmarkEnd w:id="40"/>
    </w:p>
    <w:p w14:paraId="127C0BB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系统支持</w:t>
      </w:r>
      <w:r>
        <w:rPr>
          <w:rFonts w:hint="eastAsia" w:ascii="宋体" w:hAnsi="宋体" w:cs="宋体"/>
          <w:i w:val="0"/>
          <w:iCs w:val="0"/>
          <w:color w:val="auto"/>
          <w:sz w:val="24"/>
          <w:szCs w:val="24"/>
          <w:highlight w:val="none"/>
          <w:lang w:eastAsia="zh-Hans"/>
        </w:rPr>
        <w:t>SRTP协议对媒体流进行加密、消息认证及重放保护，支持DTLS1.2/TLS1.3进行安全握手和密钥分发等安全机制，保障系统的可靠</w:t>
      </w:r>
      <w:r>
        <w:rPr>
          <w:rFonts w:hint="eastAsia" w:ascii="宋体" w:hAnsi="宋体" w:cs="宋体"/>
          <w:i w:val="0"/>
          <w:iCs w:val="0"/>
          <w:color w:val="auto"/>
          <w:sz w:val="24"/>
          <w:szCs w:val="24"/>
          <w:highlight w:val="none"/>
        </w:rPr>
        <w:t>，安全。</w:t>
      </w:r>
    </w:p>
    <w:p w14:paraId="3BD9FE10">
      <w:pPr>
        <w:spacing w:line="360" w:lineRule="auto"/>
        <w:ind w:firstLine="480" w:firstLineChars="200"/>
        <w:rPr>
          <w:rFonts w:hint="eastAsia" w:ascii="宋体" w:hAnsi="宋体" w:cs="宋体"/>
          <w:i w:val="0"/>
          <w:iCs w:val="0"/>
          <w:color w:val="auto"/>
          <w:sz w:val="24"/>
          <w:szCs w:val="24"/>
          <w:highlight w:val="none"/>
        </w:rPr>
      </w:pPr>
      <w:bookmarkStart w:id="41" w:name="_Toc905024809"/>
      <w:bookmarkStart w:id="42" w:name="_Toc32328"/>
      <w:bookmarkStart w:id="43" w:name="_Toc7492"/>
      <w:bookmarkStart w:id="44" w:name="_Toc5343"/>
      <w:r>
        <w:rPr>
          <w:rFonts w:hint="eastAsia" w:ascii="宋体" w:hAnsi="宋体" w:cs="宋体"/>
          <w:i w:val="0"/>
          <w:iCs w:val="0"/>
          <w:color w:val="auto"/>
          <w:sz w:val="24"/>
          <w:szCs w:val="24"/>
          <w:highlight w:val="none"/>
        </w:rPr>
        <w:t>4) 业务功能标准</w:t>
      </w:r>
      <w:bookmarkEnd w:id="41"/>
      <w:bookmarkEnd w:id="42"/>
      <w:bookmarkEnd w:id="43"/>
      <w:bookmarkEnd w:id="44"/>
    </w:p>
    <w:p w14:paraId="34F48773">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lang w:eastAsia="zh-Hans"/>
        </w:rPr>
        <w:t>单台MCU支持</w:t>
      </w:r>
      <w:r>
        <w:rPr>
          <w:rFonts w:hint="eastAsia" w:ascii="宋体" w:hAnsi="宋体" w:cs="宋体"/>
          <w:i w:val="0"/>
          <w:iCs w:val="0"/>
          <w:color w:val="auto"/>
          <w:sz w:val="24"/>
          <w:szCs w:val="24"/>
          <w:highlight w:val="none"/>
        </w:rPr>
        <w:t>2</w:t>
      </w:r>
      <w:r>
        <w:rPr>
          <w:rFonts w:hint="eastAsia" w:ascii="宋体" w:hAnsi="宋体" w:cs="宋体"/>
          <w:i w:val="0"/>
          <w:iCs w:val="0"/>
          <w:color w:val="auto"/>
          <w:sz w:val="24"/>
          <w:szCs w:val="24"/>
          <w:highlight w:val="none"/>
          <w:lang w:eastAsia="zh-Hans"/>
        </w:rPr>
        <w:t>00路视频</w:t>
      </w:r>
      <w:r>
        <w:rPr>
          <w:rFonts w:hint="eastAsia" w:ascii="宋体" w:hAnsi="宋体" w:cs="宋体"/>
          <w:i w:val="0"/>
          <w:iCs w:val="0"/>
          <w:color w:val="auto"/>
          <w:sz w:val="24"/>
          <w:szCs w:val="24"/>
          <w:highlight w:val="none"/>
        </w:rPr>
        <w:t>会议</w:t>
      </w:r>
      <w:r>
        <w:rPr>
          <w:rFonts w:hint="eastAsia" w:ascii="宋体" w:hAnsi="宋体" w:cs="宋体"/>
          <w:i w:val="0"/>
          <w:iCs w:val="0"/>
          <w:color w:val="auto"/>
          <w:sz w:val="24"/>
          <w:szCs w:val="24"/>
          <w:highlight w:val="none"/>
          <w:lang w:eastAsia="zh-Hans"/>
        </w:rPr>
        <w:t>，集群部署可支持千方参会。</w:t>
      </w:r>
    </w:p>
    <w:p w14:paraId="23FD263D">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系统支持高清720P、1080P多画面，</w:t>
      </w:r>
      <w:r>
        <w:rPr>
          <w:rFonts w:hint="eastAsia" w:ascii="宋体" w:hAnsi="宋体" w:cs="宋体"/>
          <w:i w:val="0"/>
          <w:iCs w:val="0"/>
          <w:color w:val="auto"/>
          <w:sz w:val="24"/>
          <w:szCs w:val="24"/>
          <w:highlight w:val="none"/>
          <w:lang w:eastAsia="zh-Hans"/>
        </w:rPr>
        <w:t>单屏最高支持25路画面显示。</w:t>
      </w:r>
      <w:r>
        <w:rPr>
          <w:rFonts w:hint="eastAsia" w:ascii="宋体" w:hAnsi="宋体" w:cs="宋体"/>
          <w:i w:val="0"/>
          <w:iCs w:val="0"/>
          <w:color w:val="auto"/>
          <w:sz w:val="24"/>
          <w:szCs w:val="24"/>
          <w:highlight w:val="none"/>
        </w:rPr>
        <w:t xml:space="preserve"> </w:t>
      </w:r>
    </w:p>
    <w:p w14:paraId="41B0B55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系统支持双流传送功能，</w:t>
      </w:r>
      <w:r>
        <w:rPr>
          <w:rFonts w:hint="eastAsia" w:ascii="宋体" w:hAnsi="宋体" w:cs="宋体"/>
          <w:i w:val="0"/>
          <w:iCs w:val="0"/>
          <w:color w:val="auto"/>
          <w:sz w:val="24"/>
          <w:szCs w:val="24"/>
          <w:highlight w:val="none"/>
          <w:lang w:eastAsia="zh-Hans"/>
        </w:rPr>
        <w:t>最高支持2.5K辅流共享。</w:t>
      </w:r>
    </w:p>
    <w:p w14:paraId="332AD4BB">
      <w:pPr>
        <w:spacing w:line="360" w:lineRule="auto"/>
        <w:ind w:firstLine="480" w:firstLineChars="200"/>
        <w:rPr>
          <w:rFonts w:hint="eastAsia" w:ascii="宋体" w:hAnsi="宋体" w:cs="宋体"/>
          <w:i w:val="0"/>
          <w:iCs w:val="0"/>
          <w:color w:val="auto"/>
          <w:sz w:val="24"/>
          <w:szCs w:val="24"/>
          <w:highlight w:val="none"/>
          <w:lang w:eastAsia="zh-Hans"/>
        </w:rPr>
      </w:pPr>
      <w:r>
        <w:rPr>
          <w:rFonts w:hint="eastAsia" w:ascii="宋体" w:hAnsi="宋体" w:cs="宋体"/>
          <w:i w:val="0"/>
          <w:iCs w:val="0"/>
          <w:color w:val="auto"/>
          <w:sz w:val="24"/>
          <w:szCs w:val="24"/>
          <w:highlight w:val="none"/>
        </w:rPr>
        <w:t>系统能够支持同时进行多组会议</w:t>
      </w:r>
      <w:r>
        <w:rPr>
          <w:rFonts w:hint="eastAsia" w:ascii="宋体" w:hAnsi="宋体" w:cs="宋体"/>
          <w:i w:val="0"/>
          <w:iCs w:val="0"/>
          <w:color w:val="auto"/>
          <w:sz w:val="24"/>
          <w:szCs w:val="24"/>
          <w:highlight w:val="none"/>
          <w:lang w:eastAsia="zh-Hans"/>
        </w:rPr>
        <w:t>及</w:t>
      </w:r>
      <w:r>
        <w:rPr>
          <w:rFonts w:hint="eastAsia" w:ascii="宋体" w:hAnsi="宋体" w:cs="宋体"/>
          <w:i w:val="0"/>
          <w:iCs w:val="0"/>
          <w:color w:val="auto"/>
          <w:sz w:val="24"/>
          <w:szCs w:val="24"/>
          <w:highlight w:val="none"/>
        </w:rPr>
        <w:t>远程会诊的视频通信，可有效解决多组远程会诊的冲突问题</w:t>
      </w:r>
      <w:r>
        <w:rPr>
          <w:rFonts w:hint="eastAsia" w:ascii="宋体" w:hAnsi="宋体" w:cs="宋体"/>
          <w:i w:val="0"/>
          <w:iCs w:val="0"/>
          <w:color w:val="auto"/>
          <w:sz w:val="24"/>
          <w:szCs w:val="24"/>
          <w:highlight w:val="none"/>
          <w:lang w:eastAsia="zh-Hans"/>
        </w:rPr>
        <w:t>。</w:t>
      </w:r>
    </w:p>
    <w:p w14:paraId="0D2FCDE6">
      <w:pPr>
        <w:spacing w:line="360" w:lineRule="auto"/>
        <w:ind w:firstLine="482" w:firstLineChars="200"/>
        <w:rPr>
          <w:rFonts w:hint="eastAsia" w:ascii="宋体" w:hAnsi="宋体" w:cs="宋体"/>
          <w:b/>
          <w:bCs/>
          <w:i w:val="0"/>
          <w:iCs w:val="0"/>
          <w:color w:val="auto"/>
          <w:sz w:val="24"/>
          <w:szCs w:val="24"/>
          <w:highlight w:val="none"/>
        </w:rPr>
      </w:pPr>
      <w:bookmarkStart w:id="45" w:name="_Toc26733"/>
      <w:bookmarkStart w:id="46" w:name="_Hlk207654026"/>
      <w:r>
        <w:rPr>
          <w:rFonts w:hint="eastAsia" w:ascii="宋体" w:hAnsi="宋体" w:cs="宋体"/>
          <w:b/>
          <w:bCs/>
          <w:i w:val="0"/>
          <w:iCs w:val="0"/>
          <w:color w:val="auto"/>
          <w:sz w:val="24"/>
          <w:szCs w:val="24"/>
          <w:highlight w:val="none"/>
        </w:rPr>
        <w:t>4部署要求</w:t>
      </w:r>
      <w:bookmarkEnd w:id="45"/>
    </w:p>
    <w:bookmarkEnd w:id="46"/>
    <w:p w14:paraId="7DFA9A5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1、提供本地化高性能存储及会议平台服务，提供高清视频接入能力，MCU部署在医院专网，实现院内会场的互通，实现远程医疗、远程会诊等功能；</w:t>
      </w:r>
    </w:p>
    <w:p w14:paraId="1200C944">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2、提供会议室及所需科室整套一体化会议终端服务，包含会议平板，内置摄像头、喇叭、麦克风、编解码器等，通过简单的操作即可实现视音频、数据等交互式体验，达到全高清会诊、会议效果。</w:t>
      </w:r>
    </w:p>
    <w:p w14:paraId="4335E35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3、移动端可通过手机/电脑提供移动视频接入，满足院内视频会议及出差医护人员远程接入等使用场景。</w:t>
      </w:r>
    </w:p>
    <w:p w14:paraId="055F2579">
      <w:pPr>
        <w:spacing w:line="360" w:lineRule="auto"/>
        <w:ind w:firstLine="482" w:firstLineChars="200"/>
        <w:rPr>
          <w:rFonts w:hint="eastAsia" w:ascii="宋体" w:hAnsi="宋体" w:cs="宋体"/>
          <w:b/>
          <w:bCs/>
          <w:i w:val="0"/>
          <w:iCs w:val="0"/>
          <w:color w:val="auto"/>
          <w:sz w:val="24"/>
          <w:szCs w:val="24"/>
          <w:highlight w:val="none"/>
        </w:rPr>
      </w:pPr>
      <w:bookmarkStart w:id="47" w:name="_Toc4552"/>
      <w:r>
        <w:rPr>
          <w:rFonts w:hint="eastAsia" w:ascii="宋体" w:hAnsi="宋体" w:cs="宋体"/>
          <w:b/>
          <w:bCs/>
          <w:i w:val="0"/>
          <w:iCs w:val="0"/>
          <w:color w:val="auto"/>
          <w:sz w:val="24"/>
          <w:szCs w:val="24"/>
          <w:highlight w:val="none"/>
        </w:rPr>
        <w:t>5功能要求</w:t>
      </w:r>
      <w:bookmarkEnd w:id="47"/>
      <w:bookmarkStart w:id="48" w:name="_Toc1629"/>
      <w:bookmarkStart w:id="49" w:name="_Toc17018"/>
      <w:bookmarkStart w:id="50" w:name="_Toc24922"/>
    </w:p>
    <w:p w14:paraId="2E2D5485">
      <w:pPr>
        <w:spacing w:line="360" w:lineRule="auto"/>
        <w:ind w:firstLine="482" w:firstLineChars="200"/>
        <w:rPr>
          <w:rFonts w:hint="eastAsia" w:ascii="宋体" w:hAnsi="宋体" w:cs="宋体"/>
          <w:b/>
          <w:bCs/>
          <w:i w:val="0"/>
          <w:iCs w:val="0"/>
          <w:color w:val="auto"/>
          <w:sz w:val="24"/>
          <w:szCs w:val="24"/>
          <w:highlight w:val="none"/>
        </w:rPr>
      </w:pPr>
      <w:bookmarkStart w:id="51" w:name="_Toc27809"/>
      <w:r>
        <w:rPr>
          <w:rFonts w:hint="eastAsia" w:ascii="宋体" w:hAnsi="宋体" w:cs="宋体"/>
          <w:b/>
          <w:bCs/>
          <w:i w:val="0"/>
          <w:iCs w:val="0"/>
          <w:color w:val="auto"/>
          <w:sz w:val="24"/>
          <w:szCs w:val="24"/>
          <w:highlight w:val="none"/>
        </w:rPr>
        <w:t>5.1多种视频会议召集方式</w:t>
      </w:r>
      <w:bookmarkEnd w:id="48"/>
      <w:bookmarkEnd w:id="49"/>
      <w:bookmarkEnd w:id="50"/>
      <w:bookmarkEnd w:id="51"/>
    </w:p>
    <w:p w14:paraId="1C1049A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视频会议系统可提供完善的多种会议召集方式，具体如下：</w:t>
      </w:r>
      <w:bookmarkStart w:id="52" w:name="_Toc11292"/>
      <w:bookmarkStart w:id="53" w:name="_Toc13249"/>
      <w:bookmarkStart w:id="54" w:name="_Toc1942001844"/>
      <w:bookmarkStart w:id="55" w:name="_Toc15559"/>
      <w:bookmarkStart w:id="56" w:name="_Toc28502_WPSOffice_Level3"/>
      <w:bookmarkStart w:id="57" w:name="_Toc21705_WPSOffice_Level3"/>
      <w:bookmarkStart w:id="58" w:name="_Toc12122"/>
      <w:bookmarkStart w:id="59" w:name="_Toc13931"/>
    </w:p>
    <w:p w14:paraId="37E7907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个人</w:t>
      </w:r>
      <w:r>
        <w:rPr>
          <w:rFonts w:hint="eastAsia" w:ascii="宋体" w:hAnsi="宋体" w:cs="宋体"/>
          <w:i w:val="0"/>
          <w:iCs w:val="0"/>
          <w:color w:val="auto"/>
          <w:sz w:val="24"/>
          <w:szCs w:val="24"/>
          <w:highlight w:val="none"/>
          <w:lang w:eastAsia="zh-Hans"/>
        </w:rPr>
        <w:t>客户端</w:t>
      </w:r>
      <w:r>
        <w:rPr>
          <w:rFonts w:hint="eastAsia" w:ascii="宋体" w:hAnsi="宋体" w:cs="宋体"/>
          <w:i w:val="0"/>
          <w:iCs w:val="0"/>
          <w:color w:val="auto"/>
          <w:sz w:val="24"/>
          <w:szCs w:val="24"/>
          <w:highlight w:val="none"/>
        </w:rPr>
        <w:t>视频会议预约</w:t>
      </w:r>
      <w:bookmarkEnd w:id="52"/>
      <w:bookmarkEnd w:id="53"/>
      <w:bookmarkEnd w:id="54"/>
      <w:bookmarkEnd w:id="55"/>
      <w:bookmarkEnd w:id="56"/>
      <w:bookmarkEnd w:id="57"/>
      <w:bookmarkEnd w:id="58"/>
      <w:bookmarkEnd w:id="59"/>
    </w:p>
    <w:p w14:paraId="499E39E3">
      <w:pPr>
        <w:spacing w:line="360" w:lineRule="auto"/>
        <w:ind w:firstLine="480" w:firstLineChars="200"/>
        <w:rPr>
          <w:rFonts w:hint="eastAsia" w:ascii="宋体" w:hAnsi="宋体" w:cs="宋体"/>
          <w:i w:val="0"/>
          <w:iCs w:val="0"/>
          <w:color w:val="auto"/>
          <w:sz w:val="24"/>
          <w:szCs w:val="24"/>
          <w:highlight w:val="none"/>
          <w:lang w:val="pt-BR"/>
        </w:rPr>
      </w:pPr>
      <w:r>
        <w:rPr>
          <w:rFonts w:hint="eastAsia" w:ascii="宋体" w:hAnsi="宋体" w:cs="宋体"/>
          <w:i w:val="0"/>
          <w:iCs w:val="0"/>
          <w:color w:val="auto"/>
          <w:sz w:val="24"/>
          <w:szCs w:val="24"/>
          <w:highlight w:val="none"/>
          <w:lang w:val="pt-BR"/>
        </w:rPr>
        <w:t>系统支持每个用户通过</w:t>
      </w:r>
      <w:r>
        <w:rPr>
          <w:rFonts w:hint="eastAsia" w:ascii="宋体" w:hAnsi="宋体" w:cs="宋体"/>
          <w:i w:val="0"/>
          <w:iCs w:val="0"/>
          <w:color w:val="auto"/>
          <w:sz w:val="24"/>
          <w:szCs w:val="24"/>
          <w:highlight w:val="none"/>
          <w:lang w:eastAsia="zh-Hans"/>
        </w:rPr>
        <w:t>软件客户端</w:t>
      </w:r>
      <w:r>
        <w:rPr>
          <w:rFonts w:hint="eastAsia" w:ascii="宋体" w:hAnsi="宋体" w:cs="宋体"/>
          <w:i w:val="0"/>
          <w:iCs w:val="0"/>
          <w:color w:val="auto"/>
          <w:sz w:val="24"/>
          <w:szCs w:val="24"/>
          <w:highlight w:val="none"/>
          <w:lang w:val="pt-BR"/>
        </w:rPr>
        <w:t>进行会议预约，选择相应的时间、参会人等信息创建会议。到达预约的时间，系统会自动召开会议，邀请预设的受邀会场入会。</w:t>
      </w:r>
      <w:bookmarkStart w:id="60" w:name="_Toc12803_WPSOffice_Level3"/>
      <w:bookmarkStart w:id="61" w:name="_Toc9268"/>
      <w:bookmarkStart w:id="62" w:name="_Toc19591_WPSOffice_Level3"/>
      <w:bookmarkStart w:id="63" w:name="_Toc1768525002"/>
      <w:bookmarkStart w:id="64" w:name="_Toc8634"/>
      <w:bookmarkStart w:id="65" w:name="_Toc24960"/>
      <w:bookmarkStart w:id="66" w:name="_Toc9795"/>
      <w:bookmarkStart w:id="67" w:name="_Toc31208"/>
    </w:p>
    <w:p w14:paraId="561FA1B0">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实体会议室预约</w:t>
      </w:r>
      <w:bookmarkEnd w:id="60"/>
      <w:bookmarkEnd w:id="61"/>
      <w:bookmarkEnd w:id="62"/>
      <w:bookmarkEnd w:id="63"/>
      <w:bookmarkEnd w:id="64"/>
      <w:bookmarkEnd w:id="65"/>
      <w:bookmarkEnd w:id="66"/>
      <w:bookmarkEnd w:id="67"/>
    </w:p>
    <w:p w14:paraId="168AD02E">
      <w:pPr>
        <w:spacing w:line="360" w:lineRule="auto"/>
        <w:ind w:firstLine="480" w:firstLineChars="200"/>
        <w:rPr>
          <w:rFonts w:hint="eastAsia" w:ascii="宋体" w:hAnsi="宋体" w:cs="宋体"/>
          <w:i w:val="0"/>
          <w:iCs w:val="0"/>
          <w:color w:val="auto"/>
          <w:sz w:val="24"/>
          <w:szCs w:val="24"/>
          <w:highlight w:val="none"/>
          <w:lang w:val="pt-BR"/>
        </w:rPr>
      </w:pPr>
      <w:r>
        <w:rPr>
          <w:rFonts w:hint="eastAsia" w:ascii="宋体" w:hAnsi="宋体" w:cs="宋体"/>
          <w:i w:val="0"/>
          <w:iCs w:val="0"/>
          <w:color w:val="auto"/>
          <w:sz w:val="24"/>
          <w:szCs w:val="24"/>
          <w:highlight w:val="none"/>
          <w:lang w:val="pt-BR"/>
        </w:rPr>
        <w:t>为了使院内会议室管理更加规范化、合理化，以满足各类远程视频会议和本地视频会议召开，系统支持院内会议室管理功能。</w:t>
      </w:r>
    </w:p>
    <w:p w14:paraId="6661361F">
      <w:pPr>
        <w:spacing w:line="360" w:lineRule="auto"/>
        <w:ind w:firstLine="480" w:firstLineChars="200"/>
        <w:rPr>
          <w:rFonts w:hint="eastAsia" w:ascii="宋体" w:hAnsi="宋体" w:cs="宋体"/>
          <w:i w:val="0"/>
          <w:iCs w:val="0"/>
          <w:color w:val="auto"/>
          <w:sz w:val="24"/>
          <w:szCs w:val="24"/>
          <w:highlight w:val="none"/>
          <w:lang w:val="pt-BR"/>
        </w:rPr>
      </w:pPr>
      <w:r>
        <w:rPr>
          <w:rFonts w:hint="eastAsia" w:ascii="宋体" w:hAnsi="宋体" w:cs="宋体"/>
          <w:i w:val="0"/>
          <w:iCs w:val="0"/>
          <w:color w:val="auto"/>
          <w:sz w:val="24"/>
          <w:szCs w:val="24"/>
          <w:highlight w:val="none"/>
          <w:lang w:val="pt-BR"/>
        </w:rPr>
        <w:t>可划分院内会议室区域，在每个区域添加若干个实体会议室，并可对会议室环境进行配置，比如可容纳人数等信息。</w:t>
      </w:r>
    </w:p>
    <w:p w14:paraId="3A66330E">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lang w:val="pt-BR"/>
        </w:rPr>
        <w:t>在预约远程视频会议或本地视频会议时，可同时预约院内会议室，系统可自动查询院内会议室资源占用情况并给出推荐的会议室资源，可方便使用部门快速预约线下会议室、节省了约定时间。</w:t>
      </w:r>
      <w:r>
        <w:rPr>
          <w:rFonts w:hint="eastAsia" w:ascii="宋体" w:hAnsi="宋体" w:cs="宋体"/>
          <w:i w:val="0"/>
          <w:iCs w:val="0"/>
          <w:color w:val="auto"/>
          <w:sz w:val="24"/>
          <w:szCs w:val="24"/>
          <w:highlight w:val="none"/>
        </w:rPr>
        <w:t>资源过期会自动释放回收，充分保障了创会的高效性和会议资源使用的合理性，做到时间和资源的零浪费。</w:t>
      </w:r>
      <w:bookmarkStart w:id="68" w:name="_Toc25696"/>
      <w:bookmarkStart w:id="69" w:name="_Toc25846_WPSOffice_Level3"/>
      <w:bookmarkStart w:id="70" w:name="_Toc278550487"/>
      <w:bookmarkStart w:id="71" w:name="_Toc22806"/>
      <w:bookmarkStart w:id="72" w:name="_Toc30575"/>
      <w:bookmarkStart w:id="73" w:name="_Toc31990"/>
      <w:bookmarkStart w:id="74" w:name="_Toc13145"/>
      <w:bookmarkStart w:id="75" w:name="_Toc3262_WPSOffice_Level3"/>
    </w:p>
    <w:p w14:paraId="7DC17A3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终端自主召集</w:t>
      </w:r>
      <w:bookmarkEnd w:id="68"/>
      <w:bookmarkEnd w:id="69"/>
      <w:bookmarkEnd w:id="70"/>
      <w:bookmarkEnd w:id="71"/>
      <w:bookmarkEnd w:id="72"/>
      <w:bookmarkEnd w:id="73"/>
      <w:bookmarkEnd w:id="74"/>
      <w:bookmarkEnd w:id="75"/>
      <w:r>
        <w:rPr>
          <w:rFonts w:hint="eastAsia" w:ascii="宋体" w:hAnsi="宋体" w:cs="宋体"/>
          <w:i w:val="0"/>
          <w:iCs w:val="0"/>
          <w:color w:val="auto"/>
          <w:sz w:val="24"/>
          <w:szCs w:val="24"/>
          <w:highlight w:val="none"/>
        </w:rPr>
        <w:t>会议</w:t>
      </w:r>
    </w:p>
    <w:p w14:paraId="027ACA42">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系统支持通过终端自主召集会议，无需专业技术人员保障。只需要在</w:t>
      </w:r>
      <w:r>
        <w:rPr>
          <w:rFonts w:hint="eastAsia" w:ascii="宋体" w:hAnsi="宋体" w:cs="宋体"/>
          <w:i w:val="0"/>
          <w:iCs w:val="0"/>
          <w:color w:val="auto"/>
          <w:sz w:val="24"/>
          <w:szCs w:val="24"/>
          <w:highlight w:val="none"/>
          <w:lang w:eastAsia="zh-Hans"/>
        </w:rPr>
        <w:t>通讯录</w:t>
      </w:r>
      <w:r>
        <w:rPr>
          <w:rFonts w:hint="eastAsia" w:ascii="宋体" w:hAnsi="宋体" w:cs="宋体"/>
          <w:i w:val="0"/>
          <w:iCs w:val="0"/>
          <w:color w:val="auto"/>
          <w:sz w:val="24"/>
          <w:szCs w:val="24"/>
          <w:highlight w:val="none"/>
        </w:rPr>
        <w:t>中选择需要参加会议的与会成员，开启点对点视频会议，也可以选择多个与会成员开启多点会议。</w:t>
      </w:r>
      <w:bookmarkStart w:id="76" w:name="_Toc15803"/>
      <w:bookmarkStart w:id="77" w:name="_Toc90892382"/>
      <w:bookmarkStart w:id="78" w:name="_Toc9384"/>
      <w:bookmarkStart w:id="79" w:name="_Toc23054_WPSOffice_Level2"/>
      <w:bookmarkStart w:id="80" w:name="_Toc83684549"/>
      <w:bookmarkStart w:id="81" w:name="_Toc418667851"/>
      <w:bookmarkStart w:id="82" w:name="_Toc15004"/>
      <w:bookmarkStart w:id="83" w:name="_Toc5562"/>
      <w:bookmarkStart w:id="84" w:name="_Toc6939_WPSOffice_Level2"/>
    </w:p>
    <w:p w14:paraId="3BADE8AB">
      <w:pPr>
        <w:spacing w:line="360" w:lineRule="auto"/>
        <w:ind w:firstLine="482" w:firstLineChars="200"/>
        <w:rPr>
          <w:rFonts w:hint="eastAsia" w:ascii="宋体" w:hAnsi="宋体" w:cs="宋体"/>
          <w:b/>
          <w:bCs/>
          <w:i w:val="0"/>
          <w:iCs w:val="0"/>
          <w:color w:val="auto"/>
          <w:sz w:val="24"/>
          <w:szCs w:val="24"/>
          <w:highlight w:val="none"/>
        </w:rPr>
      </w:pPr>
      <w:bookmarkStart w:id="85" w:name="_Toc12552"/>
      <w:r>
        <w:rPr>
          <w:rFonts w:hint="eastAsia" w:ascii="宋体" w:hAnsi="宋体" w:cs="宋体"/>
          <w:b/>
          <w:bCs/>
          <w:i w:val="0"/>
          <w:iCs w:val="0"/>
          <w:color w:val="auto"/>
          <w:sz w:val="24"/>
          <w:szCs w:val="24"/>
          <w:highlight w:val="none"/>
        </w:rPr>
        <w:t>5.2综合管理平台</w:t>
      </w:r>
      <w:bookmarkEnd w:id="76"/>
      <w:bookmarkEnd w:id="77"/>
      <w:bookmarkEnd w:id="78"/>
      <w:bookmarkEnd w:id="79"/>
      <w:bookmarkEnd w:id="80"/>
      <w:bookmarkEnd w:id="81"/>
      <w:bookmarkEnd w:id="82"/>
      <w:bookmarkEnd w:id="83"/>
      <w:bookmarkEnd w:id="84"/>
      <w:bookmarkEnd w:id="85"/>
    </w:p>
    <w:p w14:paraId="19C3C5C9">
      <w:pPr>
        <w:spacing w:line="360" w:lineRule="auto"/>
        <w:ind w:firstLine="480" w:firstLineChars="200"/>
        <w:rPr>
          <w:rFonts w:hint="eastAsia" w:ascii="宋体" w:hAnsi="宋体" w:cs="宋体"/>
          <w:i w:val="0"/>
          <w:iCs w:val="0"/>
          <w:color w:val="auto"/>
          <w:sz w:val="24"/>
          <w:szCs w:val="24"/>
          <w:highlight w:val="none"/>
          <w:lang w:eastAsia="zh-Hans"/>
        </w:rPr>
      </w:pPr>
      <w:r>
        <w:rPr>
          <w:rFonts w:hint="eastAsia" w:ascii="宋体" w:hAnsi="宋体" w:cs="宋体"/>
          <w:i w:val="0"/>
          <w:iCs w:val="0"/>
          <w:color w:val="auto"/>
          <w:sz w:val="24"/>
          <w:szCs w:val="24"/>
          <w:highlight w:val="none"/>
          <w:lang w:eastAsia="zh-Hans"/>
        </w:rPr>
        <w:t>管理平台是配合客户端使用，方便信息中心进行管理，其中包括通讯录管理、</w:t>
      </w:r>
      <w:r>
        <w:rPr>
          <w:rFonts w:hint="eastAsia" w:ascii="宋体" w:hAnsi="宋体" w:cs="宋体"/>
          <w:i w:val="0"/>
          <w:iCs w:val="0"/>
          <w:color w:val="auto"/>
          <w:sz w:val="24"/>
          <w:szCs w:val="24"/>
          <w:highlight w:val="none"/>
        </w:rPr>
        <w:t>会议室</w:t>
      </w:r>
      <w:r>
        <w:rPr>
          <w:rFonts w:hint="eastAsia" w:ascii="宋体" w:hAnsi="宋体" w:cs="宋体"/>
          <w:i w:val="0"/>
          <w:iCs w:val="0"/>
          <w:color w:val="auto"/>
          <w:sz w:val="24"/>
          <w:szCs w:val="24"/>
          <w:highlight w:val="none"/>
          <w:lang w:eastAsia="zh-Hans"/>
        </w:rPr>
        <w:t>管理、</w:t>
      </w:r>
      <w:r>
        <w:rPr>
          <w:rFonts w:hint="eastAsia" w:ascii="宋体" w:hAnsi="宋体" w:cs="宋体"/>
          <w:i w:val="0"/>
          <w:iCs w:val="0"/>
          <w:color w:val="auto"/>
          <w:sz w:val="24"/>
          <w:szCs w:val="24"/>
          <w:highlight w:val="none"/>
        </w:rPr>
        <w:t>会议屏</w:t>
      </w:r>
      <w:r>
        <w:rPr>
          <w:rFonts w:hint="eastAsia" w:ascii="宋体" w:hAnsi="宋体" w:cs="宋体"/>
          <w:i w:val="0"/>
          <w:iCs w:val="0"/>
          <w:color w:val="auto"/>
          <w:sz w:val="24"/>
          <w:szCs w:val="24"/>
          <w:highlight w:val="none"/>
          <w:lang w:eastAsia="zh-Hans"/>
        </w:rPr>
        <w:t>等设备管理、管理员权限设置等管理模块，并提供使用进行的</w:t>
      </w:r>
      <w:r>
        <w:rPr>
          <w:rFonts w:hint="eastAsia" w:ascii="宋体" w:hAnsi="宋体" w:cs="宋体"/>
          <w:i w:val="0"/>
          <w:iCs w:val="0"/>
          <w:color w:val="auto"/>
          <w:sz w:val="24"/>
          <w:szCs w:val="24"/>
          <w:highlight w:val="none"/>
        </w:rPr>
        <w:t>会议</w:t>
      </w:r>
      <w:r>
        <w:rPr>
          <w:rFonts w:hint="eastAsia" w:ascii="宋体" w:hAnsi="宋体" w:cs="宋体"/>
          <w:i w:val="0"/>
          <w:iCs w:val="0"/>
          <w:color w:val="auto"/>
          <w:sz w:val="24"/>
          <w:szCs w:val="24"/>
          <w:highlight w:val="none"/>
          <w:lang w:eastAsia="zh-Hans"/>
        </w:rPr>
        <w:t>数据统计，辅助管理者更好的进行会议效率的管理决策。</w:t>
      </w:r>
    </w:p>
    <w:p w14:paraId="06877C73">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主要管理功能如下：</w:t>
      </w:r>
      <w:bookmarkStart w:id="86" w:name="_Toc32305"/>
      <w:bookmarkStart w:id="87" w:name="_Toc29231"/>
      <w:bookmarkStart w:id="88" w:name="_Toc7404"/>
    </w:p>
    <w:p w14:paraId="16BE05B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lang w:eastAsia="zh-Hans"/>
        </w:rPr>
        <w:t>通讯录</w:t>
      </w:r>
      <w:r>
        <w:rPr>
          <w:rFonts w:hint="eastAsia" w:ascii="宋体" w:hAnsi="宋体" w:cs="宋体"/>
          <w:i w:val="0"/>
          <w:iCs w:val="0"/>
          <w:color w:val="auto"/>
          <w:sz w:val="24"/>
          <w:szCs w:val="24"/>
          <w:highlight w:val="none"/>
        </w:rPr>
        <w:t>管理</w:t>
      </w:r>
      <w:bookmarkEnd w:id="86"/>
      <w:bookmarkEnd w:id="87"/>
      <w:bookmarkEnd w:id="88"/>
    </w:p>
    <w:p w14:paraId="12EF2C2F">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用户通过账号密码或者手机验证码登录，登录后直接进入到管理平台；</w:t>
      </w:r>
    </w:p>
    <w:p w14:paraId="7C7EB89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管理员可以在创建用户信息，支持对用户信息数据的增删改查、以及组织架构的建立，用于客户端的通讯录显示，会议预约选择参会人等。</w:t>
      </w:r>
    </w:p>
    <w:p w14:paraId="247CC842">
      <w:pPr>
        <w:spacing w:line="360" w:lineRule="auto"/>
        <w:ind w:firstLine="480" w:firstLineChars="200"/>
        <w:rPr>
          <w:rFonts w:hint="eastAsia" w:ascii="宋体" w:hAnsi="宋体" w:cs="宋体"/>
          <w:i w:val="0"/>
          <w:iCs w:val="0"/>
          <w:color w:val="auto"/>
          <w:sz w:val="24"/>
          <w:szCs w:val="24"/>
          <w:highlight w:val="none"/>
          <w:lang w:eastAsia="zh-Hans"/>
        </w:rPr>
      </w:pPr>
      <w:r>
        <w:rPr>
          <w:rFonts w:hint="eastAsia" w:ascii="宋体" w:hAnsi="宋体" w:cs="宋体"/>
          <w:i w:val="0"/>
          <w:iCs w:val="0"/>
          <w:color w:val="auto"/>
          <w:sz w:val="24"/>
          <w:szCs w:val="24"/>
          <w:highlight w:val="none"/>
          <w:lang w:eastAsia="zh-Hans"/>
        </w:rPr>
        <w:t>会议室管理</w:t>
      </w:r>
    </w:p>
    <w:p w14:paraId="621B5D6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管理员可以在此模块创建会议室信息，提供院内会议室管理，支持对会议室数据的增删改查、会议室所在区域设定、会议室是否启用的设置</w:t>
      </w:r>
    </w:p>
    <w:p w14:paraId="4EDBE315">
      <w:pPr>
        <w:spacing w:line="360" w:lineRule="auto"/>
        <w:ind w:firstLine="480" w:firstLineChars="200"/>
        <w:rPr>
          <w:rFonts w:hint="eastAsia" w:ascii="宋体" w:hAnsi="宋体" w:cs="宋体"/>
          <w:i w:val="0"/>
          <w:iCs w:val="0"/>
          <w:color w:val="auto"/>
          <w:sz w:val="24"/>
          <w:szCs w:val="24"/>
          <w:highlight w:val="none"/>
          <w:lang w:eastAsia="zh-Hans"/>
        </w:rPr>
      </w:pPr>
      <w:r>
        <w:rPr>
          <w:rFonts w:hint="eastAsia" w:ascii="宋体" w:hAnsi="宋体" w:cs="宋体"/>
          <w:i w:val="0"/>
          <w:iCs w:val="0"/>
          <w:color w:val="auto"/>
          <w:sz w:val="24"/>
          <w:szCs w:val="24"/>
          <w:highlight w:val="none"/>
          <w:lang w:eastAsia="zh-Hans"/>
        </w:rPr>
        <w:t>终端管理</w:t>
      </w:r>
    </w:p>
    <w:p w14:paraId="64A37737">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在终端管理部分，管理员可以对院内会议室终端、科室会议屏进行添加和管理</w:t>
      </w:r>
    </w:p>
    <w:p w14:paraId="6E2169F8">
      <w:pPr>
        <w:spacing w:line="360" w:lineRule="auto"/>
        <w:ind w:firstLine="480" w:firstLineChars="200"/>
        <w:rPr>
          <w:rFonts w:hint="eastAsia" w:ascii="宋体" w:hAnsi="宋体" w:cs="宋体"/>
          <w:i w:val="0"/>
          <w:iCs w:val="0"/>
          <w:color w:val="auto"/>
          <w:sz w:val="24"/>
          <w:szCs w:val="24"/>
          <w:highlight w:val="none"/>
          <w:lang w:eastAsia="zh-Hans"/>
        </w:rPr>
      </w:pPr>
      <w:r>
        <w:rPr>
          <w:rFonts w:hint="eastAsia" w:ascii="宋体" w:hAnsi="宋体" w:cs="宋体"/>
          <w:i w:val="0"/>
          <w:iCs w:val="0"/>
          <w:color w:val="auto"/>
          <w:sz w:val="24"/>
          <w:szCs w:val="24"/>
          <w:highlight w:val="none"/>
          <w:lang w:eastAsia="zh-Hans"/>
        </w:rPr>
        <w:t>会议数据管理</w:t>
      </w:r>
    </w:p>
    <w:p w14:paraId="12EB4C01">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系统支持会议数据功能，统计设备硬件资源使用情况，设备告警情况，会议室现场使用情况等，并统一图形化显示</w:t>
      </w:r>
    </w:p>
    <w:p w14:paraId="67CF6E0B">
      <w:pPr>
        <w:spacing w:line="360" w:lineRule="auto"/>
        <w:ind w:firstLine="482" w:firstLineChars="200"/>
        <w:rPr>
          <w:rFonts w:hint="eastAsia" w:ascii="宋体" w:hAnsi="宋体" w:cs="宋体"/>
          <w:b/>
          <w:bCs/>
          <w:i w:val="0"/>
          <w:iCs w:val="0"/>
          <w:color w:val="auto"/>
          <w:sz w:val="24"/>
          <w:szCs w:val="24"/>
          <w:highlight w:val="none"/>
        </w:rPr>
      </w:pPr>
      <w:bookmarkStart w:id="89" w:name="_Toc6129"/>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lang w:val="en-US" w:eastAsia="zh-CN"/>
        </w:rPr>
        <w:t>六</w:t>
      </w:r>
      <w:r>
        <w:rPr>
          <w:rFonts w:hint="eastAsia" w:ascii="宋体" w:hAnsi="宋体" w:cs="宋体"/>
          <w:b/>
          <w:bCs/>
          <w:i w:val="0"/>
          <w:iCs w:val="0"/>
          <w:color w:val="auto"/>
          <w:sz w:val="24"/>
          <w:szCs w:val="24"/>
          <w:highlight w:val="none"/>
          <w:lang w:eastAsia="zh-CN"/>
        </w:rPr>
        <w:t>）</w:t>
      </w:r>
      <w:r>
        <w:rPr>
          <w:rFonts w:hint="eastAsia" w:ascii="宋体" w:hAnsi="宋体" w:cs="宋体"/>
          <w:b/>
          <w:bCs/>
          <w:i w:val="0"/>
          <w:iCs w:val="0"/>
          <w:color w:val="auto"/>
          <w:sz w:val="24"/>
          <w:szCs w:val="24"/>
          <w:highlight w:val="none"/>
        </w:rPr>
        <w:t>服务要求</w:t>
      </w:r>
      <w:bookmarkEnd w:id="89"/>
    </w:p>
    <w:p w14:paraId="1BBD983B">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6.1响应与修复时效</w:t>
      </w:r>
    </w:p>
    <w:p w14:paraId="5385C90D">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一级故障，全院会议中断，响应≤15分钟，修复≤2小时。</w:t>
      </w:r>
    </w:p>
    <w:p w14:paraId="4E7EEBB6">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二级故障，单会议室功能失效，响应≤30分钟，修复≤4小时.</w:t>
      </w:r>
    </w:p>
    <w:p w14:paraId="762585D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三级故障，非核心功能异常，响应≤2分钟，修复≤1工作日。</w:t>
      </w:r>
    </w:p>
    <w:p w14:paraId="188CC2C8">
      <w:pPr>
        <w:spacing w:line="360" w:lineRule="auto"/>
        <w:ind w:firstLine="482" w:firstLineChars="200"/>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rPr>
        <w:t>6.2主动服务</w:t>
      </w:r>
    </w:p>
    <w:p w14:paraId="6B192A53">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运维日志：实时记录故障处理、升级操作；</w:t>
      </w:r>
    </w:p>
    <w:p w14:paraId="3F79B0C8">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月度巡检：全设备健康检查，生产《系统健康报告》；</w:t>
      </w:r>
    </w:p>
    <w:p w14:paraId="3A7FC199">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季度报告：系统可用率、故障分析、优化建议；</w:t>
      </w:r>
    </w:p>
    <w:p w14:paraId="5232D55C">
      <w:pPr>
        <w:spacing w:line="360" w:lineRule="auto"/>
        <w:ind w:firstLine="480" w:firstLineChars="2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季度演练：模拟突发会议场景的压力测试（≥200终端并发）；</w:t>
      </w:r>
    </w:p>
    <w:p w14:paraId="03300EE8">
      <w:pPr>
        <w:spacing w:line="360" w:lineRule="auto"/>
        <w:ind w:firstLine="720" w:firstLineChars="300"/>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年度升级：系统功能迭代</w:t>
      </w:r>
    </w:p>
    <w:p w14:paraId="3AB5D91D">
      <w:pPr>
        <w:keepNext w:val="0"/>
        <w:keepLines w:val="0"/>
        <w:pageBreakBefore w:val="0"/>
        <w:widowControl w:val="0"/>
        <w:kinsoku/>
        <w:wordWrap/>
        <w:overflowPunct/>
        <w:topLinePunct w:val="0"/>
        <w:bidi w:val="0"/>
        <w:adjustRightInd/>
        <w:snapToGrid/>
        <w:spacing w:line="360" w:lineRule="auto"/>
        <w:ind w:left="0"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会议服务：提供7×24小时支持维护服务，包括邮件、电话、远程维护、现场服务等方式。 并保证30分钟之内响应、2小时内处理。</w:t>
      </w:r>
    </w:p>
    <w:p w14:paraId="3DCF96F9">
      <w:pPr>
        <w:keepNext w:val="0"/>
        <w:keepLines w:val="0"/>
        <w:pageBreakBefore w:val="0"/>
        <w:widowControl w:val="0"/>
        <w:numPr>
          <w:ilvl w:val="0"/>
          <w:numId w:val="0"/>
        </w:numPr>
        <w:kinsoku/>
        <w:wordWrap/>
        <w:overflowPunct/>
        <w:topLinePunct w:val="0"/>
        <w:bidi w:val="0"/>
        <w:adjustRightInd/>
        <w:snapToGrid/>
        <w:spacing w:line="360" w:lineRule="auto"/>
        <w:ind w:leftChars="0" w:firstLine="482" w:firstLineChars="200"/>
        <w:textAlignment w:val="auto"/>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lang w:val="en-US" w:eastAsia="zh-CN"/>
        </w:rPr>
        <w:t>四、</w:t>
      </w:r>
      <w:r>
        <w:rPr>
          <w:rFonts w:hint="eastAsia" w:ascii="宋体" w:hAnsi="宋体" w:cs="宋体"/>
          <w:b/>
          <w:bCs/>
          <w:i w:val="0"/>
          <w:iCs w:val="0"/>
          <w:color w:val="auto"/>
          <w:sz w:val="24"/>
          <w:szCs w:val="24"/>
          <w:highlight w:val="none"/>
        </w:rPr>
        <w:t>其他要求</w:t>
      </w:r>
    </w:p>
    <w:p w14:paraId="440A6FA9">
      <w:pPr>
        <w:keepNext w:val="0"/>
        <w:keepLines w:val="0"/>
        <w:pageBreakBefore w:val="0"/>
        <w:widowControl w:val="0"/>
        <w:kinsoku/>
        <w:wordWrap/>
        <w:overflowPunct/>
        <w:topLinePunct w:val="0"/>
        <w:bidi w:val="0"/>
        <w:adjustRightInd/>
        <w:snapToGrid/>
        <w:spacing w:line="360" w:lineRule="auto"/>
        <w:ind w:left="0" w:leftChars="0"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1.出现硬件故障，需更换零配件时，由</w:t>
      </w:r>
      <w:r>
        <w:rPr>
          <w:rFonts w:hint="eastAsia" w:ascii="宋体" w:hAnsi="宋体" w:cs="宋体"/>
          <w:i w:val="0"/>
          <w:iCs w:val="0"/>
          <w:color w:val="auto"/>
          <w:sz w:val="24"/>
          <w:szCs w:val="24"/>
          <w:highlight w:val="none"/>
          <w:lang w:val="en-US" w:eastAsia="zh-CN"/>
        </w:rPr>
        <w:t>投标人</w:t>
      </w:r>
      <w:r>
        <w:rPr>
          <w:rFonts w:hint="eastAsia" w:ascii="宋体" w:hAnsi="宋体" w:cs="宋体"/>
          <w:i w:val="0"/>
          <w:iCs w:val="0"/>
          <w:color w:val="auto"/>
          <w:sz w:val="24"/>
          <w:szCs w:val="24"/>
          <w:highlight w:val="none"/>
        </w:rPr>
        <w:t>承担零配件费用。</w:t>
      </w:r>
    </w:p>
    <w:p w14:paraId="1DF2D4B4">
      <w:pPr>
        <w:keepNext w:val="0"/>
        <w:keepLines w:val="0"/>
        <w:pageBreakBefore w:val="0"/>
        <w:widowControl w:val="0"/>
        <w:kinsoku/>
        <w:wordWrap/>
        <w:overflowPunct/>
        <w:topLinePunct w:val="0"/>
        <w:bidi w:val="0"/>
        <w:adjustRightInd/>
        <w:snapToGrid/>
        <w:spacing w:line="360" w:lineRule="auto"/>
        <w:ind w:left="0" w:leftChars="0"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2.备品、备件按招标人要求在规定的时间内送达。</w:t>
      </w:r>
    </w:p>
    <w:p w14:paraId="4182E27C">
      <w:pPr>
        <w:keepNext w:val="0"/>
        <w:keepLines w:val="0"/>
        <w:pageBreakBefore w:val="0"/>
        <w:widowControl w:val="0"/>
        <w:kinsoku/>
        <w:wordWrap/>
        <w:overflowPunct/>
        <w:topLinePunct w:val="0"/>
        <w:bidi w:val="0"/>
        <w:adjustRightInd/>
        <w:snapToGrid/>
        <w:spacing w:line="360" w:lineRule="auto"/>
        <w:ind w:left="0" w:leftChars="0" w:firstLine="482" w:firstLineChars="200"/>
        <w:textAlignment w:val="auto"/>
        <w:rPr>
          <w:rFonts w:hint="eastAsia" w:ascii="宋体" w:hAnsi="宋体" w:cs="宋体"/>
          <w:b/>
          <w:bCs/>
          <w:i w:val="0"/>
          <w:iCs w:val="0"/>
          <w:color w:val="auto"/>
          <w:sz w:val="24"/>
          <w:szCs w:val="24"/>
          <w:highlight w:val="none"/>
        </w:rPr>
      </w:pPr>
      <w:r>
        <w:rPr>
          <w:rFonts w:hint="eastAsia" w:ascii="宋体" w:hAnsi="宋体" w:cs="宋体"/>
          <w:b/>
          <w:bCs/>
          <w:i w:val="0"/>
          <w:iCs w:val="0"/>
          <w:color w:val="auto"/>
          <w:sz w:val="24"/>
          <w:szCs w:val="24"/>
          <w:highlight w:val="none"/>
          <w:lang w:val="en-US" w:eastAsia="zh-CN"/>
        </w:rPr>
        <w:t>五</w:t>
      </w:r>
      <w:r>
        <w:rPr>
          <w:rFonts w:hint="eastAsia" w:ascii="宋体" w:hAnsi="宋体" w:cs="宋体"/>
          <w:b/>
          <w:bCs/>
          <w:i w:val="0"/>
          <w:iCs w:val="0"/>
          <w:color w:val="auto"/>
          <w:sz w:val="24"/>
          <w:szCs w:val="24"/>
          <w:highlight w:val="none"/>
        </w:rPr>
        <w:t>、验收标准</w:t>
      </w:r>
    </w:p>
    <w:p w14:paraId="3E34062A">
      <w:pPr>
        <w:keepNext w:val="0"/>
        <w:keepLines w:val="0"/>
        <w:pageBreakBefore w:val="0"/>
        <w:widowControl w:val="0"/>
        <w:kinsoku/>
        <w:wordWrap/>
        <w:overflowPunct/>
        <w:topLinePunct w:val="0"/>
        <w:autoSpaceDE w:val="0"/>
        <w:autoSpaceDN w:val="0"/>
        <w:bidi w:val="0"/>
        <w:adjustRightInd/>
        <w:snapToGrid/>
        <w:spacing w:line="360" w:lineRule="auto"/>
        <w:ind w:left="0" w:leftChars="0"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CDD521F">
      <w:pPr>
        <w:keepNext w:val="0"/>
        <w:keepLines w:val="0"/>
        <w:pageBreakBefore w:val="0"/>
        <w:widowControl w:val="0"/>
        <w:kinsoku/>
        <w:wordWrap/>
        <w:overflowPunct/>
        <w:topLinePunct w:val="0"/>
        <w:autoSpaceDE w:val="0"/>
        <w:autoSpaceDN w:val="0"/>
        <w:bidi w:val="0"/>
        <w:adjustRightInd/>
        <w:snapToGrid/>
        <w:spacing w:line="360" w:lineRule="auto"/>
        <w:ind w:left="0" w:firstLine="480" w:firstLineChars="200"/>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2.验收标准</w:t>
      </w:r>
    </w:p>
    <w:p w14:paraId="5E293053">
      <w:pPr>
        <w:keepNext w:val="0"/>
        <w:keepLines w:val="0"/>
        <w:pageBreakBefore w:val="0"/>
        <w:widowControl w:val="0"/>
        <w:kinsoku/>
        <w:wordWrap/>
        <w:overflowPunct/>
        <w:topLinePunct w:val="0"/>
        <w:autoSpaceDE w:val="0"/>
        <w:autoSpaceDN w:val="0"/>
        <w:bidi w:val="0"/>
        <w:adjustRightInd/>
        <w:snapToGrid/>
        <w:spacing w:line="360" w:lineRule="auto"/>
        <w:ind w:left="0" w:firstLine="482" w:firstLineChars="200"/>
        <w:jc w:val="left"/>
        <w:textAlignment w:val="auto"/>
        <w:rPr>
          <w:rFonts w:hint="eastAsia" w:ascii="宋体" w:hAnsi="宋体" w:eastAsia="宋体" w:cs="宋体"/>
          <w:i w:val="0"/>
          <w:iCs w:val="0"/>
          <w:color w:val="auto"/>
          <w:kern w:val="2"/>
          <w:sz w:val="24"/>
          <w:szCs w:val="24"/>
          <w:highlight w:val="none"/>
          <w:lang w:val="en-US" w:eastAsia="zh-CN"/>
        </w:rPr>
      </w:pPr>
      <w:r>
        <w:rPr>
          <w:rFonts w:hint="eastAsia" w:ascii="宋体" w:hAnsi="宋体" w:cs="宋体"/>
          <w:b/>
          <w:i w:val="0"/>
          <w:iCs w:val="0"/>
          <w:color w:val="auto"/>
          <w:sz w:val="24"/>
          <w:szCs w:val="24"/>
          <w:highlight w:val="none"/>
        </w:rPr>
        <w:t>总体验收标准：</w:t>
      </w:r>
      <w:r>
        <w:rPr>
          <w:rFonts w:hint="eastAsia" w:ascii="宋体" w:hAnsi="宋体" w:eastAsia="宋体" w:cs="宋体"/>
          <w:i w:val="0"/>
          <w:iCs w:val="0"/>
          <w:color w:val="auto"/>
          <w:kern w:val="2"/>
          <w:sz w:val="24"/>
          <w:szCs w:val="24"/>
          <w:highlight w:val="none"/>
        </w:rPr>
        <w:t>验收按服务评分:85-100分:100%付款，60-85分:70%付款，60分以下:不付款，如连续2季度60分以下，医院有权终止合同。</w:t>
      </w:r>
      <w:r>
        <w:rPr>
          <w:rFonts w:hint="eastAsia" w:ascii="宋体" w:hAnsi="宋体" w:cs="宋体"/>
          <w:i w:val="0"/>
          <w:iCs w:val="0"/>
          <w:color w:val="auto"/>
          <w:kern w:val="2"/>
          <w:sz w:val="24"/>
          <w:szCs w:val="24"/>
          <w:highlight w:val="none"/>
          <w:lang w:val="en-US" w:eastAsia="zh-CN"/>
        </w:rPr>
        <w:t>验收</w:t>
      </w:r>
      <w:r>
        <w:rPr>
          <w:rFonts w:hint="eastAsia" w:ascii="宋体" w:hAnsi="宋体" w:cs="宋体"/>
          <w:i w:val="0"/>
          <w:iCs w:val="0"/>
          <w:color w:val="auto"/>
          <w:sz w:val="24"/>
          <w:szCs w:val="24"/>
          <w:highlight w:val="none"/>
        </w:rPr>
        <w:t>考核标准详见下表</w:t>
      </w:r>
      <w:r>
        <w:rPr>
          <w:rFonts w:hint="eastAsia" w:ascii="宋体" w:hAnsi="宋体" w:eastAsia="宋体" w:cs="宋体"/>
          <w:i w:val="0"/>
          <w:iCs w:val="0"/>
          <w:color w:val="auto"/>
          <w:kern w:val="2"/>
          <w:sz w:val="24"/>
          <w:szCs w:val="24"/>
          <w:highlight w:val="none"/>
          <w:lang w:val="en-US" w:eastAsia="zh-CN"/>
        </w:rPr>
        <w:t>,具体以签订合同为准。</w:t>
      </w:r>
    </w:p>
    <w:tbl>
      <w:tblPr>
        <w:tblStyle w:val="22"/>
        <w:tblW w:w="0" w:type="auto"/>
        <w:jc w:val="center"/>
        <w:shd w:val="clear" w:color="auto" w:fill="auto"/>
        <w:tblLayout w:type="fixed"/>
        <w:tblCellMar>
          <w:top w:w="32" w:type="dxa"/>
          <w:left w:w="64" w:type="dxa"/>
          <w:bottom w:w="32" w:type="dxa"/>
          <w:right w:w="64" w:type="dxa"/>
        </w:tblCellMar>
      </w:tblPr>
      <w:tblGrid>
        <w:gridCol w:w="1551"/>
        <w:gridCol w:w="4477"/>
        <w:gridCol w:w="2494"/>
      </w:tblGrid>
      <w:tr w14:paraId="3E57B9AD">
        <w:tblPrEx>
          <w:tblCellMar>
            <w:top w:w="32" w:type="dxa"/>
            <w:left w:w="64" w:type="dxa"/>
            <w:bottom w:w="32" w:type="dxa"/>
            <w:right w:w="64" w:type="dxa"/>
          </w:tblCellMar>
        </w:tblPrEx>
        <w:trPr>
          <w:jc w:val="center"/>
        </w:trPr>
        <w:tc>
          <w:tcPr>
            <w:tcW w:w="1551"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49E23D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验收项目</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66EC3D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验收标准</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106A6B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扣分标准</w:t>
            </w:r>
          </w:p>
        </w:tc>
      </w:tr>
      <w:tr w14:paraId="15B97491">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3A8B98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机房整体运维</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90D170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每日巡检：驻场运维人员每日9:00对机房内设备和系统进行巡检并认真记录，发现异常及时处理，上报医院或联系厂家；二线技术专家15分钟内响应，提供远程技术支持，当远程无法解决问题时，2小时内到达现场解决；驻场运维人员每日下班前现场巡视机房</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E3B751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未按要求完成每日9:00巡检或下班前巡视，每次扣0.5分；二线技术专家响应及到场超时限，每次扣1分</w:t>
            </w:r>
          </w:p>
        </w:tc>
      </w:tr>
      <w:tr w14:paraId="679B8994">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7193FB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6A82B4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巡检分析报告：驻场运维人员每周准时整理提交巡检报告，每月第3个工作日前完成上月度巡检报告编制、汇报和归档</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89A317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未按规定提交周报，每次扣0.5分；未按时完成月度报告编制、汇报和归档，每次扣1分</w:t>
            </w:r>
          </w:p>
        </w:tc>
      </w:tr>
      <w:tr w14:paraId="295D1067">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225336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75C731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机房日常管理：严格按照医院机房管理制度，管理机房进出人员；其它项目在机房实施时的全程陪同及配合协助</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A0AF4C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违反机房管理规定或未按要求陪同协助，每次扣0.5分</w:t>
            </w:r>
          </w:p>
        </w:tc>
      </w:tr>
      <w:tr w14:paraId="06D73657">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D80883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D5CB94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 资产管理：机房设备资产管理到位</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0FB56D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管理不到位，每次扣0.5分</w:t>
            </w:r>
          </w:p>
        </w:tc>
      </w:tr>
      <w:tr w14:paraId="3707D299">
        <w:tblPrEx>
          <w:shd w:val="clear" w:color="auto" w:fill="auto"/>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2D8595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机房环境清洁</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CCB75F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每半年提供一次带电清洗除尘服务，包括机房设备、机柜环境、地板、防水维护</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E000C2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每发现一处不合格，扣0.5分</w:t>
            </w:r>
          </w:p>
        </w:tc>
      </w:tr>
      <w:tr w14:paraId="0EDC6C6D">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19CE47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977AF2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每月提供一次机房环境及配套设施的清洁服务，及时补充静电手环、粘尘带、鞋套等耗材</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832C52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每发现一处不合格，扣0.5分</w:t>
            </w:r>
          </w:p>
        </w:tc>
      </w:tr>
      <w:tr w14:paraId="052D6692">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AB377B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68957B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入场后按照医院要求进行一次全面的ODF和线缆整理并提交文档</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C56DD3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每发现一处不合格，扣0.5分</w:t>
            </w:r>
          </w:p>
        </w:tc>
      </w:tr>
      <w:tr w14:paraId="3B79B4D9">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302823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3F6631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按照要求对ODF和线缆进行日常维护</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BDEA57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每发现一处不合格，扣2分</w:t>
            </w:r>
          </w:p>
        </w:tc>
      </w:tr>
      <w:tr w14:paraId="35C3340D">
        <w:tblPrEx>
          <w:shd w:val="clear" w:color="auto" w:fill="auto"/>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B8E4E8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动环监控设备及系统整体运维</w:t>
            </w:r>
          </w:p>
          <w:p w14:paraId="4E64FFA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8AC2A9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实时监控机房动环运行情况，发现异常、故障时，应及时处理或上报</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5BB507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未及时处理或上报，每次扣1分</w:t>
            </w:r>
          </w:p>
        </w:tc>
      </w:tr>
      <w:tr w14:paraId="41BF4F0A">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2267D9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95C39F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动环系统日常运维，保障正常运行，动环设备出现故障及时维修</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6B1185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动环设备故障未及时维修，每次扣1分</w:t>
            </w:r>
          </w:p>
        </w:tc>
      </w:tr>
      <w:tr w14:paraId="754FE8C2">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29CEE5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B5DDED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每次考核期内机房更换的空调、UPS、探头、传感器等设备接入动环系统</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2E57D9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每次考核每个未接入设备扣2分</w:t>
            </w:r>
          </w:p>
        </w:tc>
      </w:tr>
      <w:tr w14:paraId="55F859E9">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80A31C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847986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 每次考核期内动环软件的版本更新、补丁升级、漏洞修复</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2F77B5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未做到，每次考核扣1分</w:t>
            </w:r>
          </w:p>
        </w:tc>
      </w:tr>
      <w:tr w14:paraId="074E2C4A">
        <w:tblPrEx>
          <w:shd w:val="clear" w:color="auto" w:fill="auto"/>
          <w:tblCellMar>
            <w:top w:w="32" w:type="dxa"/>
            <w:left w:w="64" w:type="dxa"/>
            <w:bottom w:w="32" w:type="dxa"/>
            <w:right w:w="64" w:type="dxa"/>
          </w:tblCellMar>
        </w:tblPrEx>
        <w:trPr>
          <w:jc w:val="center"/>
        </w:trPr>
        <w:tc>
          <w:tcPr>
            <w:tcW w:w="1551"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6476A1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电源系统运维</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612B80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监控巡检电源系统日常工作状态，发现异常、故障时，应及时处理或上报</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C1C98E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未及时处理或上报，每次扣1分</w:t>
            </w:r>
          </w:p>
        </w:tc>
      </w:tr>
      <w:tr w14:paraId="46D1033B">
        <w:tblPrEx>
          <w:shd w:val="clear" w:color="auto" w:fill="auto"/>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C967A7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精密空调运维</w:t>
            </w:r>
          </w:p>
          <w:p w14:paraId="67A87A9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300EC0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保障精密空调运行日常巡检，并提交月度报告，发现异常、故障时，应及时上报或维修</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EA142E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未及时上报或维修，每次扣1分</w:t>
            </w:r>
          </w:p>
        </w:tc>
      </w:tr>
      <w:tr w14:paraId="2EB6EF64">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4DE87F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632857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每两个月提供一次室外机清洗，每季度更换一次空调滤网，清洗更换加湿罐，每半年检查一次皮带，每年加一次氟</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4FE68F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没有按照要求维护或是维护不到位，每次扣1分</w:t>
            </w:r>
          </w:p>
        </w:tc>
      </w:tr>
      <w:tr w14:paraId="64CD064D">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B159B8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4F2030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除压缩机故障外，其他故障供应商应在8小时内修复</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40DD4E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超过时限，每次扣2分</w:t>
            </w:r>
          </w:p>
        </w:tc>
      </w:tr>
      <w:tr w14:paraId="74B25315">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89DA8E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9090A1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 设备发生故障后，超过24小时未修复</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6C83F7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扣2分</w:t>
            </w:r>
          </w:p>
        </w:tc>
      </w:tr>
      <w:tr w14:paraId="67AF1A73">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FF218B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E2E145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5. 因精密空调维护不到位，造成机房设备出现故障或停止运行，影响医院业务系统运行</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504E78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每次扣2分</w:t>
            </w:r>
          </w:p>
        </w:tc>
      </w:tr>
      <w:tr w14:paraId="1E4B7896">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D78BE0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机柜和列头柜运维</w:t>
            </w:r>
          </w:p>
          <w:p w14:paraId="7BB080B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6F66A6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机柜每日巡查，保持整洁，设备上下架、施工后，清洁机柜、线缆整理、标签维护</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DB3AFB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每发现一处不合格，扣0.5分</w:t>
            </w:r>
          </w:p>
        </w:tc>
      </w:tr>
      <w:tr w14:paraId="3ACDD649">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378D01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564B82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列头柜每日巡查，发现异常、故障时，应及时上报或维修</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6BBF8B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未及时上报或维修，每次扣1分</w:t>
            </w:r>
          </w:p>
        </w:tc>
      </w:tr>
      <w:tr w14:paraId="737F28F2">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A17E41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网络布线及光纤维护</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9156D3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按照医院项目需求和标准，组织专业人员现场实施网络布线，采用不低于机房内标准的成品网线，网线绑扎排列整齐、固定牢靠，标签整齐无误，场地清洁，并编写提交布线台账</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6BD7DC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每发现一处不合格，扣0.5分</w:t>
            </w:r>
          </w:p>
        </w:tc>
      </w:tr>
      <w:tr w14:paraId="66C5FD3F">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7F95C0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101571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按照医院要求的标准，每月提供一次专业人员现场光纤链路ODF线缆维护、配线架维护、首末端熔接，保证光纤接头处的熔接损耗满足要求，定期整理、更新线路维护的基础资料</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5F056A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每发现一处不合格，扣0.5分</w:t>
            </w:r>
          </w:p>
        </w:tc>
      </w:tr>
      <w:tr w14:paraId="0A6D3B2B">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B0BCB0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弱电机房（机柜）运维</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DB8A09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每年考核期提供一次全部弱电机房的设备带电清洗除尘服务</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AD8421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每发现一处不合格，扣0.5分</w:t>
            </w:r>
          </w:p>
        </w:tc>
      </w:tr>
      <w:tr w14:paraId="6021CDDB">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971D54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901829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入场后按照医院要求进行一次全面的ODF和弱电线缆整理并提交文档</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8CA6CB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每发现一处不合格，扣0.5分</w:t>
            </w:r>
          </w:p>
        </w:tc>
      </w:tr>
      <w:tr w14:paraId="07A3E868">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FFD576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E9FA4F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按照医院要求的标准，每月提供一次专业人员现场光纤链路和弱电线缆维护、配线架维护、首末端熔接、线缆维护整理</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030AA0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每发现一处不合格，扣0.5分</w:t>
            </w:r>
          </w:p>
        </w:tc>
      </w:tr>
      <w:tr w14:paraId="32D52F46">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257BF5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896677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 突发故障时提供光纤免费熔接（首末段）、法兰架等设备免费维修（更换配件），按要求时间内提供服务</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D8D516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每发现一处不合格，扣0.5分；未按要求时间内提供服务，每次扣1分</w:t>
            </w:r>
          </w:p>
        </w:tc>
      </w:tr>
      <w:tr w14:paraId="32A41CA6">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454C8A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服务器运维</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578908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服务器每日巡检，并提交月度报告</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2583B2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没有按要求完成，每次扣0.5分</w:t>
            </w:r>
          </w:p>
        </w:tc>
      </w:tr>
      <w:tr w14:paraId="2D0268BF">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966786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8EC87B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按照医院工作要求提供服务器上架、移机、安装系统、补丁升级等日常运维服务</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8A9616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未按要求执行，每次扣1分</w:t>
            </w:r>
          </w:p>
        </w:tc>
      </w:tr>
      <w:tr w14:paraId="4277698C">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3DA88F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D5C4F1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发现异常、故障时，应及时上报或维修</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6ABBF1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未及时上报或维修，每次扣1分</w:t>
            </w:r>
          </w:p>
        </w:tc>
      </w:tr>
      <w:tr w14:paraId="04EDAA2C">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1B546C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存储设备维护</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341210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存储设备每日巡检，并提交月度报告</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74F145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没有按要求完成，每次扣2分</w:t>
            </w:r>
          </w:p>
        </w:tc>
      </w:tr>
      <w:tr w14:paraId="54640AE4">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914329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90676E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按照医院工作要求提供存储设备的配置、上下架，系统及固件升级，存储配套设备的日常维护等服务</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9CB129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未按要求执行，每次扣1分</w:t>
            </w:r>
          </w:p>
        </w:tc>
      </w:tr>
      <w:tr w14:paraId="65C75ED8">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9A0648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827C23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发现异常、故障时，应及时上报或维修</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A36AB2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未及时上报或维修，每次扣1分</w:t>
            </w:r>
          </w:p>
        </w:tc>
      </w:tr>
      <w:tr w14:paraId="46D50B0F">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9F7BDA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网络设备运维</w:t>
            </w:r>
          </w:p>
          <w:p w14:paraId="0DF5C94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（含接入网络运维）</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B2881B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网络设备每日巡检，策略备份并提交月度报告</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922444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没有按要求完成，每次扣0.5分</w:t>
            </w:r>
          </w:p>
        </w:tc>
      </w:tr>
      <w:tr w14:paraId="12EABFBC">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9A57A1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A27096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按照医院工作要求提供网络相关配置、调试、接入等服务</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32671A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未按要求执行，每次扣1分</w:t>
            </w:r>
          </w:p>
        </w:tc>
      </w:tr>
      <w:tr w14:paraId="65EF420B">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3EE6C6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B45EEF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业务专线维护，拓扑更新，系统固件升级等工作</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98E8A3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未按要求执行，每次扣1分</w:t>
            </w:r>
          </w:p>
        </w:tc>
      </w:tr>
      <w:tr w14:paraId="28CD5033">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3E0ECB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A3E2F6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 发现异常、故障时，应及时上报或维修</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892B03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未及时上报或维修，每次扣1分</w:t>
            </w:r>
          </w:p>
        </w:tc>
      </w:tr>
      <w:tr w14:paraId="193C2396">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0D1043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虚拟化平台</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25701D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虚拟化平台每日巡检，并提交月度报告</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92EDEB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没有按要求完成，每次扣0.5分</w:t>
            </w:r>
          </w:p>
        </w:tc>
      </w:tr>
      <w:tr w14:paraId="2B1FB147">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5289E7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DA58D6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按照医院工作要求提供资源配置、故障诊断、系统安装、新项目现场支持、技术培训等服务</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25BFE1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未按要求执行，每次扣1分</w:t>
            </w:r>
          </w:p>
        </w:tc>
      </w:tr>
      <w:tr w14:paraId="4D16AFC4">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7D39AC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53E2C2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按照医院工作要求提供认证工程师进行复杂问题分析和解决，NSX维护，高级技术培训等远程及现场服务</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971012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未按要求执行，每次扣1分</w:t>
            </w:r>
          </w:p>
        </w:tc>
      </w:tr>
      <w:tr w14:paraId="1E996AE8">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674631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E7C07B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 每季度提供一次专业的现场巡检维护服务，版本升级补丁更新，并出具巡检报告</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E8F414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每发现一处不合格，扣1分</w:t>
            </w:r>
          </w:p>
        </w:tc>
      </w:tr>
      <w:tr w14:paraId="76EC164A">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C70AFE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39E8CC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5. 发现异常、故障时，应及时上报或维修</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D27AC3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未及时上报或维修，每次扣1分</w:t>
            </w:r>
          </w:p>
        </w:tc>
      </w:tr>
      <w:tr w14:paraId="58B1B836">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14E3D5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服务器维保</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F07960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供应商须提供备件维修服务</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04866B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每违反一次，扣2分</w:t>
            </w:r>
          </w:p>
        </w:tc>
      </w:tr>
      <w:tr w14:paraId="7FA031EA">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4260D7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E4D17D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服务器系统加固、微码升级等达到要求</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4D11A2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没有达到要求，每次扣1分</w:t>
            </w:r>
          </w:p>
        </w:tc>
      </w:tr>
      <w:tr w14:paraId="510C276D">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CB8599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4ED6D4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服务器发生故障后，24小时内修复</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BC2B04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超过24小时未修复，扣2分；违反两次，医院有权单方面提前终止合同，并追究相应责任，且不支付后续服务费用</w:t>
            </w:r>
          </w:p>
        </w:tc>
      </w:tr>
      <w:tr w14:paraId="0384347E">
        <w:tblPrEx>
          <w:shd w:val="clear" w:color="auto" w:fill="auto"/>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091A5A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存储设备维保</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D2B141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日常操作支持，高级服务，技术培训，健康巡检及巡检报告达到要求</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965CDD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没有达到要求，每次扣1分</w:t>
            </w:r>
          </w:p>
        </w:tc>
      </w:tr>
      <w:tr w14:paraId="16998B5D">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2EE1C4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D2FDEE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供应商须提供硬盘不返还服务</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DAF14E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每违反一次，扣2分</w:t>
            </w:r>
          </w:p>
        </w:tc>
      </w:tr>
      <w:tr w14:paraId="5B0F1AC1">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E807DF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F30C94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存储设备发生故障后，24小时内修复</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EE5891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超过24小时未修复，扣2分；违反两次，医院有权单方面提前终止合同，并追究相应责任，且不支付后续服务费用</w:t>
            </w:r>
          </w:p>
        </w:tc>
      </w:tr>
      <w:tr w14:paraId="70536887">
        <w:tblPrEx>
          <w:tblCellMar>
            <w:top w:w="32" w:type="dxa"/>
            <w:left w:w="64" w:type="dxa"/>
            <w:bottom w:w="32" w:type="dxa"/>
            <w:right w:w="64" w:type="dxa"/>
          </w:tblCellMar>
        </w:tblPrEx>
        <w:trPr>
          <w:jc w:val="center"/>
        </w:trPr>
        <w:tc>
          <w:tcPr>
            <w:tcW w:w="1551"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0B808B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交换机及路由器设备维保</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6A7620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网络设备发生故障后，15分钟内响应</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7B41A6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超过15分钟未响应，每次扣1分</w:t>
            </w:r>
          </w:p>
        </w:tc>
      </w:tr>
      <w:tr w14:paraId="2FACE8C0">
        <w:tblPrEx>
          <w:shd w:val="clear" w:color="auto" w:fill="auto"/>
          <w:tblCellMar>
            <w:top w:w="32" w:type="dxa"/>
            <w:left w:w="64" w:type="dxa"/>
            <w:bottom w:w="32" w:type="dxa"/>
            <w:right w:w="64" w:type="dxa"/>
          </w:tblCellMar>
        </w:tblPrEx>
        <w:trPr>
          <w:jc w:val="center"/>
        </w:trPr>
        <w:tc>
          <w:tcPr>
            <w:tcW w:w="1551"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DB4684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列头柜和电源系统维保</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A40D1D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列头柜和电源系统发生故障后，24小时内修复</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6C1971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超过24小时未修复，扣2分</w:t>
            </w:r>
          </w:p>
        </w:tc>
      </w:tr>
      <w:tr w14:paraId="00D6CB9E">
        <w:tblPrEx>
          <w:tblCellMar>
            <w:top w:w="32" w:type="dxa"/>
            <w:left w:w="64" w:type="dxa"/>
            <w:bottom w:w="32" w:type="dxa"/>
            <w:right w:w="64" w:type="dxa"/>
          </w:tblCellMar>
        </w:tblPrEx>
        <w:trPr>
          <w:jc w:val="center"/>
        </w:trPr>
        <w:tc>
          <w:tcPr>
            <w:tcW w:w="1551"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CAC093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动环监控设备及系统维保</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D2187C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动环监控设备及系统发生故障后，24小时内修复</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C7E1C6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超过24小时未修复，扣1分</w:t>
            </w:r>
          </w:p>
        </w:tc>
      </w:tr>
      <w:tr w14:paraId="013CE65E">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D92F20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精密空调维保</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BC11F5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除压缩机故障外，供应商应在8小时内修复</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5AF1B2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超过时限，每次扣1分</w:t>
            </w:r>
          </w:p>
        </w:tc>
      </w:tr>
      <w:tr w14:paraId="2E66F6E4">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16FFA3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28DC47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设备发生故障后，24小时内修复</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D668D5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超过24小时未修复，扣2分</w:t>
            </w:r>
          </w:p>
        </w:tc>
      </w:tr>
      <w:tr w14:paraId="6671D283">
        <w:tblPrEx>
          <w:tblCellMar>
            <w:top w:w="32" w:type="dxa"/>
            <w:left w:w="64" w:type="dxa"/>
            <w:bottom w:w="32" w:type="dxa"/>
            <w:right w:w="64" w:type="dxa"/>
          </w:tblCellMar>
        </w:tblPrEx>
        <w:trPr>
          <w:jc w:val="center"/>
        </w:trPr>
        <w:tc>
          <w:tcPr>
            <w:tcW w:w="1551"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3C8178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驻场人员服务</w:t>
            </w:r>
          </w:p>
          <w:p w14:paraId="6DA33CC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工作纪律考核</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7DF942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每日考勤：工作日严格遵守医院作息时间（每日工作时间为8:00 - 17:30），不迟到，不早退，不擅自离开工作岗位；周六日严格按照约定时间进行值班工作</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9709C9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迟到（半小时内）、早退（半小时内）每次扣1分；迟到或早退半小时以上、擅自离开工作岗位的按旷工处理，每次扣2分</w:t>
            </w:r>
          </w:p>
        </w:tc>
      </w:tr>
      <w:tr w14:paraId="399DC210">
        <w:tblPrEx>
          <w:shd w:val="clear" w:color="auto" w:fill="auto"/>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1D6516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 xml:space="preserve">驻场人员服务 </w:t>
            </w:r>
          </w:p>
          <w:p w14:paraId="6DBE10D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工作纪律考核</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C1ED9E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工作态度：着装得体，注意个人卫生，举止端庄，爱护设备，服务认真积极，沟通表达清晰，态度亲切，服从医院工作安排，不与医院人员发生口角</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908A10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违反一次，扣1分</w:t>
            </w:r>
          </w:p>
        </w:tc>
      </w:tr>
      <w:tr w14:paraId="2A72B351">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5B254E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EE836D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遵守规则：遵守医院信息管理的规章制度，遵守信息安全管理制度</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569DD1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违反一次，扣1分</w:t>
            </w:r>
          </w:p>
        </w:tc>
      </w:tr>
      <w:tr w14:paraId="4682F269">
        <w:tblPrEx>
          <w:tblCellMar>
            <w:top w:w="32" w:type="dxa"/>
            <w:left w:w="64" w:type="dxa"/>
            <w:bottom w:w="32" w:type="dxa"/>
            <w:right w:w="64" w:type="dxa"/>
          </w:tblCellMar>
        </w:tblPrEx>
        <w:trPr>
          <w:jc w:val="center"/>
        </w:trPr>
        <w:tc>
          <w:tcPr>
            <w:tcW w:w="1551"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18EF2D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 xml:space="preserve">驻场人员服务 </w:t>
            </w:r>
          </w:p>
          <w:p w14:paraId="393D459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响应时间考核</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172CF7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运维人员5*</w:t>
            </w:r>
            <w:r>
              <w:rPr>
                <w:rStyle w:val="27"/>
                <w:rFonts w:hint="eastAsia" w:ascii="宋体" w:hAnsi="宋体" w:cs="宋体"/>
                <w:i w:val="0"/>
                <w:iCs w:val="0"/>
                <w:color w:val="auto"/>
                <w:sz w:val="24"/>
                <w:szCs w:val="24"/>
                <w:highlight w:val="none"/>
              </w:rPr>
              <w:t>8小时驻场服务，现场立即响应；建立7*</w:t>
            </w:r>
            <w:r>
              <w:rPr>
                <w:rFonts w:hint="eastAsia" w:ascii="宋体" w:hAnsi="宋体" w:cs="宋体"/>
                <w:i w:val="0"/>
                <w:iCs w:val="0"/>
                <w:color w:val="auto"/>
                <w:sz w:val="24"/>
                <w:szCs w:val="24"/>
                <w:highlight w:val="none"/>
              </w:rPr>
              <w:t>24小时电话联络机制，驻场服务时间段内立即响应，其它时段15分钟内响应</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AC8571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未按要求响应，每次扣1分</w:t>
            </w:r>
          </w:p>
        </w:tc>
      </w:tr>
      <w:tr w14:paraId="06B913E6">
        <w:tblPrEx>
          <w:shd w:val="clear" w:color="auto" w:fill="auto"/>
          <w:tblCellMar>
            <w:top w:w="32" w:type="dxa"/>
            <w:left w:w="64" w:type="dxa"/>
            <w:bottom w:w="32" w:type="dxa"/>
            <w:right w:w="64" w:type="dxa"/>
          </w:tblCellMar>
        </w:tblPrEx>
        <w:trPr>
          <w:jc w:val="center"/>
        </w:trPr>
        <w:tc>
          <w:tcPr>
            <w:tcW w:w="1551"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D473B9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 xml:space="preserve">驻场人员服务 </w:t>
            </w:r>
          </w:p>
          <w:p w14:paraId="0F265E8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工作规范考核</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3EFFD3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问题处理及记录的规范性：驻场运维人员按照标准流程处理问题，按照标准模板记录问题并及时更新，问题处理后归档</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60017D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未按要求完成，每次扣0.5分</w:t>
            </w:r>
          </w:p>
        </w:tc>
      </w:tr>
      <w:tr w14:paraId="43F533C0">
        <w:tblPrEx>
          <w:tblCellMar>
            <w:top w:w="32" w:type="dxa"/>
            <w:left w:w="64" w:type="dxa"/>
            <w:bottom w:w="32" w:type="dxa"/>
            <w:right w:w="64" w:type="dxa"/>
          </w:tblCellMar>
        </w:tblPrEx>
        <w:trPr>
          <w:jc w:val="center"/>
        </w:trPr>
        <w:tc>
          <w:tcPr>
            <w:tcW w:w="1551"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96B00C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院内会议</w:t>
            </w:r>
          </w:p>
          <w:p w14:paraId="6CAB62F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会议功能模块</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CED337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会议提供功能完全满足医院业务需求</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399BBA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未满足一项扣0.5分</w:t>
            </w:r>
          </w:p>
        </w:tc>
      </w:tr>
      <w:tr w14:paraId="41D06974">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AB091F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 xml:space="preserve">院内会议 </w:t>
            </w:r>
          </w:p>
          <w:p w14:paraId="5AEB74D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响应与修复时效验收</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F84B4E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一级故障：模拟全院会议中断场景，记录响应时间是否≤15分钟，修复时间是否≤2小时</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8365CA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未按要求完成，每次扣2分</w:t>
            </w:r>
          </w:p>
        </w:tc>
      </w:tr>
      <w:tr w14:paraId="201CF636">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C3F44D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6B6D57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二级故障：模拟单会议室功能失效场景，记录响应时间是否≤30分钟，修复时间是否≤4小时</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7498DA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未按要求完成，每次扣2分</w:t>
            </w:r>
          </w:p>
        </w:tc>
      </w:tr>
      <w:tr w14:paraId="2AAF8316">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D45A6C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2E3725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三级故障：模拟非核心功能异常场景，记录响应时间是否≤2分钟，修复时间是否≤1工作日</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4F7E9A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未按要求完成，每次扣2分</w:t>
            </w:r>
          </w:p>
        </w:tc>
      </w:tr>
      <w:tr w14:paraId="52F9226D">
        <w:tblPrEx>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43710B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院内会议 - 服务验收</w:t>
            </w: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7C7E1A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运维日志：实时记录故障处理、升级操作</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6F390A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未按要求完成，每次扣1分</w:t>
            </w:r>
          </w:p>
        </w:tc>
      </w:tr>
      <w:tr w14:paraId="6C9E1576">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A907A0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0A0730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月度巡检：进行全设备健康检查，生产《系统健康报告》</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105CB9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未按要求完成，每次扣1分</w:t>
            </w:r>
          </w:p>
        </w:tc>
      </w:tr>
      <w:tr w14:paraId="1406F452">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755A964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0743F9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3. 季度报告：提供系统可用率、故障分析、优化建议的季度报告</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0ED63B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未按要求完成，每次扣1分</w:t>
            </w:r>
          </w:p>
        </w:tc>
      </w:tr>
      <w:tr w14:paraId="5F661619">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718521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B24413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4. 季度演练：进行模拟突发会议场景的压力测试（≥200终端并发）</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0633429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未按要求完成，每次扣1分</w:t>
            </w:r>
          </w:p>
        </w:tc>
      </w:tr>
      <w:tr w14:paraId="2425F2F9">
        <w:tblPrEx>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440C03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7465ED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5. 年度升级：进行系统功能迭代</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33F85D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未按要求完成，每次扣1分</w:t>
            </w:r>
          </w:p>
        </w:tc>
      </w:tr>
      <w:tr w14:paraId="7870F9E8">
        <w:tblPrEx>
          <w:shd w:val="clear" w:color="auto" w:fill="auto"/>
          <w:tblCellMar>
            <w:top w:w="32" w:type="dxa"/>
            <w:left w:w="64" w:type="dxa"/>
            <w:bottom w:w="32" w:type="dxa"/>
            <w:right w:w="64" w:type="dxa"/>
          </w:tblCellMar>
        </w:tblPrEx>
        <w:trPr>
          <w:jc w:val="center"/>
        </w:trPr>
        <w:tc>
          <w:tcPr>
            <w:tcW w:w="1551" w:type="dxa"/>
            <w:vMerge w:val="restart"/>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11C70EC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r>
              <w:rPr>
                <w:rFonts w:hint="eastAsia" w:ascii="宋体" w:hAnsi="宋体" w:cs="宋体"/>
                <w:b/>
                <w:i w:val="0"/>
                <w:iCs w:val="0"/>
                <w:color w:val="auto"/>
                <w:sz w:val="24"/>
                <w:szCs w:val="24"/>
                <w:highlight w:val="none"/>
              </w:rPr>
              <w:t>院内会议 - 7×24小时支持维护服务验收</w:t>
            </w:r>
          </w:p>
          <w:p w14:paraId="5C4B773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3BF9183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1. 通过邮件、电话、远程维护、现场服务等方式，获得7×24小时支持维护服务</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5D5511B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未按要求完成，每次扣2分</w:t>
            </w:r>
          </w:p>
        </w:tc>
      </w:tr>
      <w:tr w14:paraId="406ACB65">
        <w:tblPrEx>
          <w:shd w:val="clear" w:color="auto" w:fill="auto"/>
          <w:tblCellMar>
            <w:top w:w="32" w:type="dxa"/>
            <w:left w:w="64" w:type="dxa"/>
            <w:bottom w:w="32" w:type="dxa"/>
            <w:right w:w="64" w:type="dxa"/>
          </w:tblCellMar>
        </w:tblPrEx>
        <w:trPr>
          <w:jc w:val="center"/>
        </w:trPr>
        <w:tc>
          <w:tcPr>
            <w:tcW w:w="1551" w:type="dxa"/>
            <w:vMerge w:val="continue"/>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4375087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b/>
                <w:i w:val="0"/>
                <w:iCs w:val="0"/>
                <w:color w:val="auto"/>
                <w:sz w:val="24"/>
                <w:szCs w:val="24"/>
                <w:highlight w:val="none"/>
              </w:rPr>
            </w:pPr>
          </w:p>
        </w:tc>
        <w:tc>
          <w:tcPr>
            <w:tcW w:w="4477"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6F7186A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2. 保证30分钟之内响应、2小时内处理</w:t>
            </w:r>
          </w:p>
        </w:tc>
        <w:tc>
          <w:tcPr>
            <w:tcW w:w="2494" w:type="dxa"/>
            <w:tcBorders>
              <w:top w:val="single" w:color="auto" w:sz="4" w:space="0"/>
              <w:left w:val="single" w:color="auto" w:sz="4" w:space="0"/>
              <w:bottom w:val="single" w:color="auto" w:sz="4" w:space="0"/>
              <w:right w:val="single" w:color="auto" w:sz="4" w:space="0"/>
            </w:tcBorders>
            <w:shd w:val="clear" w:color="auto" w:fill="auto"/>
            <w:tcMar>
              <w:left w:w="108" w:type="dxa"/>
              <w:right w:w="108" w:type="dxa"/>
            </w:tcMar>
            <w:vAlign w:val="center"/>
          </w:tcPr>
          <w:p w14:paraId="2E08B87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cs="宋体"/>
                <w:i w:val="0"/>
                <w:iCs w:val="0"/>
                <w:color w:val="auto"/>
                <w:sz w:val="24"/>
                <w:szCs w:val="24"/>
                <w:highlight w:val="none"/>
              </w:rPr>
            </w:pPr>
            <w:r>
              <w:rPr>
                <w:rFonts w:hint="eastAsia" w:ascii="宋体" w:hAnsi="宋体" w:cs="宋体"/>
                <w:i w:val="0"/>
                <w:iCs w:val="0"/>
                <w:color w:val="auto"/>
                <w:sz w:val="24"/>
                <w:szCs w:val="24"/>
                <w:highlight w:val="none"/>
              </w:rPr>
              <w:t>未按要求完成，每次扣2分</w:t>
            </w:r>
          </w:p>
        </w:tc>
      </w:tr>
    </w:tbl>
    <w:p w14:paraId="799AC63A">
      <w:pPr>
        <w:keepNext w:val="0"/>
        <w:keepLines w:val="0"/>
        <w:pageBreakBefore w:val="0"/>
        <w:widowControl w:val="0"/>
        <w:kinsoku/>
        <w:wordWrap/>
        <w:overflowPunct/>
        <w:topLinePunct w:val="0"/>
        <w:autoSpaceDE w:val="0"/>
        <w:autoSpaceDN w:val="0"/>
        <w:bidi w:val="0"/>
        <w:adjustRightInd/>
        <w:snapToGrid/>
        <w:spacing w:line="360" w:lineRule="auto"/>
        <w:ind w:left="0" w:firstLine="480" w:firstLineChars="200"/>
        <w:textAlignment w:val="auto"/>
        <w:rPr>
          <w:rFonts w:hint="eastAsia" w:ascii="宋体" w:hAnsi="宋体" w:eastAsia="宋体" w:cs="宋体"/>
          <w:i w:val="0"/>
          <w:iCs w:val="0"/>
          <w:color w:val="auto"/>
          <w:kern w:val="2"/>
          <w:sz w:val="24"/>
          <w:szCs w:val="24"/>
          <w:highlight w:val="none"/>
          <w:lang w:val="en-US" w:eastAsia="zh-CN"/>
        </w:rPr>
      </w:pPr>
    </w:p>
    <w:p w14:paraId="11724A4C">
      <w:pPr>
        <w:keepNext w:val="0"/>
        <w:keepLines w:val="0"/>
        <w:pageBreakBefore w:val="0"/>
        <w:widowControl w:val="0"/>
        <w:kinsoku/>
        <w:wordWrap/>
        <w:overflowPunct/>
        <w:topLinePunct w:val="0"/>
        <w:autoSpaceDE w:val="0"/>
        <w:autoSpaceDN w:val="0"/>
        <w:bidi w:val="0"/>
        <w:adjustRightInd/>
        <w:snapToGrid/>
        <w:spacing w:line="360" w:lineRule="auto"/>
        <w:ind w:left="0" w:firstLine="480" w:firstLineChars="200"/>
        <w:textAlignment w:val="auto"/>
        <w:rPr>
          <w:rFonts w:hint="eastAsia" w:ascii="宋体" w:hAnsi="宋体" w:eastAsia="宋体" w:cs="宋体"/>
          <w:i w:val="0"/>
          <w:iCs w:val="0"/>
          <w:color w:val="auto"/>
          <w:kern w:val="2"/>
          <w:sz w:val="24"/>
          <w:szCs w:val="24"/>
          <w:highlight w:val="none"/>
          <w:lang w:val="en-US" w:eastAsia="zh-CN"/>
        </w:rPr>
      </w:pPr>
    </w:p>
    <w:p w14:paraId="35231F95">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80" w:firstLineChars="200"/>
        <w:jc w:val="left"/>
        <w:textAlignment w:val="auto"/>
        <w:rPr>
          <w:i w:val="0"/>
          <w:iCs w:val="0"/>
          <w:color w:val="auto"/>
          <w:sz w:val="24"/>
          <w:highlight w:val="none"/>
        </w:rPr>
      </w:pPr>
      <w:r>
        <w:rPr>
          <w:i w:val="0"/>
          <w:iCs w:val="0"/>
          <w:color w:val="auto"/>
          <w:sz w:val="24"/>
          <w:highlight w:val="none"/>
        </w:rPr>
        <w:br w:type="page"/>
      </w:r>
    </w:p>
    <w:p w14:paraId="5B7B52DC">
      <w:pPr>
        <w:pStyle w:val="16"/>
        <w:rPr>
          <w:rFonts w:ascii="Times New Roman" w:hAnsi="Times New Roman"/>
          <w:i w:val="0"/>
          <w:iCs w:val="0"/>
          <w:color w:val="auto"/>
          <w:highlight w:val="none"/>
        </w:rPr>
      </w:pPr>
      <w:r>
        <w:rPr>
          <w:rFonts w:ascii="Times New Roman" w:hAnsi="Times New Roman"/>
          <w:i w:val="0"/>
          <w:iCs w:val="0"/>
          <w:color w:val="auto"/>
          <w:highlight w:val="none"/>
        </w:rPr>
        <w:t>第</w:t>
      </w:r>
      <w:r>
        <w:rPr>
          <w:rFonts w:ascii="Times New Roman" w:hAnsi="Times New Roman"/>
          <w:i w:val="0"/>
          <w:iCs w:val="0"/>
          <w:color w:val="auto"/>
          <w:highlight w:val="none"/>
          <w:lang w:eastAsia="zh-CN"/>
        </w:rPr>
        <w:t>三</w:t>
      </w:r>
      <w:r>
        <w:rPr>
          <w:rFonts w:ascii="Times New Roman" w:hAnsi="Times New Roman"/>
          <w:i w:val="0"/>
          <w:iCs w:val="0"/>
          <w:color w:val="auto"/>
          <w:highlight w:val="none"/>
        </w:rPr>
        <w:t>部分  投标须知</w:t>
      </w:r>
    </w:p>
    <w:p w14:paraId="71E086B0">
      <w:pPr>
        <w:pStyle w:val="31"/>
        <w:spacing w:line="360" w:lineRule="auto"/>
        <w:jc w:val="center"/>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A  说明</w:t>
      </w:r>
    </w:p>
    <w:p w14:paraId="7290A9CF">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1. 概述</w:t>
      </w:r>
    </w:p>
    <w:p w14:paraId="517C2E9E">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1.1 根据《中华人民共和国政府采购法》、《中华人民共和国政府采购法实施条例》《中华人民共和国招标投标法》等有关法律、法规和规章的规定，本采购项目已具备招标条件。</w:t>
      </w:r>
    </w:p>
    <w:p w14:paraId="1B72A540">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1.2 本招标文件仅适用于投标邀请函中所叙述项目货物和服务的采购。</w:t>
      </w:r>
    </w:p>
    <w:p w14:paraId="140E9C64">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1.3 参与招标投标活动的所有各方，对在参与招标投标过程中获悉的国家、商业和技术秘密以及其它依法应当保密的内容，均负有保密义务，违者应对由此造成的后果承担全部法律责任。</w:t>
      </w:r>
    </w:p>
    <w:p w14:paraId="56119CA6">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2. 定义</w:t>
      </w:r>
    </w:p>
    <w:p w14:paraId="232B2B0B">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 xml:space="preserve">2.1 “采购人”和“招标人”系指本次招标活动的采购单位。“采购代理机构”系指组织本次招标活动的机构，即“天津市政府采购中心”。 </w:t>
      </w:r>
    </w:p>
    <w:p w14:paraId="529B1B0E">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2.2 “投标人”系指</w:t>
      </w:r>
      <w:r>
        <w:rPr>
          <w:rFonts w:hint="eastAsia" w:ascii="Times New Roman" w:hAnsi="Times New Roman" w:eastAsia="宋体" w:cs="Times New Roman"/>
          <w:i w:val="0"/>
          <w:iCs w:val="0"/>
          <w:color w:val="auto"/>
          <w:highlight w:val="none"/>
        </w:rPr>
        <w:t>响应招标、参加投标竞争的法人、其他组织或者自然人。</w:t>
      </w:r>
    </w:p>
    <w:p w14:paraId="7F55A59D">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2.3 “服务”</w:t>
      </w:r>
      <w:r>
        <w:rPr>
          <w:rFonts w:ascii="Times New Roman" w:hAnsi="Times New Roman" w:cs="Times New Roman"/>
          <w:i w:val="0"/>
          <w:iCs w:val="0"/>
          <w:color w:val="auto"/>
          <w:szCs w:val="21"/>
          <w:highlight w:val="none"/>
        </w:rPr>
        <w:t>系指招标文件规定的投标人为完成采购项目所需承担的全部义务。</w:t>
      </w:r>
    </w:p>
    <w:p w14:paraId="50CF0CB8">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3. 解释权</w:t>
      </w:r>
    </w:p>
    <w:p w14:paraId="6198ADA9">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3.1 本次招投标的最终解释权归为采购人、采购代理机构。</w:t>
      </w:r>
    </w:p>
    <w:p w14:paraId="0458265C">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3.2 本文件未作须知明示，而又有相关法律、法规规定的，采购人、采购代理机构将对此解释为依据有关法律、法规的规定。</w:t>
      </w:r>
    </w:p>
    <w:p w14:paraId="7E6281C2">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4. 合格的投标人</w:t>
      </w:r>
    </w:p>
    <w:p w14:paraId="02E6E826">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4.1 符合《中华人民共和国政府采购法》第二十二条供应商参加政府采购活动应当具备的条件及其他有关法律、法规关于供应商的有关规定，有能力提供招标采购服务的供应商。</w:t>
      </w:r>
    </w:p>
    <w:p w14:paraId="5B5E1B92">
      <w:pPr>
        <w:pStyle w:val="31"/>
        <w:spacing w:line="360" w:lineRule="auto"/>
        <w:ind w:firstLine="480" w:firstLineChars="200"/>
        <w:jc w:val="both"/>
        <w:rPr>
          <w:rFonts w:ascii="Times New Roman" w:hAnsi="Times New Roman" w:cs="Times New Roman"/>
          <w:i w:val="0"/>
          <w:iCs w:val="0"/>
          <w:color w:val="auto"/>
          <w:highlight w:val="none"/>
        </w:rPr>
      </w:pPr>
      <w:r>
        <w:rPr>
          <w:rFonts w:ascii="Times New Roman" w:hAnsi="Times New Roman" w:eastAsia="宋体" w:cs="Times New Roman"/>
          <w:i w:val="0"/>
          <w:iCs w:val="0"/>
          <w:color w:val="auto"/>
          <w:highlight w:val="none"/>
        </w:rPr>
        <w:t xml:space="preserve">4.2 </w:t>
      </w:r>
      <w:r>
        <w:rPr>
          <w:rFonts w:ascii="Times New Roman" w:hAnsi="Times New Roman" w:cs="Times New Roman"/>
          <w:i w:val="0"/>
          <w:iCs w:val="0"/>
          <w:color w:val="auto"/>
          <w:highlight w:val="none"/>
        </w:rPr>
        <w:t>符合《投标邀请函》中关于供应商资格要求（实质性要求）的规定。</w:t>
      </w:r>
    </w:p>
    <w:p w14:paraId="0B55D3A1">
      <w:pPr>
        <w:pStyle w:val="31"/>
        <w:spacing w:line="360" w:lineRule="auto"/>
        <w:ind w:firstLine="480" w:firstLineChars="200"/>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4.3 关于联合体投标</w:t>
      </w:r>
    </w:p>
    <w:p w14:paraId="487DE378">
      <w:pPr>
        <w:pStyle w:val="31"/>
        <w:spacing w:line="360" w:lineRule="auto"/>
        <w:ind w:firstLine="480" w:firstLineChars="200"/>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若</w:t>
      </w:r>
      <w:r>
        <w:rPr>
          <w:rFonts w:ascii="Times New Roman" w:hAnsi="Times New Roman" w:eastAsia="宋体" w:cs="Times New Roman"/>
          <w:i w:val="0"/>
          <w:iCs w:val="0"/>
          <w:color w:val="auto"/>
          <w:highlight w:val="none"/>
        </w:rPr>
        <w:t>《投标邀请函》接受联合体投标的：</w:t>
      </w:r>
    </w:p>
    <w:p w14:paraId="6189A559">
      <w:pPr>
        <w:pStyle w:val="31"/>
        <w:spacing w:line="360" w:lineRule="auto"/>
        <w:ind w:firstLine="480" w:firstLineChars="200"/>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（1）两个以上的自然人、法人或者其他组织可以组成一个联合体，以一个供应商的身份共同参加政府采购。</w:t>
      </w:r>
    </w:p>
    <w:p w14:paraId="2876FF84">
      <w:pPr>
        <w:pStyle w:val="31"/>
        <w:spacing w:line="360" w:lineRule="auto"/>
        <w:ind w:firstLine="480" w:firstLineChars="200"/>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i w:val="0"/>
          <w:iCs w:val="0"/>
          <w:color w:val="auto"/>
          <w:highlight w:val="none"/>
        </w:rPr>
        <w:t>要求</w:t>
      </w:r>
      <w:r>
        <w:rPr>
          <w:rFonts w:ascii="Times New Roman" w:hAnsi="Times New Roman" w:eastAsia="宋体" w:cs="Times New Roman"/>
          <w:i w:val="0"/>
          <w:iCs w:val="0"/>
          <w:color w:val="auto"/>
          <w:highlight w:val="none"/>
        </w:rPr>
        <w:t>）。</w:t>
      </w:r>
    </w:p>
    <w:p w14:paraId="70C3CA42">
      <w:pPr>
        <w:pStyle w:val="31"/>
        <w:spacing w:line="360" w:lineRule="auto"/>
        <w:ind w:firstLine="480" w:firstLineChars="200"/>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i w:val="0"/>
          <w:iCs w:val="0"/>
          <w:color w:val="auto"/>
          <w:highlight w:val="none"/>
        </w:rPr>
        <w:t>同一合同项下</w:t>
      </w:r>
      <w:r>
        <w:rPr>
          <w:rFonts w:ascii="Times New Roman" w:hAnsi="Times New Roman" w:eastAsia="宋体" w:cs="Times New Roman"/>
          <w:i w:val="0"/>
          <w:iCs w:val="0"/>
          <w:color w:val="auto"/>
          <w:highlight w:val="none"/>
        </w:rPr>
        <w:t>投标，也不得组成新的联合体参加同一</w:t>
      </w:r>
      <w:r>
        <w:rPr>
          <w:rFonts w:hint="eastAsia" w:ascii="Times New Roman" w:hAnsi="Times New Roman" w:eastAsia="宋体" w:cs="Times New Roman"/>
          <w:i w:val="0"/>
          <w:iCs w:val="0"/>
          <w:color w:val="auto"/>
          <w:highlight w:val="none"/>
        </w:rPr>
        <w:t>合同</w:t>
      </w:r>
      <w:r>
        <w:rPr>
          <w:rFonts w:ascii="Times New Roman" w:hAnsi="Times New Roman" w:eastAsia="宋体" w:cs="Times New Roman"/>
          <w:i w:val="0"/>
          <w:iCs w:val="0"/>
          <w:color w:val="auto"/>
          <w:highlight w:val="none"/>
        </w:rPr>
        <w:t>项下的投标。</w:t>
      </w:r>
    </w:p>
    <w:p w14:paraId="683302DD">
      <w:pPr>
        <w:pStyle w:val="31"/>
        <w:spacing w:line="360" w:lineRule="auto"/>
        <w:ind w:firstLine="480" w:firstLineChars="200"/>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（4）</w:t>
      </w:r>
      <w:r>
        <w:rPr>
          <w:rFonts w:hint="eastAsia" w:ascii="Times New Roman" w:hAnsi="Times New Roman" w:eastAsia="宋体" w:cs="Times New Roman"/>
          <w:i w:val="0"/>
          <w:iCs w:val="0"/>
          <w:color w:val="auto"/>
          <w:highlight w:val="none"/>
        </w:rPr>
        <w:t>下载招标文件</w:t>
      </w:r>
      <w:r>
        <w:rPr>
          <w:rFonts w:ascii="Times New Roman" w:hAnsi="Times New Roman" w:eastAsia="宋体" w:cs="Times New Roman"/>
          <w:i w:val="0"/>
          <w:iCs w:val="0"/>
          <w:color w:val="auto"/>
          <w:highlight w:val="none"/>
        </w:rPr>
        <w:t>时，应以联合体协议中确定的主体方名义</w:t>
      </w:r>
      <w:r>
        <w:rPr>
          <w:rFonts w:hint="eastAsia" w:ascii="Times New Roman" w:hAnsi="Times New Roman" w:eastAsia="宋体" w:cs="Times New Roman"/>
          <w:i w:val="0"/>
          <w:iCs w:val="0"/>
          <w:color w:val="auto"/>
          <w:highlight w:val="none"/>
        </w:rPr>
        <w:t>下载</w:t>
      </w:r>
      <w:r>
        <w:rPr>
          <w:rFonts w:ascii="Times New Roman" w:hAnsi="Times New Roman" w:eastAsia="宋体" w:cs="Times New Roman"/>
          <w:i w:val="0"/>
          <w:iCs w:val="0"/>
          <w:color w:val="auto"/>
          <w:highlight w:val="none"/>
        </w:rPr>
        <w:t>。</w:t>
      </w:r>
    </w:p>
    <w:p w14:paraId="17EE1927">
      <w:pPr>
        <w:pStyle w:val="31"/>
        <w:spacing w:line="360" w:lineRule="auto"/>
        <w:ind w:firstLine="480" w:firstLineChars="200"/>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（5）联合体投标的，应以主体方名义提交投标保证金（如有），对联合体各方均具有约束力。</w:t>
      </w:r>
    </w:p>
    <w:p w14:paraId="6B4D66B7">
      <w:pPr>
        <w:pStyle w:val="31"/>
        <w:spacing w:line="360" w:lineRule="auto"/>
        <w:ind w:firstLine="480" w:firstLineChars="200"/>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C162EBB">
      <w:pPr>
        <w:pStyle w:val="31"/>
        <w:spacing w:line="360" w:lineRule="auto"/>
        <w:ind w:firstLine="480" w:firstLineChars="200"/>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（7）联合体中任意一方为中小企业的，该方应提供《中小企业声明函》。</w:t>
      </w:r>
    </w:p>
    <w:p w14:paraId="5888DB83">
      <w:pPr>
        <w:pStyle w:val="31"/>
        <w:spacing w:line="360" w:lineRule="auto"/>
        <w:ind w:firstLine="480" w:firstLineChars="200"/>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（8）联合体各方应当共同与采购人签订采购合同，就采购合同约定的事项对采购人承担连带责任。</w:t>
      </w:r>
    </w:p>
    <w:p w14:paraId="16862CE2">
      <w:pPr>
        <w:pStyle w:val="31"/>
        <w:spacing w:line="360" w:lineRule="auto"/>
        <w:ind w:firstLine="480" w:firstLineChars="200"/>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4.4 关于关联企业</w:t>
      </w:r>
    </w:p>
    <w:p w14:paraId="76F3B758">
      <w:pPr>
        <w:pStyle w:val="31"/>
        <w:spacing w:line="360" w:lineRule="auto"/>
        <w:ind w:firstLine="480" w:firstLineChars="200"/>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除联合体外，法定代表人或单位负责人为同一个人或者存在直接控股、管理关系的不同供应商，不得同时参加同一</w:t>
      </w:r>
      <w:r>
        <w:rPr>
          <w:rFonts w:hint="eastAsia" w:ascii="Times New Roman" w:hAnsi="Times New Roman" w:eastAsia="宋体" w:cs="Times New Roman"/>
          <w:i w:val="0"/>
          <w:iCs w:val="0"/>
          <w:color w:val="auto"/>
          <w:highlight w:val="none"/>
        </w:rPr>
        <w:t>合同</w:t>
      </w:r>
      <w:r>
        <w:rPr>
          <w:rFonts w:ascii="Times New Roman" w:hAnsi="Times New Roman" w:eastAsia="宋体" w:cs="Times New Roman"/>
          <w:i w:val="0"/>
          <w:iCs w:val="0"/>
          <w:color w:val="auto"/>
          <w:highlight w:val="none"/>
        </w:rPr>
        <w:t>项下的投标。如同时参加，则评审时将同时被拒绝。</w:t>
      </w:r>
    </w:p>
    <w:p w14:paraId="7E024D2D">
      <w:pPr>
        <w:pStyle w:val="31"/>
        <w:spacing w:line="360" w:lineRule="auto"/>
        <w:ind w:firstLine="480" w:firstLineChars="200"/>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4.5 关于中小微企业参与投标</w:t>
      </w:r>
    </w:p>
    <w:p w14:paraId="4E402F37">
      <w:pPr>
        <w:pStyle w:val="31"/>
        <w:spacing w:line="360" w:lineRule="auto"/>
        <w:ind w:firstLine="480" w:firstLineChars="200"/>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中小微企业是指符合《政府采购促进中小企业发展管理办法》（财库[2020]46号）规定的供应商。中小微企业参与投标应提供《中小企业声明函》。</w:t>
      </w:r>
    </w:p>
    <w:p w14:paraId="010C3058">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80E403F">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cs="Times New Roman"/>
          <w:i w:val="0"/>
          <w:iCs w:val="0"/>
          <w:color w:val="auto"/>
          <w:szCs w:val="21"/>
          <w:highlight w:val="none"/>
        </w:rPr>
        <w:t>根据《财政部 民政部 中国残疾人联合会关于促进残疾人就业政府采购政策的通知》（财库〔2017〕141号）的规定，残疾人福利性单位视同为小型、微型企业。</w:t>
      </w:r>
    </w:p>
    <w:p w14:paraId="18E5FA69">
      <w:pPr>
        <w:pStyle w:val="31"/>
        <w:spacing w:line="360" w:lineRule="auto"/>
        <w:ind w:firstLine="480" w:firstLineChars="200"/>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4.6 关于分公司投标</w:t>
      </w:r>
    </w:p>
    <w:p w14:paraId="4B786414">
      <w:pPr>
        <w:pStyle w:val="31"/>
        <w:spacing w:line="360" w:lineRule="auto"/>
        <w:ind w:firstLine="480" w:firstLineChars="200"/>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A47E2B2">
      <w:pPr>
        <w:pStyle w:val="31"/>
        <w:spacing w:line="360" w:lineRule="auto"/>
        <w:ind w:firstLine="480" w:firstLineChars="200"/>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4.7 关于提供前期服务的供应商</w:t>
      </w:r>
    </w:p>
    <w:p w14:paraId="40E0E24A">
      <w:pPr>
        <w:pStyle w:val="31"/>
        <w:spacing w:line="360" w:lineRule="auto"/>
        <w:ind w:firstLine="480" w:firstLineChars="200"/>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为采购项目提供整体设计、规范编制或者项目管理、监理、检测等服务的供应商，不得再参加该采购项目的其他采购活动。</w:t>
      </w:r>
    </w:p>
    <w:p w14:paraId="0BBE7267">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5. 合格的服务</w:t>
      </w:r>
    </w:p>
    <w:p w14:paraId="141495E4">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5.1 投标人所提供的服务应当没有侵犯任何第三方的知识产权、技术秘密等合法权利。</w:t>
      </w:r>
    </w:p>
    <w:p w14:paraId="39DC7FFF">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5.2 投标人提供的服务应当符合招标文件的要求，并且其质量完全符合国家标准、行业标准或地方标准。</w:t>
      </w:r>
    </w:p>
    <w:p w14:paraId="46CC1F1D">
      <w:pPr>
        <w:pStyle w:val="31"/>
        <w:spacing w:line="360" w:lineRule="auto"/>
        <w:ind w:firstLine="480" w:firstLineChars="200"/>
        <w:jc w:val="both"/>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5.3 系统软件、通用软件必须是具有在中国境内的合法使用权或版权的正版软件，涉及到第三方提出侵权或知识产权的起诉及支付版税等费用由投标人承担所有责任及费用。</w:t>
      </w:r>
    </w:p>
    <w:p w14:paraId="44484EB7">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6. 投标费用</w:t>
      </w:r>
    </w:p>
    <w:p w14:paraId="2E626B32">
      <w:pPr>
        <w:pStyle w:val="31"/>
        <w:spacing w:line="360" w:lineRule="auto"/>
        <w:ind w:firstLine="480" w:firstLineChars="200"/>
        <w:jc w:val="both"/>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无</w:t>
      </w:r>
      <w:r>
        <w:rPr>
          <w:rFonts w:ascii="Times New Roman" w:hAnsi="Times New Roman" w:eastAsia="宋体" w:cs="Times New Roman"/>
          <w:i w:val="0"/>
          <w:iCs w:val="0"/>
          <w:color w:val="auto"/>
          <w:highlight w:val="none"/>
        </w:rPr>
        <w:t>论投标过程中的做法和结果如何，投标人自行承担所有与参加投标有关的费用。</w:t>
      </w:r>
    </w:p>
    <w:p w14:paraId="653E42A8">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7. 信息发布</w:t>
      </w:r>
    </w:p>
    <w:p w14:paraId="6DDF110A">
      <w:pPr>
        <w:pStyle w:val="31"/>
        <w:spacing w:line="360" w:lineRule="auto"/>
        <w:ind w:firstLine="480" w:firstLineChars="200"/>
        <w:jc w:val="both"/>
        <w:rPr>
          <w:rFonts w:ascii="Times New Roman" w:hAnsi="Times New Roman" w:eastAsia="宋体" w:cs="Times New Roman"/>
          <w:i w:val="0"/>
          <w:iCs w:val="0"/>
          <w:color w:val="auto"/>
          <w:highlight w:val="none"/>
        </w:rPr>
      </w:pPr>
      <w:r>
        <w:rPr>
          <w:rFonts w:ascii="Times New Roman" w:hAnsi="Times New Roman" w:eastAsia="宋体" w:cs="Times New Roman"/>
          <w:i w:val="0"/>
          <w:iCs w:val="0"/>
          <w:color w:val="auto"/>
          <w:highlight w:val="none"/>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8CE5311">
      <w:pPr>
        <w:pStyle w:val="31"/>
        <w:spacing w:line="360" w:lineRule="auto"/>
        <w:ind w:firstLine="480" w:firstLineChars="200"/>
        <w:jc w:val="both"/>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8. 询问与质疑</w:t>
      </w:r>
    </w:p>
    <w:p w14:paraId="1F207232">
      <w:pPr>
        <w:pStyle w:val="31"/>
        <w:spacing w:line="360" w:lineRule="auto"/>
        <w:ind w:firstLine="480" w:firstLineChars="200"/>
        <w:jc w:val="both"/>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ADA048F">
      <w:pPr>
        <w:pStyle w:val="31"/>
        <w:spacing w:line="360" w:lineRule="auto"/>
        <w:ind w:firstLine="480" w:firstLineChars="200"/>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8.2 询问</w:t>
      </w:r>
    </w:p>
    <w:p w14:paraId="458A3E01">
      <w:pPr>
        <w:pStyle w:val="31"/>
        <w:spacing w:line="360" w:lineRule="auto"/>
        <w:ind w:firstLine="480" w:firstLineChars="200"/>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（1）询问可以采取电话、当面或书面等形式。</w:t>
      </w:r>
    </w:p>
    <w:p w14:paraId="5A7722A0">
      <w:pPr>
        <w:pStyle w:val="31"/>
        <w:spacing w:line="360" w:lineRule="auto"/>
        <w:ind w:firstLine="480" w:firstLineChars="200"/>
        <w:rPr>
          <w:rFonts w:ascii="Times New Roman" w:hAnsi="Times New Roman" w:eastAsia="宋体" w:cs="Times New Roman"/>
          <w:i w:val="0"/>
          <w:iCs w:val="0"/>
          <w:color w:val="auto"/>
          <w:highlight w:val="none"/>
        </w:rPr>
      </w:pPr>
      <w:r>
        <w:rPr>
          <w:rFonts w:hint="eastAsia" w:ascii="Times New Roman" w:hAnsi="Times New Roman" w:eastAsia="宋体" w:cs="Times New Roman"/>
          <w:i w:val="0"/>
          <w:iCs w:val="0"/>
          <w:color w:val="auto"/>
          <w:highlight w:val="none"/>
        </w:rPr>
        <w:t>（2）采购人应当自收到供应商询问之日起3个工作日内作出答复，但答复的内容不得涉及商业秘密或者依法应当保密的内容。</w:t>
      </w:r>
    </w:p>
    <w:p w14:paraId="1417A8CE">
      <w:pPr>
        <w:pStyle w:val="3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8.3 质疑</w:t>
      </w:r>
    </w:p>
    <w:p w14:paraId="30C6F166">
      <w:pPr>
        <w:pStyle w:val="3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（1）提出质疑的供应商应当是参与所质疑项目采购活动的供应商。</w:t>
      </w:r>
    </w:p>
    <w:p w14:paraId="60B0F68E">
      <w:pPr>
        <w:pStyle w:val="3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D30DC7C">
      <w:pPr>
        <w:pStyle w:val="3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3451D8D7">
      <w:pPr>
        <w:pStyle w:val="3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0F7CFCB">
      <w:pPr>
        <w:pStyle w:val="3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6EA89C6">
      <w:pPr>
        <w:pStyle w:val="3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8.4 对供应商询问或质疑的答复将导致招标文件变更或者影响招标活动继续进行的，采购人应当自作出询问答复或质疑答复之日起1个工作日内书面告知天津市政府采购中心。天津市政府采购中心将在原招标公告发布媒体上发布更正公告，变更内容以天津市政府采购网发布的更正公告为准。</w:t>
      </w:r>
    </w:p>
    <w:p w14:paraId="632D57E6">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9. 其他</w:t>
      </w:r>
    </w:p>
    <w:p w14:paraId="3E1BE447">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本《投标须知》的条款如与《投标邀请函》、《招标项目需求》就同一内容的表述不一致的，以《投标邀请函》、《招标项目需求》中规定的内容为准。</w:t>
      </w:r>
    </w:p>
    <w:p w14:paraId="0519737F">
      <w:pPr>
        <w:pStyle w:val="31"/>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B  招标文件说明</w:t>
      </w:r>
    </w:p>
    <w:p w14:paraId="5B4436FF">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 招标文件的构成</w:t>
      </w:r>
    </w:p>
    <w:p w14:paraId="7D671605">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10.1招标文件由下述部分组成：</w:t>
      </w:r>
    </w:p>
    <w:p w14:paraId="2372C681">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（1）投标邀请函</w:t>
      </w:r>
    </w:p>
    <w:p w14:paraId="4194EA0B">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（2）招标项目需求</w:t>
      </w:r>
    </w:p>
    <w:p w14:paraId="232BD698">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（3）投标须知</w:t>
      </w:r>
    </w:p>
    <w:p w14:paraId="1683B541">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ascii="Times New Roman" w:hAnsi="Times New Roman" w:cs="Times New Roman"/>
          <w:color w:val="auto"/>
          <w:highlight w:val="none"/>
        </w:rPr>
        <w:t>合同条款</w:t>
      </w:r>
    </w:p>
    <w:p w14:paraId="7C2246F4">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（5）投标文件格式</w:t>
      </w:r>
    </w:p>
    <w:p w14:paraId="161277FF">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w:t>
      </w:r>
      <w:r>
        <w:rPr>
          <w:rFonts w:ascii="Times New Roman" w:hAnsi="Times New Roman" w:cs="Times New Roman"/>
          <w:color w:val="auto"/>
          <w:highlight w:val="none"/>
        </w:rPr>
        <w:t>本项目招标文件的更正公告内容（如有）</w:t>
      </w:r>
    </w:p>
    <w:p w14:paraId="64E67CE9">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10.2 除非有特殊要求，招标文件不单独提供招标项目使用地的自然环境、气候条件、公用设施等情况，投标人被视为熟悉上述与履行合同有关的一切情况。</w:t>
      </w:r>
    </w:p>
    <w:p w14:paraId="21C33381">
      <w:pPr>
        <w:pStyle w:val="3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10.3 加注“★”号条款为实质性条款，不得出现负偏离，发生负偏离即做无效标处理。</w:t>
      </w:r>
    </w:p>
    <w:p w14:paraId="54D5B7E1">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10.4 招标文件中涉及的参照品牌、型号仅起说明作用，并没有任何限制性，投标人在投标中可以选用其他替代品牌或型号，但这些替代要实质上优于或相当于招标要求。</w:t>
      </w:r>
    </w:p>
    <w:p w14:paraId="1433853A">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招标文件的澄清和修改</w:t>
      </w:r>
    </w:p>
    <w:p w14:paraId="5C99C648">
      <w:pPr>
        <w:pStyle w:val="3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11.1 投标截止前，采购人、采购代理机构需要对招标文件进行补充或修改的，采购人、采购代理机构将会通过“天津市政府采购网”、“天津市政府采购中心网”以更正公告形式发布。</w:t>
      </w:r>
    </w:p>
    <w:p w14:paraId="2D919F5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highlight w:val="none"/>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highlight w:val="none"/>
        </w:rPr>
        <w:t>获取招标文件</w:t>
      </w:r>
      <w:r>
        <w:rPr>
          <w:rFonts w:ascii="Times New Roman" w:hAnsi="Times New Roman" w:eastAsia="宋体" w:cs="Times New Roman"/>
          <w:color w:val="auto"/>
          <w:highlight w:val="none"/>
        </w:rPr>
        <w:t>供应商的“查看项目文件”，视同已书面通知所有招标文件的收受人。请参与</w:t>
      </w:r>
      <w:bookmarkEnd w:id="92"/>
      <w:r>
        <w:rPr>
          <w:rFonts w:ascii="Times New Roman" w:hAnsi="Times New Roman" w:eastAsia="宋体" w:cs="Times New Roman"/>
          <w:color w:val="auto"/>
        </w:rPr>
        <w:t>项目的供应商及时关注更正公告，由此导致的风险由投标人自行承担，采购人、采购代理机构不承担任何责任。</w:t>
      </w:r>
    </w:p>
    <w:p w14:paraId="6F488B6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AD492F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45619C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3BFA4B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53BF57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5194FC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6584022">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DB4E0F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470F82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DEEC88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AFAB6D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A2BC24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F57A829">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426140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0DC865C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4E4BC1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0B8DFE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A3F5D5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5C6249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298F6ED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DC8E61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A6FF94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85A280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ABDFD6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80894A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BB6C92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BE3BDC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23BC18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784C7F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E7283D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64BEAF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241455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5CB646E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DE5DE1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B55C8D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0E1FF30">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AC27D7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4C9E71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FF16CA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FB0EA7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06B436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53DD70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8F7EF05">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86A4D8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C2DC33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906C82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E4DDDF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0B68CF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AA6789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426989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5E81D2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DFEA364">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E51CC6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3D8B786">
      <w:pPr>
        <w:pStyle w:val="31"/>
        <w:spacing w:line="360" w:lineRule="auto"/>
        <w:ind w:firstLine="480" w:firstLineChars="200"/>
        <w:jc w:val="both"/>
        <w:rPr>
          <w:rFonts w:ascii="Times New Roman" w:hAnsi="Times New Roman" w:eastAsia="宋体" w:cs="Times New Roman"/>
          <w:color w:val="auto"/>
        </w:rPr>
      </w:pPr>
    </w:p>
    <w:p w14:paraId="0D9DDFAC">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8F97AA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D4C9D7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18C180D">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9EE6DD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BF0F4C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90F625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B36451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BC58AF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DB3507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AC8047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644820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F1882F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w:t>
      </w:r>
      <w:r>
        <w:rPr>
          <w:rFonts w:hint="eastAsia"/>
          <w:kern w:val="0"/>
          <w:sz w:val="24"/>
          <w:szCs w:val="24"/>
          <w:lang w:val="en-US" w:eastAsia="zh-CN"/>
        </w:rPr>
        <w:t>最高限价</w:t>
      </w:r>
      <w:r>
        <w:rPr>
          <w:rFonts w:hint="eastAsia" w:ascii="Times New Roman" w:hAnsi="Times New Roman" w:eastAsia="宋体" w:cs="Times New Roman"/>
          <w:color w:val="auto"/>
        </w:rPr>
        <w:t>，采购人不能支付的情况时，或出现影响采购公正的违法、违规行为时，评标委员会有权宣布废标。</w:t>
      </w:r>
    </w:p>
    <w:p w14:paraId="3E190D2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B0EB9F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3732ED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B8BDEE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638073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69ED5E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AF01B4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BF297A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A3EE65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24667F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40B6D7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（6）投标报价超出最高限价；</w:t>
      </w:r>
    </w:p>
    <w:p w14:paraId="41FBA1B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5D91EB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3C6D73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A7DADE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B22CA0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15830D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6C2FB9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97DD64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001B70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4AC600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E54DE1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B9640E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F86C3D2">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0FEBA3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87B5AA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F3B7C0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BD25D4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05CC6D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8B57D6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8D3596F">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CE910D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768EC0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6EAF8E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3A3927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A1C2F5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5B1EC1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6B88B2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5FB51C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0CF64F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6F0D20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BD75B2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365D444">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4118847">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0ABAA69">
      <w:pPr>
        <w:pStyle w:val="3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97B16E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01DAA2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D52F1EE">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40EB62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BD415B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00BC24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321336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8D3580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00A987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76375A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87C7D2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B80113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5DEC1F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437BE2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9E7DE3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9E7B71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AF7537C">
      <w:pPr>
        <w:widowControl/>
        <w:jc w:val="left"/>
        <w:rPr>
          <w:b/>
          <w:bCs/>
          <w:kern w:val="28"/>
          <w:sz w:val="32"/>
          <w:szCs w:val="32"/>
          <w:lang w:val="zh-CN" w:eastAsia="zh-CN"/>
        </w:rPr>
      </w:pPr>
      <w:r>
        <w:br w:type="page"/>
      </w:r>
    </w:p>
    <w:p w14:paraId="4D039A7E">
      <w:pPr>
        <w:pStyle w:val="16"/>
        <w:rPr>
          <w:rFonts w:ascii="Times New Roman" w:hAnsi="Times New Roman"/>
        </w:rPr>
      </w:pPr>
      <w:r>
        <w:rPr>
          <w:rFonts w:ascii="Times New Roman" w:hAnsi="Times New Roman"/>
        </w:rPr>
        <w:t>第四部分  合同条款</w:t>
      </w:r>
    </w:p>
    <w:p w14:paraId="36586588">
      <w:pPr>
        <w:tabs>
          <w:tab w:val="left" w:pos="412"/>
          <w:tab w:val="left" w:pos="618"/>
        </w:tabs>
        <w:spacing w:line="520" w:lineRule="exact"/>
        <w:jc w:val="center"/>
        <w:rPr>
          <w:b/>
          <w:sz w:val="30"/>
          <w:szCs w:val="30"/>
        </w:rPr>
      </w:pPr>
      <w:r>
        <w:rPr>
          <w:b/>
          <w:sz w:val="30"/>
          <w:szCs w:val="30"/>
        </w:rPr>
        <w:t>合同一般条款</w:t>
      </w:r>
    </w:p>
    <w:p w14:paraId="6E2D9C90">
      <w:pPr>
        <w:tabs>
          <w:tab w:val="left" w:pos="0"/>
          <w:tab w:val="left" w:pos="315"/>
        </w:tabs>
        <w:spacing w:line="520" w:lineRule="exact"/>
        <w:ind w:firstLine="480"/>
        <w:rPr>
          <w:sz w:val="24"/>
          <w:szCs w:val="24"/>
        </w:rPr>
      </w:pPr>
      <w:r>
        <w:rPr>
          <w:sz w:val="24"/>
          <w:szCs w:val="24"/>
        </w:rPr>
        <w:t xml:space="preserve">需方：  </w:t>
      </w:r>
    </w:p>
    <w:p w14:paraId="73A19775">
      <w:pPr>
        <w:tabs>
          <w:tab w:val="left" w:pos="0"/>
          <w:tab w:val="left" w:pos="315"/>
        </w:tabs>
        <w:spacing w:line="520" w:lineRule="exact"/>
        <w:ind w:firstLine="480"/>
        <w:rPr>
          <w:sz w:val="24"/>
          <w:szCs w:val="24"/>
        </w:rPr>
      </w:pPr>
      <w:r>
        <w:rPr>
          <w:sz w:val="24"/>
          <w:szCs w:val="24"/>
        </w:rPr>
        <w:t xml:space="preserve">供方： </w:t>
      </w:r>
    </w:p>
    <w:p w14:paraId="1DC962A0">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2DA1CFE1">
      <w:pPr>
        <w:pStyle w:val="36"/>
        <w:numPr>
          <w:ilvl w:val="0"/>
          <w:numId w:val="3"/>
        </w:numPr>
        <w:spacing w:line="480" w:lineRule="exact"/>
        <w:ind w:firstLineChars="0"/>
        <w:rPr>
          <w:sz w:val="24"/>
          <w:szCs w:val="24"/>
        </w:rPr>
      </w:pPr>
      <w:r>
        <w:rPr>
          <w:rFonts w:hint="eastAsia"/>
          <w:sz w:val="24"/>
          <w:szCs w:val="24"/>
        </w:rPr>
        <w:t>本合同为中小企业预留合同</w:t>
      </w:r>
    </w:p>
    <w:p w14:paraId="3D6619FD">
      <w:pPr>
        <w:pStyle w:val="36"/>
        <w:numPr>
          <w:ilvl w:val="0"/>
          <w:numId w:val="3"/>
        </w:numPr>
        <w:spacing w:line="480" w:lineRule="exact"/>
        <w:ind w:firstLineChars="0"/>
        <w:rPr>
          <w:sz w:val="24"/>
          <w:szCs w:val="24"/>
        </w:rPr>
      </w:pPr>
      <w:r>
        <w:rPr>
          <w:rFonts w:hint="eastAsia"/>
          <w:sz w:val="24"/>
          <w:szCs w:val="24"/>
        </w:rPr>
        <w:t>本合同非中小企业预留合同</w:t>
      </w:r>
    </w:p>
    <w:p w14:paraId="4A7928A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35192071">
      <w:pPr>
        <w:tabs>
          <w:tab w:val="left" w:pos="1133"/>
        </w:tabs>
        <w:spacing w:line="520" w:lineRule="exact"/>
        <w:ind w:firstLine="480" w:firstLineChars="200"/>
        <w:rPr>
          <w:sz w:val="24"/>
          <w:szCs w:val="24"/>
        </w:rPr>
      </w:pPr>
      <w:r>
        <w:rPr>
          <w:sz w:val="24"/>
          <w:szCs w:val="24"/>
        </w:rPr>
        <w:t>一、采购内容：  （详见附件）</w:t>
      </w:r>
    </w:p>
    <w:p w14:paraId="3E1EECD2">
      <w:pPr>
        <w:tabs>
          <w:tab w:val="left" w:pos="1133"/>
        </w:tabs>
        <w:spacing w:line="520" w:lineRule="exact"/>
        <w:ind w:firstLine="480" w:firstLineChars="200"/>
        <w:rPr>
          <w:sz w:val="24"/>
          <w:szCs w:val="24"/>
        </w:rPr>
      </w:pPr>
      <w:r>
        <w:rPr>
          <w:sz w:val="24"/>
          <w:szCs w:val="24"/>
        </w:rPr>
        <w:t xml:space="preserve">    合同总价款：人民币  元</w:t>
      </w:r>
    </w:p>
    <w:p w14:paraId="23B10B85">
      <w:pPr>
        <w:tabs>
          <w:tab w:val="left" w:pos="1133"/>
        </w:tabs>
        <w:spacing w:line="520" w:lineRule="exact"/>
        <w:ind w:firstLine="480" w:firstLineChars="200"/>
        <w:rPr>
          <w:sz w:val="24"/>
          <w:szCs w:val="24"/>
        </w:rPr>
      </w:pPr>
      <w:r>
        <w:rPr>
          <w:sz w:val="24"/>
          <w:szCs w:val="24"/>
        </w:rPr>
        <w:t xml:space="preserve">    大写：人民币  元整</w:t>
      </w:r>
    </w:p>
    <w:p w14:paraId="2B2BC7E6">
      <w:pPr>
        <w:tabs>
          <w:tab w:val="left" w:pos="360"/>
        </w:tabs>
        <w:spacing w:line="520" w:lineRule="exact"/>
        <w:ind w:firstLine="480" w:firstLineChars="200"/>
        <w:rPr>
          <w:sz w:val="24"/>
          <w:szCs w:val="24"/>
        </w:rPr>
      </w:pPr>
      <w:r>
        <w:rPr>
          <w:sz w:val="24"/>
          <w:szCs w:val="24"/>
        </w:rPr>
        <w:t>二、质量要求及对质量负责条件和期限：见附件。</w:t>
      </w:r>
    </w:p>
    <w:p w14:paraId="0762E231">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038FE1CD">
      <w:pPr>
        <w:tabs>
          <w:tab w:val="left" w:pos="360"/>
        </w:tabs>
        <w:spacing w:line="520" w:lineRule="exact"/>
        <w:ind w:firstLine="480" w:firstLineChars="200"/>
        <w:rPr>
          <w:sz w:val="24"/>
          <w:szCs w:val="24"/>
        </w:rPr>
      </w:pPr>
      <w:r>
        <w:rPr>
          <w:sz w:val="24"/>
          <w:szCs w:val="24"/>
        </w:rPr>
        <w:t>四、交货时间、地点、方式：见附件。</w:t>
      </w:r>
    </w:p>
    <w:p w14:paraId="3E1DA011">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14540ED5">
      <w:pPr>
        <w:tabs>
          <w:tab w:val="left" w:pos="360"/>
          <w:tab w:val="left" w:pos="721"/>
        </w:tabs>
        <w:spacing w:line="520" w:lineRule="exact"/>
        <w:rPr>
          <w:sz w:val="24"/>
          <w:szCs w:val="24"/>
        </w:rPr>
      </w:pPr>
      <w:r>
        <w:rPr>
          <w:sz w:val="24"/>
          <w:szCs w:val="24"/>
        </w:rPr>
        <w:t xml:space="preserve">    六、验收工作由需方负责对合同进行验收。</w:t>
      </w:r>
    </w:p>
    <w:p w14:paraId="6047994A">
      <w:pPr>
        <w:tabs>
          <w:tab w:val="left" w:pos="360"/>
        </w:tabs>
        <w:spacing w:line="520" w:lineRule="exact"/>
        <w:rPr>
          <w:sz w:val="24"/>
          <w:szCs w:val="24"/>
        </w:rPr>
      </w:pPr>
      <w:r>
        <w:rPr>
          <w:sz w:val="24"/>
          <w:szCs w:val="24"/>
        </w:rPr>
        <w:t xml:space="preserve">    七、货款支付方式：见附件。</w:t>
      </w:r>
    </w:p>
    <w:p w14:paraId="1071D1E5">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0C820D4F">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4D1831AA">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481D347D">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0B33E13A">
      <w:pPr>
        <w:pStyle w:val="12"/>
        <w:spacing w:line="520" w:lineRule="exact"/>
        <w:ind w:left="-105" w:leftChars="-50" w:firstLine="480" w:firstLineChars="200"/>
        <w:rPr>
          <w:sz w:val="24"/>
          <w:szCs w:val="24"/>
        </w:rPr>
      </w:pPr>
      <w:r>
        <w:rPr>
          <w:sz w:val="24"/>
          <w:szCs w:val="24"/>
        </w:rPr>
        <w:t>九、有关涉及本合同供方向天津市政府采购中心所提交的投标文件及有关澄清资料和服务承诺均视为本合同不可分割的部分，对供方具有约束力。</w:t>
      </w:r>
    </w:p>
    <w:p w14:paraId="4E1A86D7">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549843B1">
        <w:tblPrEx>
          <w:tblCellMar>
            <w:top w:w="0" w:type="dxa"/>
            <w:left w:w="108" w:type="dxa"/>
            <w:bottom w:w="0" w:type="dxa"/>
            <w:right w:w="108" w:type="dxa"/>
          </w:tblCellMar>
        </w:tblPrEx>
        <w:tc>
          <w:tcPr>
            <w:tcW w:w="4261" w:type="dxa"/>
          </w:tcPr>
          <w:p w14:paraId="55CF9AA1">
            <w:pPr>
              <w:tabs>
                <w:tab w:val="left" w:pos="0"/>
                <w:tab w:val="left" w:pos="315"/>
              </w:tabs>
              <w:spacing w:line="520" w:lineRule="exact"/>
              <w:rPr>
                <w:sz w:val="24"/>
                <w:szCs w:val="24"/>
              </w:rPr>
            </w:pPr>
            <w:r>
              <w:rPr>
                <w:sz w:val="24"/>
                <w:szCs w:val="24"/>
              </w:rPr>
              <w:t xml:space="preserve">供方（公章）： </w:t>
            </w:r>
          </w:p>
        </w:tc>
        <w:tc>
          <w:tcPr>
            <w:tcW w:w="4261" w:type="dxa"/>
          </w:tcPr>
          <w:p w14:paraId="7E83986B">
            <w:pPr>
              <w:tabs>
                <w:tab w:val="left" w:pos="0"/>
                <w:tab w:val="left" w:pos="315"/>
              </w:tabs>
              <w:spacing w:line="520" w:lineRule="exact"/>
              <w:rPr>
                <w:sz w:val="24"/>
                <w:szCs w:val="24"/>
              </w:rPr>
            </w:pPr>
            <w:r>
              <w:rPr>
                <w:sz w:val="24"/>
                <w:szCs w:val="24"/>
              </w:rPr>
              <w:t xml:space="preserve">需方（公章）： </w:t>
            </w:r>
          </w:p>
        </w:tc>
      </w:tr>
      <w:tr w14:paraId="056A5F55">
        <w:tblPrEx>
          <w:tblCellMar>
            <w:top w:w="0" w:type="dxa"/>
            <w:left w:w="108" w:type="dxa"/>
            <w:bottom w:w="0" w:type="dxa"/>
            <w:right w:w="108" w:type="dxa"/>
          </w:tblCellMar>
        </w:tblPrEx>
        <w:tc>
          <w:tcPr>
            <w:tcW w:w="4261" w:type="dxa"/>
          </w:tcPr>
          <w:p w14:paraId="512F8325">
            <w:pPr>
              <w:tabs>
                <w:tab w:val="left" w:pos="0"/>
                <w:tab w:val="left" w:pos="315"/>
              </w:tabs>
              <w:spacing w:line="520" w:lineRule="exact"/>
              <w:rPr>
                <w:sz w:val="24"/>
                <w:szCs w:val="24"/>
              </w:rPr>
            </w:pPr>
            <w:r>
              <w:rPr>
                <w:sz w:val="24"/>
                <w:szCs w:val="24"/>
              </w:rPr>
              <w:t xml:space="preserve">地址：  </w:t>
            </w:r>
          </w:p>
        </w:tc>
        <w:tc>
          <w:tcPr>
            <w:tcW w:w="4261" w:type="dxa"/>
          </w:tcPr>
          <w:p w14:paraId="48316279">
            <w:pPr>
              <w:tabs>
                <w:tab w:val="left" w:pos="0"/>
                <w:tab w:val="left" w:pos="315"/>
              </w:tabs>
              <w:spacing w:line="520" w:lineRule="exact"/>
              <w:rPr>
                <w:sz w:val="24"/>
                <w:szCs w:val="24"/>
              </w:rPr>
            </w:pPr>
            <w:r>
              <w:rPr>
                <w:sz w:val="24"/>
                <w:szCs w:val="24"/>
              </w:rPr>
              <w:t xml:space="preserve">地址： </w:t>
            </w:r>
          </w:p>
        </w:tc>
      </w:tr>
      <w:tr w14:paraId="3063F2C0">
        <w:tblPrEx>
          <w:tblCellMar>
            <w:top w:w="0" w:type="dxa"/>
            <w:left w:w="108" w:type="dxa"/>
            <w:bottom w:w="0" w:type="dxa"/>
            <w:right w:w="108" w:type="dxa"/>
          </w:tblCellMar>
        </w:tblPrEx>
        <w:tc>
          <w:tcPr>
            <w:tcW w:w="4261" w:type="dxa"/>
          </w:tcPr>
          <w:p w14:paraId="7277F597">
            <w:pPr>
              <w:tabs>
                <w:tab w:val="left" w:pos="360"/>
              </w:tabs>
              <w:spacing w:line="520" w:lineRule="exact"/>
              <w:rPr>
                <w:sz w:val="24"/>
                <w:szCs w:val="24"/>
              </w:rPr>
            </w:pPr>
            <w:r>
              <w:rPr>
                <w:sz w:val="24"/>
                <w:szCs w:val="24"/>
              </w:rPr>
              <w:t xml:space="preserve">法定代表人： </w:t>
            </w:r>
          </w:p>
        </w:tc>
        <w:tc>
          <w:tcPr>
            <w:tcW w:w="4261" w:type="dxa"/>
          </w:tcPr>
          <w:p w14:paraId="66C56DEC">
            <w:pPr>
              <w:tabs>
                <w:tab w:val="left" w:pos="360"/>
              </w:tabs>
              <w:spacing w:line="520" w:lineRule="exact"/>
              <w:rPr>
                <w:sz w:val="24"/>
                <w:szCs w:val="24"/>
              </w:rPr>
            </w:pPr>
            <w:r>
              <w:rPr>
                <w:sz w:val="24"/>
                <w:szCs w:val="24"/>
              </w:rPr>
              <w:t xml:space="preserve">法定代表人： </w:t>
            </w:r>
          </w:p>
        </w:tc>
      </w:tr>
      <w:tr w14:paraId="6D354FBE">
        <w:tblPrEx>
          <w:tblCellMar>
            <w:top w:w="0" w:type="dxa"/>
            <w:left w:w="108" w:type="dxa"/>
            <w:bottom w:w="0" w:type="dxa"/>
            <w:right w:w="108" w:type="dxa"/>
          </w:tblCellMar>
        </w:tblPrEx>
        <w:tc>
          <w:tcPr>
            <w:tcW w:w="4261" w:type="dxa"/>
          </w:tcPr>
          <w:p w14:paraId="2055E69F">
            <w:pPr>
              <w:tabs>
                <w:tab w:val="left" w:pos="360"/>
              </w:tabs>
              <w:spacing w:line="520" w:lineRule="exact"/>
              <w:rPr>
                <w:sz w:val="24"/>
                <w:szCs w:val="24"/>
              </w:rPr>
            </w:pPr>
            <w:r>
              <w:rPr>
                <w:sz w:val="24"/>
                <w:szCs w:val="24"/>
              </w:rPr>
              <w:t xml:space="preserve">委托代理人： </w:t>
            </w:r>
          </w:p>
        </w:tc>
        <w:tc>
          <w:tcPr>
            <w:tcW w:w="4261" w:type="dxa"/>
          </w:tcPr>
          <w:p w14:paraId="52D7A26C">
            <w:pPr>
              <w:tabs>
                <w:tab w:val="left" w:pos="360"/>
              </w:tabs>
              <w:spacing w:line="520" w:lineRule="exact"/>
              <w:rPr>
                <w:sz w:val="24"/>
                <w:szCs w:val="24"/>
              </w:rPr>
            </w:pPr>
            <w:r>
              <w:rPr>
                <w:sz w:val="24"/>
                <w:szCs w:val="24"/>
              </w:rPr>
              <w:t xml:space="preserve">委托代理人： </w:t>
            </w:r>
          </w:p>
        </w:tc>
      </w:tr>
      <w:tr w14:paraId="732E419F">
        <w:tblPrEx>
          <w:tblCellMar>
            <w:top w:w="0" w:type="dxa"/>
            <w:left w:w="108" w:type="dxa"/>
            <w:bottom w:w="0" w:type="dxa"/>
            <w:right w:w="108" w:type="dxa"/>
          </w:tblCellMar>
        </w:tblPrEx>
        <w:tc>
          <w:tcPr>
            <w:tcW w:w="4261" w:type="dxa"/>
          </w:tcPr>
          <w:p w14:paraId="5E419746">
            <w:pPr>
              <w:tabs>
                <w:tab w:val="left" w:pos="360"/>
              </w:tabs>
              <w:spacing w:line="520" w:lineRule="exact"/>
              <w:rPr>
                <w:sz w:val="24"/>
                <w:szCs w:val="24"/>
              </w:rPr>
            </w:pPr>
            <w:r>
              <w:rPr>
                <w:sz w:val="24"/>
                <w:szCs w:val="24"/>
              </w:rPr>
              <w:t>电话：</w:t>
            </w:r>
          </w:p>
        </w:tc>
        <w:tc>
          <w:tcPr>
            <w:tcW w:w="4261" w:type="dxa"/>
          </w:tcPr>
          <w:p w14:paraId="47E2F5D5">
            <w:pPr>
              <w:tabs>
                <w:tab w:val="left" w:pos="360"/>
              </w:tabs>
              <w:spacing w:line="520" w:lineRule="exact"/>
              <w:rPr>
                <w:sz w:val="24"/>
                <w:szCs w:val="24"/>
              </w:rPr>
            </w:pPr>
            <w:r>
              <w:rPr>
                <w:sz w:val="24"/>
                <w:szCs w:val="24"/>
              </w:rPr>
              <w:t>电话：</w:t>
            </w:r>
          </w:p>
        </w:tc>
      </w:tr>
    </w:tbl>
    <w:p w14:paraId="039A34ED">
      <w:pPr>
        <w:rPr>
          <w:sz w:val="24"/>
          <w:szCs w:val="24"/>
        </w:rPr>
      </w:pPr>
    </w:p>
    <w:p w14:paraId="41EF12DE">
      <w:pPr>
        <w:rPr>
          <w:szCs w:val="24"/>
        </w:rPr>
      </w:pPr>
      <w:r>
        <w:rPr>
          <w:sz w:val="24"/>
          <w:szCs w:val="24"/>
        </w:rPr>
        <w:t>时间：20</w:t>
      </w:r>
      <w:r>
        <w:rPr>
          <w:rFonts w:hint="eastAsia"/>
          <w:sz w:val="24"/>
          <w:szCs w:val="24"/>
        </w:rPr>
        <w:t xml:space="preserve">  </w:t>
      </w:r>
      <w:r>
        <w:rPr>
          <w:sz w:val="24"/>
          <w:szCs w:val="24"/>
        </w:rPr>
        <w:t>年  月  日</w:t>
      </w:r>
    </w:p>
    <w:p w14:paraId="7A9EC9F7">
      <w:pPr>
        <w:jc w:val="center"/>
        <w:rPr>
          <w:b/>
          <w:sz w:val="30"/>
          <w:szCs w:val="30"/>
        </w:rPr>
      </w:pPr>
      <w:r>
        <w:rPr>
          <w:b/>
          <w:sz w:val="30"/>
          <w:szCs w:val="30"/>
        </w:rPr>
        <w:br w:type="page"/>
      </w:r>
      <w:r>
        <w:rPr>
          <w:b/>
          <w:sz w:val="30"/>
          <w:szCs w:val="30"/>
        </w:rPr>
        <w:t>合同特殊条款</w:t>
      </w:r>
    </w:p>
    <w:p w14:paraId="4275AA75">
      <w:pPr>
        <w:tabs>
          <w:tab w:val="left" w:pos="360"/>
        </w:tabs>
        <w:spacing w:line="520" w:lineRule="exact"/>
        <w:ind w:firstLine="410" w:firstLineChars="171"/>
        <w:rPr>
          <w:color w:val="000000"/>
          <w:sz w:val="24"/>
          <w:szCs w:val="24"/>
        </w:rPr>
      </w:pPr>
    </w:p>
    <w:p w14:paraId="0739DB7C">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03DCA2F7">
      <w:pPr>
        <w:tabs>
          <w:tab w:val="left" w:pos="360"/>
        </w:tabs>
        <w:spacing w:line="520" w:lineRule="exact"/>
        <w:ind w:firstLine="410" w:firstLineChars="171"/>
        <w:rPr>
          <w:color w:val="000000"/>
          <w:sz w:val="24"/>
          <w:szCs w:val="24"/>
        </w:rPr>
      </w:pPr>
      <w:r>
        <w:rPr>
          <w:color w:val="000000"/>
          <w:sz w:val="24"/>
          <w:szCs w:val="24"/>
        </w:rPr>
        <w:t xml:space="preserve"> 合同特殊条款由中标单位和货物（或工程、服务）需求方及代理方根据货物项目的具体情况协商拟订。</w:t>
      </w:r>
    </w:p>
    <w:p w14:paraId="39430789">
      <w:pPr>
        <w:autoSpaceDE w:val="0"/>
        <w:autoSpaceDN w:val="0"/>
        <w:adjustRightInd w:val="0"/>
        <w:spacing w:line="360" w:lineRule="auto"/>
        <w:ind w:firstLine="480" w:firstLineChars="200"/>
        <w:rPr>
          <w:sz w:val="24"/>
        </w:rPr>
      </w:pPr>
    </w:p>
    <w:p w14:paraId="7021794D">
      <w:pPr>
        <w:widowControl/>
        <w:jc w:val="left"/>
        <w:rPr>
          <w:sz w:val="24"/>
        </w:rPr>
      </w:pPr>
      <w:r>
        <w:rPr>
          <w:sz w:val="24"/>
        </w:rPr>
        <w:br w:type="page"/>
      </w:r>
    </w:p>
    <w:p w14:paraId="25F328F2">
      <w:pPr>
        <w:pStyle w:val="16"/>
        <w:rPr>
          <w:rFonts w:ascii="Times New Roman" w:hAnsi="Times New Roman"/>
        </w:rPr>
      </w:pPr>
      <w:r>
        <w:rPr>
          <w:rFonts w:ascii="Times New Roman" w:hAnsi="Times New Roman"/>
        </w:rPr>
        <w:t>第五部分  投标文件格式</w:t>
      </w:r>
    </w:p>
    <w:p w14:paraId="06D8D336">
      <w:pPr>
        <w:autoSpaceDN w:val="0"/>
        <w:spacing w:line="360" w:lineRule="auto"/>
        <w:jc w:val="center"/>
        <w:rPr>
          <w:b/>
          <w:bCs/>
          <w:sz w:val="24"/>
        </w:rPr>
      </w:pPr>
      <w:r>
        <w:rPr>
          <w:b/>
          <w:bCs/>
          <w:sz w:val="24"/>
        </w:rPr>
        <w:t>投标文件封面格式</w:t>
      </w:r>
    </w:p>
    <w:p w14:paraId="4BF3B160">
      <w:pPr>
        <w:autoSpaceDE w:val="0"/>
        <w:autoSpaceDN w:val="0"/>
        <w:adjustRightInd w:val="0"/>
        <w:spacing w:line="520" w:lineRule="exact"/>
      </w:pPr>
    </w:p>
    <w:p w14:paraId="4EEF0498">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AFF6362">
      <w:pPr>
        <w:autoSpaceDE w:val="0"/>
        <w:autoSpaceDN w:val="0"/>
        <w:adjustRightInd w:val="0"/>
        <w:spacing w:line="520" w:lineRule="exact"/>
        <w:rPr>
          <w:b/>
          <w:kern w:val="0"/>
          <w:sz w:val="24"/>
        </w:rPr>
      </w:pPr>
    </w:p>
    <w:p w14:paraId="281EA495">
      <w:pPr>
        <w:autoSpaceDE w:val="0"/>
        <w:autoSpaceDN w:val="0"/>
        <w:adjustRightInd w:val="0"/>
        <w:spacing w:line="520" w:lineRule="exact"/>
        <w:rPr>
          <w:b/>
          <w:kern w:val="0"/>
          <w:sz w:val="24"/>
        </w:rPr>
      </w:pPr>
    </w:p>
    <w:p w14:paraId="59D2643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E2F493D">
      <w:pPr>
        <w:autoSpaceDE w:val="0"/>
        <w:autoSpaceDN w:val="0"/>
        <w:adjustRightInd w:val="0"/>
        <w:spacing w:line="520" w:lineRule="exact"/>
        <w:rPr>
          <w:b/>
          <w:kern w:val="0"/>
          <w:sz w:val="36"/>
          <w:szCs w:val="36"/>
        </w:rPr>
      </w:pPr>
    </w:p>
    <w:p w14:paraId="2D185CBE">
      <w:pPr>
        <w:autoSpaceDE w:val="0"/>
        <w:autoSpaceDN w:val="0"/>
        <w:adjustRightInd w:val="0"/>
        <w:spacing w:line="520" w:lineRule="exact"/>
        <w:jc w:val="center"/>
        <w:rPr>
          <w:b/>
          <w:color w:val="FF0000"/>
          <w:kern w:val="0"/>
          <w:sz w:val="24"/>
        </w:rPr>
      </w:pPr>
      <w:r>
        <w:rPr>
          <w:b/>
          <w:color w:val="FF0000"/>
          <w:kern w:val="0"/>
          <w:sz w:val="24"/>
        </w:rPr>
        <w:t>（加盖电子签章）</w:t>
      </w:r>
    </w:p>
    <w:p w14:paraId="52FC7565">
      <w:pPr>
        <w:spacing w:before="93" w:beforeLines="30" w:after="218" w:afterLines="70" w:line="540" w:lineRule="exact"/>
        <w:ind w:left="630" w:leftChars="300"/>
        <w:rPr>
          <w:b/>
          <w:sz w:val="34"/>
          <w:szCs w:val="34"/>
        </w:rPr>
      </w:pPr>
      <w:r>
        <w:rPr>
          <w:b/>
          <w:sz w:val="34"/>
          <w:szCs w:val="34"/>
        </w:rPr>
        <w:t>项目编号：</w:t>
      </w:r>
    </w:p>
    <w:p w14:paraId="1238188A">
      <w:pPr>
        <w:spacing w:before="93" w:beforeLines="30" w:after="218" w:afterLines="70" w:line="540" w:lineRule="exact"/>
        <w:ind w:left="2152" w:leftChars="300" w:hanging="1522" w:hangingChars="446"/>
        <w:rPr>
          <w:b/>
          <w:sz w:val="34"/>
          <w:szCs w:val="34"/>
        </w:rPr>
      </w:pPr>
      <w:r>
        <w:rPr>
          <w:b/>
          <w:sz w:val="34"/>
          <w:szCs w:val="34"/>
        </w:rPr>
        <w:t>项目名称：</w:t>
      </w:r>
    </w:p>
    <w:p w14:paraId="7346AFB4">
      <w:pPr>
        <w:spacing w:before="93" w:beforeLines="30" w:after="218" w:afterLines="70" w:line="540" w:lineRule="exact"/>
        <w:ind w:left="2152" w:leftChars="300" w:hanging="1522" w:hangingChars="446"/>
        <w:rPr>
          <w:b/>
          <w:sz w:val="34"/>
          <w:szCs w:val="34"/>
        </w:rPr>
      </w:pPr>
      <w:r>
        <w:rPr>
          <w:b/>
          <w:sz w:val="34"/>
          <w:szCs w:val="34"/>
        </w:rPr>
        <w:t>所投包号：</w:t>
      </w:r>
    </w:p>
    <w:p w14:paraId="3C0B92B8">
      <w:pPr>
        <w:spacing w:before="93" w:beforeLines="30" w:after="218" w:afterLines="70" w:line="540" w:lineRule="exact"/>
        <w:ind w:left="630" w:leftChars="300"/>
        <w:rPr>
          <w:b/>
          <w:sz w:val="34"/>
          <w:szCs w:val="34"/>
        </w:rPr>
      </w:pPr>
      <w:r>
        <w:rPr>
          <w:b/>
          <w:sz w:val="34"/>
          <w:szCs w:val="34"/>
        </w:rPr>
        <w:t>投标单位名称：</w:t>
      </w:r>
    </w:p>
    <w:p w14:paraId="24E0CA2E">
      <w:pPr>
        <w:spacing w:before="93" w:beforeLines="30" w:after="218" w:afterLines="70" w:line="540" w:lineRule="exact"/>
        <w:ind w:left="630" w:leftChars="300"/>
        <w:rPr>
          <w:b/>
          <w:sz w:val="34"/>
          <w:szCs w:val="34"/>
        </w:rPr>
      </w:pPr>
      <w:r>
        <w:rPr>
          <w:rFonts w:hint="eastAsia"/>
          <w:b/>
          <w:sz w:val="34"/>
          <w:szCs w:val="34"/>
        </w:rPr>
        <w:t>投标代表人姓名：</w:t>
      </w:r>
    </w:p>
    <w:p w14:paraId="045CCA35">
      <w:pPr>
        <w:spacing w:before="93" w:beforeLines="30" w:after="218" w:afterLines="70" w:line="540" w:lineRule="exact"/>
        <w:ind w:left="630" w:leftChars="300"/>
        <w:rPr>
          <w:b/>
          <w:sz w:val="34"/>
          <w:szCs w:val="34"/>
        </w:rPr>
      </w:pPr>
    </w:p>
    <w:p w14:paraId="068389F7">
      <w:pPr>
        <w:spacing w:before="93" w:beforeLines="30" w:after="218" w:afterLines="70" w:line="540" w:lineRule="exact"/>
        <w:ind w:left="630" w:leftChars="300"/>
        <w:rPr>
          <w:b/>
          <w:sz w:val="34"/>
          <w:szCs w:val="34"/>
        </w:rPr>
      </w:pPr>
    </w:p>
    <w:p w14:paraId="761220D9">
      <w:pPr>
        <w:spacing w:before="93" w:beforeLines="30" w:after="218" w:afterLines="70" w:line="540" w:lineRule="exact"/>
        <w:ind w:left="630" w:leftChars="300"/>
        <w:rPr>
          <w:b/>
          <w:sz w:val="34"/>
          <w:szCs w:val="34"/>
        </w:rPr>
      </w:pPr>
    </w:p>
    <w:p w14:paraId="2913869C">
      <w:pPr>
        <w:spacing w:before="93" w:beforeLines="30" w:after="218" w:afterLines="70" w:line="540" w:lineRule="exact"/>
        <w:ind w:left="630" w:leftChars="300"/>
        <w:rPr>
          <w:b/>
          <w:bCs/>
          <w:sz w:val="24"/>
        </w:rPr>
      </w:pPr>
      <w:r>
        <w:rPr>
          <w:b/>
          <w:sz w:val="34"/>
          <w:szCs w:val="34"/>
        </w:rPr>
        <w:t>投标日期：   年   月   日</w:t>
      </w:r>
    </w:p>
    <w:p w14:paraId="6BFB9D1A">
      <w:pPr>
        <w:widowControl/>
        <w:jc w:val="left"/>
        <w:rPr>
          <w:b/>
          <w:bCs/>
          <w:sz w:val="24"/>
        </w:rPr>
      </w:pPr>
      <w:r>
        <w:rPr>
          <w:b/>
          <w:bCs/>
          <w:sz w:val="24"/>
        </w:rPr>
        <w:br w:type="page"/>
      </w:r>
    </w:p>
    <w:p w14:paraId="45CB7963">
      <w:pPr>
        <w:autoSpaceDN w:val="0"/>
        <w:spacing w:line="360" w:lineRule="auto"/>
        <w:jc w:val="center"/>
        <w:rPr>
          <w:b/>
          <w:bCs/>
          <w:sz w:val="24"/>
        </w:rPr>
      </w:pPr>
      <w:r>
        <w:rPr>
          <w:b/>
          <w:bCs/>
          <w:sz w:val="24"/>
        </w:rPr>
        <w:t>投标文件总目录</w:t>
      </w:r>
    </w:p>
    <w:p w14:paraId="64E3A1E8">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4316CEC">
      <w:pPr>
        <w:widowControl/>
        <w:jc w:val="center"/>
        <w:rPr>
          <w:b/>
          <w:sz w:val="24"/>
        </w:rPr>
      </w:pPr>
    </w:p>
    <w:p w14:paraId="05819792">
      <w:pPr>
        <w:widowControl/>
        <w:jc w:val="left"/>
        <w:rPr>
          <w:b/>
          <w:sz w:val="24"/>
        </w:rPr>
      </w:pPr>
      <w:r>
        <w:rPr>
          <w:b/>
          <w:sz w:val="24"/>
        </w:rPr>
        <w:br w:type="page"/>
      </w:r>
    </w:p>
    <w:p w14:paraId="466AF117">
      <w:pPr>
        <w:widowControl/>
        <w:jc w:val="center"/>
        <w:rPr>
          <w:b/>
          <w:sz w:val="24"/>
        </w:rPr>
      </w:pPr>
      <w:r>
        <w:rPr>
          <w:b/>
          <w:sz w:val="24"/>
        </w:rPr>
        <w:t>评分因素及评标标准页码检索</w:t>
      </w:r>
    </w:p>
    <w:p w14:paraId="46F9F35A">
      <w:pPr>
        <w:widowControl/>
        <w:jc w:val="center"/>
        <w:rPr>
          <w:b/>
          <w:sz w:val="24"/>
        </w:rPr>
      </w:pPr>
      <w:r>
        <w:rPr>
          <w:b/>
          <w:bCs/>
          <w:sz w:val="24"/>
        </w:rPr>
        <w:t>（需投标人按招标文件“评分因素及评标标准”中每个评分项逐项列明页码）</w:t>
      </w:r>
    </w:p>
    <w:p w14:paraId="1DC11C26">
      <w:pPr>
        <w:widowControl/>
        <w:jc w:val="left"/>
        <w:rPr>
          <w:sz w:val="24"/>
        </w:rPr>
      </w:pPr>
      <w:r>
        <w:rPr>
          <w:sz w:val="24"/>
        </w:rPr>
        <w:br w:type="page"/>
      </w:r>
    </w:p>
    <w:p w14:paraId="0BCE627C">
      <w:pPr>
        <w:tabs>
          <w:tab w:val="left" w:pos="360"/>
        </w:tabs>
        <w:spacing w:after="312" w:afterLines="100" w:line="360" w:lineRule="auto"/>
        <w:rPr>
          <w:b/>
          <w:sz w:val="24"/>
        </w:rPr>
      </w:pPr>
      <w:r>
        <w:rPr>
          <w:b/>
          <w:sz w:val="24"/>
        </w:rPr>
        <w:t>附件1</w:t>
      </w:r>
    </w:p>
    <w:p w14:paraId="7747B5BA">
      <w:pPr>
        <w:autoSpaceDN w:val="0"/>
        <w:spacing w:line="360" w:lineRule="auto"/>
        <w:jc w:val="center"/>
        <w:rPr>
          <w:b/>
          <w:bCs/>
          <w:sz w:val="24"/>
        </w:rPr>
      </w:pPr>
      <w:r>
        <w:rPr>
          <w:b/>
          <w:bCs/>
          <w:sz w:val="24"/>
        </w:rPr>
        <w:t>投标书</w:t>
      </w:r>
    </w:p>
    <w:p w14:paraId="4EAC636C">
      <w:pPr>
        <w:spacing w:line="360" w:lineRule="auto"/>
        <w:rPr>
          <w:sz w:val="24"/>
        </w:rPr>
      </w:pPr>
      <w:r>
        <w:rPr>
          <w:sz w:val="24"/>
        </w:rPr>
        <w:t>致：天津市政府采购中心</w:t>
      </w:r>
    </w:p>
    <w:p w14:paraId="2E42902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266445F">
      <w:pPr>
        <w:spacing w:line="360" w:lineRule="auto"/>
        <w:ind w:firstLine="480" w:firstLineChars="200"/>
        <w:rPr>
          <w:sz w:val="24"/>
        </w:rPr>
      </w:pPr>
      <w:r>
        <w:rPr>
          <w:sz w:val="24"/>
        </w:rPr>
        <w:t>据此函，签字代表宣布同意如下：</w:t>
      </w:r>
    </w:p>
    <w:p w14:paraId="1DAAF17D">
      <w:pPr>
        <w:spacing w:line="360" w:lineRule="auto"/>
        <w:ind w:firstLine="480" w:firstLineChars="200"/>
        <w:rPr>
          <w:sz w:val="24"/>
        </w:rPr>
      </w:pPr>
      <w:r>
        <w:rPr>
          <w:sz w:val="24"/>
        </w:rPr>
        <w:t>1. 所附投标报价表中规定的应提供和交付的服务投标总价为：</w:t>
      </w:r>
    </w:p>
    <w:p w14:paraId="65B9EFF4">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6A47B94F">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450FCC4">
      <w:pPr>
        <w:spacing w:line="360" w:lineRule="auto"/>
        <w:ind w:firstLine="480" w:firstLineChars="200"/>
        <w:rPr>
          <w:sz w:val="24"/>
        </w:rPr>
      </w:pPr>
      <w:r>
        <w:rPr>
          <w:sz w:val="24"/>
        </w:rPr>
        <w:t>……</w:t>
      </w:r>
    </w:p>
    <w:p w14:paraId="08882C7E">
      <w:pPr>
        <w:spacing w:line="360" w:lineRule="auto"/>
        <w:ind w:firstLine="480" w:firstLineChars="200"/>
        <w:rPr>
          <w:sz w:val="24"/>
        </w:rPr>
      </w:pPr>
      <w:r>
        <w:rPr>
          <w:sz w:val="24"/>
        </w:rPr>
        <w:t>2. 我公司将按招标文件的规定履行合同责任和义务。</w:t>
      </w:r>
    </w:p>
    <w:p w14:paraId="0050C9E0">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39A7A91">
      <w:pPr>
        <w:spacing w:line="360" w:lineRule="auto"/>
        <w:ind w:firstLine="480" w:firstLineChars="200"/>
        <w:rPr>
          <w:sz w:val="24"/>
        </w:rPr>
      </w:pPr>
      <w:r>
        <w:rPr>
          <w:sz w:val="24"/>
        </w:rPr>
        <w:t>4. 我公司的投标有效期为开标之日起60天。</w:t>
      </w:r>
    </w:p>
    <w:p w14:paraId="6486F75C">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C1BFFBB">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915EA4A">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09614F6">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7F5ED63">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9D6C1D4">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02A50E19">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4911363">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E27B901">
      <w:pPr>
        <w:spacing w:line="360" w:lineRule="auto"/>
        <w:ind w:firstLine="480" w:firstLineChars="200"/>
        <w:rPr>
          <w:sz w:val="24"/>
        </w:rPr>
      </w:pPr>
      <w:r>
        <w:rPr>
          <w:rFonts w:hint="eastAsia"/>
          <w:sz w:val="24"/>
        </w:rPr>
        <w:t>纳税人识别号：</w:t>
      </w:r>
    </w:p>
    <w:p w14:paraId="4AD386FD">
      <w:pPr>
        <w:spacing w:line="360" w:lineRule="auto"/>
        <w:ind w:firstLine="480" w:firstLineChars="200"/>
        <w:rPr>
          <w:sz w:val="24"/>
        </w:rPr>
      </w:pPr>
      <w:r>
        <w:rPr>
          <w:rFonts w:hint="eastAsia"/>
          <w:sz w:val="24"/>
        </w:rPr>
        <w:t>地址、电话：</w:t>
      </w:r>
    </w:p>
    <w:p w14:paraId="2D34F944">
      <w:pPr>
        <w:spacing w:line="360" w:lineRule="auto"/>
        <w:ind w:firstLine="480" w:firstLineChars="200"/>
        <w:rPr>
          <w:sz w:val="24"/>
        </w:rPr>
      </w:pPr>
      <w:r>
        <w:rPr>
          <w:rFonts w:hint="eastAsia"/>
          <w:sz w:val="24"/>
        </w:rPr>
        <w:t>开户行及账号：</w:t>
      </w:r>
    </w:p>
    <w:p w14:paraId="31EEA93D">
      <w:pPr>
        <w:spacing w:line="360" w:lineRule="auto"/>
        <w:ind w:firstLine="480" w:firstLineChars="200"/>
        <w:rPr>
          <w:sz w:val="24"/>
        </w:rPr>
      </w:pPr>
      <w:r>
        <w:rPr>
          <w:rFonts w:hint="eastAsia"/>
          <w:sz w:val="24"/>
        </w:rPr>
        <w:t>开具发票类型：□增值税专用发票         □增值税普通发票</w:t>
      </w:r>
    </w:p>
    <w:p w14:paraId="17D6EEE2">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5FF3135">
      <w:pPr>
        <w:spacing w:line="360" w:lineRule="auto"/>
        <w:ind w:firstLine="482" w:firstLineChars="200"/>
        <w:rPr>
          <w:b/>
          <w:sz w:val="24"/>
        </w:rPr>
      </w:pPr>
      <w:r>
        <w:rPr>
          <w:rFonts w:hint="eastAsia"/>
          <w:b/>
          <w:sz w:val="24"/>
        </w:rPr>
        <w:t>□</w:t>
      </w:r>
      <w:r>
        <w:rPr>
          <w:b/>
          <w:sz w:val="24"/>
        </w:rPr>
        <w:t>上门自取</w:t>
      </w:r>
    </w:p>
    <w:p w14:paraId="382A6008">
      <w:pPr>
        <w:spacing w:line="360" w:lineRule="auto"/>
        <w:ind w:firstLine="480" w:firstLineChars="200"/>
        <w:rPr>
          <w:sz w:val="24"/>
        </w:rPr>
      </w:pPr>
    </w:p>
    <w:p w14:paraId="4B428FF1">
      <w:pPr>
        <w:spacing w:line="360" w:lineRule="auto"/>
        <w:ind w:firstLine="482" w:firstLineChars="200"/>
        <w:rPr>
          <w:b/>
          <w:sz w:val="24"/>
        </w:rPr>
      </w:pPr>
      <w:r>
        <w:rPr>
          <w:rFonts w:hint="eastAsia"/>
          <w:b/>
          <w:sz w:val="24"/>
        </w:rPr>
        <w:t>□</w:t>
      </w:r>
      <w:r>
        <w:rPr>
          <w:b/>
          <w:sz w:val="24"/>
        </w:rPr>
        <w:t>到付邮寄</w:t>
      </w:r>
    </w:p>
    <w:p w14:paraId="2D962B2E">
      <w:pPr>
        <w:spacing w:line="360" w:lineRule="auto"/>
        <w:ind w:firstLine="480" w:firstLineChars="200"/>
        <w:rPr>
          <w:sz w:val="24"/>
        </w:rPr>
      </w:pPr>
      <w:r>
        <w:rPr>
          <w:sz w:val="24"/>
        </w:rPr>
        <w:t>邮寄地址</w:t>
      </w:r>
      <w:r>
        <w:rPr>
          <w:rFonts w:hint="eastAsia"/>
          <w:sz w:val="24"/>
        </w:rPr>
        <w:t>、邮编</w:t>
      </w:r>
      <w:r>
        <w:rPr>
          <w:sz w:val="24"/>
        </w:rPr>
        <w:t>：</w:t>
      </w:r>
    </w:p>
    <w:p w14:paraId="49848FB9">
      <w:pPr>
        <w:spacing w:line="360" w:lineRule="auto"/>
        <w:ind w:firstLine="480" w:firstLineChars="200"/>
        <w:rPr>
          <w:sz w:val="24"/>
        </w:rPr>
      </w:pPr>
      <w:r>
        <w:rPr>
          <w:sz w:val="24"/>
        </w:rPr>
        <w:t>邮寄联系人、手机号码：</w:t>
      </w:r>
    </w:p>
    <w:p w14:paraId="48C62CEB">
      <w:pPr>
        <w:spacing w:line="360" w:lineRule="auto"/>
        <w:ind w:firstLine="4080" w:firstLineChars="1700"/>
        <w:rPr>
          <w:sz w:val="24"/>
        </w:rPr>
      </w:pPr>
    </w:p>
    <w:p w14:paraId="3559B78C">
      <w:pPr>
        <w:spacing w:line="360" w:lineRule="auto"/>
        <w:ind w:firstLine="4080" w:firstLineChars="1700"/>
        <w:rPr>
          <w:sz w:val="24"/>
        </w:rPr>
      </w:pPr>
    </w:p>
    <w:p w14:paraId="00975ED3">
      <w:pPr>
        <w:spacing w:line="360" w:lineRule="auto"/>
        <w:ind w:firstLine="4080" w:firstLineChars="1700"/>
        <w:rPr>
          <w:sz w:val="24"/>
        </w:rPr>
      </w:pPr>
      <w:r>
        <w:rPr>
          <w:sz w:val="24"/>
        </w:rPr>
        <w:t>投标人名称：</w:t>
      </w:r>
    </w:p>
    <w:p w14:paraId="690B882F">
      <w:pPr>
        <w:spacing w:line="360" w:lineRule="auto"/>
        <w:ind w:firstLine="4080" w:firstLineChars="1700"/>
        <w:rPr>
          <w:sz w:val="24"/>
        </w:rPr>
      </w:pPr>
    </w:p>
    <w:p w14:paraId="72F4EFF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3ADE7">
      <w:pPr>
        <w:widowControl/>
        <w:jc w:val="left"/>
        <w:rPr>
          <w:sz w:val="24"/>
        </w:rPr>
      </w:pPr>
      <w:r>
        <w:rPr>
          <w:sz w:val="24"/>
        </w:rPr>
        <w:br w:type="page"/>
      </w:r>
    </w:p>
    <w:p w14:paraId="74AFFF2A">
      <w:pPr>
        <w:widowControl/>
        <w:jc w:val="left"/>
        <w:rPr>
          <w:b/>
          <w:sz w:val="24"/>
        </w:rPr>
      </w:pPr>
      <w:r>
        <w:rPr>
          <w:b/>
          <w:sz w:val="24"/>
        </w:rPr>
        <w:t>附件2</w:t>
      </w:r>
    </w:p>
    <w:p w14:paraId="7A71AF13">
      <w:pPr>
        <w:ind w:right="84"/>
        <w:jc w:val="center"/>
        <w:rPr>
          <w:b/>
          <w:sz w:val="24"/>
        </w:rPr>
      </w:pPr>
    </w:p>
    <w:p w14:paraId="1C31782D">
      <w:pPr>
        <w:ind w:right="84"/>
        <w:jc w:val="center"/>
        <w:rPr>
          <w:b/>
          <w:sz w:val="24"/>
        </w:rPr>
      </w:pPr>
      <w:r>
        <w:rPr>
          <w:rFonts w:hint="eastAsia"/>
          <w:b/>
          <w:sz w:val="24"/>
        </w:rPr>
        <w:t>供应商资格声明函</w:t>
      </w:r>
    </w:p>
    <w:p w14:paraId="53F11853">
      <w:pPr>
        <w:spacing w:line="360" w:lineRule="auto"/>
        <w:ind w:firstLine="420"/>
        <w:jc w:val="center"/>
        <w:rPr>
          <w:b/>
          <w:sz w:val="24"/>
        </w:rPr>
      </w:pPr>
    </w:p>
    <w:p w14:paraId="257294AB">
      <w:pPr>
        <w:spacing w:line="360" w:lineRule="auto"/>
        <w:rPr>
          <w:sz w:val="24"/>
        </w:rPr>
      </w:pPr>
      <w:r>
        <w:rPr>
          <w:rFonts w:hint="eastAsia"/>
          <w:sz w:val="24"/>
        </w:rPr>
        <w:t>天津市政府采购中心：</w:t>
      </w:r>
    </w:p>
    <w:p w14:paraId="4EF74CD2">
      <w:pPr>
        <w:spacing w:line="360" w:lineRule="auto"/>
        <w:ind w:firstLine="480" w:firstLineChars="200"/>
        <w:rPr>
          <w:sz w:val="24"/>
        </w:rPr>
      </w:pPr>
      <w:r>
        <w:rPr>
          <w:rFonts w:hint="eastAsia"/>
          <w:sz w:val="24"/>
        </w:rPr>
        <w:t>我单位自愿参与本项目的政府采购活动，郑重承诺如下：</w:t>
      </w:r>
    </w:p>
    <w:p w14:paraId="22E8FAAE">
      <w:pPr>
        <w:spacing w:line="360" w:lineRule="auto"/>
        <w:ind w:firstLine="480" w:firstLineChars="200"/>
        <w:rPr>
          <w:sz w:val="24"/>
        </w:rPr>
      </w:pPr>
      <w:r>
        <w:rPr>
          <w:rFonts w:hint="eastAsia"/>
          <w:sz w:val="24"/>
        </w:rPr>
        <w:t>（一）我单位具有良好的商业信誉和健全的财务会计制度；</w:t>
      </w:r>
    </w:p>
    <w:p w14:paraId="099D2767">
      <w:pPr>
        <w:spacing w:line="360" w:lineRule="auto"/>
        <w:ind w:firstLine="480" w:firstLineChars="200"/>
        <w:rPr>
          <w:sz w:val="24"/>
        </w:rPr>
      </w:pPr>
      <w:r>
        <w:rPr>
          <w:rFonts w:hint="eastAsia"/>
          <w:sz w:val="24"/>
        </w:rPr>
        <w:t>（二）我单位依法缴纳税收和社会保障资金；</w:t>
      </w:r>
    </w:p>
    <w:p w14:paraId="108F29B0">
      <w:pPr>
        <w:spacing w:line="360" w:lineRule="auto"/>
        <w:ind w:firstLine="480" w:firstLineChars="200"/>
        <w:rPr>
          <w:sz w:val="24"/>
        </w:rPr>
      </w:pPr>
      <w:r>
        <w:rPr>
          <w:rFonts w:hint="eastAsia"/>
          <w:sz w:val="24"/>
        </w:rPr>
        <w:t>（三）我单位具备履行合同所必需的设备和专业技术能力；</w:t>
      </w:r>
    </w:p>
    <w:p w14:paraId="1041F178">
      <w:pPr>
        <w:spacing w:line="360" w:lineRule="auto"/>
        <w:ind w:firstLine="480" w:firstLineChars="200"/>
        <w:rPr>
          <w:sz w:val="24"/>
        </w:rPr>
      </w:pPr>
      <w:r>
        <w:rPr>
          <w:rFonts w:hint="eastAsia"/>
          <w:sz w:val="24"/>
        </w:rPr>
        <w:t>（四）参加政府采购活动前3年我单位在经营活动中没有重大违法记录；</w:t>
      </w:r>
    </w:p>
    <w:p w14:paraId="08F863FF">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137EF8FB">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0F51D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15791DF">
            <w:pPr>
              <w:jc w:val="center"/>
              <w:rPr>
                <w:szCs w:val="21"/>
              </w:rPr>
            </w:pPr>
            <w:r>
              <w:rPr>
                <w:rFonts w:hint="eastAsia"/>
                <w:szCs w:val="21"/>
              </w:rPr>
              <w:t>序号</w:t>
            </w:r>
          </w:p>
        </w:tc>
        <w:tc>
          <w:tcPr>
            <w:tcW w:w="2273" w:type="pct"/>
            <w:vAlign w:val="center"/>
          </w:tcPr>
          <w:p w14:paraId="6F290EB5">
            <w:pPr>
              <w:jc w:val="center"/>
              <w:rPr>
                <w:szCs w:val="21"/>
              </w:rPr>
            </w:pPr>
            <w:r>
              <w:rPr>
                <w:rFonts w:hint="eastAsia"/>
                <w:szCs w:val="21"/>
              </w:rPr>
              <w:t>单位名称</w:t>
            </w:r>
          </w:p>
        </w:tc>
        <w:tc>
          <w:tcPr>
            <w:tcW w:w="1667" w:type="pct"/>
            <w:vAlign w:val="center"/>
          </w:tcPr>
          <w:p w14:paraId="7F687E72">
            <w:pPr>
              <w:jc w:val="center"/>
              <w:rPr>
                <w:szCs w:val="21"/>
              </w:rPr>
            </w:pPr>
            <w:r>
              <w:rPr>
                <w:rFonts w:hint="eastAsia"/>
                <w:szCs w:val="21"/>
              </w:rPr>
              <w:t>相互关系类型</w:t>
            </w:r>
          </w:p>
        </w:tc>
      </w:tr>
      <w:tr w14:paraId="33E6A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45193C3">
            <w:pPr>
              <w:jc w:val="center"/>
              <w:rPr>
                <w:szCs w:val="21"/>
              </w:rPr>
            </w:pPr>
            <w:r>
              <w:rPr>
                <w:rFonts w:hint="eastAsia"/>
                <w:szCs w:val="21"/>
              </w:rPr>
              <w:t>1</w:t>
            </w:r>
          </w:p>
        </w:tc>
        <w:tc>
          <w:tcPr>
            <w:tcW w:w="2273" w:type="pct"/>
            <w:vAlign w:val="center"/>
          </w:tcPr>
          <w:p w14:paraId="1A0AE807">
            <w:pPr>
              <w:jc w:val="center"/>
              <w:rPr>
                <w:szCs w:val="21"/>
              </w:rPr>
            </w:pPr>
          </w:p>
        </w:tc>
        <w:tc>
          <w:tcPr>
            <w:tcW w:w="1667" w:type="pct"/>
            <w:vAlign w:val="center"/>
          </w:tcPr>
          <w:p w14:paraId="1E45B682">
            <w:pPr>
              <w:jc w:val="center"/>
              <w:rPr>
                <w:szCs w:val="21"/>
              </w:rPr>
            </w:pPr>
          </w:p>
        </w:tc>
      </w:tr>
      <w:tr w14:paraId="0ED08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847AC87">
            <w:pPr>
              <w:jc w:val="center"/>
              <w:rPr>
                <w:szCs w:val="21"/>
              </w:rPr>
            </w:pPr>
            <w:r>
              <w:rPr>
                <w:rFonts w:hint="eastAsia"/>
                <w:szCs w:val="21"/>
              </w:rPr>
              <w:t>2</w:t>
            </w:r>
          </w:p>
        </w:tc>
        <w:tc>
          <w:tcPr>
            <w:tcW w:w="2273" w:type="pct"/>
            <w:vAlign w:val="center"/>
          </w:tcPr>
          <w:p w14:paraId="44A90159">
            <w:pPr>
              <w:jc w:val="center"/>
              <w:rPr>
                <w:szCs w:val="21"/>
              </w:rPr>
            </w:pPr>
          </w:p>
        </w:tc>
        <w:tc>
          <w:tcPr>
            <w:tcW w:w="1667" w:type="pct"/>
            <w:vAlign w:val="center"/>
          </w:tcPr>
          <w:p w14:paraId="58884382">
            <w:pPr>
              <w:jc w:val="center"/>
              <w:rPr>
                <w:szCs w:val="21"/>
              </w:rPr>
            </w:pPr>
          </w:p>
        </w:tc>
      </w:tr>
      <w:tr w14:paraId="4FB46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54E0572">
            <w:pPr>
              <w:jc w:val="center"/>
              <w:rPr>
                <w:szCs w:val="21"/>
              </w:rPr>
            </w:pPr>
            <w:r>
              <w:rPr>
                <w:rFonts w:hint="eastAsia"/>
                <w:szCs w:val="21"/>
              </w:rPr>
              <w:t>3</w:t>
            </w:r>
          </w:p>
        </w:tc>
        <w:tc>
          <w:tcPr>
            <w:tcW w:w="2273" w:type="pct"/>
            <w:vAlign w:val="center"/>
          </w:tcPr>
          <w:p w14:paraId="69F04718">
            <w:pPr>
              <w:jc w:val="center"/>
              <w:rPr>
                <w:szCs w:val="21"/>
              </w:rPr>
            </w:pPr>
          </w:p>
        </w:tc>
        <w:tc>
          <w:tcPr>
            <w:tcW w:w="1667" w:type="pct"/>
            <w:vAlign w:val="center"/>
          </w:tcPr>
          <w:p w14:paraId="127FC153">
            <w:pPr>
              <w:jc w:val="center"/>
              <w:rPr>
                <w:szCs w:val="21"/>
              </w:rPr>
            </w:pPr>
          </w:p>
        </w:tc>
      </w:tr>
    </w:tbl>
    <w:p w14:paraId="3B133A52">
      <w:pPr>
        <w:spacing w:line="360" w:lineRule="auto"/>
        <w:ind w:firstLine="480" w:firstLineChars="200"/>
        <w:rPr>
          <w:sz w:val="24"/>
        </w:rPr>
      </w:pPr>
      <w:r>
        <w:rPr>
          <w:rFonts w:hint="eastAsia"/>
          <w:sz w:val="24"/>
        </w:rPr>
        <w:t>上表未填写的，视为不存在第（六）条所列情形</w:t>
      </w:r>
    </w:p>
    <w:p w14:paraId="7D8CD118">
      <w:pPr>
        <w:spacing w:line="360" w:lineRule="auto"/>
        <w:ind w:firstLine="480" w:firstLineChars="200"/>
        <w:rPr>
          <w:sz w:val="24"/>
        </w:rPr>
      </w:pPr>
    </w:p>
    <w:p w14:paraId="2A2BFE28">
      <w:pPr>
        <w:spacing w:line="360" w:lineRule="auto"/>
        <w:ind w:firstLine="480" w:firstLineChars="200"/>
        <w:rPr>
          <w:sz w:val="24"/>
        </w:rPr>
      </w:pPr>
      <w:r>
        <w:rPr>
          <w:rFonts w:hint="eastAsia"/>
          <w:sz w:val="24"/>
        </w:rPr>
        <w:t>上述声明真实有效，否则我单位承担全部责任和不利后果。</w:t>
      </w:r>
    </w:p>
    <w:p w14:paraId="4C3B0E9D">
      <w:pPr>
        <w:spacing w:line="360" w:lineRule="auto"/>
        <w:ind w:firstLine="480" w:firstLineChars="200"/>
        <w:rPr>
          <w:sz w:val="24"/>
        </w:rPr>
      </w:pPr>
    </w:p>
    <w:p w14:paraId="078CC1DA">
      <w:pPr>
        <w:spacing w:line="360" w:lineRule="auto"/>
        <w:ind w:firstLine="240" w:firstLineChars="100"/>
        <w:rPr>
          <w:sz w:val="24"/>
        </w:rPr>
      </w:pPr>
      <w:r>
        <w:rPr>
          <w:sz w:val="24"/>
        </w:rPr>
        <w:t>投标人名称：</w:t>
      </w:r>
    </w:p>
    <w:p w14:paraId="5CEB949A">
      <w:pPr>
        <w:spacing w:line="360" w:lineRule="auto"/>
        <w:ind w:firstLine="240" w:firstLineChars="100"/>
        <w:rPr>
          <w:sz w:val="24"/>
        </w:rPr>
      </w:pPr>
    </w:p>
    <w:p w14:paraId="3AC1C919">
      <w:pPr>
        <w:spacing w:line="360" w:lineRule="auto"/>
        <w:ind w:firstLine="240" w:firstLineChars="100"/>
        <w:rPr>
          <w:sz w:val="24"/>
        </w:rPr>
      </w:pPr>
      <w:r>
        <w:rPr>
          <w:sz w:val="24"/>
        </w:rPr>
        <w:t xml:space="preserve">日期：  </w:t>
      </w:r>
    </w:p>
    <w:p w14:paraId="6E9557CE">
      <w:pPr>
        <w:autoSpaceDN w:val="0"/>
        <w:spacing w:line="360" w:lineRule="auto"/>
        <w:jc w:val="center"/>
        <w:rPr>
          <w:b/>
          <w:bCs/>
          <w:sz w:val="24"/>
        </w:rPr>
      </w:pPr>
    </w:p>
    <w:p w14:paraId="504DAB9F">
      <w:pPr>
        <w:autoSpaceDN w:val="0"/>
        <w:spacing w:line="360" w:lineRule="auto"/>
        <w:jc w:val="center"/>
        <w:rPr>
          <w:b/>
          <w:bCs/>
          <w:sz w:val="24"/>
        </w:rPr>
      </w:pPr>
    </w:p>
    <w:p w14:paraId="74EA4876">
      <w:pPr>
        <w:widowControl/>
        <w:jc w:val="left"/>
        <w:rPr>
          <w:b/>
          <w:bCs/>
          <w:sz w:val="24"/>
        </w:rPr>
      </w:pPr>
      <w:r>
        <w:rPr>
          <w:b/>
          <w:bCs/>
          <w:sz w:val="24"/>
        </w:rPr>
        <w:br w:type="page"/>
      </w:r>
    </w:p>
    <w:p w14:paraId="654C732B">
      <w:pPr>
        <w:spacing w:line="460" w:lineRule="exact"/>
        <w:rPr>
          <w:b/>
          <w:sz w:val="24"/>
        </w:rPr>
      </w:pPr>
      <w:r>
        <w:rPr>
          <w:rFonts w:hint="eastAsia"/>
          <w:b/>
          <w:bCs/>
          <w:sz w:val="24"/>
        </w:rPr>
        <w:t>附件2-1：招标文件第一部分供应商资格要求的证件</w:t>
      </w:r>
    </w:p>
    <w:p w14:paraId="43DFB6EB">
      <w:pPr>
        <w:widowControl/>
        <w:jc w:val="left"/>
        <w:rPr>
          <w:b/>
          <w:bCs/>
          <w:sz w:val="24"/>
        </w:rPr>
      </w:pPr>
      <w:r>
        <w:rPr>
          <w:b/>
          <w:bCs/>
          <w:sz w:val="24"/>
        </w:rPr>
        <w:br w:type="page"/>
      </w:r>
    </w:p>
    <w:p w14:paraId="6FCF3249">
      <w:pPr>
        <w:autoSpaceDN w:val="0"/>
        <w:spacing w:line="360" w:lineRule="auto"/>
        <w:rPr>
          <w:b/>
          <w:bCs/>
          <w:sz w:val="24"/>
        </w:rPr>
      </w:pPr>
      <w:r>
        <w:rPr>
          <w:rFonts w:hint="eastAsia"/>
          <w:b/>
          <w:bCs/>
          <w:sz w:val="24"/>
        </w:rPr>
        <w:t>附件3-1</w:t>
      </w:r>
    </w:p>
    <w:p w14:paraId="64EB85FD">
      <w:pPr>
        <w:autoSpaceDN w:val="0"/>
        <w:spacing w:line="360" w:lineRule="auto"/>
        <w:jc w:val="center"/>
        <w:rPr>
          <w:b/>
          <w:bCs/>
          <w:sz w:val="24"/>
        </w:rPr>
      </w:pPr>
    </w:p>
    <w:p w14:paraId="473A0421">
      <w:pPr>
        <w:autoSpaceDN w:val="0"/>
        <w:spacing w:line="360" w:lineRule="auto"/>
        <w:jc w:val="center"/>
        <w:rPr>
          <w:b/>
          <w:bCs/>
          <w:sz w:val="24"/>
        </w:rPr>
      </w:pPr>
      <w:r>
        <w:rPr>
          <w:b/>
          <w:bCs/>
          <w:sz w:val="24"/>
        </w:rPr>
        <w:t>开标一览表</w:t>
      </w:r>
    </w:p>
    <w:p w14:paraId="193B9DF1">
      <w:pPr>
        <w:ind w:right="84"/>
        <w:rPr>
          <w:sz w:val="24"/>
        </w:rPr>
      </w:pPr>
    </w:p>
    <w:p w14:paraId="26FBE4DB">
      <w:pPr>
        <w:spacing w:line="460" w:lineRule="exact"/>
        <w:rPr>
          <w:sz w:val="24"/>
        </w:rPr>
      </w:pPr>
      <w:r>
        <w:rPr>
          <w:sz w:val="24"/>
        </w:rPr>
        <w:t>项目名称：</w:t>
      </w:r>
      <w:r>
        <w:rPr>
          <w:sz w:val="24"/>
          <w:u w:val="single"/>
        </w:rPr>
        <w:t xml:space="preserve">                    </w:t>
      </w:r>
    </w:p>
    <w:p w14:paraId="24879163">
      <w:pPr>
        <w:spacing w:line="460" w:lineRule="exact"/>
        <w:rPr>
          <w:sz w:val="24"/>
        </w:rPr>
      </w:pPr>
      <w:r>
        <w:rPr>
          <w:sz w:val="24"/>
        </w:rPr>
        <w:t>项目编号：</w:t>
      </w:r>
      <w:r>
        <w:rPr>
          <w:sz w:val="24"/>
          <w:u w:val="single"/>
        </w:rPr>
        <w:t xml:space="preserve">                    </w:t>
      </w:r>
    </w:p>
    <w:p w14:paraId="202B235F">
      <w:pPr>
        <w:spacing w:line="460" w:lineRule="exact"/>
        <w:rPr>
          <w:sz w:val="24"/>
          <w:u w:val="single"/>
        </w:rPr>
      </w:pPr>
      <w:r>
        <w:rPr>
          <w:sz w:val="24"/>
        </w:rPr>
        <w:t>包号：</w:t>
      </w:r>
      <w:r>
        <w:rPr>
          <w:sz w:val="24"/>
          <w:u w:val="single"/>
        </w:rPr>
        <w:t xml:space="preserve">                        </w:t>
      </w:r>
    </w:p>
    <w:p w14:paraId="31CFDF27">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DF6F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BEBCFA4">
            <w:pPr>
              <w:spacing w:line="460" w:lineRule="exact"/>
              <w:jc w:val="center"/>
              <w:rPr>
                <w:sz w:val="24"/>
              </w:rPr>
            </w:pPr>
            <w:r>
              <w:rPr>
                <w:sz w:val="24"/>
              </w:rPr>
              <w:t>包号</w:t>
            </w:r>
          </w:p>
        </w:tc>
        <w:tc>
          <w:tcPr>
            <w:tcW w:w="1278" w:type="pct"/>
            <w:vAlign w:val="center"/>
          </w:tcPr>
          <w:p w14:paraId="705FF2D3">
            <w:pPr>
              <w:spacing w:line="460" w:lineRule="exact"/>
              <w:jc w:val="center"/>
              <w:rPr>
                <w:sz w:val="24"/>
              </w:rPr>
            </w:pPr>
            <w:r>
              <w:rPr>
                <w:sz w:val="24"/>
              </w:rPr>
              <w:t>服务名称</w:t>
            </w:r>
          </w:p>
        </w:tc>
        <w:tc>
          <w:tcPr>
            <w:tcW w:w="806" w:type="pct"/>
            <w:vAlign w:val="center"/>
          </w:tcPr>
          <w:p w14:paraId="33967FBA">
            <w:pPr>
              <w:spacing w:line="460" w:lineRule="exact"/>
              <w:jc w:val="center"/>
              <w:rPr>
                <w:sz w:val="24"/>
              </w:rPr>
            </w:pPr>
            <w:r>
              <w:rPr>
                <w:sz w:val="24"/>
              </w:rPr>
              <w:t>数量</w:t>
            </w:r>
          </w:p>
        </w:tc>
        <w:tc>
          <w:tcPr>
            <w:tcW w:w="1202" w:type="pct"/>
            <w:vAlign w:val="center"/>
          </w:tcPr>
          <w:p w14:paraId="098FEC99">
            <w:pPr>
              <w:spacing w:line="460" w:lineRule="exact"/>
              <w:jc w:val="center"/>
              <w:rPr>
                <w:sz w:val="24"/>
              </w:rPr>
            </w:pPr>
            <w:r>
              <w:rPr>
                <w:sz w:val="24"/>
              </w:rPr>
              <w:t>投标总价</w:t>
            </w:r>
          </w:p>
        </w:tc>
        <w:tc>
          <w:tcPr>
            <w:tcW w:w="984" w:type="pct"/>
            <w:vAlign w:val="center"/>
          </w:tcPr>
          <w:p w14:paraId="1ED06F7A">
            <w:pPr>
              <w:spacing w:line="460" w:lineRule="exact"/>
              <w:jc w:val="center"/>
              <w:rPr>
                <w:sz w:val="24"/>
              </w:rPr>
            </w:pPr>
            <w:r>
              <w:rPr>
                <w:sz w:val="24"/>
              </w:rPr>
              <w:t>备注</w:t>
            </w:r>
          </w:p>
        </w:tc>
      </w:tr>
      <w:tr w14:paraId="79CD7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BAB9F17">
            <w:pPr>
              <w:spacing w:line="460" w:lineRule="exact"/>
              <w:rPr>
                <w:sz w:val="24"/>
              </w:rPr>
            </w:pPr>
          </w:p>
        </w:tc>
        <w:tc>
          <w:tcPr>
            <w:tcW w:w="1278" w:type="pct"/>
          </w:tcPr>
          <w:p w14:paraId="013F36C6">
            <w:pPr>
              <w:spacing w:line="460" w:lineRule="exact"/>
              <w:rPr>
                <w:sz w:val="24"/>
              </w:rPr>
            </w:pPr>
          </w:p>
        </w:tc>
        <w:tc>
          <w:tcPr>
            <w:tcW w:w="806" w:type="pct"/>
          </w:tcPr>
          <w:p w14:paraId="0FFF639B">
            <w:pPr>
              <w:spacing w:line="460" w:lineRule="exact"/>
              <w:rPr>
                <w:sz w:val="24"/>
              </w:rPr>
            </w:pPr>
          </w:p>
        </w:tc>
        <w:tc>
          <w:tcPr>
            <w:tcW w:w="1202" w:type="pct"/>
          </w:tcPr>
          <w:p w14:paraId="0D1828CC">
            <w:pPr>
              <w:spacing w:line="460" w:lineRule="exact"/>
              <w:rPr>
                <w:sz w:val="24"/>
              </w:rPr>
            </w:pPr>
          </w:p>
        </w:tc>
        <w:tc>
          <w:tcPr>
            <w:tcW w:w="984" w:type="pct"/>
          </w:tcPr>
          <w:p w14:paraId="4D94AE2D">
            <w:pPr>
              <w:spacing w:line="460" w:lineRule="exact"/>
              <w:rPr>
                <w:sz w:val="24"/>
              </w:rPr>
            </w:pPr>
          </w:p>
        </w:tc>
      </w:tr>
      <w:tr w14:paraId="4450D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3848CA1">
            <w:pPr>
              <w:spacing w:line="460" w:lineRule="exact"/>
              <w:rPr>
                <w:sz w:val="24"/>
              </w:rPr>
            </w:pPr>
          </w:p>
        </w:tc>
        <w:tc>
          <w:tcPr>
            <w:tcW w:w="1278" w:type="pct"/>
          </w:tcPr>
          <w:p w14:paraId="0607D2DB">
            <w:pPr>
              <w:spacing w:line="460" w:lineRule="exact"/>
              <w:rPr>
                <w:sz w:val="24"/>
              </w:rPr>
            </w:pPr>
          </w:p>
        </w:tc>
        <w:tc>
          <w:tcPr>
            <w:tcW w:w="806" w:type="pct"/>
          </w:tcPr>
          <w:p w14:paraId="1E5F0283">
            <w:pPr>
              <w:spacing w:line="460" w:lineRule="exact"/>
              <w:rPr>
                <w:sz w:val="24"/>
              </w:rPr>
            </w:pPr>
          </w:p>
        </w:tc>
        <w:tc>
          <w:tcPr>
            <w:tcW w:w="1202" w:type="pct"/>
          </w:tcPr>
          <w:p w14:paraId="60CC3470">
            <w:pPr>
              <w:spacing w:line="460" w:lineRule="exact"/>
              <w:rPr>
                <w:sz w:val="24"/>
              </w:rPr>
            </w:pPr>
          </w:p>
        </w:tc>
        <w:tc>
          <w:tcPr>
            <w:tcW w:w="984" w:type="pct"/>
          </w:tcPr>
          <w:p w14:paraId="4AF904F3">
            <w:pPr>
              <w:spacing w:line="460" w:lineRule="exact"/>
              <w:rPr>
                <w:sz w:val="24"/>
              </w:rPr>
            </w:pPr>
          </w:p>
        </w:tc>
      </w:tr>
      <w:tr w14:paraId="1A561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864ED3">
            <w:pPr>
              <w:spacing w:line="460" w:lineRule="exact"/>
              <w:rPr>
                <w:sz w:val="24"/>
              </w:rPr>
            </w:pPr>
          </w:p>
        </w:tc>
        <w:tc>
          <w:tcPr>
            <w:tcW w:w="1278" w:type="pct"/>
          </w:tcPr>
          <w:p w14:paraId="506217AB">
            <w:pPr>
              <w:spacing w:line="460" w:lineRule="exact"/>
              <w:rPr>
                <w:sz w:val="24"/>
              </w:rPr>
            </w:pPr>
          </w:p>
        </w:tc>
        <w:tc>
          <w:tcPr>
            <w:tcW w:w="806" w:type="pct"/>
          </w:tcPr>
          <w:p w14:paraId="66B4BD9A">
            <w:pPr>
              <w:spacing w:line="460" w:lineRule="exact"/>
              <w:rPr>
                <w:sz w:val="24"/>
              </w:rPr>
            </w:pPr>
          </w:p>
        </w:tc>
        <w:tc>
          <w:tcPr>
            <w:tcW w:w="1202" w:type="pct"/>
          </w:tcPr>
          <w:p w14:paraId="6C6ADA81">
            <w:pPr>
              <w:spacing w:line="460" w:lineRule="exact"/>
              <w:rPr>
                <w:sz w:val="24"/>
              </w:rPr>
            </w:pPr>
          </w:p>
        </w:tc>
        <w:tc>
          <w:tcPr>
            <w:tcW w:w="984" w:type="pct"/>
          </w:tcPr>
          <w:p w14:paraId="05245A1E">
            <w:pPr>
              <w:spacing w:line="460" w:lineRule="exact"/>
              <w:rPr>
                <w:sz w:val="24"/>
              </w:rPr>
            </w:pPr>
          </w:p>
        </w:tc>
      </w:tr>
      <w:tr w14:paraId="7707A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28868A3">
            <w:pPr>
              <w:spacing w:line="460" w:lineRule="exact"/>
              <w:rPr>
                <w:sz w:val="24"/>
              </w:rPr>
            </w:pPr>
          </w:p>
        </w:tc>
        <w:tc>
          <w:tcPr>
            <w:tcW w:w="1278" w:type="pct"/>
          </w:tcPr>
          <w:p w14:paraId="70DAB613">
            <w:pPr>
              <w:spacing w:line="460" w:lineRule="exact"/>
              <w:rPr>
                <w:sz w:val="24"/>
              </w:rPr>
            </w:pPr>
          </w:p>
        </w:tc>
        <w:tc>
          <w:tcPr>
            <w:tcW w:w="806" w:type="pct"/>
          </w:tcPr>
          <w:p w14:paraId="780FE341">
            <w:pPr>
              <w:spacing w:line="460" w:lineRule="exact"/>
              <w:rPr>
                <w:sz w:val="24"/>
              </w:rPr>
            </w:pPr>
          </w:p>
        </w:tc>
        <w:tc>
          <w:tcPr>
            <w:tcW w:w="1202" w:type="pct"/>
          </w:tcPr>
          <w:p w14:paraId="5B141D8D">
            <w:pPr>
              <w:spacing w:line="460" w:lineRule="exact"/>
              <w:rPr>
                <w:sz w:val="24"/>
              </w:rPr>
            </w:pPr>
          </w:p>
        </w:tc>
        <w:tc>
          <w:tcPr>
            <w:tcW w:w="984" w:type="pct"/>
          </w:tcPr>
          <w:p w14:paraId="2C368049">
            <w:pPr>
              <w:spacing w:line="460" w:lineRule="exact"/>
              <w:rPr>
                <w:sz w:val="24"/>
              </w:rPr>
            </w:pPr>
          </w:p>
        </w:tc>
      </w:tr>
      <w:tr w14:paraId="78F02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C45C1B0">
            <w:pPr>
              <w:spacing w:line="460" w:lineRule="exact"/>
              <w:rPr>
                <w:sz w:val="24"/>
              </w:rPr>
            </w:pPr>
          </w:p>
        </w:tc>
        <w:tc>
          <w:tcPr>
            <w:tcW w:w="1278" w:type="pct"/>
          </w:tcPr>
          <w:p w14:paraId="12244452">
            <w:pPr>
              <w:spacing w:line="460" w:lineRule="exact"/>
              <w:rPr>
                <w:sz w:val="24"/>
              </w:rPr>
            </w:pPr>
          </w:p>
        </w:tc>
        <w:tc>
          <w:tcPr>
            <w:tcW w:w="806" w:type="pct"/>
          </w:tcPr>
          <w:p w14:paraId="482F83D1">
            <w:pPr>
              <w:spacing w:line="460" w:lineRule="exact"/>
              <w:rPr>
                <w:sz w:val="24"/>
              </w:rPr>
            </w:pPr>
          </w:p>
        </w:tc>
        <w:tc>
          <w:tcPr>
            <w:tcW w:w="1202" w:type="pct"/>
          </w:tcPr>
          <w:p w14:paraId="2F0FB2D9">
            <w:pPr>
              <w:spacing w:line="460" w:lineRule="exact"/>
              <w:rPr>
                <w:sz w:val="24"/>
              </w:rPr>
            </w:pPr>
          </w:p>
        </w:tc>
        <w:tc>
          <w:tcPr>
            <w:tcW w:w="984" w:type="pct"/>
          </w:tcPr>
          <w:p w14:paraId="7594CC5E">
            <w:pPr>
              <w:spacing w:line="460" w:lineRule="exact"/>
              <w:rPr>
                <w:sz w:val="24"/>
              </w:rPr>
            </w:pPr>
          </w:p>
        </w:tc>
      </w:tr>
      <w:tr w14:paraId="6DA08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F85BFEA">
            <w:pPr>
              <w:spacing w:line="460" w:lineRule="exact"/>
              <w:rPr>
                <w:sz w:val="24"/>
              </w:rPr>
            </w:pPr>
          </w:p>
        </w:tc>
        <w:tc>
          <w:tcPr>
            <w:tcW w:w="1278" w:type="pct"/>
          </w:tcPr>
          <w:p w14:paraId="5107B298">
            <w:pPr>
              <w:spacing w:line="460" w:lineRule="exact"/>
              <w:rPr>
                <w:sz w:val="24"/>
              </w:rPr>
            </w:pPr>
          </w:p>
        </w:tc>
        <w:tc>
          <w:tcPr>
            <w:tcW w:w="806" w:type="pct"/>
          </w:tcPr>
          <w:p w14:paraId="2EEAA3F5">
            <w:pPr>
              <w:spacing w:line="460" w:lineRule="exact"/>
              <w:rPr>
                <w:sz w:val="24"/>
              </w:rPr>
            </w:pPr>
          </w:p>
        </w:tc>
        <w:tc>
          <w:tcPr>
            <w:tcW w:w="1202" w:type="pct"/>
          </w:tcPr>
          <w:p w14:paraId="0F9A061B">
            <w:pPr>
              <w:spacing w:line="460" w:lineRule="exact"/>
              <w:rPr>
                <w:sz w:val="24"/>
              </w:rPr>
            </w:pPr>
          </w:p>
        </w:tc>
        <w:tc>
          <w:tcPr>
            <w:tcW w:w="984" w:type="pct"/>
          </w:tcPr>
          <w:p w14:paraId="0DF7A59C">
            <w:pPr>
              <w:spacing w:line="460" w:lineRule="exact"/>
              <w:rPr>
                <w:sz w:val="24"/>
              </w:rPr>
            </w:pPr>
          </w:p>
        </w:tc>
      </w:tr>
      <w:tr w14:paraId="79F7D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3DA566">
            <w:pPr>
              <w:spacing w:line="460" w:lineRule="exact"/>
              <w:rPr>
                <w:sz w:val="24"/>
              </w:rPr>
            </w:pPr>
          </w:p>
        </w:tc>
        <w:tc>
          <w:tcPr>
            <w:tcW w:w="1278" w:type="pct"/>
          </w:tcPr>
          <w:p w14:paraId="5C60FB38">
            <w:pPr>
              <w:spacing w:line="460" w:lineRule="exact"/>
              <w:rPr>
                <w:sz w:val="24"/>
              </w:rPr>
            </w:pPr>
          </w:p>
        </w:tc>
        <w:tc>
          <w:tcPr>
            <w:tcW w:w="806" w:type="pct"/>
          </w:tcPr>
          <w:p w14:paraId="5718BC94">
            <w:pPr>
              <w:spacing w:line="460" w:lineRule="exact"/>
              <w:rPr>
                <w:sz w:val="24"/>
              </w:rPr>
            </w:pPr>
          </w:p>
        </w:tc>
        <w:tc>
          <w:tcPr>
            <w:tcW w:w="1202" w:type="pct"/>
          </w:tcPr>
          <w:p w14:paraId="1BD232C5">
            <w:pPr>
              <w:spacing w:line="460" w:lineRule="exact"/>
              <w:rPr>
                <w:sz w:val="24"/>
              </w:rPr>
            </w:pPr>
          </w:p>
        </w:tc>
        <w:tc>
          <w:tcPr>
            <w:tcW w:w="984" w:type="pct"/>
          </w:tcPr>
          <w:p w14:paraId="072DAC58">
            <w:pPr>
              <w:spacing w:line="460" w:lineRule="exact"/>
              <w:rPr>
                <w:sz w:val="24"/>
              </w:rPr>
            </w:pPr>
          </w:p>
        </w:tc>
      </w:tr>
      <w:tr w14:paraId="67BA8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857765">
            <w:pPr>
              <w:spacing w:line="460" w:lineRule="exact"/>
              <w:rPr>
                <w:sz w:val="24"/>
              </w:rPr>
            </w:pPr>
          </w:p>
        </w:tc>
        <w:tc>
          <w:tcPr>
            <w:tcW w:w="1278" w:type="pct"/>
          </w:tcPr>
          <w:p w14:paraId="4648AB1F">
            <w:pPr>
              <w:spacing w:line="460" w:lineRule="exact"/>
              <w:rPr>
                <w:sz w:val="24"/>
              </w:rPr>
            </w:pPr>
          </w:p>
        </w:tc>
        <w:tc>
          <w:tcPr>
            <w:tcW w:w="806" w:type="pct"/>
          </w:tcPr>
          <w:p w14:paraId="15E517B3">
            <w:pPr>
              <w:spacing w:line="460" w:lineRule="exact"/>
              <w:rPr>
                <w:sz w:val="24"/>
              </w:rPr>
            </w:pPr>
          </w:p>
        </w:tc>
        <w:tc>
          <w:tcPr>
            <w:tcW w:w="1202" w:type="pct"/>
          </w:tcPr>
          <w:p w14:paraId="7116ECF0">
            <w:pPr>
              <w:spacing w:line="460" w:lineRule="exact"/>
              <w:rPr>
                <w:sz w:val="24"/>
              </w:rPr>
            </w:pPr>
          </w:p>
        </w:tc>
        <w:tc>
          <w:tcPr>
            <w:tcW w:w="984" w:type="pct"/>
          </w:tcPr>
          <w:p w14:paraId="50931D55">
            <w:pPr>
              <w:spacing w:line="460" w:lineRule="exact"/>
              <w:rPr>
                <w:sz w:val="24"/>
              </w:rPr>
            </w:pPr>
          </w:p>
        </w:tc>
      </w:tr>
      <w:tr w14:paraId="27B38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7BF5546">
            <w:pPr>
              <w:spacing w:line="460" w:lineRule="exact"/>
              <w:rPr>
                <w:sz w:val="24"/>
              </w:rPr>
            </w:pPr>
          </w:p>
        </w:tc>
        <w:tc>
          <w:tcPr>
            <w:tcW w:w="1278" w:type="pct"/>
          </w:tcPr>
          <w:p w14:paraId="395D9E85">
            <w:pPr>
              <w:spacing w:line="460" w:lineRule="exact"/>
              <w:rPr>
                <w:sz w:val="24"/>
              </w:rPr>
            </w:pPr>
          </w:p>
        </w:tc>
        <w:tc>
          <w:tcPr>
            <w:tcW w:w="806" w:type="pct"/>
          </w:tcPr>
          <w:p w14:paraId="084B37E8">
            <w:pPr>
              <w:spacing w:line="460" w:lineRule="exact"/>
              <w:rPr>
                <w:sz w:val="24"/>
              </w:rPr>
            </w:pPr>
          </w:p>
        </w:tc>
        <w:tc>
          <w:tcPr>
            <w:tcW w:w="1202" w:type="pct"/>
          </w:tcPr>
          <w:p w14:paraId="5A594D71">
            <w:pPr>
              <w:spacing w:line="460" w:lineRule="exact"/>
              <w:rPr>
                <w:sz w:val="24"/>
              </w:rPr>
            </w:pPr>
          </w:p>
        </w:tc>
        <w:tc>
          <w:tcPr>
            <w:tcW w:w="984" w:type="pct"/>
          </w:tcPr>
          <w:p w14:paraId="31C501F5">
            <w:pPr>
              <w:spacing w:line="460" w:lineRule="exact"/>
              <w:rPr>
                <w:sz w:val="24"/>
              </w:rPr>
            </w:pPr>
          </w:p>
        </w:tc>
      </w:tr>
      <w:tr w14:paraId="40E46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6F9D97">
            <w:pPr>
              <w:spacing w:line="460" w:lineRule="exact"/>
              <w:rPr>
                <w:sz w:val="24"/>
              </w:rPr>
            </w:pPr>
          </w:p>
        </w:tc>
        <w:tc>
          <w:tcPr>
            <w:tcW w:w="1278" w:type="pct"/>
          </w:tcPr>
          <w:p w14:paraId="13A2E7F3">
            <w:pPr>
              <w:spacing w:line="460" w:lineRule="exact"/>
              <w:rPr>
                <w:sz w:val="24"/>
              </w:rPr>
            </w:pPr>
          </w:p>
        </w:tc>
        <w:tc>
          <w:tcPr>
            <w:tcW w:w="806" w:type="pct"/>
          </w:tcPr>
          <w:p w14:paraId="47FAB592">
            <w:pPr>
              <w:spacing w:line="460" w:lineRule="exact"/>
              <w:rPr>
                <w:sz w:val="24"/>
              </w:rPr>
            </w:pPr>
          </w:p>
        </w:tc>
        <w:tc>
          <w:tcPr>
            <w:tcW w:w="1202" w:type="pct"/>
          </w:tcPr>
          <w:p w14:paraId="441AD645">
            <w:pPr>
              <w:spacing w:line="460" w:lineRule="exact"/>
              <w:rPr>
                <w:sz w:val="24"/>
              </w:rPr>
            </w:pPr>
          </w:p>
        </w:tc>
        <w:tc>
          <w:tcPr>
            <w:tcW w:w="984" w:type="pct"/>
          </w:tcPr>
          <w:p w14:paraId="37A2BFE9">
            <w:pPr>
              <w:spacing w:line="460" w:lineRule="exact"/>
              <w:rPr>
                <w:sz w:val="24"/>
              </w:rPr>
            </w:pPr>
          </w:p>
        </w:tc>
      </w:tr>
      <w:tr w14:paraId="64F4A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0517985">
            <w:pPr>
              <w:spacing w:line="460" w:lineRule="exact"/>
              <w:rPr>
                <w:sz w:val="24"/>
              </w:rPr>
            </w:pPr>
          </w:p>
        </w:tc>
        <w:tc>
          <w:tcPr>
            <w:tcW w:w="1278" w:type="pct"/>
          </w:tcPr>
          <w:p w14:paraId="18117836">
            <w:pPr>
              <w:spacing w:line="460" w:lineRule="exact"/>
              <w:rPr>
                <w:sz w:val="24"/>
              </w:rPr>
            </w:pPr>
          </w:p>
        </w:tc>
        <w:tc>
          <w:tcPr>
            <w:tcW w:w="806" w:type="pct"/>
          </w:tcPr>
          <w:p w14:paraId="4EEEBD0B">
            <w:pPr>
              <w:spacing w:line="460" w:lineRule="exact"/>
              <w:rPr>
                <w:sz w:val="24"/>
              </w:rPr>
            </w:pPr>
          </w:p>
        </w:tc>
        <w:tc>
          <w:tcPr>
            <w:tcW w:w="1202" w:type="pct"/>
          </w:tcPr>
          <w:p w14:paraId="1D941420">
            <w:pPr>
              <w:spacing w:line="460" w:lineRule="exact"/>
              <w:rPr>
                <w:sz w:val="24"/>
              </w:rPr>
            </w:pPr>
          </w:p>
        </w:tc>
        <w:tc>
          <w:tcPr>
            <w:tcW w:w="984" w:type="pct"/>
          </w:tcPr>
          <w:p w14:paraId="333C234E">
            <w:pPr>
              <w:spacing w:line="460" w:lineRule="exact"/>
              <w:rPr>
                <w:sz w:val="24"/>
              </w:rPr>
            </w:pPr>
          </w:p>
        </w:tc>
      </w:tr>
      <w:tr w14:paraId="3D00A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5B68D8A">
            <w:pPr>
              <w:spacing w:line="460" w:lineRule="exact"/>
              <w:rPr>
                <w:sz w:val="24"/>
              </w:rPr>
            </w:pPr>
          </w:p>
        </w:tc>
        <w:tc>
          <w:tcPr>
            <w:tcW w:w="1278" w:type="pct"/>
          </w:tcPr>
          <w:p w14:paraId="2412352C">
            <w:pPr>
              <w:spacing w:line="460" w:lineRule="exact"/>
              <w:rPr>
                <w:sz w:val="24"/>
              </w:rPr>
            </w:pPr>
          </w:p>
        </w:tc>
        <w:tc>
          <w:tcPr>
            <w:tcW w:w="806" w:type="pct"/>
          </w:tcPr>
          <w:p w14:paraId="0E9F1384">
            <w:pPr>
              <w:spacing w:line="460" w:lineRule="exact"/>
              <w:rPr>
                <w:sz w:val="24"/>
              </w:rPr>
            </w:pPr>
          </w:p>
        </w:tc>
        <w:tc>
          <w:tcPr>
            <w:tcW w:w="1202" w:type="pct"/>
          </w:tcPr>
          <w:p w14:paraId="0DDEF213">
            <w:pPr>
              <w:spacing w:line="460" w:lineRule="exact"/>
              <w:rPr>
                <w:sz w:val="24"/>
              </w:rPr>
            </w:pPr>
          </w:p>
        </w:tc>
        <w:tc>
          <w:tcPr>
            <w:tcW w:w="984" w:type="pct"/>
          </w:tcPr>
          <w:p w14:paraId="2FB388A2">
            <w:pPr>
              <w:spacing w:line="460" w:lineRule="exact"/>
              <w:rPr>
                <w:sz w:val="24"/>
              </w:rPr>
            </w:pPr>
          </w:p>
        </w:tc>
      </w:tr>
    </w:tbl>
    <w:p w14:paraId="15CF2F1A">
      <w:pPr>
        <w:spacing w:line="360" w:lineRule="auto"/>
        <w:ind w:right="84" w:firstLine="420"/>
        <w:rPr>
          <w:sz w:val="24"/>
        </w:rPr>
      </w:pPr>
    </w:p>
    <w:p w14:paraId="21C5FFA7">
      <w:pPr>
        <w:spacing w:line="360" w:lineRule="auto"/>
        <w:ind w:right="84" w:firstLine="420"/>
        <w:rPr>
          <w:sz w:val="24"/>
        </w:rPr>
      </w:pPr>
    </w:p>
    <w:p w14:paraId="4238AEC9">
      <w:pPr>
        <w:spacing w:line="360" w:lineRule="auto"/>
        <w:ind w:firstLine="4080" w:firstLineChars="1700"/>
        <w:rPr>
          <w:sz w:val="24"/>
        </w:rPr>
      </w:pPr>
      <w:r>
        <w:rPr>
          <w:sz w:val="24"/>
        </w:rPr>
        <w:t>投标人名称：</w:t>
      </w:r>
    </w:p>
    <w:p w14:paraId="46E7C255">
      <w:pPr>
        <w:spacing w:line="360" w:lineRule="auto"/>
        <w:ind w:firstLine="4080" w:firstLineChars="1700"/>
        <w:rPr>
          <w:sz w:val="24"/>
        </w:rPr>
      </w:pPr>
    </w:p>
    <w:p w14:paraId="4ADBDF0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1F60C06">
      <w:pPr>
        <w:spacing w:line="360" w:lineRule="auto"/>
        <w:ind w:right="84" w:firstLine="420"/>
        <w:rPr>
          <w:sz w:val="24"/>
        </w:rPr>
      </w:pPr>
    </w:p>
    <w:p w14:paraId="5175A561">
      <w:pPr>
        <w:widowControl/>
        <w:jc w:val="left"/>
        <w:rPr>
          <w:sz w:val="24"/>
        </w:rPr>
      </w:pPr>
      <w:r>
        <w:rPr>
          <w:sz w:val="24"/>
        </w:rPr>
        <w:br w:type="page"/>
      </w:r>
    </w:p>
    <w:p w14:paraId="47BC1ABA">
      <w:pPr>
        <w:tabs>
          <w:tab w:val="left" w:pos="360"/>
        </w:tabs>
        <w:spacing w:after="312" w:afterLines="100" w:line="360" w:lineRule="auto"/>
        <w:rPr>
          <w:b/>
          <w:sz w:val="24"/>
        </w:rPr>
      </w:pPr>
      <w:r>
        <w:rPr>
          <w:b/>
          <w:sz w:val="24"/>
        </w:rPr>
        <w:t>附件3</w:t>
      </w:r>
      <w:r>
        <w:rPr>
          <w:rFonts w:hint="eastAsia"/>
          <w:b/>
          <w:sz w:val="24"/>
        </w:rPr>
        <w:t>-2</w:t>
      </w:r>
    </w:p>
    <w:p w14:paraId="4804933F">
      <w:pPr>
        <w:autoSpaceDN w:val="0"/>
        <w:spacing w:line="360" w:lineRule="auto"/>
        <w:jc w:val="center"/>
        <w:rPr>
          <w:b/>
          <w:bCs/>
          <w:sz w:val="24"/>
        </w:rPr>
      </w:pPr>
      <w:r>
        <w:rPr>
          <w:b/>
          <w:bCs/>
          <w:sz w:val="24"/>
        </w:rPr>
        <w:t>开标分项一览表</w:t>
      </w:r>
    </w:p>
    <w:p w14:paraId="753AA96D">
      <w:pPr>
        <w:ind w:right="84"/>
        <w:rPr>
          <w:sz w:val="24"/>
        </w:rPr>
      </w:pPr>
    </w:p>
    <w:p w14:paraId="557C1FF3">
      <w:pPr>
        <w:spacing w:line="460" w:lineRule="exact"/>
        <w:ind w:left="192"/>
        <w:rPr>
          <w:sz w:val="24"/>
        </w:rPr>
      </w:pPr>
      <w:r>
        <w:rPr>
          <w:sz w:val="24"/>
        </w:rPr>
        <w:t>项目名称：</w:t>
      </w:r>
      <w:r>
        <w:rPr>
          <w:sz w:val="24"/>
          <w:u w:val="single"/>
        </w:rPr>
        <w:t xml:space="preserve">                    </w:t>
      </w:r>
    </w:p>
    <w:p w14:paraId="2C86E27B">
      <w:pPr>
        <w:spacing w:line="460" w:lineRule="exact"/>
        <w:ind w:left="192"/>
        <w:rPr>
          <w:sz w:val="24"/>
        </w:rPr>
      </w:pPr>
      <w:r>
        <w:rPr>
          <w:sz w:val="24"/>
        </w:rPr>
        <w:t>项目编号：</w:t>
      </w:r>
      <w:r>
        <w:rPr>
          <w:sz w:val="24"/>
          <w:u w:val="single"/>
        </w:rPr>
        <w:t xml:space="preserve">                    </w:t>
      </w:r>
    </w:p>
    <w:p w14:paraId="3D11622B">
      <w:pPr>
        <w:spacing w:line="460" w:lineRule="exact"/>
        <w:ind w:left="192"/>
        <w:rPr>
          <w:sz w:val="24"/>
        </w:rPr>
      </w:pPr>
      <w:r>
        <w:rPr>
          <w:sz w:val="24"/>
        </w:rPr>
        <w:t>包    号：</w:t>
      </w:r>
      <w:r>
        <w:rPr>
          <w:sz w:val="24"/>
          <w:u w:val="single"/>
        </w:rPr>
        <w:t xml:space="preserve">                    </w:t>
      </w:r>
    </w:p>
    <w:p w14:paraId="39941E21">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01CE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7BFB240D">
            <w:pPr>
              <w:widowControl/>
              <w:jc w:val="center"/>
              <w:rPr>
                <w:b/>
                <w:bCs/>
                <w:kern w:val="0"/>
                <w:sz w:val="24"/>
                <w:szCs w:val="24"/>
              </w:rPr>
            </w:pPr>
            <w:r>
              <w:rPr>
                <w:b/>
                <w:bCs/>
                <w:kern w:val="0"/>
                <w:sz w:val="24"/>
                <w:szCs w:val="24"/>
              </w:rPr>
              <w:t>项号</w:t>
            </w:r>
          </w:p>
        </w:tc>
        <w:tc>
          <w:tcPr>
            <w:tcW w:w="2349" w:type="dxa"/>
            <w:vAlign w:val="center"/>
          </w:tcPr>
          <w:p w14:paraId="1082A687">
            <w:pPr>
              <w:widowControl/>
              <w:jc w:val="center"/>
              <w:rPr>
                <w:b/>
                <w:bCs/>
                <w:kern w:val="0"/>
                <w:sz w:val="24"/>
                <w:szCs w:val="24"/>
              </w:rPr>
            </w:pPr>
            <w:r>
              <w:rPr>
                <w:b/>
                <w:bCs/>
                <w:kern w:val="0"/>
                <w:sz w:val="24"/>
                <w:szCs w:val="24"/>
              </w:rPr>
              <w:t>服务名称</w:t>
            </w:r>
          </w:p>
        </w:tc>
        <w:tc>
          <w:tcPr>
            <w:tcW w:w="1701" w:type="dxa"/>
            <w:vAlign w:val="center"/>
          </w:tcPr>
          <w:p w14:paraId="6D3B6629">
            <w:pPr>
              <w:widowControl/>
              <w:jc w:val="center"/>
              <w:rPr>
                <w:b/>
                <w:bCs/>
                <w:kern w:val="0"/>
                <w:sz w:val="24"/>
                <w:szCs w:val="24"/>
              </w:rPr>
            </w:pPr>
            <w:r>
              <w:rPr>
                <w:b/>
                <w:bCs/>
                <w:kern w:val="0"/>
                <w:sz w:val="24"/>
                <w:szCs w:val="24"/>
              </w:rPr>
              <w:t>总价</w:t>
            </w:r>
          </w:p>
        </w:tc>
        <w:tc>
          <w:tcPr>
            <w:tcW w:w="2238" w:type="dxa"/>
            <w:vAlign w:val="center"/>
          </w:tcPr>
          <w:p w14:paraId="7AA75C17">
            <w:pPr>
              <w:widowControl/>
              <w:jc w:val="center"/>
              <w:rPr>
                <w:b/>
                <w:bCs/>
                <w:kern w:val="0"/>
                <w:sz w:val="24"/>
                <w:szCs w:val="24"/>
              </w:rPr>
            </w:pPr>
            <w:r>
              <w:rPr>
                <w:b/>
                <w:bCs/>
                <w:kern w:val="0"/>
                <w:sz w:val="24"/>
                <w:szCs w:val="24"/>
              </w:rPr>
              <w:t>数量</w:t>
            </w:r>
          </w:p>
        </w:tc>
        <w:tc>
          <w:tcPr>
            <w:tcW w:w="1848" w:type="dxa"/>
            <w:vAlign w:val="center"/>
          </w:tcPr>
          <w:p w14:paraId="56459EF7">
            <w:pPr>
              <w:widowControl/>
              <w:jc w:val="center"/>
              <w:rPr>
                <w:b/>
                <w:bCs/>
                <w:kern w:val="0"/>
                <w:sz w:val="24"/>
                <w:szCs w:val="24"/>
              </w:rPr>
            </w:pPr>
            <w:r>
              <w:rPr>
                <w:b/>
                <w:bCs/>
                <w:kern w:val="0"/>
                <w:sz w:val="24"/>
                <w:szCs w:val="24"/>
              </w:rPr>
              <w:t>备注</w:t>
            </w:r>
          </w:p>
        </w:tc>
      </w:tr>
      <w:tr w14:paraId="02E1D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4E3E8722">
            <w:pPr>
              <w:widowControl/>
              <w:jc w:val="center"/>
              <w:rPr>
                <w:kern w:val="0"/>
                <w:sz w:val="24"/>
                <w:szCs w:val="24"/>
              </w:rPr>
            </w:pPr>
            <w:r>
              <w:rPr>
                <w:kern w:val="0"/>
                <w:sz w:val="24"/>
                <w:szCs w:val="24"/>
              </w:rPr>
              <w:t>1</w:t>
            </w:r>
          </w:p>
        </w:tc>
        <w:tc>
          <w:tcPr>
            <w:tcW w:w="2349" w:type="dxa"/>
            <w:vAlign w:val="center"/>
          </w:tcPr>
          <w:p w14:paraId="02243D7E">
            <w:pPr>
              <w:widowControl/>
              <w:jc w:val="center"/>
              <w:rPr>
                <w:kern w:val="0"/>
                <w:sz w:val="24"/>
                <w:szCs w:val="24"/>
              </w:rPr>
            </w:pPr>
          </w:p>
        </w:tc>
        <w:tc>
          <w:tcPr>
            <w:tcW w:w="1701" w:type="dxa"/>
            <w:vAlign w:val="center"/>
          </w:tcPr>
          <w:p w14:paraId="3545C406">
            <w:pPr>
              <w:widowControl/>
              <w:jc w:val="center"/>
              <w:rPr>
                <w:kern w:val="0"/>
                <w:sz w:val="24"/>
                <w:szCs w:val="24"/>
              </w:rPr>
            </w:pPr>
          </w:p>
        </w:tc>
        <w:tc>
          <w:tcPr>
            <w:tcW w:w="2238" w:type="dxa"/>
            <w:vAlign w:val="center"/>
          </w:tcPr>
          <w:p w14:paraId="587FC635">
            <w:pPr>
              <w:widowControl/>
              <w:jc w:val="center"/>
              <w:rPr>
                <w:sz w:val="24"/>
                <w:szCs w:val="24"/>
              </w:rPr>
            </w:pPr>
            <w:r>
              <w:rPr>
                <w:sz w:val="24"/>
                <w:szCs w:val="24"/>
              </w:rPr>
              <w:t>1项</w:t>
            </w:r>
          </w:p>
        </w:tc>
        <w:tc>
          <w:tcPr>
            <w:tcW w:w="1848" w:type="dxa"/>
            <w:vAlign w:val="center"/>
          </w:tcPr>
          <w:p w14:paraId="633EBF40">
            <w:pPr>
              <w:widowControl/>
              <w:jc w:val="center"/>
              <w:rPr>
                <w:sz w:val="24"/>
                <w:szCs w:val="24"/>
              </w:rPr>
            </w:pPr>
          </w:p>
        </w:tc>
      </w:tr>
      <w:tr w14:paraId="309DE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08CA7D07">
            <w:pPr>
              <w:widowControl/>
              <w:jc w:val="left"/>
              <w:rPr>
                <w:kern w:val="0"/>
                <w:sz w:val="24"/>
                <w:szCs w:val="24"/>
              </w:rPr>
            </w:pPr>
            <w:r>
              <w:rPr>
                <w:kern w:val="0"/>
                <w:sz w:val="24"/>
                <w:szCs w:val="24"/>
              </w:rPr>
              <w:t>其中</w:t>
            </w:r>
          </w:p>
        </w:tc>
      </w:tr>
      <w:tr w14:paraId="426A7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E097E44">
            <w:pPr>
              <w:widowControl/>
              <w:jc w:val="left"/>
              <w:rPr>
                <w:rFonts w:hint="default" w:eastAsia="宋体"/>
                <w:b/>
                <w:sz w:val="24"/>
                <w:szCs w:val="24"/>
                <w:lang w:val="en-US" w:eastAsia="zh-CN"/>
              </w:rPr>
            </w:pPr>
            <w:r>
              <w:rPr>
                <w:rFonts w:hint="eastAsia"/>
                <w:b/>
                <w:sz w:val="24"/>
                <w:szCs w:val="24"/>
                <w:lang w:val="en-US" w:eastAsia="zh-CN"/>
              </w:rPr>
              <w:t>集采目录内服务费用</w:t>
            </w:r>
          </w:p>
        </w:tc>
        <w:tc>
          <w:tcPr>
            <w:tcW w:w="1701" w:type="dxa"/>
            <w:vAlign w:val="center"/>
          </w:tcPr>
          <w:p w14:paraId="59C61CB0">
            <w:pPr>
              <w:widowControl/>
              <w:jc w:val="center"/>
              <w:rPr>
                <w:b/>
                <w:kern w:val="0"/>
                <w:sz w:val="24"/>
                <w:szCs w:val="24"/>
              </w:rPr>
            </w:pPr>
          </w:p>
        </w:tc>
        <w:tc>
          <w:tcPr>
            <w:tcW w:w="2238" w:type="dxa"/>
            <w:vAlign w:val="center"/>
          </w:tcPr>
          <w:p w14:paraId="45E2E29B">
            <w:pPr>
              <w:widowControl/>
              <w:jc w:val="center"/>
              <w:rPr>
                <w:b/>
                <w:kern w:val="0"/>
                <w:sz w:val="24"/>
                <w:szCs w:val="24"/>
              </w:rPr>
            </w:pPr>
          </w:p>
        </w:tc>
        <w:tc>
          <w:tcPr>
            <w:tcW w:w="1848" w:type="dxa"/>
            <w:vAlign w:val="center"/>
          </w:tcPr>
          <w:p w14:paraId="64AEEC46">
            <w:pPr>
              <w:widowControl/>
              <w:jc w:val="center"/>
              <w:rPr>
                <w:b/>
                <w:bCs/>
                <w:kern w:val="0"/>
                <w:sz w:val="24"/>
                <w:szCs w:val="24"/>
              </w:rPr>
            </w:pPr>
          </w:p>
        </w:tc>
      </w:tr>
      <w:tr w14:paraId="6F3B0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562E87B">
            <w:pPr>
              <w:widowControl/>
              <w:jc w:val="left"/>
              <w:rPr>
                <w:kern w:val="0"/>
                <w:sz w:val="24"/>
                <w:szCs w:val="24"/>
              </w:rPr>
            </w:pPr>
            <w:r>
              <w:rPr>
                <w:rFonts w:hint="eastAsia"/>
                <w:b/>
                <w:sz w:val="24"/>
                <w:szCs w:val="24"/>
                <w:lang w:val="en-US" w:eastAsia="zh-CN"/>
              </w:rPr>
              <w:t>集采目录外服务费用</w:t>
            </w:r>
          </w:p>
        </w:tc>
        <w:tc>
          <w:tcPr>
            <w:tcW w:w="1701" w:type="dxa"/>
            <w:vAlign w:val="center"/>
          </w:tcPr>
          <w:p w14:paraId="1F403651">
            <w:pPr>
              <w:widowControl/>
              <w:jc w:val="center"/>
              <w:rPr>
                <w:kern w:val="0"/>
                <w:sz w:val="24"/>
                <w:szCs w:val="24"/>
              </w:rPr>
            </w:pPr>
          </w:p>
        </w:tc>
        <w:tc>
          <w:tcPr>
            <w:tcW w:w="2238" w:type="dxa"/>
            <w:vAlign w:val="center"/>
          </w:tcPr>
          <w:p w14:paraId="0F392D0B">
            <w:pPr>
              <w:widowControl/>
              <w:jc w:val="center"/>
              <w:rPr>
                <w:kern w:val="0"/>
                <w:sz w:val="24"/>
                <w:szCs w:val="24"/>
              </w:rPr>
            </w:pPr>
          </w:p>
        </w:tc>
        <w:tc>
          <w:tcPr>
            <w:tcW w:w="1848" w:type="dxa"/>
            <w:vAlign w:val="center"/>
          </w:tcPr>
          <w:p w14:paraId="38B6B4A2">
            <w:pPr>
              <w:widowControl/>
              <w:jc w:val="center"/>
              <w:rPr>
                <w:sz w:val="24"/>
                <w:szCs w:val="24"/>
              </w:rPr>
            </w:pPr>
          </w:p>
        </w:tc>
      </w:tr>
      <w:tr w14:paraId="78CC0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9E3D8DF">
            <w:pPr>
              <w:widowControl/>
              <w:jc w:val="left"/>
              <w:rPr>
                <w:kern w:val="0"/>
                <w:sz w:val="24"/>
                <w:szCs w:val="24"/>
              </w:rPr>
            </w:pPr>
          </w:p>
        </w:tc>
        <w:tc>
          <w:tcPr>
            <w:tcW w:w="1701" w:type="dxa"/>
            <w:vAlign w:val="center"/>
          </w:tcPr>
          <w:p w14:paraId="54743775">
            <w:pPr>
              <w:widowControl/>
              <w:jc w:val="center"/>
              <w:rPr>
                <w:kern w:val="0"/>
                <w:sz w:val="24"/>
                <w:szCs w:val="24"/>
              </w:rPr>
            </w:pPr>
          </w:p>
        </w:tc>
        <w:tc>
          <w:tcPr>
            <w:tcW w:w="2238" w:type="dxa"/>
            <w:vAlign w:val="center"/>
          </w:tcPr>
          <w:p w14:paraId="0F7A2644">
            <w:pPr>
              <w:widowControl/>
              <w:jc w:val="center"/>
              <w:rPr>
                <w:kern w:val="0"/>
                <w:sz w:val="24"/>
                <w:szCs w:val="24"/>
              </w:rPr>
            </w:pPr>
          </w:p>
        </w:tc>
        <w:tc>
          <w:tcPr>
            <w:tcW w:w="1848" w:type="dxa"/>
            <w:vAlign w:val="center"/>
          </w:tcPr>
          <w:p w14:paraId="29A93276">
            <w:pPr>
              <w:widowControl/>
              <w:jc w:val="center"/>
              <w:rPr>
                <w:sz w:val="24"/>
                <w:szCs w:val="24"/>
              </w:rPr>
            </w:pPr>
          </w:p>
        </w:tc>
      </w:tr>
      <w:tr w14:paraId="27525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042139B">
            <w:pPr>
              <w:widowControl/>
              <w:jc w:val="left"/>
              <w:rPr>
                <w:kern w:val="0"/>
                <w:sz w:val="24"/>
                <w:szCs w:val="24"/>
              </w:rPr>
            </w:pPr>
          </w:p>
        </w:tc>
        <w:tc>
          <w:tcPr>
            <w:tcW w:w="1701" w:type="dxa"/>
            <w:vAlign w:val="center"/>
          </w:tcPr>
          <w:p w14:paraId="643C47BC">
            <w:pPr>
              <w:widowControl/>
              <w:jc w:val="center"/>
              <w:rPr>
                <w:kern w:val="0"/>
                <w:sz w:val="24"/>
                <w:szCs w:val="24"/>
              </w:rPr>
            </w:pPr>
          </w:p>
        </w:tc>
        <w:tc>
          <w:tcPr>
            <w:tcW w:w="2238" w:type="dxa"/>
            <w:vAlign w:val="center"/>
          </w:tcPr>
          <w:p w14:paraId="247CAF3D">
            <w:pPr>
              <w:widowControl/>
              <w:jc w:val="center"/>
              <w:rPr>
                <w:kern w:val="0"/>
                <w:sz w:val="24"/>
                <w:szCs w:val="24"/>
              </w:rPr>
            </w:pPr>
          </w:p>
        </w:tc>
        <w:tc>
          <w:tcPr>
            <w:tcW w:w="1848" w:type="dxa"/>
            <w:vAlign w:val="center"/>
          </w:tcPr>
          <w:p w14:paraId="5E674405">
            <w:pPr>
              <w:widowControl/>
              <w:jc w:val="center"/>
              <w:rPr>
                <w:sz w:val="24"/>
                <w:szCs w:val="24"/>
              </w:rPr>
            </w:pPr>
          </w:p>
        </w:tc>
      </w:tr>
      <w:tr w14:paraId="31DC1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8739384">
            <w:pPr>
              <w:widowControl/>
              <w:jc w:val="left"/>
              <w:rPr>
                <w:sz w:val="24"/>
              </w:rPr>
            </w:pPr>
          </w:p>
        </w:tc>
        <w:tc>
          <w:tcPr>
            <w:tcW w:w="1701" w:type="dxa"/>
            <w:vAlign w:val="center"/>
          </w:tcPr>
          <w:p w14:paraId="336E3B96">
            <w:pPr>
              <w:widowControl/>
              <w:jc w:val="center"/>
              <w:rPr>
                <w:kern w:val="0"/>
                <w:sz w:val="24"/>
                <w:szCs w:val="24"/>
              </w:rPr>
            </w:pPr>
          </w:p>
        </w:tc>
        <w:tc>
          <w:tcPr>
            <w:tcW w:w="2238" w:type="dxa"/>
            <w:vAlign w:val="center"/>
          </w:tcPr>
          <w:p w14:paraId="5B9F82F6">
            <w:pPr>
              <w:widowControl/>
              <w:jc w:val="center"/>
              <w:rPr>
                <w:kern w:val="0"/>
                <w:sz w:val="24"/>
                <w:szCs w:val="24"/>
              </w:rPr>
            </w:pPr>
          </w:p>
        </w:tc>
        <w:tc>
          <w:tcPr>
            <w:tcW w:w="1848" w:type="dxa"/>
            <w:vAlign w:val="center"/>
          </w:tcPr>
          <w:p w14:paraId="73102295">
            <w:pPr>
              <w:widowControl/>
              <w:jc w:val="center"/>
              <w:rPr>
                <w:sz w:val="24"/>
                <w:szCs w:val="24"/>
              </w:rPr>
            </w:pPr>
          </w:p>
        </w:tc>
      </w:tr>
      <w:tr w14:paraId="13EB2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8CC7851">
            <w:pPr>
              <w:widowControl/>
              <w:jc w:val="left"/>
              <w:rPr>
                <w:sz w:val="24"/>
              </w:rPr>
            </w:pPr>
          </w:p>
        </w:tc>
        <w:tc>
          <w:tcPr>
            <w:tcW w:w="1701" w:type="dxa"/>
            <w:vAlign w:val="center"/>
          </w:tcPr>
          <w:p w14:paraId="2E5D720F">
            <w:pPr>
              <w:widowControl/>
              <w:jc w:val="center"/>
              <w:rPr>
                <w:kern w:val="0"/>
                <w:sz w:val="24"/>
                <w:szCs w:val="24"/>
              </w:rPr>
            </w:pPr>
          </w:p>
        </w:tc>
        <w:tc>
          <w:tcPr>
            <w:tcW w:w="2238" w:type="dxa"/>
            <w:vAlign w:val="center"/>
          </w:tcPr>
          <w:p w14:paraId="59FDDAC6">
            <w:pPr>
              <w:widowControl/>
              <w:jc w:val="center"/>
              <w:rPr>
                <w:kern w:val="0"/>
                <w:sz w:val="24"/>
                <w:szCs w:val="24"/>
              </w:rPr>
            </w:pPr>
          </w:p>
        </w:tc>
        <w:tc>
          <w:tcPr>
            <w:tcW w:w="1848" w:type="dxa"/>
            <w:vAlign w:val="center"/>
          </w:tcPr>
          <w:p w14:paraId="193498FC">
            <w:pPr>
              <w:widowControl/>
              <w:jc w:val="center"/>
              <w:rPr>
                <w:kern w:val="0"/>
                <w:sz w:val="24"/>
                <w:szCs w:val="24"/>
              </w:rPr>
            </w:pPr>
          </w:p>
        </w:tc>
      </w:tr>
      <w:tr w14:paraId="65F6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E2B0655">
            <w:pPr>
              <w:widowControl/>
              <w:jc w:val="left"/>
              <w:rPr>
                <w:sz w:val="24"/>
              </w:rPr>
            </w:pPr>
          </w:p>
        </w:tc>
        <w:tc>
          <w:tcPr>
            <w:tcW w:w="1701" w:type="dxa"/>
            <w:vAlign w:val="center"/>
          </w:tcPr>
          <w:p w14:paraId="5B07EDFA">
            <w:pPr>
              <w:widowControl/>
              <w:jc w:val="center"/>
              <w:rPr>
                <w:kern w:val="0"/>
                <w:sz w:val="24"/>
                <w:szCs w:val="24"/>
              </w:rPr>
            </w:pPr>
          </w:p>
        </w:tc>
        <w:tc>
          <w:tcPr>
            <w:tcW w:w="2238" w:type="dxa"/>
            <w:vAlign w:val="center"/>
          </w:tcPr>
          <w:p w14:paraId="09065C36">
            <w:pPr>
              <w:widowControl/>
              <w:jc w:val="center"/>
              <w:rPr>
                <w:kern w:val="0"/>
                <w:sz w:val="24"/>
                <w:szCs w:val="24"/>
              </w:rPr>
            </w:pPr>
          </w:p>
        </w:tc>
        <w:tc>
          <w:tcPr>
            <w:tcW w:w="1848" w:type="dxa"/>
            <w:vAlign w:val="center"/>
          </w:tcPr>
          <w:p w14:paraId="5F5B7261">
            <w:pPr>
              <w:widowControl/>
              <w:jc w:val="center"/>
              <w:rPr>
                <w:kern w:val="0"/>
                <w:sz w:val="24"/>
                <w:szCs w:val="24"/>
              </w:rPr>
            </w:pPr>
          </w:p>
        </w:tc>
      </w:tr>
      <w:tr w14:paraId="69188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2FCE3E4">
            <w:pPr>
              <w:widowControl/>
              <w:jc w:val="center"/>
              <w:rPr>
                <w:sz w:val="24"/>
              </w:rPr>
            </w:pPr>
          </w:p>
        </w:tc>
        <w:tc>
          <w:tcPr>
            <w:tcW w:w="1701" w:type="dxa"/>
            <w:vAlign w:val="center"/>
          </w:tcPr>
          <w:p w14:paraId="5B8C84FB">
            <w:pPr>
              <w:widowControl/>
              <w:jc w:val="center"/>
              <w:rPr>
                <w:kern w:val="0"/>
                <w:sz w:val="24"/>
                <w:szCs w:val="24"/>
              </w:rPr>
            </w:pPr>
          </w:p>
        </w:tc>
        <w:tc>
          <w:tcPr>
            <w:tcW w:w="2238" w:type="dxa"/>
            <w:vAlign w:val="center"/>
          </w:tcPr>
          <w:p w14:paraId="7C67E61C">
            <w:pPr>
              <w:widowControl/>
              <w:jc w:val="center"/>
              <w:rPr>
                <w:kern w:val="0"/>
                <w:sz w:val="24"/>
                <w:szCs w:val="24"/>
              </w:rPr>
            </w:pPr>
          </w:p>
        </w:tc>
        <w:tc>
          <w:tcPr>
            <w:tcW w:w="1848" w:type="dxa"/>
            <w:vAlign w:val="center"/>
          </w:tcPr>
          <w:p w14:paraId="6AC3AF95">
            <w:pPr>
              <w:widowControl/>
              <w:jc w:val="center"/>
              <w:rPr>
                <w:kern w:val="0"/>
                <w:sz w:val="24"/>
                <w:szCs w:val="24"/>
              </w:rPr>
            </w:pPr>
          </w:p>
        </w:tc>
      </w:tr>
    </w:tbl>
    <w:p w14:paraId="30DE5937">
      <w:pPr>
        <w:ind w:left="180"/>
        <w:rPr>
          <w:sz w:val="22"/>
          <w:szCs w:val="24"/>
        </w:rPr>
      </w:pPr>
      <w:r>
        <w:rPr>
          <w:sz w:val="22"/>
          <w:szCs w:val="24"/>
        </w:rPr>
        <w:t>注：1. 本表第一行填写本项目投标总价，须与附件</w:t>
      </w:r>
      <w:r>
        <w:rPr>
          <w:rFonts w:hint="eastAsia"/>
          <w:sz w:val="22"/>
          <w:szCs w:val="24"/>
        </w:rPr>
        <w:t>3-1</w:t>
      </w:r>
      <w:r>
        <w:rPr>
          <w:sz w:val="22"/>
          <w:szCs w:val="24"/>
        </w:rPr>
        <w:t>中投标总价保持一致。</w:t>
      </w:r>
    </w:p>
    <w:p w14:paraId="551E0385">
      <w:pPr>
        <w:ind w:left="180" w:firstLine="440" w:firstLineChars="200"/>
      </w:pPr>
      <w:r>
        <w:rPr>
          <w:sz w:val="22"/>
          <w:szCs w:val="24"/>
        </w:rPr>
        <w:t>2. 下面应填写分项价格及分项名称（分项名称可根据实际情况增减、修改），分项价格汇总应等于总价。</w:t>
      </w:r>
    </w:p>
    <w:p w14:paraId="047FB67B">
      <w:pPr>
        <w:spacing w:line="360" w:lineRule="auto"/>
        <w:ind w:firstLine="4080" w:firstLineChars="1700"/>
        <w:rPr>
          <w:sz w:val="24"/>
        </w:rPr>
      </w:pPr>
      <w:r>
        <w:rPr>
          <w:sz w:val="24"/>
        </w:rPr>
        <w:t>投标人名称：</w:t>
      </w:r>
    </w:p>
    <w:p w14:paraId="61A3E569">
      <w:pPr>
        <w:spacing w:line="360" w:lineRule="auto"/>
        <w:ind w:firstLine="4080" w:firstLineChars="1700"/>
        <w:rPr>
          <w:sz w:val="24"/>
        </w:rPr>
      </w:pPr>
    </w:p>
    <w:p w14:paraId="27DD1D0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B75509D">
      <w:pPr>
        <w:widowControl/>
        <w:jc w:val="left"/>
        <w:rPr>
          <w:sz w:val="24"/>
        </w:rPr>
      </w:pPr>
      <w:r>
        <w:rPr>
          <w:sz w:val="24"/>
        </w:rPr>
        <w:br w:type="page"/>
      </w:r>
    </w:p>
    <w:p w14:paraId="311764C9">
      <w:pPr>
        <w:tabs>
          <w:tab w:val="left" w:pos="360"/>
        </w:tabs>
        <w:spacing w:after="312" w:afterLines="100" w:line="360" w:lineRule="auto"/>
        <w:rPr>
          <w:b/>
          <w:sz w:val="24"/>
        </w:rPr>
      </w:pPr>
      <w:r>
        <w:rPr>
          <w:b/>
          <w:sz w:val="24"/>
        </w:rPr>
        <w:t>附件4</w:t>
      </w:r>
    </w:p>
    <w:p w14:paraId="66350A02">
      <w:pPr>
        <w:autoSpaceDN w:val="0"/>
        <w:spacing w:line="360" w:lineRule="auto"/>
        <w:jc w:val="center"/>
        <w:rPr>
          <w:b/>
          <w:bCs/>
          <w:sz w:val="24"/>
        </w:rPr>
      </w:pPr>
      <w:r>
        <w:rPr>
          <w:b/>
          <w:bCs/>
          <w:sz w:val="24"/>
        </w:rPr>
        <w:t>商务要求点对点应答表</w:t>
      </w:r>
    </w:p>
    <w:p w14:paraId="7FEC2BCB">
      <w:pPr>
        <w:spacing w:line="460" w:lineRule="exact"/>
        <w:rPr>
          <w:sz w:val="24"/>
        </w:rPr>
      </w:pPr>
    </w:p>
    <w:p w14:paraId="40C0543C">
      <w:pPr>
        <w:spacing w:line="460" w:lineRule="exact"/>
        <w:rPr>
          <w:sz w:val="24"/>
        </w:rPr>
      </w:pPr>
      <w:r>
        <w:rPr>
          <w:sz w:val="24"/>
        </w:rPr>
        <w:t>项目名称：</w:t>
      </w:r>
      <w:r>
        <w:rPr>
          <w:sz w:val="24"/>
          <w:u w:val="single"/>
        </w:rPr>
        <w:t xml:space="preserve">                    </w:t>
      </w:r>
    </w:p>
    <w:p w14:paraId="750F96FA">
      <w:pPr>
        <w:spacing w:line="460" w:lineRule="exact"/>
        <w:rPr>
          <w:sz w:val="24"/>
        </w:rPr>
      </w:pPr>
      <w:r>
        <w:rPr>
          <w:sz w:val="24"/>
        </w:rPr>
        <w:t>项目编号：</w:t>
      </w:r>
      <w:r>
        <w:rPr>
          <w:sz w:val="24"/>
          <w:u w:val="single"/>
        </w:rPr>
        <w:t xml:space="preserve">                    </w:t>
      </w:r>
    </w:p>
    <w:p w14:paraId="39F11A37">
      <w:pPr>
        <w:spacing w:line="460" w:lineRule="exact"/>
        <w:rPr>
          <w:sz w:val="24"/>
          <w:u w:val="single"/>
        </w:rPr>
      </w:pPr>
      <w:r>
        <w:rPr>
          <w:sz w:val="24"/>
        </w:rPr>
        <w:t>包号：</w:t>
      </w:r>
      <w:r>
        <w:rPr>
          <w:sz w:val="24"/>
          <w:u w:val="single"/>
        </w:rPr>
        <w:t xml:space="preserve">                        </w:t>
      </w:r>
    </w:p>
    <w:p w14:paraId="10B0FB77">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736E6FB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727C7E0">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C48CB94">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B97507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FADC1E2">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C94424B">
            <w:pPr>
              <w:widowControl/>
              <w:jc w:val="center"/>
              <w:rPr>
                <w:color w:val="000000"/>
                <w:kern w:val="0"/>
                <w:szCs w:val="21"/>
              </w:rPr>
            </w:pPr>
            <w:r>
              <w:rPr>
                <w:color w:val="000000"/>
                <w:kern w:val="0"/>
                <w:szCs w:val="21"/>
              </w:rPr>
              <w:t>备注</w:t>
            </w:r>
          </w:p>
        </w:tc>
      </w:tr>
      <w:tr w14:paraId="078178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4EDD06A">
            <w:pPr>
              <w:widowControl/>
              <w:jc w:val="left"/>
              <w:rPr>
                <w:color w:val="000000"/>
                <w:kern w:val="0"/>
                <w:szCs w:val="21"/>
              </w:rPr>
            </w:pPr>
            <w:r>
              <w:rPr>
                <w:color w:val="000000"/>
                <w:kern w:val="0"/>
                <w:szCs w:val="21"/>
              </w:rPr>
              <w:t>（一）报价要求</w:t>
            </w:r>
          </w:p>
        </w:tc>
      </w:tr>
      <w:tr w14:paraId="58DD19EF">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D5C517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93C80C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26C2C6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D68672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9D30807">
            <w:pPr>
              <w:widowControl/>
              <w:jc w:val="left"/>
              <w:rPr>
                <w:color w:val="000000"/>
                <w:kern w:val="0"/>
                <w:szCs w:val="21"/>
              </w:rPr>
            </w:pPr>
            <w:r>
              <w:rPr>
                <w:color w:val="000000"/>
                <w:kern w:val="0"/>
                <w:szCs w:val="21"/>
              </w:rPr>
              <w:t>　</w:t>
            </w:r>
          </w:p>
        </w:tc>
      </w:tr>
      <w:tr w14:paraId="1E75E04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10E5BC8">
            <w:pPr>
              <w:widowControl/>
              <w:jc w:val="left"/>
              <w:rPr>
                <w:color w:val="000000"/>
                <w:kern w:val="0"/>
                <w:szCs w:val="21"/>
              </w:rPr>
            </w:pPr>
            <w:r>
              <w:rPr>
                <w:color w:val="000000"/>
                <w:kern w:val="0"/>
                <w:szCs w:val="21"/>
              </w:rPr>
              <w:t>（二）服务要求</w:t>
            </w:r>
          </w:p>
        </w:tc>
      </w:tr>
      <w:tr w14:paraId="5B0611D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C55F18A">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390FFD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DD1AEB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942E05A">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C5C1226">
            <w:pPr>
              <w:widowControl/>
              <w:jc w:val="center"/>
              <w:rPr>
                <w:color w:val="000000"/>
                <w:kern w:val="0"/>
                <w:szCs w:val="21"/>
              </w:rPr>
            </w:pPr>
            <w:r>
              <w:rPr>
                <w:color w:val="000000"/>
                <w:kern w:val="0"/>
                <w:szCs w:val="21"/>
              </w:rPr>
              <w:t>　</w:t>
            </w:r>
          </w:p>
        </w:tc>
      </w:tr>
      <w:tr w14:paraId="3A4B16D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C73A61A">
            <w:pPr>
              <w:widowControl/>
              <w:jc w:val="left"/>
              <w:rPr>
                <w:color w:val="000000"/>
                <w:kern w:val="0"/>
                <w:szCs w:val="21"/>
              </w:rPr>
            </w:pPr>
            <w:r>
              <w:rPr>
                <w:color w:val="000000"/>
                <w:kern w:val="0"/>
                <w:szCs w:val="21"/>
              </w:rPr>
              <w:t>（三）时间、地点要求</w:t>
            </w:r>
          </w:p>
        </w:tc>
      </w:tr>
      <w:tr w14:paraId="7FB75F5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2F8C84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9BEA2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D1D7BC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CD9E6A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B6A1859">
            <w:pPr>
              <w:widowControl/>
              <w:jc w:val="left"/>
              <w:rPr>
                <w:color w:val="000000"/>
                <w:kern w:val="0"/>
                <w:szCs w:val="21"/>
              </w:rPr>
            </w:pPr>
            <w:r>
              <w:rPr>
                <w:color w:val="000000"/>
                <w:kern w:val="0"/>
                <w:szCs w:val="21"/>
              </w:rPr>
              <w:t>　</w:t>
            </w:r>
          </w:p>
        </w:tc>
      </w:tr>
      <w:tr w14:paraId="2E5090A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A10677C">
            <w:pPr>
              <w:widowControl/>
              <w:jc w:val="left"/>
              <w:rPr>
                <w:color w:val="000000"/>
                <w:kern w:val="0"/>
                <w:szCs w:val="21"/>
              </w:rPr>
            </w:pPr>
            <w:r>
              <w:rPr>
                <w:color w:val="000000"/>
                <w:kern w:val="0"/>
                <w:szCs w:val="21"/>
              </w:rPr>
              <w:t>（四）付款方式</w:t>
            </w:r>
          </w:p>
        </w:tc>
      </w:tr>
      <w:tr w14:paraId="3E480C2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960FC8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3A2FA5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99E435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4CB9AA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D9928B5">
            <w:pPr>
              <w:widowControl/>
              <w:jc w:val="left"/>
              <w:rPr>
                <w:color w:val="000000"/>
                <w:kern w:val="0"/>
                <w:szCs w:val="21"/>
              </w:rPr>
            </w:pPr>
            <w:r>
              <w:rPr>
                <w:color w:val="000000"/>
                <w:kern w:val="0"/>
                <w:szCs w:val="21"/>
              </w:rPr>
              <w:t>　</w:t>
            </w:r>
          </w:p>
        </w:tc>
      </w:tr>
      <w:tr w14:paraId="310F872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4AEF1D0">
            <w:pPr>
              <w:widowControl/>
              <w:jc w:val="left"/>
              <w:rPr>
                <w:color w:val="000000"/>
                <w:kern w:val="0"/>
                <w:szCs w:val="21"/>
              </w:rPr>
            </w:pPr>
            <w:r>
              <w:rPr>
                <w:color w:val="000000"/>
                <w:kern w:val="0"/>
                <w:szCs w:val="21"/>
              </w:rPr>
              <w:t>（五）投标保证金和履约保证金</w:t>
            </w:r>
          </w:p>
        </w:tc>
      </w:tr>
      <w:tr w14:paraId="25E04AD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60446C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04BAE4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F969E3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E8A682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1EEF43C">
            <w:pPr>
              <w:widowControl/>
              <w:jc w:val="left"/>
              <w:rPr>
                <w:color w:val="000000"/>
                <w:kern w:val="0"/>
                <w:szCs w:val="21"/>
              </w:rPr>
            </w:pPr>
            <w:r>
              <w:rPr>
                <w:color w:val="000000"/>
                <w:kern w:val="0"/>
                <w:szCs w:val="21"/>
              </w:rPr>
              <w:t>　</w:t>
            </w:r>
          </w:p>
        </w:tc>
      </w:tr>
    </w:tbl>
    <w:p w14:paraId="3E0AB691">
      <w:pPr>
        <w:spacing w:line="620" w:lineRule="exact"/>
        <w:rPr>
          <w:sz w:val="24"/>
        </w:rPr>
      </w:pPr>
      <w:r>
        <w:rPr>
          <w:sz w:val="24"/>
        </w:rPr>
        <w:t>注：</w:t>
      </w:r>
    </w:p>
    <w:p w14:paraId="03CF20D3">
      <w:pPr>
        <w:spacing w:line="360" w:lineRule="auto"/>
        <w:rPr>
          <w:sz w:val="24"/>
        </w:rPr>
      </w:pPr>
      <w:r>
        <w:rPr>
          <w:sz w:val="24"/>
        </w:rPr>
        <w:t>1. 不如实填写偏离情况的投标文件将视为虚假材料。</w:t>
      </w:r>
    </w:p>
    <w:p w14:paraId="5FEF5551">
      <w:pPr>
        <w:spacing w:line="360" w:lineRule="auto"/>
        <w:rPr>
          <w:sz w:val="24"/>
        </w:rPr>
      </w:pPr>
      <w:r>
        <w:rPr>
          <w:sz w:val="24"/>
        </w:rPr>
        <w:t>2. 招标要求指招标文件中规定的具体要求，投标应答指投标文件的具体内容。</w:t>
      </w:r>
    </w:p>
    <w:p w14:paraId="0D3CE8FA">
      <w:pPr>
        <w:spacing w:line="360" w:lineRule="auto"/>
        <w:rPr>
          <w:sz w:val="24"/>
        </w:rPr>
      </w:pPr>
      <w:r>
        <w:rPr>
          <w:sz w:val="24"/>
        </w:rPr>
        <w:t>4. 偏离说明指招标要求与投标应答之间的不同之处。</w:t>
      </w:r>
    </w:p>
    <w:p w14:paraId="581EFD8F">
      <w:pPr>
        <w:spacing w:line="360" w:lineRule="auto"/>
        <w:rPr>
          <w:sz w:val="24"/>
        </w:rPr>
      </w:pPr>
    </w:p>
    <w:p w14:paraId="06512E9D">
      <w:pPr>
        <w:spacing w:line="360" w:lineRule="auto"/>
        <w:ind w:firstLine="4080" w:firstLineChars="1700"/>
        <w:rPr>
          <w:sz w:val="24"/>
        </w:rPr>
      </w:pPr>
      <w:r>
        <w:rPr>
          <w:sz w:val="24"/>
        </w:rPr>
        <w:t>投标人名称：</w:t>
      </w:r>
    </w:p>
    <w:p w14:paraId="5FB3BEA2">
      <w:pPr>
        <w:spacing w:line="360" w:lineRule="auto"/>
        <w:ind w:firstLine="4080" w:firstLineChars="1700"/>
        <w:rPr>
          <w:sz w:val="24"/>
        </w:rPr>
      </w:pPr>
    </w:p>
    <w:p w14:paraId="02B7641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E1B758F">
      <w:pPr>
        <w:tabs>
          <w:tab w:val="left" w:pos="360"/>
        </w:tabs>
        <w:spacing w:after="312" w:afterLines="100" w:line="360" w:lineRule="auto"/>
        <w:rPr>
          <w:b/>
          <w:sz w:val="24"/>
        </w:rPr>
      </w:pPr>
      <w:r>
        <w:rPr>
          <w:sz w:val="24"/>
        </w:rPr>
        <w:br w:type="page"/>
      </w:r>
      <w:r>
        <w:rPr>
          <w:b/>
          <w:sz w:val="24"/>
        </w:rPr>
        <w:t>附件5</w:t>
      </w:r>
    </w:p>
    <w:p w14:paraId="6F3E7CBB">
      <w:pPr>
        <w:autoSpaceDN w:val="0"/>
        <w:spacing w:line="360" w:lineRule="auto"/>
        <w:jc w:val="center"/>
        <w:rPr>
          <w:b/>
          <w:bCs/>
          <w:sz w:val="24"/>
        </w:rPr>
      </w:pPr>
      <w:r>
        <w:rPr>
          <w:b/>
          <w:bCs/>
          <w:sz w:val="24"/>
        </w:rPr>
        <w:t>技术要求点对点应答表</w:t>
      </w:r>
    </w:p>
    <w:p w14:paraId="2DBCF932">
      <w:pPr>
        <w:spacing w:line="460" w:lineRule="exact"/>
        <w:rPr>
          <w:sz w:val="24"/>
        </w:rPr>
      </w:pPr>
    </w:p>
    <w:p w14:paraId="1C2AADCB">
      <w:pPr>
        <w:spacing w:line="460" w:lineRule="exact"/>
        <w:rPr>
          <w:sz w:val="24"/>
        </w:rPr>
      </w:pPr>
      <w:r>
        <w:rPr>
          <w:sz w:val="24"/>
        </w:rPr>
        <w:t>项目名称：</w:t>
      </w:r>
      <w:r>
        <w:rPr>
          <w:sz w:val="24"/>
          <w:u w:val="single"/>
        </w:rPr>
        <w:t xml:space="preserve">                    </w:t>
      </w:r>
    </w:p>
    <w:p w14:paraId="5B15A4B5">
      <w:pPr>
        <w:spacing w:line="460" w:lineRule="exact"/>
        <w:rPr>
          <w:sz w:val="24"/>
        </w:rPr>
      </w:pPr>
      <w:r>
        <w:rPr>
          <w:sz w:val="24"/>
        </w:rPr>
        <w:t>项目编号：</w:t>
      </w:r>
      <w:r>
        <w:rPr>
          <w:sz w:val="24"/>
          <w:u w:val="single"/>
        </w:rPr>
        <w:t xml:space="preserve">                    </w:t>
      </w:r>
    </w:p>
    <w:p w14:paraId="681C98E0">
      <w:pPr>
        <w:spacing w:line="460" w:lineRule="exact"/>
        <w:rPr>
          <w:sz w:val="24"/>
          <w:u w:val="single"/>
        </w:rPr>
      </w:pPr>
      <w:r>
        <w:rPr>
          <w:sz w:val="24"/>
        </w:rPr>
        <w:t>包号：</w:t>
      </w:r>
      <w:r>
        <w:rPr>
          <w:sz w:val="24"/>
          <w:u w:val="single"/>
        </w:rPr>
        <w:t xml:space="preserve">                        </w:t>
      </w:r>
    </w:p>
    <w:p w14:paraId="299E4B98">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5189C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2105E35">
            <w:pPr>
              <w:widowControl/>
              <w:snapToGrid w:val="0"/>
              <w:jc w:val="center"/>
              <w:rPr>
                <w:kern w:val="0"/>
                <w:sz w:val="24"/>
                <w:szCs w:val="21"/>
              </w:rPr>
            </w:pPr>
            <w:r>
              <w:rPr>
                <w:kern w:val="0"/>
                <w:sz w:val="24"/>
                <w:szCs w:val="21"/>
              </w:rPr>
              <w:t>序号</w:t>
            </w:r>
          </w:p>
        </w:tc>
        <w:tc>
          <w:tcPr>
            <w:tcW w:w="3922" w:type="dxa"/>
            <w:shd w:val="clear" w:color="auto" w:fill="auto"/>
            <w:vAlign w:val="center"/>
          </w:tcPr>
          <w:p w14:paraId="3C2A6DD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3FCA8F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C1958A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6CC9A25">
            <w:pPr>
              <w:widowControl/>
              <w:snapToGrid w:val="0"/>
              <w:jc w:val="center"/>
              <w:rPr>
                <w:kern w:val="0"/>
                <w:sz w:val="24"/>
                <w:szCs w:val="21"/>
              </w:rPr>
            </w:pPr>
            <w:r>
              <w:rPr>
                <w:kern w:val="0"/>
                <w:sz w:val="24"/>
                <w:szCs w:val="21"/>
              </w:rPr>
              <w:t>备注</w:t>
            </w:r>
          </w:p>
        </w:tc>
      </w:tr>
      <w:tr w14:paraId="028AF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3F9EE0">
            <w:pPr>
              <w:widowControl/>
              <w:snapToGrid w:val="0"/>
              <w:jc w:val="center"/>
              <w:rPr>
                <w:kern w:val="0"/>
                <w:sz w:val="24"/>
                <w:szCs w:val="21"/>
              </w:rPr>
            </w:pPr>
            <w:r>
              <w:rPr>
                <w:kern w:val="0"/>
                <w:sz w:val="24"/>
                <w:szCs w:val="21"/>
              </w:rPr>
              <w:t>1</w:t>
            </w:r>
          </w:p>
        </w:tc>
        <w:tc>
          <w:tcPr>
            <w:tcW w:w="3922" w:type="dxa"/>
            <w:shd w:val="clear" w:color="auto" w:fill="auto"/>
            <w:vAlign w:val="center"/>
          </w:tcPr>
          <w:p w14:paraId="45F996A4">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14:paraId="5467855E">
            <w:pPr>
              <w:widowControl/>
              <w:snapToGrid w:val="0"/>
              <w:jc w:val="center"/>
              <w:rPr>
                <w:kern w:val="0"/>
                <w:sz w:val="24"/>
                <w:szCs w:val="21"/>
              </w:rPr>
            </w:pPr>
          </w:p>
        </w:tc>
        <w:tc>
          <w:tcPr>
            <w:tcW w:w="1289" w:type="dxa"/>
            <w:shd w:val="clear" w:color="auto" w:fill="auto"/>
            <w:vAlign w:val="center"/>
          </w:tcPr>
          <w:p w14:paraId="7A2AC119">
            <w:pPr>
              <w:widowControl/>
              <w:snapToGrid w:val="0"/>
              <w:jc w:val="center"/>
              <w:rPr>
                <w:kern w:val="0"/>
                <w:sz w:val="24"/>
                <w:szCs w:val="21"/>
              </w:rPr>
            </w:pPr>
          </w:p>
        </w:tc>
        <w:tc>
          <w:tcPr>
            <w:tcW w:w="843" w:type="dxa"/>
            <w:shd w:val="clear" w:color="auto" w:fill="auto"/>
            <w:vAlign w:val="center"/>
          </w:tcPr>
          <w:p w14:paraId="0C109D0D">
            <w:pPr>
              <w:widowControl/>
              <w:snapToGrid w:val="0"/>
              <w:jc w:val="center"/>
              <w:rPr>
                <w:kern w:val="0"/>
                <w:sz w:val="24"/>
                <w:szCs w:val="21"/>
              </w:rPr>
            </w:pPr>
          </w:p>
        </w:tc>
      </w:tr>
      <w:tr w14:paraId="71114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ED2F54">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249DC276">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14:paraId="4BD3D654">
            <w:pPr>
              <w:widowControl/>
              <w:snapToGrid w:val="0"/>
              <w:jc w:val="center"/>
              <w:rPr>
                <w:kern w:val="0"/>
                <w:sz w:val="24"/>
                <w:szCs w:val="21"/>
              </w:rPr>
            </w:pPr>
          </w:p>
        </w:tc>
        <w:tc>
          <w:tcPr>
            <w:tcW w:w="1289" w:type="dxa"/>
            <w:shd w:val="clear" w:color="auto" w:fill="auto"/>
            <w:vAlign w:val="center"/>
          </w:tcPr>
          <w:p w14:paraId="3D34B451">
            <w:pPr>
              <w:widowControl/>
              <w:snapToGrid w:val="0"/>
              <w:jc w:val="center"/>
              <w:rPr>
                <w:kern w:val="0"/>
                <w:sz w:val="24"/>
                <w:szCs w:val="21"/>
              </w:rPr>
            </w:pPr>
          </w:p>
        </w:tc>
        <w:tc>
          <w:tcPr>
            <w:tcW w:w="843" w:type="dxa"/>
            <w:shd w:val="clear" w:color="auto" w:fill="auto"/>
            <w:vAlign w:val="center"/>
          </w:tcPr>
          <w:p w14:paraId="35EBDEA5">
            <w:pPr>
              <w:widowControl/>
              <w:snapToGrid w:val="0"/>
              <w:jc w:val="center"/>
              <w:rPr>
                <w:kern w:val="0"/>
                <w:sz w:val="24"/>
                <w:szCs w:val="21"/>
              </w:rPr>
            </w:pPr>
          </w:p>
        </w:tc>
      </w:tr>
      <w:tr w14:paraId="45079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1CBD65">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14:paraId="24B6F691">
            <w:pPr>
              <w:widowControl/>
              <w:snapToGrid w:val="0"/>
              <w:jc w:val="left"/>
              <w:rPr>
                <w:kern w:val="0"/>
                <w:sz w:val="24"/>
                <w:szCs w:val="21"/>
              </w:rPr>
            </w:pPr>
            <w:r>
              <w:rPr>
                <w:rFonts w:hint="eastAsia"/>
              </w:rPr>
              <w:t>★</w:t>
            </w:r>
            <w:r>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14:paraId="269B0FF9">
            <w:pPr>
              <w:widowControl/>
              <w:snapToGrid w:val="0"/>
              <w:jc w:val="center"/>
              <w:rPr>
                <w:kern w:val="0"/>
                <w:sz w:val="24"/>
                <w:szCs w:val="21"/>
              </w:rPr>
            </w:pPr>
          </w:p>
        </w:tc>
        <w:tc>
          <w:tcPr>
            <w:tcW w:w="1289" w:type="dxa"/>
            <w:shd w:val="clear" w:color="auto" w:fill="auto"/>
            <w:vAlign w:val="center"/>
          </w:tcPr>
          <w:p w14:paraId="4E113499">
            <w:pPr>
              <w:widowControl/>
              <w:snapToGrid w:val="0"/>
              <w:jc w:val="center"/>
              <w:rPr>
                <w:kern w:val="0"/>
                <w:sz w:val="24"/>
                <w:szCs w:val="21"/>
              </w:rPr>
            </w:pPr>
          </w:p>
        </w:tc>
        <w:tc>
          <w:tcPr>
            <w:tcW w:w="843" w:type="dxa"/>
            <w:shd w:val="clear" w:color="auto" w:fill="auto"/>
            <w:vAlign w:val="center"/>
          </w:tcPr>
          <w:p w14:paraId="0ABB91C6">
            <w:pPr>
              <w:widowControl/>
              <w:snapToGrid w:val="0"/>
              <w:jc w:val="center"/>
              <w:rPr>
                <w:kern w:val="0"/>
                <w:sz w:val="24"/>
                <w:szCs w:val="21"/>
              </w:rPr>
            </w:pPr>
          </w:p>
        </w:tc>
      </w:tr>
      <w:tr w14:paraId="6D9EA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1116B0">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14:paraId="2C2FF715">
            <w:pPr>
              <w:widowControl/>
              <w:snapToGrid w:val="0"/>
              <w:jc w:val="left"/>
              <w:rPr>
                <w:kern w:val="0"/>
                <w:sz w:val="24"/>
                <w:szCs w:val="21"/>
              </w:rPr>
            </w:pPr>
            <w:r>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14:paraId="3B0CC1D1">
            <w:pPr>
              <w:widowControl/>
              <w:snapToGrid w:val="0"/>
              <w:jc w:val="center"/>
              <w:rPr>
                <w:kern w:val="0"/>
                <w:sz w:val="24"/>
                <w:szCs w:val="21"/>
              </w:rPr>
            </w:pPr>
          </w:p>
        </w:tc>
        <w:tc>
          <w:tcPr>
            <w:tcW w:w="1289" w:type="dxa"/>
            <w:shd w:val="clear" w:color="auto" w:fill="auto"/>
            <w:vAlign w:val="center"/>
          </w:tcPr>
          <w:p w14:paraId="6972F9EB">
            <w:pPr>
              <w:widowControl/>
              <w:snapToGrid w:val="0"/>
              <w:jc w:val="center"/>
              <w:rPr>
                <w:kern w:val="0"/>
                <w:sz w:val="24"/>
                <w:szCs w:val="21"/>
              </w:rPr>
            </w:pPr>
          </w:p>
        </w:tc>
        <w:tc>
          <w:tcPr>
            <w:tcW w:w="843" w:type="dxa"/>
            <w:shd w:val="clear" w:color="auto" w:fill="auto"/>
            <w:vAlign w:val="center"/>
          </w:tcPr>
          <w:p w14:paraId="47AEE2B3">
            <w:pPr>
              <w:widowControl/>
              <w:snapToGrid w:val="0"/>
              <w:jc w:val="center"/>
              <w:rPr>
                <w:kern w:val="0"/>
                <w:sz w:val="24"/>
                <w:szCs w:val="21"/>
              </w:rPr>
            </w:pPr>
          </w:p>
        </w:tc>
      </w:tr>
      <w:tr w14:paraId="1714A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C4BD680">
            <w:pPr>
              <w:widowControl/>
              <w:snapToGrid w:val="0"/>
              <w:ind w:firstLine="360" w:firstLineChars="150"/>
              <w:rPr>
                <w:kern w:val="0"/>
                <w:sz w:val="24"/>
                <w:szCs w:val="21"/>
              </w:rPr>
            </w:pPr>
            <w:r>
              <w:rPr>
                <w:rFonts w:hint="eastAsia"/>
                <w:kern w:val="0"/>
                <w:sz w:val="24"/>
                <w:szCs w:val="21"/>
              </w:rPr>
              <w:t>5</w:t>
            </w:r>
            <w:r>
              <w:rPr>
                <w:kern w:val="0"/>
                <w:sz w:val="24"/>
                <w:szCs w:val="21"/>
              </w:rPr>
              <w:t>. 项目需求书要求</w:t>
            </w:r>
          </w:p>
        </w:tc>
      </w:tr>
      <w:tr w14:paraId="3862C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6B7EE7">
            <w:pPr>
              <w:widowControl/>
              <w:snapToGrid w:val="0"/>
              <w:jc w:val="center"/>
              <w:rPr>
                <w:kern w:val="0"/>
                <w:sz w:val="24"/>
                <w:szCs w:val="21"/>
              </w:rPr>
            </w:pPr>
            <w:r>
              <w:rPr>
                <w:kern w:val="0"/>
                <w:sz w:val="24"/>
                <w:szCs w:val="21"/>
              </w:rPr>
              <w:t>序号</w:t>
            </w:r>
          </w:p>
        </w:tc>
        <w:tc>
          <w:tcPr>
            <w:tcW w:w="3922" w:type="dxa"/>
            <w:shd w:val="clear" w:color="auto" w:fill="auto"/>
            <w:vAlign w:val="center"/>
          </w:tcPr>
          <w:p w14:paraId="0BFFE0E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95FC05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A87FFF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7AE3D60">
            <w:pPr>
              <w:widowControl/>
              <w:snapToGrid w:val="0"/>
              <w:jc w:val="center"/>
              <w:rPr>
                <w:kern w:val="0"/>
                <w:sz w:val="24"/>
                <w:szCs w:val="21"/>
              </w:rPr>
            </w:pPr>
            <w:r>
              <w:rPr>
                <w:kern w:val="0"/>
                <w:sz w:val="24"/>
                <w:szCs w:val="21"/>
              </w:rPr>
              <w:t>备注</w:t>
            </w:r>
          </w:p>
        </w:tc>
      </w:tr>
      <w:tr w14:paraId="1BCFB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630D329">
            <w:pPr>
              <w:widowControl/>
              <w:snapToGrid w:val="0"/>
              <w:jc w:val="center"/>
              <w:rPr>
                <w:kern w:val="0"/>
                <w:sz w:val="24"/>
                <w:szCs w:val="21"/>
              </w:rPr>
            </w:pPr>
          </w:p>
        </w:tc>
        <w:tc>
          <w:tcPr>
            <w:tcW w:w="3922" w:type="dxa"/>
            <w:shd w:val="clear" w:color="auto" w:fill="auto"/>
            <w:vAlign w:val="center"/>
          </w:tcPr>
          <w:p w14:paraId="3D318BE7">
            <w:pPr>
              <w:widowControl/>
              <w:snapToGrid w:val="0"/>
              <w:jc w:val="center"/>
              <w:rPr>
                <w:kern w:val="0"/>
                <w:sz w:val="24"/>
                <w:szCs w:val="21"/>
              </w:rPr>
            </w:pPr>
          </w:p>
        </w:tc>
        <w:tc>
          <w:tcPr>
            <w:tcW w:w="2438" w:type="dxa"/>
            <w:shd w:val="clear" w:color="auto" w:fill="auto"/>
            <w:vAlign w:val="center"/>
          </w:tcPr>
          <w:p w14:paraId="20A41E7F">
            <w:pPr>
              <w:widowControl/>
              <w:snapToGrid w:val="0"/>
              <w:jc w:val="center"/>
              <w:rPr>
                <w:kern w:val="0"/>
                <w:sz w:val="24"/>
                <w:szCs w:val="21"/>
              </w:rPr>
            </w:pPr>
          </w:p>
        </w:tc>
        <w:tc>
          <w:tcPr>
            <w:tcW w:w="1289" w:type="dxa"/>
            <w:shd w:val="clear" w:color="auto" w:fill="auto"/>
            <w:vAlign w:val="center"/>
          </w:tcPr>
          <w:p w14:paraId="24EE4A0A">
            <w:pPr>
              <w:widowControl/>
              <w:snapToGrid w:val="0"/>
              <w:jc w:val="center"/>
              <w:rPr>
                <w:kern w:val="0"/>
                <w:sz w:val="24"/>
                <w:szCs w:val="21"/>
              </w:rPr>
            </w:pPr>
          </w:p>
        </w:tc>
        <w:tc>
          <w:tcPr>
            <w:tcW w:w="843" w:type="dxa"/>
            <w:shd w:val="clear" w:color="auto" w:fill="auto"/>
            <w:vAlign w:val="center"/>
          </w:tcPr>
          <w:p w14:paraId="3F6C100D">
            <w:pPr>
              <w:widowControl/>
              <w:snapToGrid w:val="0"/>
              <w:jc w:val="center"/>
              <w:rPr>
                <w:kern w:val="0"/>
                <w:sz w:val="24"/>
                <w:szCs w:val="21"/>
              </w:rPr>
            </w:pPr>
          </w:p>
        </w:tc>
      </w:tr>
      <w:tr w14:paraId="5BBA3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F1D46D">
            <w:pPr>
              <w:widowControl/>
              <w:snapToGrid w:val="0"/>
              <w:jc w:val="center"/>
              <w:rPr>
                <w:kern w:val="0"/>
                <w:sz w:val="24"/>
                <w:szCs w:val="21"/>
              </w:rPr>
            </w:pPr>
          </w:p>
        </w:tc>
        <w:tc>
          <w:tcPr>
            <w:tcW w:w="3922" w:type="dxa"/>
            <w:shd w:val="clear" w:color="auto" w:fill="auto"/>
            <w:vAlign w:val="center"/>
          </w:tcPr>
          <w:p w14:paraId="799AF6F7">
            <w:pPr>
              <w:widowControl/>
              <w:snapToGrid w:val="0"/>
              <w:jc w:val="center"/>
              <w:rPr>
                <w:kern w:val="0"/>
                <w:sz w:val="24"/>
                <w:szCs w:val="21"/>
              </w:rPr>
            </w:pPr>
          </w:p>
        </w:tc>
        <w:tc>
          <w:tcPr>
            <w:tcW w:w="2438" w:type="dxa"/>
            <w:shd w:val="clear" w:color="auto" w:fill="auto"/>
            <w:vAlign w:val="center"/>
          </w:tcPr>
          <w:p w14:paraId="29D72F1F">
            <w:pPr>
              <w:widowControl/>
              <w:snapToGrid w:val="0"/>
              <w:jc w:val="center"/>
              <w:rPr>
                <w:kern w:val="0"/>
                <w:sz w:val="24"/>
                <w:szCs w:val="21"/>
              </w:rPr>
            </w:pPr>
          </w:p>
        </w:tc>
        <w:tc>
          <w:tcPr>
            <w:tcW w:w="1289" w:type="dxa"/>
            <w:shd w:val="clear" w:color="auto" w:fill="auto"/>
            <w:vAlign w:val="center"/>
          </w:tcPr>
          <w:p w14:paraId="42A0EDE0">
            <w:pPr>
              <w:widowControl/>
              <w:snapToGrid w:val="0"/>
              <w:jc w:val="center"/>
              <w:rPr>
                <w:kern w:val="0"/>
                <w:sz w:val="24"/>
                <w:szCs w:val="21"/>
              </w:rPr>
            </w:pPr>
          </w:p>
        </w:tc>
        <w:tc>
          <w:tcPr>
            <w:tcW w:w="843" w:type="dxa"/>
            <w:shd w:val="clear" w:color="auto" w:fill="auto"/>
            <w:vAlign w:val="center"/>
          </w:tcPr>
          <w:p w14:paraId="28F60B76">
            <w:pPr>
              <w:widowControl/>
              <w:snapToGrid w:val="0"/>
              <w:jc w:val="center"/>
              <w:rPr>
                <w:kern w:val="0"/>
                <w:sz w:val="24"/>
                <w:szCs w:val="21"/>
              </w:rPr>
            </w:pPr>
          </w:p>
        </w:tc>
      </w:tr>
      <w:tr w14:paraId="3A12D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04359A">
            <w:pPr>
              <w:widowControl/>
              <w:snapToGrid w:val="0"/>
              <w:jc w:val="center"/>
              <w:rPr>
                <w:kern w:val="0"/>
                <w:sz w:val="24"/>
                <w:szCs w:val="21"/>
              </w:rPr>
            </w:pPr>
          </w:p>
        </w:tc>
        <w:tc>
          <w:tcPr>
            <w:tcW w:w="3922" w:type="dxa"/>
            <w:shd w:val="clear" w:color="auto" w:fill="auto"/>
            <w:vAlign w:val="center"/>
          </w:tcPr>
          <w:p w14:paraId="09BE327A">
            <w:pPr>
              <w:widowControl/>
              <w:snapToGrid w:val="0"/>
              <w:jc w:val="center"/>
              <w:rPr>
                <w:kern w:val="0"/>
                <w:sz w:val="24"/>
                <w:szCs w:val="21"/>
              </w:rPr>
            </w:pPr>
          </w:p>
        </w:tc>
        <w:tc>
          <w:tcPr>
            <w:tcW w:w="2438" w:type="dxa"/>
            <w:shd w:val="clear" w:color="auto" w:fill="auto"/>
            <w:vAlign w:val="center"/>
          </w:tcPr>
          <w:p w14:paraId="29A6C8C9">
            <w:pPr>
              <w:widowControl/>
              <w:snapToGrid w:val="0"/>
              <w:jc w:val="center"/>
              <w:rPr>
                <w:kern w:val="0"/>
                <w:sz w:val="24"/>
                <w:szCs w:val="21"/>
              </w:rPr>
            </w:pPr>
          </w:p>
        </w:tc>
        <w:tc>
          <w:tcPr>
            <w:tcW w:w="1289" w:type="dxa"/>
            <w:shd w:val="clear" w:color="auto" w:fill="auto"/>
            <w:vAlign w:val="center"/>
          </w:tcPr>
          <w:p w14:paraId="1FA3D78F">
            <w:pPr>
              <w:widowControl/>
              <w:snapToGrid w:val="0"/>
              <w:jc w:val="center"/>
              <w:rPr>
                <w:kern w:val="0"/>
                <w:sz w:val="24"/>
                <w:szCs w:val="21"/>
              </w:rPr>
            </w:pPr>
          </w:p>
        </w:tc>
        <w:tc>
          <w:tcPr>
            <w:tcW w:w="843" w:type="dxa"/>
            <w:shd w:val="clear" w:color="auto" w:fill="auto"/>
            <w:vAlign w:val="center"/>
          </w:tcPr>
          <w:p w14:paraId="289BBF6B">
            <w:pPr>
              <w:widowControl/>
              <w:snapToGrid w:val="0"/>
              <w:jc w:val="center"/>
              <w:rPr>
                <w:kern w:val="0"/>
                <w:sz w:val="24"/>
                <w:szCs w:val="21"/>
              </w:rPr>
            </w:pPr>
          </w:p>
        </w:tc>
      </w:tr>
      <w:tr w14:paraId="13767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C83482">
            <w:pPr>
              <w:widowControl/>
              <w:snapToGrid w:val="0"/>
              <w:jc w:val="center"/>
              <w:rPr>
                <w:kern w:val="0"/>
                <w:sz w:val="24"/>
                <w:szCs w:val="21"/>
              </w:rPr>
            </w:pPr>
          </w:p>
        </w:tc>
        <w:tc>
          <w:tcPr>
            <w:tcW w:w="3922" w:type="dxa"/>
            <w:shd w:val="clear" w:color="auto" w:fill="auto"/>
            <w:vAlign w:val="center"/>
          </w:tcPr>
          <w:p w14:paraId="4AE199F4">
            <w:pPr>
              <w:widowControl/>
              <w:snapToGrid w:val="0"/>
              <w:jc w:val="center"/>
              <w:rPr>
                <w:kern w:val="0"/>
                <w:sz w:val="24"/>
                <w:szCs w:val="21"/>
              </w:rPr>
            </w:pPr>
          </w:p>
        </w:tc>
        <w:tc>
          <w:tcPr>
            <w:tcW w:w="2438" w:type="dxa"/>
            <w:shd w:val="clear" w:color="auto" w:fill="auto"/>
            <w:vAlign w:val="center"/>
          </w:tcPr>
          <w:p w14:paraId="0E5DA5A6">
            <w:pPr>
              <w:widowControl/>
              <w:snapToGrid w:val="0"/>
              <w:jc w:val="center"/>
              <w:rPr>
                <w:kern w:val="0"/>
                <w:sz w:val="24"/>
                <w:szCs w:val="21"/>
              </w:rPr>
            </w:pPr>
          </w:p>
        </w:tc>
        <w:tc>
          <w:tcPr>
            <w:tcW w:w="1289" w:type="dxa"/>
            <w:shd w:val="clear" w:color="auto" w:fill="auto"/>
            <w:vAlign w:val="center"/>
          </w:tcPr>
          <w:p w14:paraId="5A2B5216">
            <w:pPr>
              <w:widowControl/>
              <w:snapToGrid w:val="0"/>
              <w:jc w:val="center"/>
              <w:rPr>
                <w:kern w:val="0"/>
                <w:sz w:val="24"/>
                <w:szCs w:val="21"/>
              </w:rPr>
            </w:pPr>
          </w:p>
        </w:tc>
        <w:tc>
          <w:tcPr>
            <w:tcW w:w="843" w:type="dxa"/>
            <w:shd w:val="clear" w:color="auto" w:fill="auto"/>
            <w:vAlign w:val="center"/>
          </w:tcPr>
          <w:p w14:paraId="376A430B">
            <w:pPr>
              <w:widowControl/>
              <w:snapToGrid w:val="0"/>
              <w:jc w:val="center"/>
              <w:rPr>
                <w:kern w:val="0"/>
                <w:sz w:val="24"/>
                <w:szCs w:val="21"/>
              </w:rPr>
            </w:pPr>
          </w:p>
        </w:tc>
      </w:tr>
      <w:tr w14:paraId="76AA7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DE38FC">
            <w:pPr>
              <w:widowControl/>
              <w:snapToGrid w:val="0"/>
              <w:jc w:val="center"/>
              <w:rPr>
                <w:kern w:val="0"/>
                <w:sz w:val="24"/>
                <w:szCs w:val="21"/>
              </w:rPr>
            </w:pPr>
          </w:p>
        </w:tc>
        <w:tc>
          <w:tcPr>
            <w:tcW w:w="3922" w:type="dxa"/>
            <w:shd w:val="clear" w:color="auto" w:fill="auto"/>
            <w:vAlign w:val="center"/>
          </w:tcPr>
          <w:p w14:paraId="730E49A9">
            <w:pPr>
              <w:widowControl/>
              <w:snapToGrid w:val="0"/>
              <w:jc w:val="center"/>
              <w:rPr>
                <w:kern w:val="0"/>
                <w:sz w:val="24"/>
                <w:szCs w:val="21"/>
              </w:rPr>
            </w:pPr>
          </w:p>
        </w:tc>
        <w:tc>
          <w:tcPr>
            <w:tcW w:w="2438" w:type="dxa"/>
            <w:shd w:val="clear" w:color="auto" w:fill="auto"/>
            <w:vAlign w:val="center"/>
          </w:tcPr>
          <w:p w14:paraId="34818CCB">
            <w:pPr>
              <w:widowControl/>
              <w:snapToGrid w:val="0"/>
              <w:jc w:val="center"/>
              <w:rPr>
                <w:kern w:val="0"/>
                <w:sz w:val="24"/>
                <w:szCs w:val="21"/>
              </w:rPr>
            </w:pPr>
          </w:p>
        </w:tc>
        <w:tc>
          <w:tcPr>
            <w:tcW w:w="1289" w:type="dxa"/>
            <w:shd w:val="clear" w:color="auto" w:fill="auto"/>
            <w:vAlign w:val="center"/>
          </w:tcPr>
          <w:p w14:paraId="09ECAA55">
            <w:pPr>
              <w:widowControl/>
              <w:snapToGrid w:val="0"/>
              <w:jc w:val="center"/>
              <w:rPr>
                <w:kern w:val="0"/>
                <w:sz w:val="24"/>
                <w:szCs w:val="21"/>
              </w:rPr>
            </w:pPr>
          </w:p>
        </w:tc>
        <w:tc>
          <w:tcPr>
            <w:tcW w:w="843" w:type="dxa"/>
            <w:shd w:val="clear" w:color="auto" w:fill="auto"/>
            <w:vAlign w:val="center"/>
          </w:tcPr>
          <w:p w14:paraId="368586FC">
            <w:pPr>
              <w:widowControl/>
              <w:snapToGrid w:val="0"/>
              <w:jc w:val="center"/>
              <w:rPr>
                <w:kern w:val="0"/>
                <w:sz w:val="24"/>
                <w:szCs w:val="21"/>
              </w:rPr>
            </w:pPr>
          </w:p>
        </w:tc>
      </w:tr>
    </w:tbl>
    <w:p w14:paraId="1BC7B712">
      <w:pPr>
        <w:spacing w:line="620" w:lineRule="exact"/>
        <w:rPr>
          <w:sz w:val="24"/>
        </w:rPr>
      </w:pPr>
      <w:r>
        <w:rPr>
          <w:sz w:val="24"/>
        </w:rPr>
        <w:t>注：</w:t>
      </w:r>
    </w:p>
    <w:p w14:paraId="5A0BA2E3">
      <w:pPr>
        <w:spacing w:line="360" w:lineRule="auto"/>
        <w:rPr>
          <w:sz w:val="24"/>
        </w:rPr>
      </w:pPr>
      <w:r>
        <w:rPr>
          <w:sz w:val="24"/>
        </w:rPr>
        <w:t>1. 不如实填写偏离情况的投标文件将视为虚假材料。</w:t>
      </w:r>
    </w:p>
    <w:p w14:paraId="6E1F40C0">
      <w:pPr>
        <w:spacing w:line="360" w:lineRule="auto"/>
        <w:rPr>
          <w:sz w:val="24"/>
        </w:rPr>
      </w:pPr>
      <w:r>
        <w:rPr>
          <w:sz w:val="24"/>
        </w:rPr>
        <w:t>2. 招标要求指招标文件中规定的具体要求，投标应答指投标文件的具体内容。</w:t>
      </w:r>
    </w:p>
    <w:p w14:paraId="4A8ADA97">
      <w:pPr>
        <w:spacing w:line="360" w:lineRule="auto"/>
        <w:rPr>
          <w:sz w:val="24"/>
        </w:rPr>
      </w:pPr>
      <w:r>
        <w:rPr>
          <w:sz w:val="24"/>
        </w:rPr>
        <w:t>3. 偏离说明指招标要求与投标应答之间的不同之处。</w:t>
      </w:r>
    </w:p>
    <w:p w14:paraId="626D2E1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45CEEF3C">
      <w:pPr>
        <w:spacing w:line="360" w:lineRule="auto"/>
        <w:ind w:firstLine="4080" w:firstLineChars="1700"/>
        <w:rPr>
          <w:sz w:val="24"/>
        </w:rPr>
      </w:pPr>
      <w:r>
        <w:rPr>
          <w:sz w:val="24"/>
        </w:rPr>
        <w:t>投标人名称：</w:t>
      </w:r>
    </w:p>
    <w:p w14:paraId="481D14A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2CF1437">
      <w:pPr>
        <w:tabs>
          <w:tab w:val="left" w:pos="360"/>
        </w:tabs>
        <w:spacing w:after="312" w:afterLines="100" w:line="360" w:lineRule="auto"/>
        <w:rPr>
          <w:b/>
          <w:sz w:val="24"/>
        </w:rPr>
      </w:pPr>
      <w:r>
        <w:rPr>
          <w:sz w:val="24"/>
        </w:rPr>
        <w:br w:type="page"/>
      </w:r>
      <w:r>
        <w:rPr>
          <w:b/>
          <w:sz w:val="24"/>
        </w:rPr>
        <w:t>附件6</w:t>
      </w:r>
    </w:p>
    <w:p w14:paraId="4885DE70">
      <w:pPr>
        <w:autoSpaceDN w:val="0"/>
        <w:spacing w:line="360" w:lineRule="auto"/>
        <w:jc w:val="center"/>
        <w:rPr>
          <w:b/>
          <w:bCs/>
          <w:sz w:val="24"/>
        </w:rPr>
      </w:pPr>
      <w:r>
        <w:rPr>
          <w:b/>
          <w:sz w:val="24"/>
        </w:rPr>
        <w:t>主要相关项目业绩一览表</w:t>
      </w:r>
    </w:p>
    <w:p w14:paraId="3165F8FF">
      <w:pPr>
        <w:spacing w:line="460" w:lineRule="exact"/>
        <w:ind w:left="192"/>
        <w:rPr>
          <w:sz w:val="24"/>
        </w:rPr>
      </w:pPr>
    </w:p>
    <w:p w14:paraId="61C119A6">
      <w:pPr>
        <w:spacing w:line="460" w:lineRule="exact"/>
        <w:rPr>
          <w:sz w:val="24"/>
        </w:rPr>
      </w:pPr>
      <w:r>
        <w:rPr>
          <w:sz w:val="24"/>
        </w:rPr>
        <w:t>项目名称：</w:t>
      </w:r>
      <w:r>
        <w:rPr>
          <w:sz w:val="24"/>
          <w:u w:val="single"/>
        </w:rPr>
        <w:t xml:space="preserve">                    </w:t>
      </w:r>
    </w:p>
    <w:p w14:paraId="23D9AEB1">
      <w:pPr>
        <w:spacing w:line="460" w:lineRule="exact"/>
        <w:rPr>
          <w:sz w:val="24"/>
        </w:rPr>
      </w:pPr>
      <w:r>
        <w:rPr>
          <w:sz w:val="24"/>
        </w:rPr>
        <w:t>项目编号：</w:t>
      </w:r>
      <w:r>
        <w:rPr>
          <w:sz w:val="24"/>
          <w:u w:val="single"/>
        </w:rPr>
        <w:t xml:space="preserve">                    </w:t>
      </w:r>
    </w:p>
    <w:p w14:paraId="155A3CCC">
      <w:pPr>
        <w:spacing w:line="460" w:lineRule="exact"/>
        <w:rPr>
          <w:sz w:val="24"/>
          <w:u w:val="single"/>
        </w:rPr>
      </w:pPr>
      <w:r>
        <w:rPr>
          <w:sz w:val="24"/>
        </w:rPr>
        <w:t>包号：</w:t>
      </w:r>
      <w:r>
        <w:rPr>
          <w:sz w:val="24"/>
          <w:u w:val="single"/>
        </w:rPr>
        <w:t xml:space="preserve">                        </w:t>
      </w:r>
    </w:p>
    <w:p w14:paraId="4CB5AC6C">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C086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F0FCA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55592F2">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2CA8F66">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9EC29D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460B95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45BD8D5">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1E723AB">
            <w:pPr>
              <w:snapToGrid w:val="0"/>
              <w:jc w:val="center"/>
              <w:rPr>
                <w:sz w:val="24"/>
              </w:rPr>
            </w:pPr>
            <w:r>
              <w:rPr>
                <w:sz w:val="24"/>
              </w:rPr>
              <w:t>合同金额</w:t>
            </w:r>
          </w:p>
        </w:tc>
      </w:tr>
      <w:tr w14:paraId="42117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4A6B2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1DEA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A043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B65A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F035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9D2C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D5B7EB">
            <w:pPr>
              <w:snapToGrid w:val="0"/>
              <w:jc w:val="center"/>
              <w:rPr>
                <w:sz w:val="24"/>
              </w:rPr>
            </w:pPr>
          </w:p>
        </w:tc>
      </w:tr>
      <w:tr w14:paraId="1E960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DA466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ABD8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E298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9FA3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58D8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8CD7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9577ED">
            <w:pPr>
              <w:snapToGrid w:val="0"/>
              <w:jc w:val="center"/>
              <w:rPr>
                <w:sz w:val="24"/>
              </w:rPr>
            </w:pPr>
          </w:p>
        </w:tc>
      </w:tr>
      <w:tr w14:paraId="07202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3DE8B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ED47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FE4B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C8EC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A442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70B5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CF5ECF">
            <w:pPr>
              <w:snapToGrid w:val="0"/>
              <w:jc w:val="center"/>
              <w:rPr>
                <w:sz w:val="24"/>
              </w:rPr>
            </w:pPr>
          </w:p>
        </w:tc>
      </w:tr>
      <w:tr w14:paraId="68871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E4060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7A6D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D32C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DAFD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B3E5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7AB0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3243B3">
            <w:pPr>
              <w:snapToGrid w:val="0"/>
              <w:jc w:val="center"/>
              <w:rPr>
                <w:sz w:val="24"/>
              </w:rPr>
            </w:pPr>
          </w:p>
        </w:tc>
      </w:tr>
      <w:tr w14:paraId="625C3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710E07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AE3B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302E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1FA3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414A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01AE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00DDD1">
            <w:pPr>
              <w:snapToGrid w:val="0"/>
              <w:jc w:val="center"/>
              <w:rPr>
                <w:sz w:val="24"/>
              </w:rPr>
            </w:pPr>
          </w:p>
        </w:tc>
      </w:tr>
      <w:tr w14:paraId="23B5F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E9565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5DF5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FF73F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6E49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0C61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75666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57BE86">
            <w:pPr>
              <w:snapToGrid w:val="0"/>
              <w:jc w:val="center"/>
              <w:rPr>
                <w:sz w:val="24"/>
              </w:rPr>
            </w:pPr>
          </w:p>
        </w:tc>
      </w:tr>
      <w:tr w14:paraId="72FA5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2AF66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D340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3B05F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C3329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A02B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43C9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79055C">
            <w:pPr>
              <w:snapToGrid w:val="0"/>
              <w:jc w:val="center"/>
              <w:rPr>
                <w:sz w:val="24"/>
              </w:rPr>
            </w:pPr>
          </w:p>
        </w:tc>
      </w:tr>
      <w:tr w14:paraId="52A97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CD758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60BB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50FC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F627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D531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965BA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6AE483">
            <w:pPr>
              <w:snapToGrid w:val="0"/>
              <w:jc w:val="center"/>
              <w:rPr>
                <w:sz w:val="24"/>
              </w:rPr>
            </w:pPr>
          </w:p>
        </w:tc>
      </w:tr>
      <w:tr w14:paraId="1ADFC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55A7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8957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BF88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4681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4D22D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2F0D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DBDEAE">
            <w:pPr>
              <w:snapToGrid w:val="0"/>
              <w:jc w:val="center"/>
              <w:rPr>
                <w:sz w:val="24"/>
              </w:rPr>
            </w:pPr>
          </w:p>
        </w:tc>
      </w:tr>
      <w:tr w14:paraId="1EFF5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3DF3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FF6A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C1CB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DA7F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02EC1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CF11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F179B">
            <w:pPr>
              <w:snapToGrid w:val="0"/>
              <w:jc w:val="center"/>
              <w:rPr>
                <w:sz w:val="24"/>
              </w:rPr>
            </w:pPr>
          </w:p>
        </w:tc>
      </w:tr>
      <w:tr w14:paraId="32237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A244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90D8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4CDF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2AC1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34AD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E879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6F2726">
            <w:pPr>
              <w:snapToGrid w:val="0"/>
              <w:jc w:val="center"/>
              <w:rPr>
                <w:sz w:val="24"/>
              </w:rPr>
            </w:pPr>
          </w:p>
        </w:tc>
      </w:tr>
    </w:tbl>
    <w:p w14:paraId="220C99C9">
      <w:pPr>
        <w:spacing w:line="560" w:lineRule="exact"/>
        <w:rPr>
          <w:sz w:val="24"/>
        </w:rPr>
      </w:pPr>
      <w:r>
        <w:rPr>
          <w:sz w:val="24"/>
        </w:rPr>
        <w:t>备注：若招标文件第二部分评分因素及评标标准中要求提供业绩的，投标人所列业绩应按其要求将证明材料按顺序附后。</w:t>
      </w:r>
    </w:p>
    <w:p w14:paraId="09623E44">
      <w:pPr>
        <w:spacing w:line="560" w:lineRule="exact"/>
        <w:rPr>
          <w:sz w:val="24"/>
        </w:rPr>
      </w:pPr>
    </w:p>
    <w:p w14:paraId="7F38830C">
      <w:pPr>
        <w:spacing w:line="360" w:lineRule="auto"/>
        <w:ind w:firstLine="4080" w:firstLineChars="1700"/>
        <w:rPr>
          <w:sz w:val="24"/>
        </w:rPr>
      </w:pPr>
      <w:r>
        <w:rPr>
          <w:sz w:val="24"/>
        </w:rPr>
        <w:t>投标人名称：</w:t>
      </w:r>
    </w:p>
    <w:p w14:paraId="5555D019">
      <w:pPr>
        <w:spacing w:line="360" w:lineRule="auto"/>
        <w:ind w:firstLine="4080" w:firstLineChars="1700"/>
        <w:rPr>
          <w:sz w:val="24"/>
        </w:rPr>
      </w:pPr>
    </w:p>
    <w:p w14:paraId="742FB58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824420">
      <w:pPr>
        <w:spacing w:line="460" w:lineRule="exact"/>
        <w:rPr>
          <w:sz w:val="24"/>
        </w:rPr>
      </w:pPr>
    </w:p>
    <w:p w14:paraId="641E2FE4">
      <w:pPr>
        <w:widowControl/>
        <w:jc w:val="left"/>
        <w:rPr>
          <w:sz w:val="24"/>
        </w:rPr>
      </w:pPr>
      <w:r>
        <w:rPr>
          <w:sz w:val="24"/>
        </w:rPr>
        <w:br w:type="page"/>
      </w:r>
    </w:p>
    <w:p w14:paraId="7594D352">
      <w:pPr>
        <w:spacing w:line="480" w:lineRule="auto"/>
        <w:rPr>
          <w:b/>
          <w:color w:val="000000"/>
          <w:sz w:val="24"/>
        </w:rPr>
      </w:pPr>
      <w:r>
        <w:rPr>
          <w:rFonts w:hint="eastAsia"/>
          <w:b/>
          <w:color w:val="000000"/>
          <w:sz w:val="24"/>
        </w:rPr>
        <w:t>附件7-1</w:t>
      </w:r>
    </w:p>
    <w:p w14:paraId="2C2C4653">
      <w:pPr>
        <w:spacing w:line="480" w:lineRule="auto"/>
        <w:jc w:val="center"/>
        <w:rPr>
          <w:rFonts w:ascii="宋体" w:hAnsi="宋体"/>
          <w:b/>
          <w:color w:val="000000"/>
          <w:sz w:val="28"/>
        </w:rPr>
      </w:pPr>
      <w:r>
        <w:rPr>
          <w:rFonts w:hint="eastAsia"/>
          <w:b/>
          <w:color w:val="000000"/>
          <w:sz w:val="24"/>
        </w:rPr>
        <w:t>专业人员组成及任务分配</w:t>
      </w:r>
    </w:p>
    <w:p w14:paraId="26181C49">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1B35D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06B2AEAD">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4C07FBD8">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6B5AA009">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7BBD8E60">
            <w:pPr>
              <w:spacing w:line="440" w:lineRule="exact"/>
              <w:jc w:val="center"/>
              <w:rPr>
                <w:rFonts w:ascii="宋体" w:hAnsi="宋体"/>
                <w:b/>
                <w:bCs/>
                <w:color w:val="000000"/>
                <w:sz w:val="24"/>
              </w:rPr>
            </w:pPr>
            <w:r>
              <w:rPr>
                <w:rFonts w:hint="eastAsia" w:ascii="宋体" w:hAnsi="宋体"/>
                <w:b/>
                <w:bCs/>
                <w:color w:val="000000"/>
                <w:sz w:val="24"/>
              </w:rPr>
              <w:t>任务</w:t>
            </w:r>
          </w:p>
        </w:tc>
      </w:tr>
      <w:tr w14:paraId="662DB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48157064">
            <w:pPr>
              <w:spacing w:line="440" w:lineRule="exact"/>
              <w:rPr>
                <w:rFonts w:ascii="宋体" w:hAnsi="宋体"/>
                <w:color w:val="000000"/>
                <w:sz w:val="24"/>
              </w:rPr>
            </w:pPr>
          </w:p>
        </w:tc>
        <w:tc>
          <w:tcPr>
            <w:tcW w:w="2669" w:type="dxa"/>
            <w:tcBorders>
              <w:top w:val="nil"/>
            </w:tcBorders>
          </w:tcPr>
          <w:p w14:paraId="039604BD">
            <w:pPr>
              <w:spacing w:line="440" w:lineRule="exact"/>
              <w:rPr>
                <w:rFonts w:ascii="宋体" w:hAnsi="宋体"/>
                <w:color w:val="000000"/>
                <w:sz w:val="24"/>
              </w:rPr>
            </w:pPr>
          </w:p>
        </w:tc>
        <w:tc>
          <w:tcPr>
            <w:tcW w:w="1620" w:type="dxa"/>
            <w:tcBorders>
              <w:top w:val="nil"/>
            </w:tcBorders>
            <w:vAlign w:val="center"/>
          </w:tcPr>
          <w:p w14:paraId="60103E43">
            <w:pPr>
              <w:spacing w:line="440" w:lineRule="exact"/>
              <w:jc w:val="center"/>
              <w:rPr>
                <w:rFonts w:ascii="宋体" w:hAnsi="宋体"/>
                <w:color w:val="000000"/>
                <w:sz w:val="24"/>
              </w:rPr>
            </w:pPr>
          </w:p>
        </w:tc>
        <w:tc>
          <w:tcPr>
            <w:tcW w:w="2967" w:type="dxa"/>
            <w:tcBorders>
              <w:top w:val="nil"/>
            </w:tcBorders>
          </w:tcPr>
          <w:p w14:paraId="2FAC2476">
            <w:pPr>
              <w:spacing w:line="440" w:lineRule="exact"/>
              <w:rPr>
                <w:rFonts w:ascii="宋体" w:hAnsi="宋体"/>
                <w:color w:val="000000"/>
                <w:sz w:val="24"/>
              </w:rPr>
            </w:pPr>
          </w:p>
        </w:tc>
      </w:tr>
      <w:tr w14:paraId="59E06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4B3078E">
            <w:pPr>
              <w:spacing w:line="440" w:lineRule="exact"/>
              <w:rPr>
                <w:rFonts w:ascii="宋体" w:hAnsi="宋体"/>
                <w:color w:val="000000"/>
                <w:sz w:val="24"/>
              </w:rPr>
            </w:pPr>
          </w:p>
        </w:tc>
        <w:tc>
          <w:tcPr>
            <w:tcW w:w="2669" w:type="dxa"/>
          </w:tcPr>
          <w:p w14:paraId="3D18C665">
            <w:pPr>
              <w:spacing w:line="440" w:lineRule="exact"/>
              <w:rPr>
                <w:rFonts w:ascii="宋体" w:hAnsi="宋体"/>
                <w:color w:val="000000"/>
                <w:sz w:val="24"/>
              </w:rPr>
            </w:pPr>
          </w:p>
        </w:tc>
        <w:tc>
          <w:tcPr>
            <w:tcW w:w="1620" w:type="dxa"/>
            <w:vAlign w:val="center"/>
          </w:tcPr>
          <w:p w14:paraId="5691CC8E">
            <w:pPr>
              <w:spacing w:line="440" w:lineRule="exact"/>
              <w:jc w:val="center"/>
              <w:rPr>
                <w:rFonts w:ascii="宋体" w:hAnsi="宋体"/>
                <w:color w:val="000000"/>
                <w:sz w:val="24"/>
              </w:rPr>
            </w:pPr>
          </w:p>
        </w:tc>
        <w:tc>
          <w:tcPr>
            <w:tcW w:w="2967" w:type="dxa"/>
          </w:tcPr>
          <w:p w14:paraId="16A90AD8">
            <w:pPr>
              <w:spacing w:line="440" w:lineRule="exact"/>
              <w:rPr>
                <w:rFonts w:ascii="宋体" w:hAnsi="宋体"/>
                <w:color w:val="000000"/>
                <w:sz w:val="24"/>
              </w:rPr>
            </w:pPr>
          </w:p>
        </w:tc>
      </w:tr>
      <w:tr w14:paraId="7E136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87A5DCE">
            <w:pPr>
              <w:spacing w:line="440" w:lineRule="exact"/>
              <w:rPr>
                <w:rFonts w:ascii="宋体" w:hAnsi="宋体"/>
                <w:color w:val="000000"/>
                <w:sz w:val="24"/>
              </w:rPr>
            </w:pPr>
          </w:p>
        </w:tc>
        <w:tc>
          <w:tcPr>
            <w:tcW w:w="2669" w:type="dxa"/>
          </w:tcPr>
          <w:p w14:paraId="152376A7">
            <w:pPr>
              <w:spacing w:line="440" w:lineRule="exact"/>
              <w:rPr>
                <w:rFonts w:ascii="宋体" w:hAnsi="宋体"/>
                <w:color w:val="000000"/>
                <w:sz w:val="24"/>
              </w:rPr>
            </w:pPr>
          </w:p>
        </w:tc>
        <w:tc>
          <w:tcPr>
            <w:tcW w:w="1620" w:type="dxa"/>
            <w:vAlign w:val="center"/>
          </w:tcPr>
          <w:p w14:paraId="3A636E3A">
            <w:pPr>
              <w:spacing w:line="440" w:lineRule="exact"/>
              <w:jc w:val="center"/>
              <w:rPr>
                <w:rFonts w:ascii="宋体" w:hAnsi="宋体"/>
                <w:color w:val="000000"/>
                <w:sz w:val="24"/>
              </w:rPr>
            </w:pPr>
          </w:p>
        </w:tc>
        <w:tc>
          <w:tcPr>
            <w:tcW w:w="2967" w:type="dxa"/>
          </w:tcPr>
          <w:p w14:paraId="18974BB9">
            <w:pPr>
              <w:spacing w:line="440" w:lineRule="exact"/>
              <w:rPr>
                <w:rFonts w:ascii="宋体" w:hAnsi="宋体"/>
                <w:color w:val="000000"/>
                <w:sz w:val="24"/>
              </w:rPr>
            </w:pPr>
          </w:p>
        </w:tc>
      </w:tr>
      <w:tr w14:paraId="3464C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09B3B06">
            <w:pPr>
              <w:spacing w:line="440" w:lineRule="exact"/>
              <w:rPr>
                <w:rFonts w:ascii="宋体" w:hAnsi="宋体"/>
                <w:color w:val="000000"/>
                <w:sz w:val="24"/>
              </w:rPr>
            </w:pPr>
          </w:p>
        </w:tc>
        <w:tc>
          <w:tcPr>
            <w:tcW w:w="2669" w:type="dxa"/>
          </w:tcPr>
          <w:p w14:paraId="4310C937">
            <w:pPr>
              <w:spacing w:line="440" w:lineRule="exact"/>
              <w:rPr>
                <w:rFonts w:ascii="宋体" w:hAnsi="宋体"/>
                <w:color w:val="000000"/>
                <w:sz w:val="24"/>
              </w:rPr>
            </w:pPr>
          </w:p>
        </w:tc>
        <w:tc>
          <w:tcPr>
            <w:tcW w:w="1620" w:type="dxa"/>
            <w:vAlign w:val="center"/>
          </w:tcPr>
          <w:p w14:paraId="49D3D730">
            <w:pPr>
              <w:spacing w:line="440" w:lineRule="exact"/>
              <w:jc w:val="center"/>
              <w:rPr>
                <w:rFonts w:ascii="宋体" w:hAnsi="宋体"/>
                <w:color w:val="000000"/>
                <w:sz w:val="24"/>
              </w:rPr>
            </w:pPr>
          </w:p>
        </w:tc>
        <w:tc>
          <w:tcPr>
            <w:tcW w:w="2967" w:type="dxa"/>
          </w:tcPr>
          <w:p w14:paraId="54715423">
            <w:pPr>
              <w:spacing w:line="440" w:lineRule="exact"/>
              <w:rPr>
                <w:rFonts w:ascii="宋体" w:hAnsi="宋体"/>
                <w:color w:val="000000"/>
                <w:sz w:val="24"/>
              </w:rPr>
            </w:pPr>
          </w:p>
        </w:tc>
      </w:tr>
      <w:tr w14:paraId="4B29C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B77328B">
            <w:pPr>
              <w:spacing w:line="440" w:lineRule="exact"/>
              <w:rPr>
                <w:rFonts w:ascii="宋体" w:hAnsi="宋体"/>
                <w:color w:val="000000"/>
                <w:sz w:val="24"/>
              </w:rPr>
            </w:pPr>
          </w:p>
        </w:tc>
        <w:tc>
          <w:tcPr>
            <w:tcW w:w="2669" w:type="dxa"/>
          </w:tcPr>
          <w:p w14:paraId="4B66E7CE">
            <w:pPr>
              <w:spacing w:line="440" w:lineRule="exact"/>
              <w:rPr>
                <w:rFonts w:ascii="宋体" w:hAnsi="宋体"/>
                <w:color w:val="000000"/>
                <w:sz w:val="24"/>
              </w:rPr>
            </w:pPr>
          </w:p>
        </w:tc>
        <w:tc>
          <w:tcPr>
            <w:tcW w:w="1620" w:type="dxa"/>
            <w:vAlign w:val="center"/>
          </w:tcPr>
          <w:p w14:paraId="2E1C894B">
            <w:pPr>
              <w:spacing w:line="440" w:lineRule="exact"/>
              <w:jc w:val="center"/>
              <w:rPr>
                <w:rFonts w:ascii="宋体" w:hAnsi="宋体"/>
                <w:color w:val="000000"/>
                <w:sz w:val="24"/>
              </w:rPr>
            </w:pPr>
          </w:p>
        </w:tc>
        <w:tc>
          <w:tcPr>
            <w:tcW w:w="2967" w:type="dxa"/>
          </w:tcPr>
          <w:p w14:paraId="39EA0862">
            <w:pPr>
              <w:spacing w:line="440" w:lineRule="exact"/>
              <w:rPr>
                <w:rFonts w:ascii="宋体" w:hAnsi="宋体"/>
                <w:color w:val="000000"/>
                <w:sz w:val="24"/>
              </w:rPr>
            </w:pPr>
          </w:p>
        </w:tc>
      </w:tr>
      <w:tr w14:paraId="4ECED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4DD481">
            <w:pPr>
              <w:spacing w:line="440" w:lineRule="exact"/>
              <w:rPr>
                <w:rFonts w:ascii="宋体" w:hAnsi="宋体"/>
                <w:color w:val="000000"/>
                <w:sz w:val="24"/>
              </w:rPr>
            </w:pPr>
          </w:p>
        </w:tc>
        <w:tc>
          <w:tcPr>
            <w:tcW w:w="2669" w:type="dxa"/>
          </w:tcPr>
          <w:p w14:paraId="676AE783">
            <w:pPr>
              <w:spacing w:line="440" w:lineRule="exact"/>
              <w:rPr>
                <w:rFonts w:ascii="宋体" w:hAnsi="宋体"/>
                <w:color w:val="000000"/>
                <w:sz w:val="24"/>
              </w:rPr>
            </w:pPr>
          </w:p>
        </w:tc>
        <w:tc>
          <w:tcPr>
            <w:tcW w:w="1620" w:type="dxa"/>
            <w:vAlign w:val="center"/>
          </w:tcPr>
          <w:p w14:paraId="5A1300D4">
            <w:pPr>
              <w:spacing w:line="440" w:lineRule="exact"/>
              <w:jc w:val="center"/>
              <w:rPr>
                <w:rFonts w:ascii="宋体" w:hAnsi="宋体"/>
                <w:color w:val="000000"/>
                <w:sz w:val="24"/>
              </w:rPr>
            </w:pPr>
          </w:p>
        </w:tc>
        <w:tc>
          <w:tcPr>
            <w:tcW w:w="2967" w:type="dxa"/>
          </w:tcPr>
          <w:p w14:paraId="7CDC7742">
            <w:pPr>
              <w:spacing w:line="440" w:lineRule="exact"/>
              <w:rPr>
                <w:rFonts w:ascii="宋体" w:hAnsi="宋体"/>
                <w:color w:val="000000"/>
                <w:sz w:val="24"/>
              </w:rPr>
            </w:pPr>
          </w:p>
        </w:tc>
      </w:tr>
      <w:tr w14:paraId="4C3C6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D2A9567">
            <w:pPr>
              <w:spacing w:line="440" w:lineRule="exact"/>
              <w:rPr>
                <w:rFonts w:ascii="宋体" w:hAnsi="宋体"/>
                <w:color w:val="000000"/>
                <w:sz w:val="24"/>
              </w:rPr>
            </w:pPr>
          </w:p>
        </w:tc>
        <w:tc>
          <w:tcPr>
            <w:tcW w:w="2669" w:type="dxa"/>
          </w:tcPr>
          <w:p w14:paraId="025898E0">
            <w:pPr>
              <w:spacing w:line="440" w:lineRule="exact"/>
              <w:rPr>
                <w:rFonts w:ascii="宋体" w:hAnsi="宋体"/>
                <w:color w:val="000000"/>
                <w:sz w:val="24"/>
              </w:rPr>
            </w:pPr>
          </w:p>
        </w:tc>
        <w:tc>
          <w:tcPr>
            <w:tcW w:w="1620" w:type="dxa"/>
            <w:vAlign w:val="center"/>
          </w:tcPr>
          <w:p w14:paraId="7C6AAE6E">
            <w:pPr>
              <w:spacing w:line="440" w:lineRule="exact"/>
              <w:jc w:val="center"/>
              <w:rPr>
                <w:rFonts w:ascii="宋体" w:hAnsi="宋体"/>
                <w:color w:val="000000"/>
                <w:sz w:val="24"/>
              </w:rPr>
            </w:pPr>
          </w:p>
        </w:tc>
        <w:tc>
          <w:tcPr>
            <w:tcW w:w="2967" w:type="dxa"/>
          </w:tcPr>
          <w:p w14:paraId="516055A3">
            <w:pPr>
              <w:spacing w:line="440" w:lineRule="exact"/>
              <w:rPr>
                <w:rFonts w:ascii="宋体" w:hAnsi="宋体"/>
                <w:color w:val="000000"/>
                <w:sz w:val="24"/>
              </w:rPr>
            </w:pPr>
          </w:p>
        </w:tc>
      </w:tr>
      <w:tr w14:paraId="39303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402501E">
            <w:pPr>
              <w:spacing w:line="440" w:lineRule="exact"/>
              <w:rPr>
                <w:rFonts w:ascii="宋体" w:hAnsi="宋体"/>
                <w:color w:val="000000"/>
                <w:sz w:val="24"/>
              </w:rPr>
            </w:pPr>
          </w:p>
        </w:tc>
        <w:tc>
          <w:tcPr>
            <w:tcW w:w="2669" w:type="dxa"/>
          </w:tcPr>
          <w:p w14:paraId="29114145">
            <w:pPr>
              <w:spacing w:line="440" w:lineRule="exact"/>
              <w:rPr>
                <w:rFonts w:ascii="宋体" w:hAnsi="宋体"/>
                <w:color w:val="000000"/>
                <w:sz w:val="24"/>
              </w:rPr>
            </w:pPr>
          </w:p>
        </w:tc>
        <w:tc>
          <w:tcPr>
            <w:tcW w:w="1620" w:type="dxa"/>
            <w:vAlign w:val="center"/>
          </w:tcPr>
          <w:p w14:paraId="397E3336">
            <w:pPr>
              <w:spacing w:line="440" w:lineRule="exact"/>
              <w:jc w:val="center"/>
              <w:rPr>
                <w:rFonts w:ascii="宋体" w:hAnsi="宋体"/>
                <w:color w:val="000000"/>
                <w:sz w:val="24"/>
              </w:rPr>
            </w:pPr>
          </w:p>
        </w:tc>
        <w:tc>
          <w:tcPr>
            <w:tcW w:w="2967" w:type="dxa"/>
          </w:tcPr>
          <w:p w14:paraId="36758387">
            <w:pPr>
              <w:spacing w:line="440" w:lineRule="exact"/>
              <w:rPr>
                <w:rFonts w:ascii="宋体" w:hAnsi="宋体"/>
                <w:color w:val="000000"/>
                <w:sz w:val="24"/>
              </w:rPr>
            </w:pPr>
          </w:p>
        </w:tc>
      </w:tr>
      <w:tr w14:paraId="6B68E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0A184FB">
            <w:pPr>
              <w:spacing w:line="440" w:lineRule="exact"/>
              <w:rPr>
                <w:rFonts w:ascii="宋体" w:hAnsi="宋体"/>
                <w:color w:val="000000"/>
                <w:sz w:val="24"/>
              </w:rPr>
            </w:pPr>
          </w:p>
        </w:tc>
        <w:tc>
          <w:tcPr>
            <w:tcW w:w="2669" w:type="dxa"/>
          </w:tcPr>
          <w:p w14:paraId="081A5097">
            <w:pPr>
              <w:spacing w:line="440" w:lineRule="exact"/>
              <w:rPr>
                <w:rFonts w:ascii="宋体" w:hAnsi="宋体"/>
                <w:color w:val="000000"/>
                <w:sz w:val="24"/>
              </w:rPr>
            </w:pPr>
          </w:p>
        </w:tc>
        <w:tc>
          <w:tcPr>
            <w:tcW w:w="1620" w:type="dxa"/>
            <w:vAlign w:val="center"/>
          </w:tcPr>
          <w:p w14:paraId="74136E9A">
            <w:pPr>
              <w:spacing w:line="440" w:lineRule="exact"/>
              <w:jc w:val="center"/>
              <w:rPr>
                <w:rFonts w:ascii="宋体" w:hAnsi="宋体"/>
                <w:color w:val="000000"/>
                <w:sz w:val="24"/>
              </w:rPr>
            </w:pPr>
          </w:p>
        </w:tc>
        <w:tc>
          <w:tcPr>
            <w:tcW w:w="2967" w:type="dxa"/>
          </w:tcPr>
          <w:p w14:paraId="14923DDB">
            <w:pPr>
              <w:spacing w:line="440" w:lineRule="exact"/>
              <w:rPr>
                <w:rFonts w:ascii="宋体" w:hAnsi="宋体"/>
                <w:color w:val="000000"/>
                <w:sz w:val="24"/>
              </w:rPr>
            </w:pPr>
          </w:p>
        </w:tc>
      </w:tr>
      <w:tr w14:paraId="7C310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738FAD2">
            <w:pPr>
              <w:spacing w:line="440" w:lineRule="exact"/>
              <w:rPr>
                <w:rFonts w:ascii="宋体" w:hAnsi="宋体"/>
                <w:color w:val="000000"/>
                <w:sz w:val="24"/>
              </w:rPr>
            </w:pPr>
          </w:p>
        </w:tc>
        <w:tc>
          <w:tcPr>
            <w:tcW w:w="2669" w:type="dxa"/>
          </w:tcPr>
          <w:p w14:paraId="0FFC56C1">
            <w:pPr>
              <w:spacing w:line="440" w:lineRule="exact"/>
              <w:rPr>
                <w:rFonts w:ascii="宋体" w:hAnsi="宋体"/>
                <w:color w:val="000000"/>
                <w:sz w:val="24"/>
              </w:rPr>
            </w:pPr>
          </w:p>
        </w:tc>
        <w:tc>
          <w:tcPr>
            <w:tcW w:w="1620" w:type="dxa"/>
            <w:vAlign w:val="center"/>
          </w:tcPr>
          <w:p w14:paraId="56841E27">
            <w:pPr>
              <w:spacing w:line="440" w:lineRule="exact"/>
              <w:jc w:val="center"/>
              <w:rPr>
                <w:rFonts w:ascii="宋体" w:hAnsi="宋体"/>
                <w:color w:val="000000"/>
                <w:sz w:val="24"/>
              </w:rPr>
            </w:pPr>
          </w:p>
        </w:tc>
        <w:tc>
          <w:tcPr>
            <w:tcW w:w="2967" w:type="dxa"/>
          </w:tcPr>
          <w:p w14:paraId="06EE4606">
            <w:pPr>
              <w:spacing w:line="440" w:lineRule="exact"/>
              <w:rPr>
                <w:rFonts w:ascii="宋体" w:hAnsi="宋体"/>
                <w:color w:val="000000"/>
                <w:sz w:val="24"/>
              </w:rPr>
            </w:pPr>
          </w:p>
        </w:tc>
      </w:tr>
      <w:tr w14:paraId="07700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75DE055">
            <w:pPr>
              <w:spacing w:line="440" w:lineRule="exact"/>
              <w:rPr>
                <w:rFonts w:ascii="宋体" w:hAnsi="宋体"/>
                <w:color w:val="000000"/>
                <w:sz w:val="24"/>
              </w:rPr>
            </w:pPr>
          </w:p>
        </w:tc>
        <w:tc>
          <w:tcPr>
            <w:tcW w:w="2669" w:type="dxa"/>
          </w:tcPr>
          <w:p w14:paraId="46818821">
            <w:pPr>
              <w:spacing w:line="440" w:lineRule="exact"/>
              <w:rPr>
                <w:rFonts w:ascii="宋体" w:hAnsi="宋体"/>
                <w:color w:val="000000"/>
                <w:sz w:val="24"/>
              </w:rPr>
            </w:pPr>
          </w:p>
        </w:tc>
        <w:tc>
          <w:tcPr>
            <w:tcW w:w="1620" w:type="dxa"/>
            <w:vAlign w:val="center"/>
          </w:tcPr>
          <w:p w14:paraId="7E7D9149">
            <w:pPr>
              <w:spacing w:line="440" w:lineRule="exact"/>
              <w:jc w:val="center"/>
              <w:rPr>
                <w:rFonts w:ascii="宋体" w:hAnsi="宋体"/>
                <w:color w:val="000000"/>
                <w:sz w:val="24"/>
              </w:rPr>
            </w:pPr>
          </w:p>
        </w:tc>
        <w:tc>
          <w:tcPr>
            <w:tcW w:w="2967" w:type="dxa"/>
          </w:tcPr>
          <w:p w14:paraId="52741CE5">
            <w:pPr>
              <w:spacing w:line="440" w:lineRule="exact"/>
              <w:rPr>
                <w:rFonts w:ascii="宋体" w:hAnsi="宋体"/>
                <w:color w:val="000000"/>
                <w:sz w:val="24"/>
              </w:rPr>
            </w:pPr>
          </w:p>
        </w:tc>
      </w:tr>
      <w:tr w14:paraId="0DEFD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BE9950D">
            <w:pPr>
              <w:spacing w:line="440" w:lineRule="exact"/>
              <w:rPr>
                <w:rFonts w:ascii="宋体" w:hAnsi="宋体"/>
                <w:color w:val="000000"/>
                <w:sz w:val="24"/>
              </w:rPr>
            </w:pPr>
          </w:p>
        </w:tc>
        <w:tc>
          <w:tcPr>
            <w:tcW w:w="2669" w:type="dxa"/>
          </w:tcPr>
          <w:p w14:paraId="50148DAF">
            <w:pPr>
              <w:spacing w:line="440" w:lineRule="exact"/>
              <w:rPr>
                <w:rFonts w:ascii="宋体" w:hAnsi="宋体"/>
                <w:color w:val="000000"/>
                <w:sz w:val="24"/>
              </w:rPr>
            </w:pPr>
          </w:p>
        </w:tc>
        <w:tc>
          <w:tcPr>
            <w:tcW w:w="1620" w:type="dxa"/>
            <w:vAlign w:val="center"/>
          </w:tcPr>
          <w:p w14:paraId="0D13EB04">
            <w:pPr>
              <w:spacing w:line="440" w:lineRule="exact"/>
              <w:jc w:val="center"/>
              <w:rPr>
                <w:rFonts w:ascii="宋体" w:hAnsi="宋体"/>
                <w:color w:val="000000"/>
                <w:sz w:val="24"/>
              </w:rPr>
            </w:pPr>
          </w:p>
        </w:tc>
        <w:tc>
          <w:tcPr>
            <w:tcW w:w="2967" w:type="dxa"/>
          </w:tcPr>
          <w:p w14:paraId="1AFEBCDE">
            <w:pPr>
              <w:spacing w:line="440" w:lineRule="exact"/>
              <w:rPr>
                <w:rFonts w:ascii="宋体" w:hAnsi="宋体"/>
                <w:color w:val="000000"/>
                <w:sz w:val="24"/>
              </w:rPr>
            </w:pPr>
          </w:p>
        </w:tc>
      </w:tr>
      <w:tr w14:paraId="7AC0D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1243F4">
            <w:pPr>
              <w:spacing w:line="440" w:lineRule="exact"/>
              <w:rPr>
                <w:rFonts w:ascii="宋体" w:hAnsi="宋体"/>
                <w:color w:val="000000"/>
                <w:sz w:val="24"/>
              </w:rPr>
            </w:pPr>
          </w:p>
        </w:tc>
        <w:tc>
          <w:tcPr>
            <w:tcW w:w="2669" w:type="dxa"/>
          </w:tcPr>
          <w:p w14:paraId="59FA1484">
            <w:pPr>
              <w:spacing w:line="440" w:lineRule="exact"/>
              <w:rPr>
                <w:rFonts w:ascii="宋体" w:hAnsi="宋体"/>
                <w:color w:val="000000"/>
                <w:sz w:val="24"/>
              </w:rPr>
            </w:pPr>
          </w:p>
        </w:tc>
        <w:tc>
          <w:tcPr>
            <w:tcW w:w="1620" w:type="dxa"/>
            <w:vAlign w:val="center"/>
          </w:tcPr>
          <w:p w14:paraId="13EA04AC">
            <w:pPr>
              <w:spacing w:line="440" w:lineRule="exact"/>
              <w:jc w:val="center"/>
              <w:rPr>
                <w:rFonts w:ascii="宋体" w:hAnsi="宋体"/>
                <w:color w:val="000000"/>
                <w:sz w:val="24"/>
              </w:rPr>
            </w:pPr>
          </w:p>
        </w:tc>
        <w:tc>
          <w:tcPr>
            <w:tcW w:w="2967" w:type="dxa"/>
          </w:tcPr>
          <w:p w14:paraId="23A3FD48">
            <w:pPr>
              <w:spacing w:line="440" w:lineRule="exact"/>
              <w:rPr>
                <w:rFonts w:ascii="宋体" w:hAnsi="宋体"/>
                <w:color w:val="000000"/>
                <w:sz w:val="24"/>
              </w:rPr>
            </w:pPr>
          </w:p>
        </w:tc>
      </w:tr>
      <w:tr w14:paraId="46C24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1850421">
            <w:pPr>
              <w:spacing w:line="440" w:lineRule="exact"/>
              <w:rPr>
                <w:rFonts w:ascii="宋体" w:hAnsi="宋体"/>
                <w:color w:val="000000"/>
                <w:sz w:val="24"/>
              </w:rPr>
            </w:pPr>
          </w:p>
        </w:tc>
        <w:tc>
          <w:tcPr>
            <w:tcW w:w="2669" w:type="dxa"/>
          </w:tcPr>
          <w:p w14:paraId="50C93463">
            <w:pPr>
              <w:spacing w:line="440" w:lineRule="exact"/>
              <w:rPr>
                <w:rFonts w:ascii="宋体" w:hAnsi="宋体"/>
                <w:color w:val="000000"/>
                <w:sz w:val="24"/>
              </w:rPr>
            </w:pPr>
          </w:p>
        </w:tc>
        <w:tc>
          <w:tcPr>
            <w:tcW w:w="1620" w:type="dxa"/>
            <w:vAlign w:val="center"/>
          </w:tcPr>
          <w:p w14:paraId="7A12C135">
            <w:pPr>
              <w:spacing w:line="440" w:lineRule="exact"/>
              <w:jc w:val="center"/>
              <w:rPr>
                <w:rFonts w:ascii="宋体" w:hAnsi="宋体"/>
                <w:color w:val="000000"/>
                <w:sz w:val="24"/>
              </w:rPr>
            </w:pPr>
          </w:p>
        </w:tc>
        <w:tc>
          <w:tcPr>
            <w:tcW w:w="2967" w:type="dxa"/>
          </w:tcPr>
          <w:p w14:paraId="6DA9A8B4">
            <w:pPr>
              <w:spacing w:line="440" w:lineRule="exact"/>
              <w:rPr>
                <w:rFonts w:ascii="宋体" w:hAnsi="宋体"/>
                <w:color w:val="000000"/>
                <w:sz w:val="24"/>
              </w:rPr>
            </w:pPr>
          </w:p>
        </w:tc>
      </w:tr>
      <w:tr w14:paraId="51F8D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F6B2BF0">
            <w:pPr>
              <w:spacing w:line="440" w:lineRule="exact"/>
              <w:rPr>
                <w:rFonts w:ascii="宋体" w:hAnsi="宋体"/>
                <w:color w:val="000000"/>
                <w:sz w:val="24"/>
              </w:rPr>
            </w:pPr>
          </w:p>
        </w:tc>
        <w:tc>
          <w:tcPr>
            <w:tcW w:w="2669" w:type="dxa"/>
          </w:tcPr>
          <w:p w14:paraId="5E3B3F4D">
            <w:pPr>
              <w:spacing w:line="440" w:lineRule="exact"/>
              <w:rPr>
                <w:rFonts w:ascii="宋体" w:hAnsi="宋体"/>
                <w:color w:val="000000"/>
                <w:sz w:val="24"/>
              </w:rPr>
            </w:pPr>
          </w:p>
        </w:tc>
        <w:tc>
          <w:tcPr>
            <w:tcW w:w="1620" w:type="dxa"/>
            <w:vAlign w:val="center"/>
          </w:tcPr>
          <w:p w14:paraId="40A201BD">
            <w:pPr>
              <w:spacing w:line="440" w:lineRule="exact"/>
              <w:jc w:val="center"/>
              <w:rPr>
                <w:rFonts w:ascii="宋体" w:hAnsi="宋体"/>
                <w:color w:val="000000"/>
                <w:sz w:val="24"/>
              </w:rPr>
            </w:pPr>
          </w:p>
        </w:tc>
        <w:tc>
          <w:tcPr>
            <w:tcW w:w="2967" w:type="dxa"/>
          </w:tcPr>
          <w:p w14:paraId="7CD897B8">
            <w:pPr>
              <w:spacing w:line="440" w:lineRule="exact"/>
              <w:rPr>
                <w:rFonts w:ascii="宋体" w:hAnsi="宋体"/>
                <w:color w:val="000000"/>
                <w:sz w:val="24"/>
              </w:rPr>
            </w:pPr>
          </w:p>
        </w:tc>
      </w:tr>
      <w:tr w14:paraId="3694E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EB0CC64">
            <w:pPr>
              <w:spacing w:line="440" w:lineRule="exact"/>
              <w:rPr>
                <w:rFonts w:ascii="宋体" w:hAnsi="宋体"/>
                <w:color w:val="000000"/>
                <w:sz w:val="24"/>
              </w:rPr>
            </w:pPr>
          </w:p>
        </w:tc>
        <w:tc>
          <w:tcPr>
            <w:tcW w:w="2669" w:type="dxa"/>
          </w:tcPr>
          <w:p w14:paraId="615DDE4C">
            <w:pPr>
              <w:spacing w:line="440" w:lineRule="exact"/>
              <w:rPr>
                <w:rFonts w:ascii="宋体" w:hAnsi="宋体"/>
                <w:color w:val="000000"/>
                <w:sz w:val="24"/>
              </w:rPr>
            </w:pPr>
          </w:p>
        </w:tc>
        <w:tc>
          <w:tcPr>
            <w:tcW w:w="1620" w:type="dxa"/>
            <w:vAlign w:val="center"/>
          </w:tcPr>
          <w:p w14:paraId="498D3D5A">
            <w:pPr>
              <w:spacing w:line="440" w:lineRule="exact"/>
              <w:jc w:val="center"/>
              <w:rPr>
                <w:rFonts w:ascii="宋体" w:hAnsi="宋体"/>
                <w:color w:val="000000"/>
                <w:sz w:val="24"/>
              </w:rPr>
            </w:pPr>
          </w:p>
        </w:tc>
        <w:tc>
          <w:tcPr>
            <w:tcW w:w="2967" w:type="dxa"/>
          </w:tcPr>
          <w:p w14:paraId="670E526E">
            <w:pPr>
              <w:spacing w:line="440" w:lineRule="exact"/>
              <w:rPr>
                <w:rFonts w:ascii="宋体" w:hAnsi="宋体"/>
                <w:color w:val="000000"/>
                <w:sz w:val="24"/>
              </w:rPr>
            </w:pPr>
          </w:p>
        </w:tc>
      </w:tr>
      <w:tr w14:paraId="560BE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F8DB767">
            <w:pPr>
              <w:spacing w:line="440" w:lineRule="exact"/>
              <w:rPr>
                <w:rFonts w:ascii="宋体" w:hAnsi="宋体"/>
                <w:color w:val="000000"/>
                <w:sz w:val="24"/>
              </w:rPr>
            </w:pPr>
          </w:p>
        </w:tc>
        <w:tc>
          <w:tcPr>
            <w:tcW w:w="2669" w:type="dxa"/>
          </w:tcPr>
          <w:p w14:paraId="6CF24EBA">
            <w:pPr>
              <w:spacing w:line="440" w:lineRule="exact"/>
              <w:rPr>
                <w:rFonts w:ascii="宋体" w:hAnsi="宋体"/>
                <w:color w:val="000000"/>
                <w:sz w:val="24"/>
              </w:rPr>
            </w:pPr>
          </w:p>
        </w:tc>
        <w:tc>
          <w:tcPr>
            <w:tcW w:w="1620" w:type="dxa"/>
            <w:vAlign w:val="center"/>
          </w:tcPr>
          <w:p w14:paraId="484FDD47">
            <w:pPr>
              <w:spacing w:line="440" w:lineRule="exact"/>
              <w:jc w:val="center"/>
              <w:rPr>
                <w:rFonts w:ascii="宋体" w:hAnsi="宋体"/>
                <w:color w:val="000000"/>
                <w:sz w:val="24"/>
              </w:rPr>
            </w:pPr>
          </w:p>
        </w:tc>
        <w:tc>
          <w:tcPr>
            <w:tcW w:w="2967" w:type="dxa"/>
          </w:tcPr>
          <w:p w14:paraId="74F2275B">
            <w:pPr>
              <w:spacing w:line="440" w:lineRule="exact"/>
              <w:rPr>
                <w:rFonts w:ascii="宋体" w:hAnsi="宋体"/>
                <w:color w:val="000000"/>
                <w:sz w:val="24"/>
              </w:rPr>
            </w:pPr>
          </w:p>
        </w:tc>
      </w:tr>
      <w:tr w14:paraId="4DBC8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40636E">
            <w:pPr>
              <w:spacing w:line="440" w:lineRule="exact"/>
              <w:rPr>
                <w:rFonts w:ascii="宋体" w:hAnsi="宋体"/>
                <w:color w:val="000000"/>
                <w:sz w:val="24"/>
              </w:rPr>
            </w:pPr>
          </w:p>
        </w:tc>
        <w:tc>
          <w:tcPr>
            <w:tcW w:w="2669" w:type="dxa"/>
          </w:tcPr>
          <w:p w14:paraId="13699A5D">
            <w:pPr>
              <w:spacing w:line="440" w:lineRule="exact"/>
              <w:rPr>
                <w:rFonts w:ascii="宋体" w:hAnsi="宋体"/>
                <w:color w:val="000000"/>
                <w:sz w:val="24"/>
              </w:rPr>
            </w:pPr>
          </w:p>
        </w:tc>
        <w:tc>
          <w:tcPr>
            <w:tcW w:w="1620" w:type="dxa"/>
            <w:vAlign w:val="center"/>
          </w:tcPr>
          <w:p w14:paraId="10C2DB91">
            <w:pPr>
              <w:spacing w:line="440" w:lineRule="exact"/>
              <w:jc w:val="center"/>
              <w:rPr>
                <w:rFonts w:ascii="宋体" w:hAnsi="宋体"/>
                <w:color w:val="000000"/>
                <w:sz w:val="24"/>
              </w:rPr>
            </w:pPr>
          </w:p>
        </w:tc>
        <w:tc>
          <w:tcPr>
            <w:tcW w:w="2967" w:type="dxa"/>
          </w:tcPr>
          <w:p w14:paraId="2B6FC8AF">
            <w:pPr>
              <w:spacing w:line="440" w:lineRule="exact"/>
              <w:rPr>
                <w:rFonts w:ascii="宋体" w:hAnsi="宋体"/>
                <w:color w:val="000000"/>
                <w:sz w:val="24"/>
              </w:rPr>
            </w:pPr>
          </w:p>
        </w:tc>
      </w:tr>
      <w:tr w14:paraId="46301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92EEAA3">
            <w:pPr>
              <w:spacing w:line="440" w:lineRule="exact"/>
              <w:rPr>
                <w:rFonts w:ascii="宋体" w:hAnsi="宋体"/>
                <w:color w:val="000000"/>
                <w:sz w:val="24"/>
              </w:rPr>
            </w:pPr>
          </w:p>
        </w:tc>
        <w:tc>
          <w:tcPr>
            <w:tcW w:w="2669" w:type="dxa"/>
          </w:tcPr>
          <w:p w14:paraId="1D209B8C">
            <w:pPr>
              <w:spacing w:line="440" w:lineRule="exact"/>
              <w:rPr>
                <w:rFonts w:ascii="宋体" w:hAnsi="宋体"/>
                <w:color w:val="000000"/>
                <w:sz w:val="24"/>
              </w:rPr>
            </w:pPr>
          </w:p>
        </w:tc>
        <w:tc>
          <w:tcPr>
            <w:tcW w:w="1620" w:type="dxa"/>
            <w:vAlign w:val="center"/>
          </w:tcPr>
          <w:p w14:paraId="0AE9C04F">
            <w:pPr>
              <w:spacing w:line="440" w:lineRule="exact"/>
              <w:jc w:val="center"/>
              <w:rPr>
                <w:rFonts w:ascii="宋体" w:hAnsi="宋体"/>
                <w:color w:val="000000"/>
                <w:sz w:val="24"/>
              </w:rPr>
            </w:pPr>
          </w:p>
        </w:tc>
        <w:tc>
          <w:tcPr>
            <w:tcW w:w="2967" w:type="dxa"/>
          </w:tcPr>
          <w:p w14:paraId="0B6D92BF">
            <w:pPr>
              <w:spacing w:line="440" w:lineRule="exact"/>
              <w:rPr>
                <w:rFonts w:ascii="宋体" w:hAnsi="宋体"/>
                <w:color w:val="000000"/>
                <w:sz w:val="24"/>
              </w:rPr>
            </w:pPr>
          </w:p>
        </w:tc>
      </w:tr>
      <w:tr w14:paraId="59CEF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B3BD07D">
            <w:pPr>
              <w:spacing w:line="440" w:lineRule="exact"/>
              <w:rPr>
                <w:rFonts w:ascii="宋体" w:hAnsi="宋体"/>
                <w:color w:val="000000"/>
                <w:sz w:val="24"/>
              </w:rPr>
            </w:pPr>
          </w:p>
        </w:tc>
        <w:tc>
          <w:tcPr>
            <w:tcW w:w="2669" w:type="dxa"/>
          </w:tcPr>
          <w:p w14:paraId="6CD075D3">
            <w:pPr>
              <w:spacing w:line="440" w:lineRule="exact"/>
              <w:rPr>
                <w:rFonts w:ascii="宋体" w:hAnsi="宋体"/>
                <w:color w:val="000000"/>
                <w:sz w:val="24"/>
              </w:rPr>
            </w:pPr>
          </w:p>
        </w:tc>
        <w:tc>
          <w:tcPr>
            <w:tcW w:w="1620" w:type="dxa"/>
            <w:vAlign w:val="center"/>
          </w:tcPr>
          <w:p w14:paraId="548328F8">
            <w:pPr>
              <w:spacing w:line="440" w:lineRule="exact"/>
              <w:jc w:val="center"/>
              <w:rPr>
                <w:rFonts w:ascii="宋体" w:hAnsi="宋体"/>
                <w:color w:val="000000"/>
                <w:sz w:val="24"/>
              </w:rPr>
            </w:pPr>
          </w:p>
        </w:tc>
        <w:tc>
          <w:tcPr>
            <w:tcW w:w="2967" w:type="dxa"/>
          </w:tcPr>
          <w:p w14:paraId="7835E828">
            <w:pPr>
              <w:spacing w:line="440" w:lineRule="exact"/>
              <w:rPr>
                <w:rFonts w:ascii="宋体" w:hAnsi="宋体"/>
                <w:color w:val="000000"/>
                <w:sz w:val="24"/>
              </w:rPr>
            </w:pPr>
          </w:p>
        </w:tc>
      </w:tr>
      <w:tr w14:paraId="46515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E7C5D8B">
            <w:pPr>
              <w:spacing w:line="440" w:lineRule="exact"/>
              <w:rPr>
                <w:rFonts w:ascii="宋体" w:hAnsi="宋体"/>
                <w:color w:val="000000"/>
                <w:sz w:val="24"/>
              </w:rPr>
            </w:pPr>
          </w:p>
        </w:tc>
        <w:tc>
          <w:tcPr>
            <w:tcW w:w="2669" w:type="dxa"/>
          </w:tcPr>
          <w:p w14:paraId="40857DC5">
            <w:pPr>
              <w:spacing w:line="440" w:lineRule="exact"/>
              <w:rPr>
                <w:rFonts w:ascii="宋体" w:hAnsi="宋体"/>
                <w:color w:val="000000"/>
                <w:sz w:val="24"/>
              </w:rPr>
            </w:pPr>
          </w:p>
        </w:tc>
        <w:tc>
          <w:tcPr>
            <w:tcW w:w="1620" w:type="dxa"/>
            <w:vAlign w:val="center"/>
          </w:tcPr>
          <w:p w14:paraId="22F4ABFF">
            <w:pPr>
              <w:spacing w:line="440" w:lineRule="exact"/>
              <w:jc w:val="center"/>
              <w:rPr>
                <w:rFonts w:ascii="宋体" w:hAnsi="宋体"/>
                <w:color w:val="000000"/>
                <w:sz w:val="24"/>
              </w:rPr>
            </w:pPr>
          </w:p>
        </w:tc>
        <w:tc>
          <w:tcPr>
            <w:tcW w:w="2967" w:type="dxa"/>
          </w:tcPr>
          <w:p w14:paraId="7B167770">
            <w:pPr>
              <w:spacing w:line="440" w:lineRule="exact"/>
              <w:rPr>
                <w:rFonts w:ascii="宋体" w:hAnsi="宋体"/>
                <w:color w:val="000000"/>
                <w:sz w:val="24"/>
              </w:rPr>
            </w:pPr>
          </w:p>
        </w:tc>
      </w:tr>
      <w:tr w14:paraId="27100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D7341C3">
            <w:pPr>
              <w:spacing w:line="440" w:lineRule="exact"/>
              <w:rPr>
                <w:rFonts w:ascii="宋体" w:hAnsi="宋体"/>
                <w:color w:val="000000"/>
                <w:sz w:val="24"/>
              </w:rPr>
            </w:pPr>
          </w:p>
        </w:tc>
        <w:tc>
          <w:tcPr>
            <w:tcW w:w="2669" w:type="dxa"/>
          </w:tcPr>
          <w:p w14:paraId="10C2565E">
            <w:pPr>
              <w:spacing w:line="440" w:lineRule="exact"/>
              <w:rPr>
                <w:rFonts w:ascii="宋体" w:hAnsi="宋体"/>
                <w:color w:val="000000"/>
                <w:sz w:val="24"/>
              </w:rPr>
            </w:pPr>
          </w:p>
        </w:tc>
        <w:tc>
          <w:tcPr>
            <w:tcW w:w="1620" w:type="dxa"/>
            <w:vAlign w:val="center"/>
          </w:tcPr>
          <w:p w14:paraId="16E050F3">
            <w:pPr>
              <w:spacing w:line="440" w:lineRule="exact"/>
              <w:jc w:val="center"/>
              <w:rPr>
                <w:rFonts w:ascii="宋体" w:hAnsi="宋体"/>
                <w:color w:val="000000"/>
                <w:sz w:val="24"/>
              </w:rPr>
            </w:pPr>
          </w:p>
        </w:tc>
        <w:tc>
          <w:tcPr>
            <w:tcW w:w="2967" w:type="dxa"/>
          </w:tcPr>
          <w:p w14:paraId="0CCF8A7B">
            <w:pPr>
              <w:spacing w:line="440" w:lineRule="exact"/>
              <w:rPr>
                <w:rFonts w:ascii="宋体" w:hAnsi="宋体"/>
                <w:color w:val="000000"/>
                <w:sz w:val="24"/>
              </w:rPr>
            </w:pPr>
          </w:p>
        </w:tc>
      </w:tr>
    </w:tbl>
    <w:p w14:paraId="7883C77A">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Borders>
            <w:top w:val="none" w:sz="0" w:space="0"/>
            <w:left w:val="none" w:sz="0" w:space="0"/>
            <w:bottom w:val="none" w:sz="0" w:space="0"/>
            <w:right w:val="none" w:sz="0" w:space="0"/>
          </w:pgBorders>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5B1F2D07">
      <w:pPr>
        <w:spacing w:line="480" w:lineRule="auto"/>
        <w:rPr>
          <w:b/>
          <w:color w:val="000000"/>
          <w:sz w:val="24"/>
        </w:rPr>
      </w:pPr>
      <w:r>
        <w:rPr>
          <w:rFonts w:hint="eastAsia"/>
          <w:b/>
          <w:color w:val="000000"/>
          <w:sz w:val="24"/>
        </w:rPr>
        <w:t>附件7-2</w:t>
      </w:r>
    </w:p>
    <w:p w14:paraId="78F1E68E">
      <w:pPr>
        <w:spacing w:line="480" w:lineRule="auto"/>
        <w:jc w:val="center"/>
        <w:rPr>
          <w:rFonts w:ascii="宋体" w:hAnsi="宋体"/>
          <w:b/>
          <w:color w:val="000000"/>
          <w:sz w:val="30"/>
        </w:rPr>
      </w:pPr>
      <w:r>
        <w:rPr>
          <w:rFonts w:hint="eastAsia"/>
          <w:b/>
          <w:color w:val="000000"/>
          <w:sz w:val="24"/>
        </w:rPr>
        <w:t>专业人员简历格式</w:t>
      </w:r>
    </w:p>
    <w:p w14:paraId="255265CF">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688D07FD">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7CE2405D">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77B67A59">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23D9D82D">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7DC2AB7B">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450DBF19">
      <w:pPr>
        <w:spacing w:after="120" w:line="440" w:lineRule="exact"/>
        <w:rPr>
          <w:rFonts w:ascii="宋体" w:hAnsi="宋体"/>
          <w:b/>
          <w:color w:val="000000"/>
          <w:sz w:val="24"/>
        </w:rPr>
      </w:pPr>
      <w:r>
        <w:rPr>
          <w:rFonts w:hint="eastAsia" w:ascii="宋体" w:hAnsi="宋体"/>
          <w:b/>
          <w:color w:val="000000"/>
          <w:sz w:val="24"/>
        </w:rPr>
        <w:t>关键资格条件：</w:t>
      </w:r>
    </w:p>
    <w:p w14:paraId="77BBA78F">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1205D1BF">
      <w:pPr>
        <w:spacing w:after="120" w:line="440" w:lineRule="exact"/>
        <w:rPr>
          <w:rFonts w:ascii="宋体" w:hAnsi="宋体"/>
          <w:b/>
          <w:color w:val="000000"/>
          <w:sz w:val="24"/>
        </w:rPr>
      </w:pPr>
      <w:r>
        <w:rPr>
          <w:rFonts w:hint="eastAsia" w:ascii="宋体" w:hAnsi="宋体"/>
          <w:b/>
          <w:color w:val="000000"/>
          <w:sz w:val="24"/>
        </w:rPr>
        <w:t>教育：</w:t>
      </w:r>
    </w:p>
    <w:p w14:paraId="0473F41F">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2456FC0C">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5A222FFC">
      <w:pPr>
        <w:spacing w:after="120" w:line="440" w:lineRule="exact"/>
        <w:rPr>
          <w:rFonts w:ascii="宋体" w:hAnsi="宋体"/>
          <w:b/>
          <w:color w:val="000000"/>
          <w:sz w:val="24"/>
        </w:rPr>
      </w:pPr>
      <w:r>
        <w:rPr>
          <w:rFonts w:hint="eastAsia" w:ascii="宋体" w:hAnsi="宋体"/>
          <w:b/>
          <w:color w:val="000000"/>
          <w:sz w:val="24"/>
        </w:rPr>
        <w:t>所获证书：</w:t>
      </w:r>
    </w:p>
    <w:p w14:paraId="3F90D552">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59712D1E">
      <w:pPr>
        <w:pBdr>
          <w:bottom w:val="single" w:color="auto" w:sz="6" w:space="1"/>
        </w:pBdr>
        <w:spacing w:after="120" w:line="440" w:lineRule="exact"/>
        <w:rPr>
          <w:rFonts w:ascii="宋体" w:hAnsi="宋体"/>
          <w:color w:val="000000"/>
          <w:sz w:val="18"/>
          <w:szCs w:val="18"/>
        </w:rPr>
      </w:pPr>
    </w:p>
    <w:p w14:paraId="583CE886">
      <w:pPr>
        <w:spacing w:after="120" w:line="440" w:lineRule="exact"/>
        <w:rPr>
          <w:rFonts w:ascii="宋体" w:hAnsi="宋体"/>
          <w:b/>
          <w:color w:val="000000"/>
          <w:sz w:val="24"/>
        </w:rPr>
      </w:pPr>
      <w:r>
        <w:rPr>
          <w:rFonts w:hint="eastAsia" w:ascii="宋体" w:hAnsi="宋体"/>
          <w:b/>
          <w:color w:val="000000"/>
          <w:sz w:val="24"/>
        </w:rPr>
        <w:t>工作简历：</w:t>
      </w:r>
    </w:p>
    <w:p w14:paraId="22F6119C">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25330011">
      <w:pPr>
        <w:pBdr>
          <w:bottom w:val="single" w:color="auto" w:sz="6" w:space="1"/>
        </w:pBdr>
        <w:spacing w:after="120" w:line="440" w:lineRule="exact"/>
        <w:rPr>
          <w:rFonts w:ascii="宋体" w:hAnsi="宋体"/>
          <w:color w:val="000000"/>
          <w:sz w:val="24"/>
        </w:rPr>
      </w:pPr>
    </w:p>
    <w:p w14:paraId="14837C9E">
      <w:pPr>
        <w:spacing w:after="120" w:line="440" w:lineRule="exact"/>
        <w:rPr>
          <w:rFonts w:ascii="宋体" w:hAnsi="宋体"/>
          <w:color w:val="000000"/>
          <w:sz w:val="24"/>
        </w:rPr>
      </w:pPr>
    </w:p>
    <w:p w14:paraId="27B295A0">
      <w:pPr>
        <w:tabs>
          <w:tab w:val="left" w:pos="360"/>
        </w:tabs>
        <w:spacing w:after="285" w:afterLines="100" w:line="360" w:lineRule="auto"/>
        <w:ind w:firstLine="448" w:firstLineChars="200"/>
        <w:rPr>
          <w:rFonts w:ascii="宋体" w:hAnsi="宋体"/>
          <w:b/>
          <w:bCs/>
          <w:color w:val="000000"/>
          <w:sz w:val="24"/>
        </w:rPr>
      </w:pPr>
      <w:r>
        <w:rPr>
          <w:rFonts w:hint="eastAsia" w:ascii="宋体" w:hAnsi="宋体"/>
          <w:b/>
          <w:bCs/>
          <w:color w:val="000000"/>
          <w:sz w:val="24"/>
        </w:rPr>
        <w:t>注：关键岗位人员均需填写此表。</w:t>
      </w:r>
      <w:r>
        <w:rPr>
          <w:rFonts w:ascii="宋体" w:hAnsi="宋体"/>
          <w:b/>
          <w:bCs/>
          <w:color w:val="000000"/>
          <w:sz w:val="24"/>
        </w:rPr>
        <w:br w:type="page"/>
      </w:r>
    </w:p>
    <w:p w14:paraId="571FD1E4">
      <w:pPr>
        <w:tabs>
          <w:tab w:val="left" w:pos="360"/>
        </w:tabs>
        <w:spacing w:after="285" w:afterLines="100" w:line="360" w:lineRule="auto"/>
        <w:rPr>
          <w:b/>
          <w:sz w:val="24"/>
        </w:rPr>
      </w:pPr>
      <w:r>
        <w:rPr>
          <w:b/>
          <w:sz w:val="24"/>
        </w:rPr>
        <w:t>附件</w:t>
      </w:r>
      <w:r>
        <w:rPr>
          <w:rFonts w:hint="eastAsia"/>
          <w:b/>
          <w:sz w:val="24"/>
        </w:rPr>
        <w:t>8</w:t>
      </w:r>
    </w:p>
    <w:p w14:paraId="2FC02167">
      <w:pPr>
        <w:autoSpaceDN w:val="0"/>
        <w:spacing w:line="360" w:lineRule="auto"/>
        <w:jc w:val="center"/>
        <w:rPr>
          <w:b/>
          <w:bCs/>
          <w:sz w:val="24"/>
        </w:rPr>
      </w:pPr>
      <w:r>
        <w:rPr>
          <w:rFonts w:hint="eastAsia"/>
          <w:b/>
          <w:bCs/>
          <w:sz w:val="24"/>
        </w:rPr>
        <w:t>投标代表人</w:t>
      </w:r>
      <w:r>
        <w:rPr>
          <w:b/>
          <w:bCs/>
          <w:sz w:val="24"/>
        </w:rPr>
        <w:t>授权书</w:t>
      </w:r>
    </w:p>
    <w:p w14:paraId="79E1CEFB">
      <w:pPr>
        <w:spacing w:line="360" w:lineRule="auto"/>
        <w:rPr>
          <w:sz w:val="24"/>
          <w:szCs w:val="21"/>
        </w:rPr>
      </w:pPr>
    </w:p>
    <w:p w14:paraId="093A8F94">
      <w:pPr>
        <w:spacing w:line="360" w:lineRule="auto"/>
        <w:rPr>
          <w:sz w:val="24"/>
          <w:szCs w:val="21"/>
        </w:rPr>
      </w:pPr>
      <w:r>
        <w:rPr>
          <w:sz w:val="24"/>
          <w:szCs w:val="21"/>
        </w:rPr>
        <w:t>致：天津市政府采购中心</w:t>
      </w:r>
    </w:p>
    <w:p w14:paraId="5D0C5C91">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9D37FD8">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4276A87">
      <w:pPr>
        <w:spacing w:line="360" w:lineRule="auto"/>
        <w:ind w:firstLine="448" w:firstLineChars="200"/>
        <w:rPr>
          <w:sz w:val="24"/>
          <w:szCs w:val="21"/>
        </w:rPr>
      </w:pPr>
      <w:r>
        <w:rPr>
          <w:sz w:val="24"/>
          <w:szCs w:val="21"/>
        </w:rPr>
        <w:t>本授权书至投标有效期结束前始终有效。</w:t>
      </w:r>
    </w:p>
    <w:p w14:paraId="6FF707B5">
      <w:pPr>
        <w:spacing w:line="360" w:lineRule="auto"/>
        <w:ind w:firstLine="448" w:firstLineChars="200"/>
        <w:rPr>
          <w:sz w:val="24"/>
          <w:szCs w:val="21"/>
        </w:rPr>
      </w:pPr>
      <w:r>
        <w:rPr>
          <w:sz w:val="24"/>
          <w:szCs w:val="21"/>
        </w:rPr>
        <w:t>投标代表人无转委托权，特此委托。</w:t>
      </w:r>
    </w:p>
    <w:p w14:paraId="45762F19">
      <w:pPr>
        <w:spacing w:line="360" w:lineRule="auto"/>
        <w:ind w:firstLine="448" w:firstLineChars="200"/>
        <w:rPr>
          <w:sz w:val="24"/>
        </w:rPr>
      </w:pPr>
    </w:p>
    <w:p w14:paraId="7F5C5E84">
      <w:pPr>
        <w:spacing w:line="360" w:lineRule="auto"/>
        <w:ind w:firstLine="448" w:firstLineChars="200"/>
        <w:rPr>
          <w:sz w:val="24"/>
        </w:rPr>
      </w:pPr>
    </w:p>
    <w:p w14:paraId="291CD25E">
      <w:pPr>
        <w:spacing w:line="480" w:lineRule="auto"/>
        <w:ind w:right="480" w:firstLine="4032" w:firstLineChars="1800"/>
        <w:rPr>
          <w:sz w:val="24"/>
        </w:rPr>
      </w:pPr>
    </w:p>
    <w:p w14:paraId="300EE31A">
      <w:pPr>
        <w:spacing w:line="480" w:lineRule="auto"/>
        <w:jc w:val="center"/>
        <w:rPr>
          <w:sz w:val="24"/>
        </w:rPr>
      </w:pPr>
      <w:r>
        <w:rPr>
          <w:sz w:val="24"/>
        </w:rPr>
        <w:t xml:space="preserve">                      年    月   日  </w:t>
      </w:r>
    </w:p>
    <w:p w14:paraId="0B15CD8E">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8F15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E610E87">
            <w:pPr>
              <w:spacing w:line="360" w:lineRule="auto"/>
              <w:jc w:val="left"/>
              <w:rPr>
                <w:sz w:val="24"/>
              </w:rPr>
            </w:pPr>
            <w:r>
              <w:rPr>
                <w:sz w:val="24"/>
              </w:rPr>
              <w:t>投标代表人身份证正面</w:t>
            </w:r>
          </w:p>
          <w:p w14:paraId="3F6A2E98">
            <w:pPr>
              <w:spacing w:line="360" w:lineRule="auto"/>
              <w:jc w:val="left"/>
              <w:rPr>
                <w:sz w:val="24"/>
              </w:rPr>
            </w:pPr>
          </w:p>
          <w:p w14:paraId="3DEE0A0A">
            <w:pPr>
              <w:spacing w:line="360" w:lineRule="auto"/>
              <w:jc w:val="left"/>
              <w:rPr>
                <w:sz w:val="24"/>
              </w:rPr>
            </w:pPr>
          </w:p>
          <w:p w14:paraId="64B812FE">
            <w:pPr>
              <w:spacing w:line="360" w:lineRule="auto"/>
              <w:jc w:val="left"/>
              <w:rPr>
                <w:sz w:val="24"/>
              </w:rPr>
            </w:pPr>
          </w:p>
          <w:p w14:paraId="513EC02E">
            <w:pPr>
              <w:spacing w:line="360" w:lineRule="auto"/>
              <w:jc w:val="left"/>
              <w:rPr>
                <w:sz w:val="24"/>
              </w:rPr>
            </w:pPr>
          </w:p>
          <w:p w14:paraId="5152BD54">
            <w:pPr>
              <w:spacing w:line="360" w:lineRule="auto"/>
              <w:jc w:val="left"/>
              <w:rPr>
                <w:sz w:val="24"/>
              </w:rPr>
            </w:pPr>
          </w:p>
        </w:tc>
        <w:tc>
          <w:tcPr>
            <w:tcW w:w="4264" w:type="dxa"/>
          </w:tcPr>
          <w:p w14:paraId="28F959D7">
            <w:pPr>
              <w:spacing w:line="360" w:lineRule="auto"/>
              <w:jc w:val="left"/>
              <w:rPr>
                <w:sz w:val="24"/>
              </w:rPr>
            </w:pPr>
            <w:r>
              <w:rPr>
                <w:sz w:val="24"/>
              </w:rPr>
              <w:t>投标代表人身份证背面</w:t>
            </w:r>
          </w:p>
        </w:tc>
      </w:tr>
    </w:tbl>
    <w:p w14:paraId="786BF28A">
      <w:pPr>
        <w:widowControl/>
        <w:jc w:val="left"/>
        <w:rPr>
          <w:sz w:val="24"/>
        </w:rPr>
      </w:pPr>
      <w:r>
        <w:rPr>
          <w:sz w:val="24"/>
        </w:rPr>
        <w:br w:type="page"/>
      </w:r>
    </w:p>
    <w:p w14:paraId="2AA41DD6">
      <w:pPr>
        <w:autoSpaceDN w:val="0"/>
        <w:spacing w:line="360" w:lineRule="auto"/>
        <w:jc w:val="left"/>
        <w:rPr>
          <w:b/>
          <w:bCs/>
          <w:sz w:val="24"/>
        </w:rPr>
      </w:pPr>
      <w:r>
        <w:rPr>
          <w:b/>
          <w:bCs/>
          <w:sz w:val="24"/>
        </w:rPr>
        <w:t>附件</w:t>
      </w:r>
      <w:r>
        <w:rPr>
          <w:rFonts w:hint="eastAsia"/>
          <w:b/>
          <w:bCs/>
          <w:sz w:val="24"/>
        </w:rPr>
        <w:t>9-1</w:t>
      </w:r>
    </w:p>
    <w:p w14:paraId="30069415">
      <w:pPr>
        <w:autoSpaceDE w:val="0"/>
        <w:autoSpaceDN w:val="0"/>
        <w:spacing w:line="480" w:lineRule="auto"/>
        <w:jc w:val="center"/>
        <w:rPr>
          <w:sz w:val="24"/>
          <w:szCs w:val="24"/>
        </w:rPr>
      </w:pPr>
      <w:r>
        <w:rPr>
          <w:b/>
          <w:sz w:val="24"/>
          <w:szCs w:val="24"/>
        </w:rPr>
        <w:t>中小企业声明函（服务）</w:t>
      </w:r>
    </w:p>
    <w:p w14:paraId="5D629DD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0CD3D4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C202C73">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B9A288E">
      <w:pPr>
        <w:autoSpaceDE w:val="0"/>
        <w:autoSpaceDN w:val="0"/>
        <w:spacing w:line="500" w:lineRule="exact"/>
        <w:ind w:left="641"/>
        <w:jc w:val="left"/>
        <w:rPr>
          <w:sz w:val="24"/>
          <w:szCs w:val="24"/>
        </w:rPr>
      </w:pPr>
      <w:r>
        <w:rPr>
          <w:sz w:val="24"/>
          <w:szCs w:val="24"/>
        </w:rPr>
        <w:t>……</w:t>
      </w:r>
    </w:p>
    <w:p w14:paraId="12BE3E4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8E1A24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C5F57A5">
      <w:pPr>
        <w:autoSpaceDE w:val="0"/>
        <w:autoSpaceDN w:val="0"/>
        <w:spacing w:line="500" w:lineRule="exact"/>
        <w:ind w:left="3840"/>
        <w:jc w:val="left"/>
        <w:rPr>
          <w:sz w:val="24"/>
          <w:szCs w:val="24"/>
        </w:rPr>
      </w:pPr>
      <w:r>
        <w:rPr>
          <w:sz w:val="24"/>
          <w:szCs w:val="24"/>
        </w:rPr>
        <w:t>投标人名称：</w:t>
      </w:r>
    </w:p>
    <w:p w14:paraId="780ED2DB">
      <w:pPr>
        <w:autoSpaceDE w:val="0"/>
        <w:autoSpaceDN w:val="0"/>
        <w:spacing w:line="500" w:lineRule="exact"/>
        <w:ind w:left="3840"/>
        <w:jc w:val="left"/>
        <w:rPr>
          <w:sz w:val="32"/>
        </w:rPr>
      </w:pPr>
      <w:r>
        <w:rPr>
          <w:sz w:val="24"/>
          <w:szCs w:val="24"/>
        </w:rPr>
        <w:t>日期：</w:t>
      </w:r>
    </w:p>
    <w:p w14:paraId="712F49A1">
      <w:pPr>
        <w:spacing w:line="360" w:lineRule="auto"/>
        <w:ind w:right="84" w:firstLine="224" w:firstLineChars="100"/>
        <w:rPr>
          <w:b/>
          <w:sz w:val="24"/>
          <w:szCs w:val="24"/>
        </w:rPr>
      </w:pPr>
      <w:r>
        <w:rPr>
          <w:b/>
          <w:sz w:val="24"/>
          <w:szCs w:val="24"/>
        </w:rPr>
        <w:t>注：</w:t>
      </w:r>
    </w:p>
    <w:p w14:paraId="04791795">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04FB40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3AA624D">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3307F125">
      <w:pPr>
        <w:spacing w:line="360" w:lineRule="auto"/>
        <w:ind w:right="84" w:firstLine="224" w:firstLineChars="100"/>
        <w:rPr>
          <w:position w:val="-40"/>
          <w:sz w:val="24"/>
        </w:rPr>
      </w:pPr>
    </w:p>
    <w:p w14:paraId="5DC6BCF6">
      <w:pPr>
        <w:autoSpaceDN w:val="0"/>
        <w:spacing w:line="360" w:lineRule="auto"/>
        <w:rPr>
          <w:b/>
          <w:bCs/>
          <w:sz w:val="24"/>
        </w:rPr>
      </w:pPr>
      <w:r>
        <w:rPr>
          <w:sz w:val="24"/>
        </w:rPr>
        <w:br w:type="page"/>
      </w:r>
      <w:bookmarkStart w:id="90" w:name="OLE_LINK14"/>
      <w:bookmarkStart w:id="91" w:name="OLE_LINK13"/>
      <w:r>
        <w:rPr>
          <w:rFonts w:hint="eastAsia"/>
          <w:b/>
          <w:bCs/>
          <w:sz w:val="24"/>
        </w:rPr>
        <w:t>附件9-2</w:t>
      </w:r>
    </w:p>
    <w:bookmarkEnd w:id="90"/>
    <w:bookmarkEnd w:id="91"/>
    <w:p w14:paraId="3A8339E2">
      <w:pPr>
        <w:autoSpaceDN w:val="0"/>
        <w:spacing w:line="360" w:lineRule="auto"/>
        <w:jc w:val="left"/>
        <w:rPr>
          <w:b/>
          <w:bCs/>
          <w:sz w:val="24"/>
        </w:rPr>
      </w:pPr>
      <w:r>
        <w:rPr>
          <w:rFonts w:hint="eastAsia"/>
          <w:b/>
          <w:kern w:val="0"/>
          <w:sz w:val="24"/>
          <w:szCs w:val="21"/>
        </w:rPr>
        <w:t>若不是残疾人福利性单位，投标文件中可不提供此声明函</w:t>
      </w:r>
    </w:p>
    <w:p w14:paraId="79AF1978">
      <w:pPr>
        <w:autoSpaceDN w:val="0"/>
        <w:spacing w:line="360" w:lineRule="auto"/>
        <w:jc w:val="center"/>
        <w:rPr>
          <w:b/>
          <w:bCs/>
          <w:sz w:val="24"/>
        </w:rPr>
      </w:pPr>
    </w:p>
    <w:p w14:paraId="36ADC8A9">
      <w:pPr>
        <w:snapToGrid w:val="0"/>
        <w:spacing w:line="360" w:lineRule="auto"/>
        <w:jc w:val="center"/>
        <w:rPr>
          <w:b/>
          <w:bCs/>
          <w:sz w:val="24"/>
        </w:rPr>
      </w:pPr>
      <w:r>
        <w:rPr>
          <w:rFonts w:hint="eastAsia"/>
          <w:b/>
          <w:bCs/>
          <w:sz w:val="24"/>
        </w:rPr>
        <w:t>残疾人福利性单位声明函</w:t>
      </w:r>
    </w:p>
    <w:p w14:paraId="3B17DB2C">
      <w:pPr>
        <w:snapToGrid w:val="0"/>
        <w:spacing w:line="360" w:lineRule="auto"/>
        <w:ind w:firstLine="448" w:firstLineChars="200"/>
        <w:jc w:val="left"/>
        <w:rPr>
          <w:b/>
          <w:bCs/>
          <w:sz w:val="24"/>
        </w:rPr>
      </w:pPr>
    </w:p>
    <w:p w14:paraId="29570CA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0C1DD7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6E1697D">
      <w:pPr>
        <w:snapToGrid w:val="0"/>
        <w:spacing w:line="360" w:lineRule="auto"/>
        <w:ind w:firstLine="448" w:firstLineChars="200"/>
        <w:jc w:val="left"/>
        <w:rPr>
          <w:bCs/>
          <w:sz w:val="24"/>
        </w:rPr>
      </w:pPr>
    </w:p>
    <w:p w14:paraId="542F0640">
      <w:pPr>
        <w:snapToGrid w:val="0"/>
        <w:spacing w:line="360" w:lineRule="auto"/>
        <w:ind w:firstLine="448" w:firstLineChars="200"/>
        <w:jc w:val="left"/>
        <w:rPr>
          <w:bCs/>
          <w:sz w:val="24"/>
        </w:rPr>
      </w:pPr>
    </w:p>
    <w:p w14:paraId="0A9DCCCD">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C69338C">
      <w:pPr>
        <w:snapToGrid w:val="0"/>
        <w:spacing w:line="360" w:lineRule="auto"/>
        <w:ind w:firstLine="448" w:firstLineChars="200"/>
        <w:jc w:val="left"/>
        <w:rPr>
          <w:bCs/>
          <w:sz w:val="24"/>
        </w:rPr>
      </w:pPr>
    </w:p>
    <w:p w14:paraId="4B2E7DE4">
      <w:pPr>
        <w:snapToGrid w:val="0"/>
        <w:spacing w:line="360" w:lineRule="auto"/>
        <w:ind w:firstLine="448" w:firstLineChars="200"/>
        <w:jc w:val="left"/>
        <w:rPr>
          <w:sz w:val="24"/>
          <w:szCs w:val="21"/>
        </w:rPr>
      </w:pPr>
      <w:r>
        <w:rPr>
          <w:rFonts w:hint="eastAsia"/>
          <w:bCs/>
          <w:sz w:val="24"/>
        </w:rPr>
        <w:t xml:space="preserve">               日  期：</w:t>
      </w:r>
    </w:p>
    <w:p w14:paraId="15CD2877">
      <w:pPr>
        <w:snapToGrid w:val="0"/>
        <w:spacing w:line="360" w:lineRule="auto"/>
        <w:ind w:firstLine="448" w:firstLineChars="200"/>
        <w:jc w:val="left"/>
        <w:rPr>
          <w:sz w:val="24"/>
          <w:szCs w:val="21"/>
        </w:rPr>
      </w:pPr>
    </w:p>
    <w:p w14:paraId="4BB1EF8D">
      <w:pPr>
        <w:snapToGrid w:val="0"/>
        <w:spacing w:line="360" w:lineRule="auto"/>
        <w:ind w:firstLine="448" w:firstLineChars="200"/>
        <w:rPr>
          <w:sz w:val="24"/>
          <w:szCs w:val="21"/>
        </w:rPr>
      </w:pPr>
      <w:r>
        <w:rPr>
          <w:sz w:val="24"/>
          <w:szCs w:val="21"/>
        </w:rPr>
        <w:t>注：</w:t>
      </w:r>
    </w:p>
    <w:p w14:paraId="52D7404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D12F57E">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57AA4ED">
      <w:pPr>
        <w:snapToGrid w:val="0"/>
        <w:spacing w:line="360" w:lineRule="auto"/>
        <w:ind w:firstLine="448" w:firstLineChars="200"/>
        <w:jc w:val="left"/>
        <w:rPr>
          <w:sz w:val="24"/>
          <w:szCs w:val="21"/>
        </w:rPr>
      </w:pPr>
    </w:p>
    <w:p w14:paraId="279D12F6">
      <w:pPr>
        <w:snapToGrid w:val="0"/>
        <w:spacing w:line="360" w:lineRule="auto"/>
        <w:ind w:firstLine="448" w:firstLineChars="200"/>
        <w:jc w:val="left"/>
        <w:rPr>
          <w:sz w:val="24"/>
          <w:szCs w:val="21"/>
        </w:rPr>
      </w:pPr>
    </w:p>
    <w:p w14:paraId="47BC2447">
      <w:pPr>
        <w:snapToGrid w:val="0"/>
        <w:spacing w:line="360" w:lineRule="auto"/>
        <w:ind w:firstLine="448" w:firstLineChars="200"/>
        <w:jc w:val="left"/>
        <w:rPr>
          <w:sz w:val="24"/>
          <w:szCs w:val="21"/>
        </w:rPr>
      </w:pPr>
    </w:p>
    <w:p w14:paraId="5A56499D">
      <w:pPr>
        <w:widowControl/>
        <w:jc w:val="left"/>
        <w:rPr>
          <w:sz w:val="24"/>
        </w:rPr>
      </w:pPr>
      <w:r>
        <w:rPr>
          <w:sz w:val="24"/>
        </w:rPr>
        <w:br w:type="page"/>
      </w:r>
    </w:p>
    <w:p w14:paraId="0E4B4442">
      <w:pPr>
        <w:tabs>
          <w:tab w:val="left" w:pos="360"/>
        </w:tabs>
        <w:spacing w:line="360" w:lineRule="auto"/>
        <w:rPr>
          <w:b/>
          <w:bCs/>
          <w:sz w:val="24"/>
        </w:rPr>
      </w:pP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14:paraId="612E41A2">
      <w:pPr>
        <w:snapToGrid w:val="0"/>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p w14:paraId="4A921421">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Borders>
        <w:top w:val="none" w:sz="0" w:space="0"/>
        <w:left w:val="none" w:sz="0" w:space="0"/>
        <w:bottom w:val="none" w:sz="0" w:space="0"/>
        <w:right w:val="none" w:sz="0" w:space="0"/>
      </w:pgBorders>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34A6FC30">
        <w:pPr>
          <w:pStyle w:val="14"/>
          <w:jc w:val="center"/>
        </w:pPr>
        <w:r>
          <w:fldChar w:fldCharType="begin"/>
        </w:r>
        <w:r>
          <w:instrText xml:space="preserve">PAGE   \* MERGEFORMAT</w:instrText>
        </w:r>
        <w:r>
          <w:fldChar w:fldCharType="separate"/>
        </w:r>
        <w:r>
          <w:rPr>
            <w:lang w:val="zh-CN"/>
          </w:rPr>
          <w:t>46</w:t>
        </w:r>
        <w:r>
          <w:fldChar w:fldCharType="end"/>
        </w:r>
      </w:p>
    </w:sdtContent>
  </w:sdt>
  <w:p w14:paraId="52417DEC">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4B7846">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73BBD4B0">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15AC923A">
        <w:pPr>
          <w:pStyle w:val="14"/>
          <w:jc w:val="center"/>
        </w:pPr>
        <w:r>
          <w:fldChar w:fldCharType="begin"/>
        </w:r>
        <w:r>
          <w:instrText xml:space="preserve">PAGE   \* MERGEFORMAT</w:instrText>
        </w:r>
        <w:r>
          <w:fldChar w:fldCharType="separate"/>
        </w:r>
        <w:r>
          <w:rPr>
            <w:lang w:val="zh-CN"/>
          </w:rPr>
          <w:t>1</w:t>
        </w:r>
        <w:r>
          <w:fldChar w:fldCharType="end"/>
        </w:r>
      </w:p>
    </w:sdtContent>
  </w:sdt>
  <w:p w14:paraId="3846B319">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EDFA39">
    <w:pPr>
      <w:pStyle w:val="14"/>
      <w:jc w:val="center"/>
    </w:pPr>
    <w:r>
      <w:rPr>
        <w:b/>
      </w:rPr>
      <w:fldChar w:fldCharType="begin"/>
    </w:r>
    <w:r>
      <w:rPr>
        <w:b/>
      </w:rPr>
      <w:instrText xml:space="preserve">PAGE  \* Arabic  \* MERGEFORMAT</w:instrText>
    </w:r>
    <w:r>
      <w:rPr>
        <w:b/>
      </w:rPr>
      <w:fldChar w:fldCharType="separate"/>
    </w:r>
    <w:r>
      <w:rPr>
        <w:b/>
        <w:lang w:val="zh-CN"/>
      </w:rPr>
      <w:t>52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2A759">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FF1B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85EDE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3511EF8"/>
    <w:multiLevelType w:val="singleLevel"/>
    <w:tmpl w:val="33511EF8"/>
    <w:lvl w:ilvl="0" w:tentative="0">
      <w:start w:val="2"/>
      <w:numFmt w:val="chineseCounting"/>
      <w:suff w:val="nothing"/>
      <w:lvlText w:val="%1、"/>
      <w:lvlJc w:val="left"/>
      <w:rPr>
        <w:rFonts w:hint="eastAsia"/>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EF3155B"/>
    <w:rsid w:val="102F3975"/>
    <w:rsid w:val="24F67888"/>
    <w:rsid w:val="33AD7074"/>
    <w:rsid w:val="3A007E13"/>
    <w:rsid w:val="3E121435"/>
    <w:rsid w:val="616960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8"/>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2"/>
    <w:semiHidden/>
    <w:unhideWhenUsed/>
    <w:qFormat/>
    <w:uiPriority w:val="99"/>
    <w:pPr>
      <w:spacing w:after="120"/>
    </w:pPr>
  </w:style>
  <w:style w:type="paragraph" w:styleId="7">
    <w:name w:val="Body Text Indent"/>
    <w:basedOn w:val="1"/>
    <w:link w:val="30"/>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2"/>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5"/>
    <w:qFormat/>
    <w:uiPriority w:val="0"/>
    <w:pPr>
      <w:adjustRightInd w:val="0"/>
      <w:spacing w:line="360" w:lineRule="atLeast"/>
      <w:textAlignment w:val="baseline"/>
    </w:pPr>
    <w:rPr>
      <w:sz w:val="32"/>
    </w:rPr>
  </w:style>
  <w:style w:type="paragraph" w:styleId="12">
    <w:name w:val="Body Text Indent 2"/>
    <w:basedOn w:val="1"/>
    <w:link w:val="37"/>
    <w:semiHidden/>
    <w:unhideWhenUsed/>
    <w:qFormat/>
    <w:uiPriority w:val="99"/>
    <w:pPr>
      <w:spacing w:after="120" w:line="480" w:lineRule="auto"/>
      <w:ind w:left="420" w:leftChars="200"/>
    </w:pPr>
  </w:style>
  <w:style w:type="paragraph" w:styleId="13">
    <w:name w:val="Balloon Text"/>
    <w:basedOn w:val="1"/>
    <w:link w:val="51"/>
    <w:semiHidden/>
    <w:unhideWhenUsed/>
    <w:qFormat/>
    <w:uiPriority w:val="99"/>
    <w:rPr>
      <w:sz w:val="18"/>
      <w:szCs w:val="18"/>
    </w:rPr>
  </w:style>
  <w:style w:type="paragraph" w:styleId="14">
    <w:name w:val="footer"/>
    <w:basedOn w:val="1"/>
    <w:link w:val="34"/>
    <w:unhideWhenUsed/>
    <w:uiPriority w:val="99"/>
    <w:pPr>
      <w:tabs>
        <w:tab w:val="center" w:pos="4153"/>
        <w:tab w:val="right" w:pos="8306"/>
      </w:tabs>
      <w:snapToGrid w:val="0"/>
      <w:jc w:val="left"/>
    </w:pPr>
    <w:rPr>
      <w:sz w:val="18"/>
      <w:szCs w:val="18"/>
    </w:rPr>
  </w:style>
  <w:style w:type="paragraph" w:styleId="15">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2"/>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3"/>
    <w:semiHidden/>
    <w:unhideWhenUsed/>
    <w:qFormat/>
    <w:uiPriority w:val="99"/>
    <w:pPr>
      <w:spacing w:after="120"/>
      <w:ind w:left="420" w:leftChars="200"/>
    </w:pPr>
    <w:rPr>
      <w:sz w:val="16"/>
      <w:szCs w:val="16"/>
    </w:rPr>
  </w:style>
  <w:style w:type="paragraph" w:styleId="19">
    <w:name w:val="Body Text 2"/>
    <w:basedOn w:val="1"/>
    <w:link w:val="39"/>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4"/>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Emphasis"/>
    <w:qFormat/>
    <w:uiPriority w:val="0"/>
    <w:rPr>
      <w:i/>
    </w:rPr>
  </w:style>
  <w:style w:type="character" w:styleId="28">
    <w:name w:val="Hyperlink"/>
    <w:basedOn w:val="24"/>
    <w:unhideWhenUsed/>
    <w:qFormat/>
    <w:uiPriority w:val="99"/>
    <w:rPr>
      <w:color w:val="0000FF" w:themeColor="hyperlink"/>
      <w:u w:val="single"/>
      <w14:textFill>
        <w14:solidFill>
          <w14:schemeClr w14:val="hlink"/>
        </w14:solidFill>
      </w14:textFill>
    </w:rPr>
  </w:style>
  <w:style w:type="character" w:styleId="29">
    <w:name w:val="annotation reference"/>
    <w:basedOn w:val="24"/>
    <w:semiHidden/>
    <w:unhideWhenUsed/>
    <w:qFormat/>
    <w:uiPriority w:val="99"/>
    <w:rPr>
      <w:sz w:val="21"/>
      <w:szCs w:val="21"/>
    </w:rPr>
  </w:style>
  <w:style w:type="character" w:customStyle="1" w:styleId="30">
    <w:name w:val="正文文本缩进 Char"/>
    <w:basedOn w:val="24"/>
    <w:link w:val="7"/>
    <w:qFormat/>
    <w:uiPriority w:val="0"/>
    <w:rPr>
      <w:rFonts w:ascii="宋体" w:hAnsi="宋体" w:eastAsia="宋体" w:cs="Times New Roman"/>
      <w:sz w:val="24"/>
      <w:szCs w:val="20"/>
    </w:rPr>
  </w:style>
  <w:style w:type="paragraph" w:customStyle="1" w:styleId="31">
    <w:name w:val="Default"/>
    <w:link w:val="5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2">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3">
    <w:name w:val="页眉 Char"/>
    <w:basedOn w:val="24"/>
    <w:link w:val="15"/>
    <w:qFormat/>
    <w:uiPriority w:val="99"/>
    <w:rPr>
      <w:rFonts w:ascii="Times New Roman" w:hAnsi="Times New Roman" w:eastAsia="宋体" w:cs="Times New Roman"/>
      <w:sz w:val="18"/>
      <w:szCs w:val="18"/>
    </w:rPr>
  </w:style>
  <w:style w:type="character" w:customStyle="1" w:styleId="34">
    <w:name w:val="页脚 Char"/>
    <w:basedOn w:val="24"/>
    <w:link w:val="14"/>
    <w:qFormat/>
    <w:uiPriority w:val="99"/>
    <w:rPr>
      <w:rFonts w:ascii="Times New Roman" w:hAnsi="Times New Roman" w:eastAsia="宋体" w:cs="Times New Roman"/>
      <w:sz w:val="18"/>
      <w:szCs w:val="18"/>
    </w:rPr>
  </w:style>
  <w:style w:type="character" w:customStyle="1" w:styleId="35">
    <w:name w:val="日期 Char"/>
    <w:basedOn w:val="24"/>
    <w:link w:val="11"/>
    <w:qFormat/>
    <w:uiPriority w:val="0"/>
    <w:rPr>
      <w:rFonts w:ascii="Times New Roman" w:hAnsi="Times New Roman" w:eastAsia="宋体" w:cs="Times New Roman"/>
      <w:sz w:val="32"/>
      <w:szCs w:val="20"/>
    </w:rPr>
  </w:style>
  <w:style w:type="paragraph" w:styleId="36">
    <w:name w:val="List Paragraph"/>
    <w:basedOn w:val="1"/>
    <w:link w:val="55"/>
    <w:qFormat/>
    <w:uiPriority w:val="34"/>
    <w:pPr>
      <w:ind w:firstLine="420" w:firstLineChars="200"/>
    </w:pPr>
  </w:style>
  <w:style w:type="character" w:customStyle="1" w:styleId="37">
    <w:name w:val="正文文本缩进 2 Char"/>
    <w:basedOn w:val="24"/>
    <w:link w:val="12"/>
    <w:semiHidden/>
    <w:qFormat/>
    <w:uiPriority w:val="99"/>
    <w:rPr>
      <w:rFonts w:ascii="Times New Roman" w:hAnsi="Times New Roman" w:eastAsia="宋体" w:cs="Times New Roman"/>
      <w:szCs w:val="20"/>
    </w:rPr>
  </w:style>
  <w:style w:type="character" w:customStyle="1" w:styleId="38">
    <w:name w:val="标题 3 Char"/>
    <w:basedOn w:val="24"/>
    <w:link w:val="2"/>
    <w:qFormat/>
    <w:uiPriority w:val="0"/>
    <w:rPr>
      <w:rFonts w:ascii="Times New Roman" w:hAnsi="Times New Roman" w:eastAsia="宋体" w:cs="Times New Roman"/>
      <w:b/>
      <w:bCs/>
      <w:sz w:val="32"/>
      <w:szCs w:val="32"/>
    </w:rPr>
  </w:style>
  <w:style w:type="character" w:customStyle="1" w:styleId="39">
    <w:name w:val="正文文本 2 Char"/>
    <w:basedOn w:val="24"/>
    <w:link w:val="19"/>
    <w:semiHidden/>
    <w:qFormat/>
    <w:uiPriority w:val="99"/>
    <w:rPr>
      <w:rFonts w:ascii="Times New Roman" w:hAnsi="Times New Roman" w:eastAsia="宋体" w:cs="Times New Roman"/>
      <w:szCs w:val="20"/>
    </w:rPr>
  </w:style>
  <w:style w:type="paragraph" w:customStyle="1" w:styleId="40">
    <w:name w:val="Char"/>
    <w:basedOn w:val="1"/>
    <w:autoRedefine/>
    <w:uiPriority w:val="0"/>
    <w:pPr>
      <w:tabs>
        <w:tab w:val="left" w:pos="360"/>
      </w:tabs>
    </w:pPr>
    <w:rPr>
      <w:sz w:val="24"/>
      <w:szCs w:val="24"/>
    </w:rPr>
  </w:style>
  <w:style w:type="character" w:customStyle="1" w:styleId="41">
    <w:name w:val="纯文本 Char"/>
    <w:basedOn w:val="24"/>
    <w:semiHidden/>
    <w:qFormat/>
    <w:uiPriority w:val="99"/>
    <w:rPr>
      <w:rFonts w:ascii="宋体" w:hAnsi="Courier New" w:eastAsia="宋体" w:cs="Courier New"/>
      <w:szCs w:val="21"/>
    </w:rPr>
  </w:style>
  <w:style w:type="character" w:customStyle="1" w:styleId="42">
    <w:name w:val="纯文本 Char1"/>
    <w:link w:val="9"/>
    <w:qFormat/>
    <w:locked/>
    <w:uiPriority w:val="0"/>
    <w:rPr>
      <w:rFonts w:ascii="宋体" w:hAnsi="Courier New" w:eastAsia="宋体" w:cs="Times New Roman"/>
      <w:szCs w:val="20"/>
      <w:lang w:val="zh-CN" w:eastAsia="zh-CN"/>
    </w:rPr>
  </w:style>
  <w:style w:type="character" w:customStyle="1" w:styleId="43">
    <w:name w:val="正文文本缩进 3 Char"/>
    <w:basedOn w:val="24"/>
    <w:link w:val="18"/>
    <w:semiHidden/>
    <w:qFormat/>
    <w:uiPriority w:val="99"/>
    <w:rPr>
      <w:rFonts w:ascii="Times New Roman" w:hAnsi="Times New Roman" w:eastAsia="宋体" w:cs="Times New Roman"/>
      <w:sz w:val="16"/>
      <w:szCs w:val="16"/>
    </w:rPr>
  </w:style>
  <w:style w:type="paragraph" w:customStyle="1" w:styleId="44">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Char1"/>
    <w:basedOn w:val="1"/>
    <w:autoRedefine/>
    <w:qFormat/>
    <w:uiPriority w:val="0"/>
    <w:pPr>
      <w:tabs>
        <w:tab w:val="left" w:pos="360"/>
      </w:tabs>
    </w:pPr>
    <w:rPr>
      <w:sz w:val="24"/>
      <w:szCs w:val="24"/>
    </w:rPr>
  </w:style>
  <w:style w:type="paragraph" w:customStyle="1" w:styleId="49">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框文本 Char"/>
    <w:basedOn w:val="24"/>
    <w:link w:val="13"/>
    <w:semiHidden/>
    <w:qFormat/>
    <w:uiPriority w:val="99"/>
    <w:rPr>
      <w:rFonts w:ascii="Times New Roman" w:hAnsi="Times New Roman" w:eastAsia="宋体" w:cs="Times New Roman"/>
      <w:sz w:val="18"/>
      <w:szCs w:val="18"/>
    </w:rPr>
  </w:style>
  <w:style w:type="character" w:customStyle="1" w:styleId="52">
    <w:name w:val="正文文本 Char"/>
    <w:basedOn w:val="24"/>
    <w:link w:val="6"/>
    <w:semiHidden/>
    <w:qFormat/>
    <w:uiPriority w:val="99"/>
    <w:rPr>
      <w:rFonts w:ascii="Times New Roman" w:hAnsi="Times New Roman" w:eastAsia="宋体" w:cs="Times New Roman"/>
      <w:szCs w:val="20"/>
    </w:rPr>
  </w:style>
  <w:style w:type="character" w:customStyle="1" w:styleId="53">
    <w:name w:val="Default Char"/>
    <w:link w:val="31"/>
    <w:qFormat/>
    <w:locked/>
    <w:uiPriority w:val="0"/>
    <w:rPr>
      <w:rFonts w:ascii="......." w:hAnsi="Calibri" w:eastAsia="......." w:cs="......."/>
      <w:color w:val="000000"/>
      <w:kern w:val="0"/>
      <w:sz w:val="24"/>
      <w:szCs w:val="24"/>
    </w:rPr>
  </w:style>
  <w:style w:type="character" w:customStyle="1" w:styleId="54">
    <w:name w:val="批注主题 Char"/>
    <w:basedOn w:val="50"/>
    <w:link w:val="21"/>
    <w:semiHidden/>
    <w:qFormat/>
    <w:uiPriority w:val="99"/>
    <w:rPr>
      <w:rFonts w:ascii="Times New Roman" w:hAnsi="Times New Roman" w:eastAsia="宋体" w:cs="Times New Roman"/>
      <w:b/>
      <w:bCs/>
      <w:szCs w:val="20"/>
    </w:rPr>
  </w:style>
  <w:style w:type="character" w:customStyle="1" w:styleId="55">
    <w:name w:val="列出段落 Char"/>
    <w:link w:val="36"/>
    <w:qFormat/>
    <w:uiPriority w:val="34"/>
    <w:rPr>
      <w:rFonts w:ascii="Times New Roman" w:hAnsi="Times New Roman" w:eastAsia="宋体" w:cs="Times New Roman"/>
      <w:szCs w:val="20"/>
    </w:rPr>
  </w:style>
  <w:style w:type="character" w:customStyle="1" w:styleId="56">
    <w:name w:val="font31"/>
    <w:qFormat/>
    <w:uiPriority w:val="0"/>
    <w:rPr>
      <w:rFonts w:hint="eastAsia" w:ascii="宋体" w:hAnsi="宋体" w:eastAsia="宋体" w:cs="宋体"/>
      <w:color w:val="000000"/>
      <w:sz w:val="18"/>
      <w:szCs w:val="18"/>
      <w:u w:val="none"/>
    </w:rPr>
  </w:style>
  <w:style w:type="character" w:customStyle="1" w:styleId="57">
    <w:name w:val="font41"/>
    <w:qFormat/>
    <w:uiPriority w:val="0"/>
    <w:rPr>
      <w:rFonts w:hint="default" w:ascii="Times New Roman" w:hAnsi="Times New Roman" w:eastAsia="宋体" w:cs="Times New Roman"/>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ED72A2-FD57-40FB-A331-759AA6CD794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101</Pages>
  <Words>17360</Words>
  <Characters>20010</Characters>
  <Lines>212</Lines>
  <Paragraphs>59</Paragraphs>
  <TotalTime>13</TotalTime>
  <ScaleCrop>false</ScaleCrop>
  <LinksUpToDate>false</LinksUpToDate>
  <CharactersWithSpaces>20142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2024-06-12T06:57:00Z</dcterms:created>
  <dc:creator>未定义</dc:creator>
  <cp:lastModifiedBy>尃翟</cp:lastModifiedBy>
  <dcterms:modified xsi:type="dcterms:W3CDTF">2025-11-17T09:34:00Z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D8E584B46F0E4BD3B3AFE9333178E00C_13</vt:lpwstr>
  </property>
</Properties>
</file>