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F133A">
      <w:pPr>
        <w:rPr>
          <w:rFonts w:eastAsia="仿宋_GB2312"/>
          <w:sz w:val="84"/>
        </w:rPr>
      </w:pPr>
    </w:p>
    <w:p w14:paraId="79107AFD">
      <w:pPr>
        <w:ind w:right="105"/>
        <w:jc w:val="right"/>
        <w:rPr>
          <w:rFonts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-123190</wp:posOffset>
                </wp:positionH>
                <wp:positionV relativeFrom="paragraph">
                  <wp:posOffset>221615</wp:posOffset>
                </wp:positionV>
                <wp:extent cx="986155" cy="0"/>
                <wp:effectExtent l="0" t="95250" r="5080"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985962"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7pt;margin-top:17.45pt;height:0pt;width:77.65pt;z-index:251659264;mso-width-relative:page;mso-height-relative:page;" filled="f" stroked="t" coordsize="21600,21600" o:gfxdata="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W/Idp&#10;1wAAAAkBAAAPAAAAAAAAAAEAIAAAACIAAABkcnMvZG93bnJldi54bWxQSwECFAAUAAAACACHTuJA&#10;yXL0IukBAACrAwAADgAAAAAAAAABACAAAAAmAQAAZHJzL2Uyb0RvYy54bWxQSwUGAAAAAAYABgBZ&#10;AQAAgQUAAAAA&#10;">
                <v:fill on="f" focussize="0,0"/>
                <v:stroke weight="15pt" color="#4B69B5" joinstyle="round"/>
                <v:imagedata o:title=""/>
                <o:lock v:ext="edit" aspectratio="f"/>
              </v:line>
            </w:pict>
          </mc:Fallback>
        </mc:AlternateContent>
      </w:r>
      <w:r>
        <w:rPr>
          <w:rFonts w:hint="eastAsia" w:eastAsia="黑体"/>
          <w:b/>
          <w:spacing w:val="40"/>
          <w:w w:val="66"/>
          <w:sz w:val="60"/>
          <w:szCs w:val="60"/>
        </w:rPr>
        <w:t xml:space="preserve">     天津市住房公积金管理中心OA及ERP系统维保项目</w:t>
      </w:r>
    </w:p>
    <w:p w14:paraId="49875944">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-123190</wp:posOffset>
                </wp:positionH>
                <wp:positionV relativeFrom="paragraph">
                  <wp:posOffset>360680</wp:posOffset>
                </wp:positionV>
                <wp:extent cx="3919855" cy="0"/>
                <wp:effectExtent l="0" t="95250" r="444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919993"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7pt;margin-top:28.4pt;height:0pt;width:308.65pt;z-index:251660288;mso-width-relative:page;mso-height-relative:page;" filled="f" stroked="t" coordsize="21600,21600" o:gfxdata="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kPKc&#10;zNcAAAAJAQAADwAAAAAAAAABACAAAAAiAAAAZHJzL2Rvd25yZXYueG1sUEsBAhQAFAAAAAgAh07i&#10;QMCkeF3qAQAArAMAAA4AAAAAAAAAAQAgAAAAJg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479C110E">
      <w:pPr>
        <w:ind w:right="1025"/>
        <w:jc w:val="center"/>
        <w:rPr>
          <w:rFonts w:eastAsia="黑体"/>
          <w:b/>
          <w:spacing w:val="40"/>
          <w:w w:val="66"/>
          <w:sz w:val="60"/>
          <w:szCs w:val="60"/>
        </w:rPr>
      </w:pPr>
    </w:p>
    <w:p w14:paraId="7D8F7A13">
      <w:pPr>
        <w:jc w:val="center"/>
        <w:rPr>
          <w:rFonts w:eastAsia="黑体"/>
          <w:b/>
          <w:spacing w:val="40"/>
          <w:w w:val="66"/>
          <w:sz w:val="15"/>
          <w:szCs w:val="15"/>
        </w:rPr>
      </w:pPr>
      <w:r>
        <w:rPr>
          <w:rFonts w:eastAsia="黑体"/>
          <w:b/>
          <w:spacing w:val="40"/>
          <w:w w:val="66"/>
          <w:sz w:val="56"/>
          <w:szCs w:val="56"/>
        </w:rPr>
        <w:t xml:space="preserve">            </w:t>
      </w:r>
    </w:p>
    <w:p w14:paraId="7D2FA032">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ab/>
      </w:r>
      <w:r>
        <w:rPr>
          <w:rFonts w:eastAsia="黑体"/>
          <w:spacing w:val="40"/>
          <w:w w:val="66"/>
          <w:sz w:val="32"/>
          <w:szCs w:val="32"/>
        </w:rPr>
        <w:t>TGPC-2026-D-1121）</w:t>
      </w:r>
    </w:p>
    <w:p w14:paraId="0585D175">
      <w:pPr>
        <w:rPr>
          <w:sz w:val="40"/>
        </w:rPr>
      </w:pPr>
    </w:p>
    <w:p w14:paraId="6B3B37D1">
      <w:pPr>
        <w:rPr>
          <w:sz w:val="36"/>
        </w:rPr>
      </w:pPr>
    </w:p>
    <w:p w14:paraId="757B69AF">
      <w:pPr>
        <w:rPr>
          <w:sz w:val="36"/>
        </w:rPr>
      </w:pPr>
    </w:p>
    <w:p w14:paraId="685E6176">
      <w:pPr>
        <w:rPr>
          <w:sz w:val="36"/>
        </w:rPr>
      </w:pPr>
    </w:p>
    <w:p w14:paraId="6ABA5575">
      <w:pPr>
        <w:rPr>
          <w:sz w:val="36"/>
        </w:rPr>
      </w:pPr>
    </w:p>
    <w:p w14:paraId="4284EA4B">
      <w:pPr>
        <w:rPr>
          <w:sz w:val="36"/>
        </w:rPr>
      </w:pPr>
    </w:p>
    <w:p w14:paraId="660BA36F">
      <w:pPr>
        <w:rPr>
          <w:sz w:val="36"/>
        </w:rPr>
      </w:pPr>
    </w:p>
    <w:p w14:paraId="15604EF5">
      <w:pPr>
        <w:rPr>
          <w:sz w:val="36"/>
        </w:rPr>
      </w:pPr>
    </w:p>
    <w:p w14:paraId="74B13EA2">
      <w:pPr>
        <w:rPr>
          <w:sz w:val="36"/>
        </w:rPr>
      </w:pPr>
    </w:p>
    <w:p w14:paraId="41D6477C">
      <w:pPr>
        <w:ind w:firstLine="2897" w:firstLineChars="1493"/>
        <w:rPr>
          <w:rFonts w:eastAsia="黑体"/>
          <w:spacing w:val="20"/>
          <w:w w:val="66"/>
          <w:sz w:val="44"/>
          <w:szCs w:val="44"/>
        </w:rPr>
      </w:pPr>
      <w:bookmarkStart w:id="10" w:name="_GoBack"/>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bookmarkEnd w:id="10"/>
      <w:r>
        <w:rPr>
          <w:rFonts w:eastAsia="黑体"/>
          <w:spacing w:val="20"/>
          <w:w w:val="66"/>
          <w:sz w:val="44"/>
          <w:szCs w:val="44"/>
        </w:rPr>
        <w:t>天津市政府采购中心</w:t>
      </w:r>
    </w:p>
    <w:p w14:paraId="19AE2C55">
      <w:pPr>
        <w:tabs>
          <w:tab w:val="left" w:pos="3281"/>
          <w:tab w:val="center" w:pos="4711"/>
        </w:tabs>
        <w:jc w:val="center"/>
        <w:rPr>
          <w:rFonts w:hint="eastAsia" w:eastAsia="仿宋_GB2312"/>
          <w:b/>
          <w:bCs/>
          <w:kern w:val="0"/>
          <w:sz w:val="44"/>
          <w:szCs w:val="44"/>
          <w:lang w:eastAsia="zh"/>
        </w:rPr>
      </w:pPr>
      <w:r>
        <w:rPr>
          <w:rFonts w:eastAsia="仿宋_GB2312"/>
          <w:b/>
          <w:bCs/>
          <w:kern w:val="0"/>
          <w:sz w:val="44"/>
          <w:szCs w:val="44"/>
        </w:rPr>
        <w:t>202</w:t>
      </w:r>
      <w:r>
        <w:rPr>
          <w:rFonts w:hint="eastAsia" w:eastAsia="仿宋_GB2312"/>
          <w:b/>
          <w:bCs/>
          <w:kern w:val="0"/>
          <w:sz w:val="44"/>
          <w:szCs w:val="44"/>
        </w:rPr>
        <w:t>6</w:t>
      </w:r>
      <w:r>
        <w:rPr>
          <w:rFonts w:eastAsia="仿宋_GB2312"/>
          <w:b/>
          <w:bCs/>
          <w:kern w:val="0"/>
          <w:sz w:val="44"/>
          <w:szCs w:val="44"/>
        </w:rPr>
        <w:t>.</w:t>
      </w:r>
      <w:r>
        <w:rPr>
          <w:rFonts w:hint="eastAsia" w:eastAsia="仿宋_GB2312"/>
          <w:b/>
          <w:bCs/>
          <w:kern w:val="0"/>
          <w:sz w:val="44"/>
          <w:szCs w:val="44"/>
          <w:lang w:eastAsia="zh"/>
        </w:rPr>
        <w:t>10</w:t>
      </w:r>
    </w:p>
    <w:p w14:paraId="6C222AF2">
      <w:pPr>
        <w:widowControl/>
        <w:jc w:val="left"/>
        <w:rPr>
          <w:rFonts w:eastAsia="仿宋_GB2312"/>
          <w:b/>
          <w:bCs/>
          <w:kern w:val="0"/>
          <w:sz w:val="44"/>
          <w:szCs w:val="44"/>
        </w:rPr>
      </w:pPr>
    </w:p>
    <w:p w14:paraId="21C657B7">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6805D3E7">
      <w:pPr>
        <w:ind w:firstLine="408" w:firstLineChars="100"/>
        <w:jc w:val="center"/>
        <w:rPr>
          <w:b/>
          <w:spacing w:val="20"/>
          <w:w w:val="80"/>
          <w:sz w:val="48"/>
          <w:szCs w:val="48"/>
        </w:rPr>
      </w:pPr>
      <w:r>
        <w:rPr>
          <w:b/>
          <w:spacing w:val="20"/>
          <w:w w:val="80"/>
          <w:sz w:val="48"/>
          <w:szCs w:val="48"/>
        </w:rPr>
        <w:t>目  录</w:t>
      </w:r>
    </w:p>
    <w:p w14:paraId="1E598781">
      <w:pPr>
        <w:spacing w:line="560" w:lineRule="exact"/>
        <w:ind w:right="-141" w:rightChars="-73"/>
        <w:rPr>
          <w:b/>
          <w:sz w:val="24"/>
        </w:rPr>
      </w:pPr>
      <w:r>
        <w:rPr>
          <w:b/>
          <w:sz w:val="24"/>
        </w:rPr>
        <w:t>第一部分  投标邀请函</w:t>
      </w:r>
    </w:p>
    <w:p w14:paraId="57EE947F">
      <w:pPr>
        <w:spacing w:line="560" w:lineRule="exact"/>
        <w:ind w:right="-141" w:rightChars="-73"/>
        <w:rPr>
          <w:b/>
          <w:sz w:val="24"/>
        </w:rPr>
      </w:pPr>
    </w:p>
    <w:p w14:paraId="0807BBDE">
      <w:pPr>
        <w:spacing w:line="560" w:lineRule="exact"/>
        <w:ind w:right="-141" w:rightChars="-73"/>
        <w:rPr>
          <w:b/>
          <w:sz w:val="24"/>
        </w:rPr>
      </w:pPr>
      <w:r>
        <w:rPr>
          <w:b/>
          <w:sz w:val="24"/>
        </w:rPr>
        <w:t>第二部分  招标项目需求</w:t>
      </w:r>
    </w:p>
    <w:p w14:paraId="25E295D8">
      <w:pPr>
        <w:spacing w:line="560" w:lineRule="exact"/>
        <w:ind w:right="-141" w:rightChars="-73"/>
        <w:rPr>
          <w:b/>
          <w:sz w:val="24"/>
        </w:rPr>
      </w:pPr>
    </w:p>
    <w:p w14:paraId="570A0D79">
      <w:pPr>
        <w:spacing w:line="560" w:lineRule="exact"/>
        <w:ind w:right="-141" w:rightChars="-73"/>
        <w:rPr>
          <w:b/>
          <w:sz w:val="24"/>
        </w:rPr>
      </w:pPr>
      <w:r>
        <w:rPr>
          <w:b/>
          <w:sz w:val="24"/>
        </w:rPr>
        <w:t>第三部分  投标须知</w:t>
      </w:r>
    </w:p>
    <w:p w14:paraId="0CE6CB02">
      <w:pPr>
        <w:spacing w:line="560" w:lineRule="exact"/>
        <w:ind w:right="-141" w:rightChars="-73"/>
        <w:rPr>
          <w:sz w:val="24"/>
        </w:rPr>
      </w:pPr>
    </w:p>
    <w:p w14:paraId="22AD90B1">
      <w:pPr>
        <w:spacing w:line="560" w:lineRule="exact"/>
        <w:rPr>
          <w:b/>
          <w:sz w:val="24"/>
        </w:rPr>
      </w:pPr>
      <w:r>
        <w:rPr>
          <w:b/>
          <w:sz w:val="24"/>
        </w:rPr>
        <w:t>第四部分  合同条款</w:t>
      </w:r>
    </w:p>
    <w:p w14:paraId="69E5BDDE">
      <w:pPr>
        <w:spacing w:line="560" w:lineRule="exact"/>
        <w:rPr>
          <w:sz w:val="24"/>
        </w:rPr>
      </w:pPr>
    </w:p>
    <w:p w14:paraId="3B35C42C">
      <w:pPr>
        <w:spacing w:line="560" w:lineRule="exact"/>
        <w:rPr>
          <w:sz w:val="24"/>
        </w:rPr>
      </w:pPr>
      <w:r>
        <w:rPr>
          <w:b/>
          <w:sz w:val="24"/>
        </w:rPr>
        <w:t>第五部分  投标文件格式</w:t>
      </w:r>
    </w:p>
    <w:p w14:paraId="3E9D8B56">
      <w:pPr>
        <w:rPr>
          <w:sz w:val="24"/>
        </w:rPr>
      </w:pPr>
    </w:p>
    <w:p w14:paraId="0847F587">
      <w:pPr>
        <w:rPr>
          <w:sz w:val="24"/>
        </w:rPr>
      </w:pPr>
    </w:p>
    <w:p w14:paraId="5C95AEE0">
      <w:pPr>
        <w:rPr>
          <w:sz w:val="24"/>
        </w:rPr>
      </w:pPr>
    </w:p>
    <w:p w14:paraId="12FDC024">
      <w:pPr>
        <w:rPr>
          <w:sz w:val="24"/>
        </w:rPr>
      </w:pPr>
    </w:p>
    <w:p w14:paraId="6FCC90FE">
      <w:pPr>
        <w:rPr>
          <w:sz w:val="24"/>
        </w:rPr>
      </w:pPr>
    </w:p>
    <w:p w14:paraId="70319579">
      <w:pPr>
        <w:rPr>
          <w:sz w:val="24"/>
        </w:rPr>
      </w:pPr>
    </w:p>
    <w:p w14:paraId="02EED57B">
      <w:pPr>
        <w:rPr>
          <w:b/>
        </w:rPr>
      </w:pPr>
    </w:p>
    <w:p w14:paraId="412DFB0D">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7F6FBA7D">
      <w:pPr>
        <w:pStyle w:val="16"/>
        <w:rPr>
          <w:rFonts w:ascii="Times New Roman" w:hAnsi="Times New Roman"/>
        </w:rPr>
      </w:pPr>
      <w:r>
        <w:rPr>
          <w:rFonts w:ascii="Times New Roman" w:hAnsi="Times New Roman"/>
        </w:rPr>
        <w:t>第一部分  投标邀请函</w:t>
      </w:r>
      <w:bookmarkEnd w:id="0"/>
    </w:p>
    <w:p w14:paraId="7ECF4B30">
      <w:pPr>
        <w:pStyle w:val="29"/>
        <w:spacing w:line="360" w:lineRule="auto"/>
        <w:ind w:firstLine="448"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天津市住房公积金管理中心</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天津市住房公积金管理中心OA及ERP系统维保项目</w:t>
      </w:r>
      <w:r>
        <w:rPr>
          <w:rFonts w:ascii="Times New Roman" w:hAnsi="Times New Roman" w:cs="Times New Roman" w:eastAsiaTheme="minorEastAsia"/>
          <w:color w:val="auto"/>
          <w:szCs w:val="32"/>
        </w:rPr>
        <w:t>实施采购。现欢迎合格的供应商参加投标。</w:t>
      </w:r>
    </w:p>
    <w:p w14:paraId="0D5109C3">
      <w:pPr>
        <w:pStyle w:val="29"/>
        <w:spacing w:line="360" w:lineRule="auto"/>
        <w:ind w:firstLine="448"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本文件的规定在天津市政府采购中心招投标系统中提交网上应答并上传加盖投标人电子签章的电子投标文件（以通过天津公共资源电子签章客户端正确读取签章信息为准）。投标文件加盖1个有效电子签章即视同所有页均已盖章。</w:t>
      </w:r>
    </w:p>
    <w:p w14:paraId="6633083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一、基本概况</w:t>
      </w:r>
    </w:p>
    <w:p w14:paraId="4DA1708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cs="Times New Roman" w:eastAsiaTheme="minorEastAsia"/>
          <w:color w:val="auto"/>
          <w:szCs w:val="32"/>
        </w:rPr>
        <w:t>天津市住房公积金管理中心OA及ERP系统维保项目</w:t>
      </w:r>
    </w:p>
    <w:p w14:paraId="74471CB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w:t>
      </w:r>
      <w:r>
        <w:rPr>
          <w:rFonts w:ascii="Times New Roman" w:hAnsi="Times New Roman" w:eastAsia="宋体" w:cs="Times New Roman"/>
          <w:color w:val="auto"/>
        </w:rPr>
        <w:tab/>
      </w:r>
      <w:r>
        <w:rPr>
          <w:rFonts w:ascii="Times New Roman" w:hAnsi="Times New Roman" w:eastAsia="宋体" w:cs="Times New Roman"/>
          <w:color w:val="auto"/>
        </w:rPr>
        <w:t>TGPC-2026-D-1121</w:t>
      </w:r>
    </w:p>
    <w:p w14:paraId="513B4C3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（三）采购方式：公开招标</w:t>
      </w:r>
    </w:p>
    <w:p w14:paraId="5430D23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（四）项目属性：服务</w:t>
      </w:r>
    </w:p>
    <w:p w14:paraId="100F9C7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（五）本项目不接受联合体参与。不接受联合体参与的，若有供应商组成联合体参与，视为无效投标。</w:t>
      </w:r>
    </w:p>
    <w:p w14:paraId="51CF9B0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（六）本文件售价：免费。</w:t>
      </w:r>
    </w:p>
    <w:p w14:paraId="1B80018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二、项目内容</w:t>
      </w:r>
    </w:p>
    <w:tbl>
      <w:tblPr>
        <w:tblStyle w:val="23"/>
        <w:tblW w:w="9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417"/>
        <w:gridCol w:w="1276"/>
        <w:gridCol w:w="1276"/>
        <w:gridCol w:w="2977"/>
        <w:gridCol w:w="1529"/>
      </w:tblGrid>
      <w:tr w14:paraId="607C7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Align w:val="center"/>
          </w:tcPr>
          <w:p w14:paraId="2626AAA7">
            <w:pPr>
              <w:pStyle w:val="29"/>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包号</w:t>
            </w:r>
          </w:p>
        </w:tc>
        <w:tc>
          <w:tcPr>
            <w:tcW w:w="1417" w:type="dxa"/>
            <w:vAlign w:val="center"/>
          </w:tcPr>
          <w:p w14:paraId="57D41B28">
            <w:pPr>
              <w:pStyle w:val="29"/>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包名称</w:t>
            </w:r>
          </w:p>
        </w:tc>
        <w:tc>
          <w:tcPr>
            <w:tcW w:w="1276" w:type="dxa"/>
            <w:vAlign w:val="center"/>
          </w:tcPr>
          <w:p w14:paraId="4339DFBC">
            <w:pPr>
              <w:pStyle w:val="29"/>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包预算</w:t>
            </w:r>
          </w:p>
        </w:tc>
        <w:tc>
          <w:tcPr>
            <w:tcW w:w="1276" w:type="dxa"/>
            <w:vAlign w:val="center"/>
          </w:tcPr>
          <w:p w14:paraId="0C7ADC31">
            <w:pPr>
              <w:pStyle w:val="29"/>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包最高限价</w:t>
            </w:r>
          </w:p>
        </w:tc>
        <w:tc>
          <w:tcPr>
            <w:tcW w:w="2977" w:type="dxa"/>
            <w:vAlign w:val="center"/>
          </w:tcPr>
          <w:p w14:paraId="5AE997B1">
            <w:pPr>
              <w:pStyle w:val="29"/>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合同履行期限</w:t>
            </w:r>
          </w:p>
        </w:tc>
        <w:tc>
          <w:tcPr>
            <w:tcW w:w="1529" w:type="dxa"/>
            <w:vAlign w:val="center"/>
          </w:tcPr>
          <w:p w14:paraId="40997A2E">
            <w:pPr>
              <w:pStyle w:val="29"/>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所属行业</w:t>
            </w:r>
          </w:p>
        </w:tc>
      </w:tr>
      <w:tr w14:paraId="02453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Align w:val="center"/>
          </w:tcPr>
          <w:p w14:paraId="3CBCD122">
            <w:pPr>
              <w:pStyle w:val="29"/>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1417" w:type="dxa"/>
            <w:vAlign w:val="center"/>
          </w:tcPr>
          <w:p w14:paraId="64C55FBB">
            <w:pPr>
              <w:pStyle w:val="29"/>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OA及ERP系统维保</w:t>
            </w:r>
          </w:p>
        </w:tc>
        <w:tc>
          <w:tcPr>
            <w:tcW w:w="1276" w:type="dxa"/>
            <w:vAlign w:val="center"/>
          </w:tcPr>
          <w:p w14:paraId="7D7D1DFA">
            <w:pPr>
              <w:pStyle w:val="29"/>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399100元</w:t>
            </w:r>
          </w:p>
        </w:tc>
        <w:tc>
          <w:tcPr>
            <w:tcW w:w="1276" w:type="dxa"/>
            <w:vAlign w:val="center"/>
          </w:tcPr>
          <w:p w14:paraId="53D8618C">
            <w:pPr>
              <w:pStyle w:val="29"/>
              <w:spacing w:line="360" w:lineRule="auto"/>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399100元</w:t>
            </w:r>
          </w:p>
        </w:tc>
        <w:tc>
          <w:tcPr>
            <w:tcW w:w="2977" w:type="dxa"/>
            <w:vAlign w:val="center"/>
          </w:tcPr>
          <w:p w14:paraId="4FD82A9E">
            <w:pPr>
              <w:spacing w:line="360" w:lineRule="auto"/>
              <w:rPr>
                <w:kern w:val="0"/>
                <w:szCs w:val="21"/>
              </w:rPr>
            </w:pPr>
            <w:r>
              <w:rPr>
                <w:rFonts w:hint="eastAsia"/>
                <w:kern w:val="0"/>
                <w:szCs w:val="21"/>
              </w:rPr>
              <w:t>1.OA子系统：自合同签订之日起一年的服务期</w:t>
            </w:r>
          </w:p>
          <w:p w14:paraId="04A04C81">
            <w:pPr>
              <w:spacing w:line="360" w:lineRule="auto"/>
              <w:rPr>
                <w:kern w:val="0"/>
                <w:szCs w:val="21"/>
              </w:rPr>
            </w:pPr>
            <w:r>
              <w:rPr>
                <w:rFonts w:hint="eastAsia"/>
                <w:kern w:val="0"/>
                <w:szCs w:val="21"/>
              </w:rPr>
              <w:t>2.ERP子系统：自合同签订之日起至2027年8月25日</w:t>
            </w:r>
          </w:p>
        </w:tc>
        <w:tc>
          <w:tcPr>
            <w:tcW w:w="1529" w:type="dxa"/>
            <w:vAlign w:val="center"/>
          </w:tcPr>
          <w:p w14:paraId="1CBBE53B">
            <w:pPr>
              <w:pStyle w:val="29"/>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软件和信息技术服务业</w:t>
            </w:r>
          </w:p>
        </w:tc>
      </w:tr>
    </w:tbl>
    <w:p w14:paraId="0234B6C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、供应商资格要求（实质性要求）</w:t>
      </w:r>
    </w:p>
    <w:p w14:paraId="7CE4E42E">
      <w:pPr>
        <w:pStyle w:val="29"/>
        <w:spacing w:line="360" w:lineRule="auto"/>
        <w:ind w:firstLine="448" w:firstLineChars="200"/>
        <w:rPr>
          <w:rFonts w:ascii="Times New Roman" w:hAnsi="Times New Roman" w:eastAsia="宋体" w:cs="Times New Roman"/>
          <w:color w:val="auto"/>
        </w:rPr>
      </w:pPr>
      <w:r>
        <w:rPr>
          <w:rFonts w:ascii="Times New Roman" w:hAnsi="Times New Roman" w:cs="Times New Roman" w:eastAsiaTheme="minorEastAsia"/>
          <w:color w:val="auto"/>
        </w:rPr>
        <w:t>（一）</w:t>
      </w:r>
      <w:r>
        <w:rPr>
          <w:rFonts w:hint="eastAsia" w:ascii="Times New Roman" w:hAnsi="Times New Roman" w:eastAsia="宋体" w:cs="Times New Roman"/>
          <w:color w:val="auto"/>
        </w:rPr>
        <w:t>供应商应具备《中华人民共和国政府采购法》第二十二条第一款和《中华人民共和国政府采购法实施条例》第十八条规定的条件，</w:t>
      </w:r>
      <w:r>
        <w:rPr>
          <w:rFonts w:ascii="Times New Roman" w:hAnsi="Times New Roman" w:eastAsia="宋体" w:cs="Times New Roman"/>
          <w:color w:val="auto"/>
        </w:rPr>
        <w:t>提供以下材料：</w:t>
      </w:r>
    </w:p>
    <w:p w14:paraId="7E9E7CF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营业执照副本或事业单位法人证书或民办非企业单位登记证书或社会团体法人登记证书或基金会法人登记证书电子件或自然人的身份证明电子件。</w:t>
      </w:r>
    </w:p>
    <w:p w14:paraId="7D3E429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0243957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（二）本项目专门面向小型、微型企业提供《中小企业声明函》。</w:t>
      </w:r>
    </w:p>
    <w:p w14:paraId="33A8538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、项目需要落实的政府采购政策</w:t>
      </w:r>
    </w:p>
    <w:p w14:paraId="3D1790EE">
      <w:pPr>
        <w:pStyle w:val="29"/>
        <w:spacing w:line="360" w:lineRule="auto"/>
        <w:ind w:firstLine="448" w:firstLineChars="200"/>
        <w:rPr>
          <w:rFonts w:ascii="Times New Roman" w:hAnsi="Times New Roman" w:eastAsia="宋体" w:cs="Times New Roman"/>
          <w:color w:val="auto"/>
        </w:rPr>
      </w:pPr>
      <w:bookmarkStart w:id="1" w:name="OLE_LINK4"/>
      <w:bookmarkStart w:id="2" w:name="OLE_LINK3"/>
      <w:r>
        <w:rPr>
          <w:rFonts w:ascii="Times New Roman" w:hAnsi="Times New Roman" w:eastAsia="宋体" w:cs="Times New Roman"/>
          <w:color w:val="auto"/>
        </w:rPr>
        <w:t>（一）</w:t>
      </w:r>
      <w:r>
        <w:rPr>
          <w:rFonts w:hint="eastAsia" w:ascii="Times New Roman" w:hAnsi="Times New Roman" w:eastAsia="宋体" w:cs="Times New Roman"/>
          <w:color w:val="auto"/>
        </w:rPr>
        <w:t>本项目专门面向小型、微型企业</w:t>
      </w:r>
      <w:r>
        <w:rPr>
          <w:rFonts w:ascii="Times New Roman" w:hAnsi="Times New Roman" w:eastAsia="宋体" w:cs="Times New Roman"/>
          <w:color w:val="auto"/>
        </w:rPr>
        <w:t>。</w:t>
      </w:r>
    </w:p>
    <w:p w14:paraId="6819A861">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（二）根据财政部发布的《关于政府采购支持监狱企业发展有关问题的通知》规定，监狱企业视同小微企业。</w:t>
      </w:r>
    </w:p>
    <w:p w14:paraId="09C1BA9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14:paraId="6188CB0F">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412114A6">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391D632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14:paraId="4BA68554">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（六）</w:t>
      </w:r>
      <w:bookmarkStart w:id="3" w:name="OLE_LINK1"/>
      <w:bookmarkStart w:id="4" w:name="OLE_LINK2"/>
      <w:r>
        <w:rPr>
          <w:rFonts w:hint="eastAsia" w:ascii="Times New Roman" w:hAnsi="Times New Roman" w:eastAsia="宋体"/>
          <w:color w:val="auto"/>
        </w:rPr>
        <w:t>按照《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等文件要求，对</w:t>
      </w:r>
      <w:r>
        <w:rPr>
          <w:rFonts w:ascii="Times New Roman" w:hAnsi="Times New Roman" w:cs="Times New Roman"/>
          <w:color w:val="auto"/>
        </w:rPr>
        <w:t>政府采购节能、环境标志品目清单</w:t>
      </w:r>
      <w:r>
        <w:rPr>
          <w:rFonts w:hint="eastAsia" w:ascii="Times New Roman" w:hAnsi="Times New Roman" w:cs="Times New Roman"/>
          <w:color w:val="auto"/>
        </w:rPr>
        <w:t>内的产品实施</w:t>
      </w:r>
      <w:r>
        <w:rPr>
          <w:rFonts w:hint="eastAsia" w:ascii="Times New Roman" w:hAnsi="Times New Roman" w:eastAsia="宋体"/>
          <w:color w:val="auto"/>
        </w:rPr>
        <w:t>优先采购和强制采购的评标方法。</w:t>
      </w:r>
      <w:bookmarkEnd w:id="3"/>
      <w:bookmarkEnd w:id="4"/>
    </w:p>
    <w:p w14:paraId="7672168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（七）根据《关于推动解决政府采购异常低价问题的通知》（财库〔2026〕2号）的要求，当供应商报价出现以下情形之一时，评标委员会应当启动对该供应商的异常低价审查程序：</w:t>
      </w:r>
    </w:p>
    <w:p w14:paraId="74AF6B8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供应商报价&lt;全部通过符合性审查供应商报价平均值×50%；</w:t>
      </w:r>
    </w:p>
    <w:p w14:paraId="06DDD11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供应商报价&lt;通过符合性审查的次低供应商报价×50%；</w:t>
      </w:r>
    </w:p>
    <w:p w14:paraId="7E5657C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供应商报价&lt;最高限价×45%；</w:t>
      </w:r>
    </w:p>
    <w:p w14:paraId="0E6ACB53">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4. 评标委员会基于专业判断，认为供应商报价过低，有可能影响产品质量或者不能诚信履约的其他情形。</w:t>
      </w:r>
    </w:p>
    <w:p w14:paraId="3DD42629">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五、参与本项目的步骤、时间与方式</w:t>
      </w:r>
    </w:p>
    <w:p w14:paraId="69BC70B1">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（一）参与本项目的时间要求</w:t>
      </w:r>
    </w:p>
    <w:tbl>
      <w:tblPr>
        <w:tblStyle w:val="23"/>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1891"/>
        <w:gridCol w:w="2632"/>
      </w:tblGrid>
      <w:tr w14:paraId="1E01C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3EDF94E5">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序号</w:t>
            </w:r>
          </w:p>
        </w:tc>
        <w:tc>
          <w:tcPr>
            <w:tcW w:w="1941" w:type="dxa"/>
            <w:vAlign w:val="center"/>
          </w:tcPr>
          <w:p w14:paraId="77422B1C">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步骤名称</w:t>
            </w:r>
          </w:p>
        </w:tc>
        <w:tc>
          <w:tcPr>
            <w:tcW w:w="1891" w:type="dxa"/>
            <w:vAlign w:val="center"/>
          </w:tcPr>
          <w:p w14:paraId="70C7F388">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开始时间</w:t>
            </w:r>
          </w:p>
        </w:tc>
        <w:tc>
          <w:tcPr>
            <w:tcW w:w="1891" w:type="dxa"/>
            <w:vAlign w:val="center"/>
          </w:tcPr>
          <w:p w14:paraId="71BAC838">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截止时间</w:t>
            </w:r>
          </w:p>
        </w:tc>
        <w:tc>
          <w:tcPr>
            <w:tcW w:w="2632" w:type="dxa"/>
            <w:vAlign w:val="center"/>
          </w:tcPr>
          <w:p w14:paraId="3FA008E8">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备注</w:t>
            </w:r>
          </w:p>
        </w:tc>
      </w:tr>
      <w:tr w14:paraId="7C60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A5AD667">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1</w:t>
            </w:r>
          </w:p>
        </w:tc>
        <w:tc>
          <w:tcPr>
            <w:tcW w:w="1941" w:type="dxa"/>
            <w:vAlign w:val="center"/>
          </w:tcPr>
          <w:p w14:paraId="52096613">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获取招标文件</w:t>
            </w:r>
          </w:p>
        </w:tc>
        <w:tc>
          <w:tcPr>
            <w:tcW w:w="1891" w:type="dxa"/>
            <w:vAlign w:val="center"/>
          </w:tcPr>
          <w:p w14:paraId="0967EFC4">
            <w:pPr>
              <w:pStyle w:val="29"/>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rPr>
              <w:t>10</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rPr>
              <w:t>12</w:t>
            </w:r>
            <w:r>
              <w:rPr>
                <w:rFonts w:ascii="Times New Roman" w:hAnsi="Times New Roman" w:eastAsia="宋体" w:cs="Times New Roman"/>
                <w:color w:val="auto"/>
                <w:sz w:val="21"/>
                <w:szCs w:val="21"/>
              </w:rPr>
              <w:t>日</w:t>
            </w:r>
          </w:p>
        </w:tc>
        <w:tc>
          <w:tcPr>
            <w:tcW w:w="1891" w:type="dxa"/>
            <w:vAlign w:val="center"/>
          </w:tcPr>
          <w:p w14:paraId="43800837">
            <w:pPr>
              <w:pStyle w:val="29"/>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rPr>
              <w:t>10</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rPr>
              <w:t>19</w:t>
            </w:r>
            <w:r>
              <w:rPr>
                <w:rFonts w:ascii="Times New Roman" w:hAnsi="Times New Roman" w:eastAsia="宋体" w:cs="Times New Roman"/>
                <w:color w:val="auto"/>
                <w:sz w:val="21"/>
                <w:szCs w:val="21"/>
              </w:rPr>
              <w:t>日</w:t>
            </w:r>
          </w:p>
        </w:tc>
        <w:tc>
          <w:tcPr>
            <w:tcW w:w="2632" w:type="dxa"/>
            <w:vAlign w:val="center"/>
          </w:tcPr>
          <w:p w14:paraId="3CC16EED">
            <w:pPr>
              <w:pStyle w:val="29"/>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每日9:00至17:00（北京时间，法定节假日除外）。</w:t>
            </w:r>
          </w:p>
          <w:p w14:paraId="3A0F34C4">
            <w:pPr>
              <w:pStyle w:val="29"/>
              <w:snapToGrid w:val="0"/>
              <w:jc w:val="both"/>
              <w:rPr>
                <w:rFonts w:ascii="Times New Roman" w:hAnsi="Times New Roman" w:eastAsia="宋体"/>
                <w:color w:val="auto"/>
                <w:sz w:val="21"/>
                <w:szCs w:val="21"/>
              </w:rPr>
            </w:pPr>
            <w:r>
              <w:rPr>
                <w:rFonts w:hint="eastAsia" w:ascii="Times New Roman" w:hAnsi="Times New Roman" w:eastAsia="宋体" w:cs="Times New Roman"/>
                <w:color w:val="auto"/>
                <w:sz w:val="21"/>
                <w:szCs w:val="21"/>
              </w:rPr>
              <w:t>未按时获取招标文件的，不能参与本项目</w:t>
            </w:r>
          </w:p>
        </w:tc>
      </w:tr>
      <w:tr w14:paraId="7A21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5B2B7EB7">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w:t>
            </w:r>
          </w:p>
        </w:tc>
        <w:tc>
          <w:tcPr>
            <w:tcW w:w="1941" w:type="dxa"/>
            <w:vAlign w:val="center"/>
          </w:tcPr>
          <w:p w14:paraId="3291D74C">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网上应答（上传电子投标文件）</w:t>
            </w:r>
          </w:p>
        </w:tc>
        <w:tc>
          <w:tcPr>
            <w:tcW w:w="1891" w:type="dxa"/>
            <w:vAlign w:val="center"/>
          </w:tcPr>
          <w:p w14:paraId="3CEC6CF5">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2026年10月12日9:00</w:t>
            </w:r>
          </w:p>
        </w:tc>
        <w:tc>
          <w:tcPr>
            <w:tcW w:w="1891" w:type="dxa"/>
            <w:vAlign w:val="center"/>
          </w:tcPr>
          <w:p w14:paraId="7CDCAB8F">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2026年11月2日8:30</w:t>
            </w:r>
          </w:p>
        </w:tc>
        <w:tc>
          <w:tcPr>
            <w:tcW w:w="2632" w:type="dxa"/>
            <w:vAlign w:val="center"/>
          </w:tcPr>
          <w:p w14:paraId="7F5065E1">
            <w:pPr>
              <w:pStyle w:val="29"/>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未按时完成网上应答或未按时上传电子投标文件的，视为无效投标。</w:t>
            </w:r>
          </w:p>
        </w:tc>
      </w:tr>
      <w:tr w14:paraId="4988D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9" w:type="dxa"/>
            <w:vAlign w:val="center"/>
          </w:tcPr>
          <w:p w14:paraId="6D858F2B">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3</w:t>
            </w:r>
          </w:p>
        </w:tc>
        <w:tc>
          <w:tcPr>
            <w:tcW w:w="1941" w:type="dxa"/>
            <w:vAlign w:val="center"/>
          </w:tcPr>
          <w:p w14:paraId="22B944FE">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开标解密</w:t>
            </w:r>
          </w:p>
        </w:tc>
        <w:tc>
          <w:tcPr>
            <w:tcW w:w="1891" w:type="dxa"/>
            <w:vAlign w:val="center"/>
          </w:tcPr>
          <w:p w14:paraId="656020D2">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2026年11月2日8:30</w:t>
            </w:r>
          </w:p>
        </w:tc>
        <w:tc>
          <w:tcPr>
            <w:tcW w:w="1891" w:type="dxa"/>
            <w:vAlign w:val="center"/>
          </w:tcPr>
          <w:p w14:paraId="325BA926">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2026年11月2日9:30</w:t>
            </w:r>
          </w:p>
        </w:tc>
        <w:tc>
          <w:tcPr>
            <w:tcW w:w="2632" w:type="dxa"/>
            <w:vAlign w:val="center"/>
          </w:tcPr>
          <w:p w14:paraId="4B4634D3">
            <w:pPr>
              <w:pStyle w:val="29"/>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未按时完成开标解密的，视为无效投标。</w:t>
            </w:r>
          </w:p>
        </w:tc>
      </w:tr>
      <w:tr w14:paraId="355AA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21B7A950">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4</w:t>
            </w:r>
          </w:p>
        </w:tc>
        <w:tc>
          <w:tcPr>
            <w:tcW w:w="1941" w:type="dxa"/>
            <w:vAlign w:val="center"/>
          </w:tcPr>
          <w:p w14:paraId="0E56CC6F">
            <w:pPr>
              <w:pStyle w:val="29"/>
              <w:snapToGrid w:val="0"/>
              <w:jc w:val="center"/>
              <w:rPr>
                <w:rFonts w:ascii="Times New Roman" w:hAnsi="Times New Roman" w:eastAsia="宋体"/>
                <w:color w:val="auto"/>
                <w:sz w:val="21"/>
                <w:szCs w:val="21"/>
              </w:rPr>
            </w:pPr>
            <w:r>
              <w:rPr>
                <w:rFonts w:ascii="Times New Roman" w:hAnsi="Times New Roman" w:eastAsia="宋体"/>
                <w:color w:val="auto"/>
                <w:sz w:val="21"/>
                <w:szCs w:val="21"/>
              </w:rPr>
              <w:t>网上开标公示</w:t>
            </w:r>
          </w:p>
        </w:tc>
        <w:tc>
          <w:tcPr>
            <w:tcW w:w="1891" w:type="dxa"/>
            <w:vAlign w:val="center"/>
          </w:tcPr>
          <w:p w14:paraId="5234AD3C">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2026年11月2日9:30</w:t>
            </w:r>
          </w:p>
        </w:tc>
        <w:tc>
          <w:tcPr>
            <w:tcW w:w="1891" w:type="dxa"/>
            <w:vAlign w:val="center"/>
          </w:tcPr>
          <w:p w14:paraId="2F09E0F1">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2026年11月2日17:00</w:t>
            </w:r>
          </w:p>
        </w:tc>
        <w:tc>
          <w:tcPr>
            <w:tcW w:w="2632" w:type="dxa"/>
            <w:vAlign w:val="center"/>
          </w:tcPr>
          <w:p w14:paraId="320FC36E">
            <w:pPr>
              <w:pStyle w:val="29"/>
              <w:snapToGrid w:val="0"/>
              <w:jc w:val="both"/>
              <w:rPr>
                <w:rFonts w:ascii="Times New Roman" w:hAnsi="Times New Roman" w:eastAsia="宋体"/>
                <w:color w:val="auto"/>
                <w:sz w:val="21"/>
                <w:szCs w:val="21"/>
              </w:rPr>
            </w:pPr>
          </w:p>
        </w:tc>
      </w:tr>
    </w:tbl>
    <w:p w14:paraId="6AB0A686">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（二）参与本项目的方式要求</w:t>
      </w:r>
    </w:p>
    <w:p w14:paraId="4E242E9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0717458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52737BC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2AC7164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37BEAFF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73DBB48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ascii="Times New Roman" w:hAnsi="Times New Roman" w:eastAsia="宋体" w:cs="Times New Roman"/>
          <w:color w:val="auto"/>
        </w:rPr>
        <w:t>获取招标文件的方式</w:t>
      </w:r>
    </w:p>
    <w:p w14:paraId="00B7569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采用</w:t>
      </w:r>
      <w:r>
        <w:rPr>
          <w:rFonts w:ascii="Times New Roman" w:hAnsi="Times New Roman" w:eastAsia="宋体" w:cs="Times New Roman"/>
          <w:color w:val="auto"/>
        </w:rPr>
        <w:t>网上获取电子</w:t>
      </w:r>
      <w:r>
        <w:rPr>
          <w:rFonts w:hint="eastAsia" w:ascii="Times New Roman" w:hAnsi="Times New Roman" w:eastAsia="宋体" w:cs="Times New Roman"/>
          <w:color w:val="auto"/>
        </w:rPr>
        <w:t>招标</w:t>
      </w:r>
      <w:r>
        <w:rPr>
          <w:rFonts w:ascii="Times New Roman" w:hAnsi="Times New Roman" w:eastAsia="宋体" w:cs="Times New Roman"/>
          <w:color w:val="auto"/>
        </w:rPr>
        <w:t>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6"/>
          <w:rFonts w:hint="eastAsia" w:ascii="Times New Roman" w:hAnsi="Times New Roman" w:eastAsia="宋体" w:cs="Times New Roman"/>
          <w:color w:val="auto"/>
        </w:rPr>
        <w:t>http://tjgpc.zwfwb.tj.gov.cn</w:t>
      </w:r>
      <w:r>
        <w:rPr>
          <w:rStyle w:val="26"/>
          <w:rFonts w:hint="eastAsia" w:ascii="Times New Roman" w:hAnsi="Times New Roman" w:eastAsia="宋体" w:cs="Times New Roman"/>
          <w:color w:val="auto"/>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170D91AA">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3. 网上应答（上传电子投标文件）方式</w:t>
      </w:r>
    </w:p>
    <w:p w14:paraId="1A7DE3D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w:t>
      </w:r>
      <w:r>
        <w:rPr>
          <w:rFonts w:ascii="Times New Roman" w:hAnsi="Times New Roman" w:eastAsia="宋体" w:cs="Times New Roman"/>
          <w:color w:val="auto"/>
        </w:rPr>
        <w:t>的时间</w:t>
      </w:r>
      <w:r>
        <w:rPr>
          <w:rFonts w:hint="eastAsia" w:ascii="Times New Roman" w:hAnsi="Times New Roman" w:eastAsia="宋体" w:cs="Times New Roman"/>
          <w:color w:val="auto"/>
        </w:rPr>
        <w:t>内</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w:t>
      </w:r>
      <w:r>
        <w:rPr>
          <w:rFonts w:ascii="Times New Roman" w:hAnsi="Times New Roman" w:eastAsia="宋体" w:cs="Times New Roman"/>
          <w:color w:val="auto"/>
        </w:rPr>
        <w:t xml:space="preserve"> 进行网上应答</w:t>
      </w:r>
      <w:r>
        <w:rPr>
          <w:rFonts w:hint="eastAsia" w:ascii="Times New Roman" w:hAnsi="Times New Roman" w:eastAsia="宋体" w:cs="Times New Roman"/>
          <w:color w:val="auto"/>
        </w:rPr>
        <w:t>及提交，并上传加盖投标人电子签章的电子投标文件（以通过天津公共资源电子签章客户端正确读取签章信息为准），否则视为无效投标。</w:t>
      </w:r>
    </w:p>
    <w:p w14:paraId="22EDC4BF">
      <w:pPr>
        <w:pStyle w:val="29"/>
        <w:spacing w:line="360" w:lineRule="auto"/>
        <w:ind w:firstLine="448" w:firstLineChars="200"/>
        <w:rPr>
          <w:rFonts w:ascii="Times New Roman" w:hAnsi="Times New Roman" w:eastAsia="宋体"/>
          <w:color w:val="auto"/>
        </w:rPr>
      </w:pPr>
      <w:r>
        <w:rPr>
          <w:rFonts w:ascii="Times New Roman" w:hAnsi="Times New Roman" w:eastAsia="宋体" w:cs="Times New Roman"/>
          <w:color w:val="auto"/>
        </w:rPr>
        <w:t>网上应答帮助链接：http://tjgpc.zwfwb.tj.gov.cn/webInfo/getWebInfoListForwebInfoClass.do?fkWebInfoclassId=W008</w:t>
      </w:r>
    </w:p>
    <w:p w14:paraId="076F0E98">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4. 开标解密方式</w:t>
      </w:r>
    </w:p>
    <w:p w14:paraId="0BC0945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采用网上开标解密方式，投标人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规定的时间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r>
        <w:rPr>
          <w:rFonts w:hint="eastAsia" w:ascii="Times New Roman" w:hAnsi="Times New Roman" w:eastAsia="宋体" w:cs="Times New Roman"/>
          <w:color w:val="auto"/>
        </w:rPr>
        <w:t>，否则视为无效投标。</w:t>
      </w:r>
    </w:p>
    <w:p w14:paraId="16A7A28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ascii="Times New Roman" w:hAnsi="Times New Roman" w:eastAsia="宋体" w:cs="Times New Roman"/>
          <w:color w:val="auto"/>
        </w:rPr>
        <w:t>网上开标公示方式</w:t>
      </w:r>
    </w:p>
    <w:p w14:paraId="1039D923">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02CAB745">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供应商应按以上步骤顺序、时间及方式要求参与本项目，否则视为不参与本项目。</w:t>
      </w:r>
    </w:p>
    <w:p w14:paraId="028CA674">
      <w:pPr>
        <w:pStyle w:val="29"/>
        <w:spacing w:line="360" w:lineRule="auto"/>
        <w:ind w:firstLine="448" w:firstLineChars="200"/>
        <w:jc w:val="both"/>
        <w:rPr>
          <w:rFonts w:ascii="Times New Roman" w:hAnsi="Times New Roman" w:eastAsia="宋体" w:cs="Times New Roman"/>
          <w:color w:val="auto"/>
        </w:rPr>
      </w:pPr>
      <w:bookmarkStart w:id="5" w:name="_Toc412903615"/>
      <w:r>
        <w:rPr>
          <w:rFonts w:hint="eastAsia" w:ascii="Times New Roman" w:hAnsi="Times New Roman" w:eastAsia="宋体" w:cs="Times New Roman"/>
          <w:color w:val="auto"/>
        </w:rPr>
        <w:t>六、现场考察、标前答疑会</w:t>
      </w:r>
    </w:p>
    <w:p w14:paraId="381DE3A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本项目不组织现场考察，不组织标前答疑会</w:t>
      </w:r>
      <w:r>
        <w:rPr>
          <w:rFonts w:ascii="Times New Roman" w:hAnsi="Times New Roman" w:eastAsia="宋体" w:cs="Times New Roman"/>
          <w:color w:val="auto"/>
        </w:rPr>
        <w:t>。</w:t>
      </w:r>
    </w:p>
    <w:p w14:paraId="72B6620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w:t>
      </w:r>
      <w:r>
        <w:rPr>
          <w:rFonts w:hint="eastAsia" w:ascii="Times New Roman" w:hAnsi="Times New Roman" w:eastAsia="宋体" w:cs="Times New Roman"/>
          <w:color w:val="auto"/>
        </w:rPr>
        <w:t>信息</w:t>
      </w:r>
    </w:p>
    <w:p w14:paraId="34D1EFB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7509F98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4C207D9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 xml:space="preserve">联系人： </w:t>
      </w:r>
      <w:r>
        <w:rPr>
          <w:rFonts w:hint="eastAsia" w:ascii="Times New Roman" w:hAnsi="Times New Roman" w:eastAsia="宋体" w:cs="Times New Roman"/>
          <w:color w:val="auto"/>
        </w:rPr>
        <w:t>梁晨、冯强</w:t>
      </w:r>
    </w:p>
    <w:p w14:paraId="2A715CB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370FCFC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08AC41B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6D9C8B3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275590D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4A0B5A9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rPr>
        <w:t>8307</w:t>
      </w:r>
    </w:p>
    <w:p w14:paraId="3EDBBA5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5C00FCC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w:t>
      </w:r>
      <w:r>
        <w:rPr>
          <w:rFonts w:ascii="Times New Roman" w:hAnsi="Times New Roman" w:eastAsia="宋体" w:cs="Times New Roman"/>
          <w:color w:val="auto"/>
        </w:rPr>
        <w:t>、采购人</w:t>
      </w:r>
      <w:r>
        <w:rPr>
          <w:rFonts w:hint="eastAsia" w:ascii="Times New Roman" w:hAnsi="Times New Roman" w:eastAsia="宋体" w:cs="Times New Roman"/>
          <w:color w:val="auto"/>
        </w:rPr>
        <w:t>信息</w:t>
      </w:r>
    </w:p>
    <w:p w14:paraId="76C9D6B2">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天津市住房公积金管理中心</w:t>
      </w:r>
    </w:p>
    <w:p w14:paraId="773F4E49">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大沽北路115号</w:t>
      </w:r>
    </w:p>
    <w:p w14:paraId="2C8A74B4">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熊冬梅</w:t>
      </w:r>
    </w:p>
    <w:p w14:paraId="3F48967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rPr>
        <w:t>022-</w:t>
      </w:r>
      <w:r>
        <w:rPr>
          <w:color w:val="auto"/>
        </w:rPr>
        <w:t xml:space="preserve"> </w:t>
      </w:r>
      <w:r>
        <w:rPr>
          <w:rFonts w:ascii="Times New Roman" w:hAnsi="Times New Roman" w:eastAsia="宋体" w:cs="Times New Roman"/>
          <w:color w:val="auto"/>
        </w:rPr>
        <w:t xml:space="preserve">23146201 </w:t>
      </w:r>
    </w:p>
    <w:p w14:paraId="22125A7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、质疑方式</w:t>
      </w:r>
    </w:p>
    <w:p w14:paraId="1A3757D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51CAF1C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1EB1447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联系部门：天津市住房公积金管理中心</w:t>
      </w:r>
    </w:p>
    <w:p w14:paraId="135C0B9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联系地址：大沽北路115号</w:t>
      </w:r>
    </w:p>
    <w:p w14:paraId="75FF71E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人：熊冬梅</w:t>
      </w:r>
    </w:p>
    <w:p w14:paraId="6CA28CC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联系方式：022-</w:t>
      </w:r>
      <w:r>
        <w:rPr>
          <w:color w:val="auto"/>
        </w:rPr>
        <w:t xml:space="preserve"> </w:t>
      </w:r>
      <w:r>
        <w:rPr>
          <w:rFonts w:ascii="Times New Roman" w:hAnsi="Times New Roman" w:eastAsia="宋体" w:cs="Times New Roman"/>
          <w:color w:val="auto"/>
        </w:rPr>
        <w:t>23146201</w:t>
      </w:r>
    </w:p>
    <w:p w14:paraId="3B44F2D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203B852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082F758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、招标代理服务费</w:t>
      </w:r>
    </w:p>
    <w:p w14:paraId="371F1F7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本项目按以下比例向中标供应商收取招标代理服务费</w:t>
      </w:r>
      <w:r>
        <w:rPr>
          <w:rFonts w:hint="eastAsia" w:ascii="Times New Roman" w:hAnsi="Times New Roman" w:eastAsia="宋体" w:cs="Times New Roman"/>
          <w:color w:val="auto"/>
        </w:rPr>
        <w:t>：</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4BDFC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3BE03E54">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14:paraId="1819D8B5">
            <w:pPr>
              <w:tabs>
                <w:tab w:val="left" w:pos="750"/>
                <w:tab w:val="left" w:pos="840"/>
              </w:tabs>
              <w:adjustRightInd w:val="0"/>
              <w:snapToGrid w:val="0"/>
              <w:jc w:val="center"/>
              <w:rPr>
                <w:sz w:val="24"/>
              </w:rPr>
            </w:pPr>
            <w:r>
              <w:rPr>
                <w:sz w:val="24"/>
              </w:rPr>
              <w:t>费率</w:t>
            </w:r>
          </w:p>
        </w:tc>
      </w:tr>
      <w:tr w14:paraId="7725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41DF639">
            <w:pPr>
              <w:tabs>
                <w:tab w:val="left" w:pos="750"/>
                <w:tab w:val="left" w:pos="840"/>
              </w:tabs>
              <w:adjustRightInd w:val="0"/>
              <w:snapToGrid w:val="0"/>
              <w:jc w:val="center"/>
              <w:rPr>
                <w:sz w:val="24"/>
              </w:rPr>
            </w:pPr>
            <w:r>
              <w:rPr>
                <w:sz w:val="24"/>
              </w:rPr>
              <w:t>100以下</w:t>
            </w:r>
          </w:p>
        </w:tc>
        <w:tc>
          <w:tcPr>
            <w:tcW w:w="3657" w:type="dxa"/>
            <w:vAlign w:val="center"/>
          </w:tcPr>
          <w:p w14:paraId="7AC1FA66">
            <w:pPr>
              <w:tabs>
                <w:tab w:val="left" w:pos="750"/>
                <w:tab w:val="left" w:pos="840"/>
              </w:tabs>
              <w:adjustRightInd w:val="0"/>
              <w:snapToGrid w:val="0"/>
              <w:jc w:val="center"/>
              <w:rPr>
                <w:sz w:val="24"/>
              </w:rPr>
            </w:pPr>
            <w:r>
              <w:rPr>
                <w:sz w:val="24"/>
              </w:rPr>
              <w:t>1%</w:t>
            </w:r>
          </w:p>
        </w:tc>
      </w:tr>
      <w:tr w14:paraId="5AE2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0DE3C54">
            <w:pPr>
              <w:tabs>
                <w:tab w:val="left" w:pos="750"/>
                <w:tab w:val="left" w:pos="840"/>
              </w:tabs>
              <w:adjustRightInd w:val="0"/>
              <w:snapToGrid w:val="0"/>
              <w:jc w:val="center"/>
              <w:rPr>
                <w:sz w:val="24"/>
              </w:rPr>
            </w:pPr>
            <w:r>
              <w:rPr>
                <w:sz w:val="24"/>
              </w:rPr>
              <w:t>100-500</w:t>
            </w:r>
          </w:p>
        </w:tc>
        <w:tc>
          <w:tcPr>
            <w:tcW w:w="3657" w:type="dxa"/>
            <w:vAlign w:val="center"/>
          </w:tcPr>
          <w:p w14:paraId="0359FC07">
            <w:pPr>
              <w:tabs>
                <w:tab w:val="left" w:pos="750"/>
                <w:tab w:val="left" w:pos="840"/>
              </w:tabs>
              <w:adjustRightInd w:val="0"/>
              <w:snapToGrid w:val="0"/>
              <w:jc w:val="center"/>
              <w:rPr>
                <w:sz w:val="24"/>
              </w:rPr>
            </w:pPr>
            <w:r>
              <w:rPr>
                <w:rFonts w:hint="eastAsia"/>
                <w:sz w:val="24"/>
              </w:rPr>
              <w:t>0.8</w:t>
            </w:r>
            <w:r>
              <w:rPr>
                <w:sz w:val="24"/>
              </w:rPr>
              <w:t>%</w:t>
            </w:r>
          </w:p>
        </w:tc>
      </w:tr>
      <w:tr w14:paraId="3454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74A28D95">
            <w:pPr>
              <w:tabs>
                <w:tab w:val="left" w:pos="750"/>
                <w:tab w:val="left" w:pos="840"/>
              </w:tabs>
              <w:adjustRightInd w:val="0"/>
              <w:snapToGrid w:val="0"/>
              <w:jc w:val="center"/>
              <w:rPr>
                <w:sz w:val="24"/>
              </w:rPr>
            </w:pPr>
            <w:r>
              <w:rPr>
                <w:sz w:val="24"/>
              </w:rPr>
              <w:t>500-1000</w:t>
            </w:r>
          </w:p>
        </w:tc>
        <w:tc>
          <w:tcPr>
            <w:tcW w:w="3657" w:type="dxa"/>
            <w:vAlign w:val="center"/>
          </w:tcPr>
          <w:p w14:paraId="1438494D">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14:paraId="2B23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B9DFD33">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14:paraId="35D6339C">
            <w:pPr>
              <w:tabs>
                <w:tab w:val="left" w:pos="750"/>
                <w:tab w:val="left" w:pos="840"/>
              </w:tabs>
              <w:adjustRightInd w:val="0"/>
              <w:snapToGrid w:val="0"/>
              <w:jc w:val="center"/>
              <w:rPr>
                <w:sz w:val="24"/>
              </w:rPr>
            </w:pPr>
            <w:r>
              <w:rPr>
                <w:rFonts w:hint="eastAsia"/>
                <w:sz w:val="24"/>
              </w:rPr>
              <w:t>0.25%</w:t>
            </w:r>
          </w:p>
        </w:tc>
      </w:tr>
      <w:tr w14:paraId="5BEA6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4AB912A">
            <w:pPr>
              <w:tabs>
                <w:tab w:val="left" w:pos="750"/>
                <w:tab w:val="left" w:pos="840"/>
              </w:tabs>
              <w:adjustRightInd w:val="0"/>
              <w:snapToGrid w:val="0"/>
              <w:jc w:val="center"/>
              <w:rPr>
                <w:sz w:val="24"/>
              </w:rPr>
            </w:pPr>
            <w:r>
              <w:rPr>
                <w:rFonts w:hint="eastAsia"/>
                <w:sz w:val="24"/>
              </w:rPr>
              <w:t>5000-10000</w:t>
            </w:r>
          </w:p>
        </w:tc>
        <w:tc>
          <w:tcPr>
            <w:tcW w:w="3657" w:type="dxa"/>
            <w:vAlign w:val="center"/>
          </w:tcPr>
          <w:p w14:paraId="4A6F9B08">
            <w:pPr>
              <w:tabs>
                <w:tab w:val="left" w:pos="750"/>
                <w:tab w:val="left" w:pos="840"/>
              </w:tabs>
              <w:adjustRightInd w:val="0"/>
              <w:snapToGrid w:val="0"/>
              <w:jc w:val="center"/>
              <w:rPr>
                <w:sz w:val="24"/>
              </w:rPr>
            </w:pPr>
            <w:r>
              <w:rPr>
                <w:rFonts w:hint="eastAsia"/>
                <w:sz w:val="24"/>
              </w:rPr>
              <w:t>0.1%</w:t>
            </w:r>
          </w:p>
        </w:tc>
      </w:tr>
      <w:tr w14:paraId="41A6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58AA23F">
            <w:pPr>
              <w:tabs>
                <w:tab w:val="left" w:pos="750"/>
                <w:tab w:val="left" w:pos="840"/>
              </w:tabs>
              <w:adjustRightInd w:val="0"/>
              <w:snapToGrid w:val="0"/>
              <w:jc w:val="center"/>
              <w:rPr>
                <w:sz w:val="24"/>
              </w:rPr>
            </w:pPr>
            <w:r>
              <w:rPr>
                <w:rFonts w:hint="eastAsia"/>
                <w:sz w:val="24"/>
              </w:rPr>
              <w:t>10000-100000</w:t>
            </w:r>
          </w:p>
        </w:tc>
        <w:tc>
          <w:tcPr>
            <w:tcW w:w="3657" w:type="dxa"/>
            <w:vAlign w:val="center"/>
          </w:tcPr>
          <w:p w14:paraId="4C4A10E1">
            <w:pPr>
              <w:tabs>
                <w:tab w:val="left" w:pos="750"/>
                <w:tab w:val="left" w:pos="840"/>
              </w:tabs>
              <w:adjustRightInd w:val="0"/>
              <w:snapToGrid w:val="0"/>
              <w:jc w:val="center"/>
              <w:rPr>
                <w:sz w:val="24"/>
              </w:rPr>
            </w:pPr>
            <w:r>
              <w:rPr>
                <w:rFonts w:hint="eastAsia"/>
                <w:sz w:val="24"/>
              </w:rPr>
              <w:t>0.05%</w:t>
            </w:r>
          </w:p>
        </w:tc>
      </w:tr>
    </w:tbl>
    <w:p w14:paraId="69C0EF84">
      <w:pPr>
        <w:tabs>
          <w:tab w:val="left" w:pos="700"/>
        </w:tabs>
        <w:autoSpaceDE w:val="0"/>
        <w:autoSpaceDN w:val="0"/>
        <w:adjustRightInd w:val="0"/>
        <w:spacing w:line="360" w:lineRule="auto"/>
        <w:ind w:firstLine="448" w:firstLineChars="20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缴纳50122元。</w:t>
      </w:r>
      <w:r>
        <w:rPr>
          <w:sz w:val="24"/>
          <w:lang w:val="zh-CN"/>
        </w:rPr>
        <w:t>其中中标金额以《中标通知书》为准。</w:t>
      </w:r>
    </w:p>
    <w:p w14:paraId="4B9EB88B">
      <w:pPr>
        <w:tabs>
          <w:tab w:val="left" w:pos="700"/>
        </w:tabs>
        <w:autoSpaceDE w:val="0"/>
        <w:autoSpaceDN w:val="0"/>
        <w:adjustRightInd w:val="0"/>
        <w:spacing w:line="360" w:lineRule="auto"/>
        <w:ind w:firstLine="448" w:firstLineChars="200"/>
        <w:rPr>
          <w:sz w:val="24"/>
          <w:szCs w:val="24"/>
          <w:lang w:val="zh-CN"/>
        </w:rPr>
      </w:pPr>
      <w:r>
        <w:rPr>
          <w:rFonts w:hint="eastAsia"/>
          <w:sz w:val="24"/>
          <w:szCs w:val="24"/>
        </w:rPr>
        <w:t>中标供应商应于中标公告发布之日起5个工作日内缴纳</w:t>
      </w:r>
      <w:r>
        <w:rPr>
          <w:rFonts w:hint="eastAsia"/>
          <w:sz w:val="24"/>
          <w:szCs w:val="24"/>
          <w:lang w:val="zh-CN"/>
        </w:rPr>
        <w:t>招标代理服务费，缴费单位名称须与投标单位名称一致，缴费时请注明项目编号及中标包号。</w:t>
      </w:r>
    </w:p>
    <w:p w14:paraId="08B98E2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6B4346A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529E6C9F">
      <w:pPr>
        <w:pStyle w:val="29"/>
        <w:spacing w:line="360" w:lineRule="auto"/>
        <w:ind w:firstLine="2009"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2F79DF2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2291E9E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103B757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2BE40A5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缴费及开票咨询电话：022-24532012</w:t>
      </w:r>
    </w:p>
    <w:p w14:paraId="25AC8FF6">
      <w:pPr>
        <w:pStyle w:val="29"/>
        <w:spacing w:line="360" w:lineRule="auto"/>
        <w:ind w:firstLine="448" w:firstLineChars="200"/>
        <w:jc w:val="both"/>
        <w:rPr>
          <w:rFonts w:ascii="Times New Roman" w:hAnsi="Times New Roman" w:eastAsia="宋体" w:cs="Times New Roman"/>
          <w:color w:val="auto"/>
        </w:rPr>
      </w:pPr>
    </w:p>
    <w:p w14:paraId="555BF9B7">
      <w:pPr>
        <w:pStyle w:val="29"/>
        <w:spacing w:line="360" w:lineRule="auto"/>
        <w:ind w:firstLine="4256" w:firstLineChars="1900"/>
        <w:rPr>
          <w:rFonts w:hint="eastAsia" w:ascii="Times New Roman" w:hAnsi="Times New Roman" w:eastAsia="宋体" w:cs="Times New Roman"/>
          <w:color w:val="auto"/>
        </w:rPr>
      </w:pPr>
    </w:p>
    <w:p w14:paraId="7CC833A7">
      <w:pPr>
        <w:pStyle w:val="29"/>
        <w:spacing w:line="360" w:lineRule="auto"/>
        <w:ind w:firstLine="5600" w:firstLineChars="2500"/>
        <w:rPr>
          <w:rFonts w:ascii="仿宋_GB2312" w:hAnsi="仿宋" w:eastAsia="仿宋_GB2312"/>
          <w:b/>
          <w:color w:val="auto"/>
          <w:sz w:val="32"/>
          <w:szCs w:val="32"/>
        </w:rPr>
      </w:pPr>
      <w:r>
        <w:rPr>
          <w:rFonts w:ascii="Times New Roman" w:hAnsi="Times New Roman" w:eastAsia="宋体" w:cs="Times New Roman"/>
          <w:color w:val="auto"/>
        </w:rPr>
        <w:t>2026年</w:t>
      </w:r>
      <w:r>
        <w:rPr>
          <w:rFonts w:hint="eastAsia" w:ascii="Times New Roman" w:hAnsi="Times New Roman" w:eastAsia="宋体" w:cs="Times New Roman"/>
          <w:color w:val="auto"/>
        </w:rPr>
        <w:t>10</w:t>
      </w:r>
      <w:r>
        <w:rPr>
          <w:rFonts w:ascii="Times New Roman" w:hAnsi="Times New Roman" w:eastAsia="宋体" w:cs="Times New Roman"/>
          <w:color w:val="auto"/>
        </w:rPr>
        <w:t>月</w:t>
      </w:r>
      <w:r>
        <w:rPr>
          <w:rFonts w:hint="eastAsia" w:ascii="Times New Roman" w:hAnsi="Times New Roman" w:eastAsia="宋体" w:cs="Times New Roman"/>
          <w:color w:val="auto"/>
        </w:rPr>
        <w:t>12</w:t>
      </w:r>
      <w:r>
        <w:rPr>
          <w:rFonts w:ascii="Times New Roman" w:hAnsi="Times New Roman" w:eastAsia="宋体" w:cs="Times New Roman"/>
          <w:color w:val="auto"/>
        </w:rPr>
        <w:t>日</w:t>
      </w:r>
    </w:p>
    <w:p w14:paraId="4F88AF42">
      <w:pPr>
        <w:pStyle w:val="29"/>
        <w:spacing w:line="360" w:lineRule="auto"/>
        <w:jc w:val="both"/>
        <w:rPr>
          <w:rFonts w:ascii="Times New Roman" w:hAnsi="Times New Roman" w:eastAsia="宋体" w:cs="Times New Roman"/>
          <w:color w:val="auto"/>
        </w:rPr>
      </w:pPr>
    </w:p>
    <w:p w14:paraId="4634EEB5">
      <w:pPr>
        <w:pStyle w:val="29"/>
        <w:spacing w:line="360" w:lineRule="auto"/>
        <w:ind w:right="892"/>
        <w:rPr>
          <w:rFonts w:ascii="Times New Roman" w:hAnsi="Times New Roman" w:eastAsia="宋体" w:cs="Times New Roman"/>
          <w:color w:val="auto"/>
        </w:rPr>
      </w:pPr>
    </w:p>
    <w:p w14:paraId="3698B1E8">
      <w:pPr>
        <w:widowControl/>
        <w:ind w:firstLine="2688" w:firstLineChars="1200"/>
        <w:jc w:val="left"/>
        <w:rPr>
          <w:rFonts w:asciiTheme="minorEastAsia" w:hAnsiTheme="minorEastAsia" w:eastAsiaTheme="minorEastAsia"/>
          <w:b/>
          <w:bCs/>
          <w:kern w:val="0"/>
          <w:sz w:val="24"/>
          <w:szCs w:val="24"/>
        </w:rPr>
      </w:pPr>
    </w:p>
    <w:p w14:paraId="36B37727">
      <w:pPr>
        <w:widowControl/>
        <w:jc w:val="left"/>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br w:type="page"/>
      </w:r>
    </w:p>
    <w:p w14:paraId="17970295">
      <w:pPr>
        <w:widowControl/>
        <w:jc w:val="left"/>
        <w:rPr>
          <w:b/>
          <w:bCs/>
          <w:kern w:val="28"/>
          <w:sz w:val="32"/>
          <w:szCs w:val="32"/>
          <w:lang w:val="zh-CN"/>
        </w:rPr>
      </w:pPr>
    </w:p>
    <w:p w14:paraId="0E35DAD3">
      <w:pPr>
        <w:pStyle w:val="16"/>
        <w:rPr>
          <w:rFonts w:ascii="Times New Roman" w:hAnsi="Times New Roman"/>
        </w:rPr>
      </w:pPr>
      <w:r>
        <w:rPr>
          <w:rFonts w:ascii="Times New Roman" w:hAnsi="Times New Roman"/>
        </w:rPr>
        <w:t>第二部分  招标项目</w:t>
      </w:r>
      <w:bookmarkEnd w:id="5"/>
      <w:r>
        <w:rPr>
          <w:rFonts w:ascii="Times New Roman" w:hAnsi="Times New Roman"/>
        </w:rPr>
        <w:t>需求</w:t>
      </w:r>
    </w:p>
    <w:p w14:paraId="2A29C8EA">
      <w:pPr>
        <w:autoSpaceDE w:val="0"/>
        <w:autoSpaceDN w:val="0"/>
        <w:adjustRightInd w:val="0"/>
        <w:spacing w:line="360" w:lineRule="auto"/>
        <w:ind w:firstLine="448" w:firstLineChars="200"/>
        <w:rPr>
          <w:sz w:val="24"/>
        </w:rPr>
      </w:pPr>
      <w:r>
        <w:rPr>
          <w:rFonts w:hint="eastAsia"/>
          <w:sz w:val="24"/>
        </w:rPr>
        <w:t>加注“★”号条款为不允许偏离的实质性要求，经评标委员会判定任意一条加注“★”号的条款出现偏离，视为无效投标。</w:t>
      </w:r>
    </w:p>
    <w:p w14:paraId="45D1007C">
      <w:pPr>
        <w:widowControl/>
        <w:ind w:firstLine="448" w:firstLineChars="200"/>
        <w:jc w:val="left"/>
        <w:rPr>
          <w:sz w:val="24"/>
        </w:rPr>
      </w:pPr>
      <w:r>
        <w:rPr>
          <w:rFonts w:hint="eastAsia"/>
          <w:sz w:val="24"/>
        </w:rPr>
        <w:t>一、项目背景</w:t>
      </w:r>
    </w:p>
    <w:p w14:paraId="0089776D">
      <w:pPr>
        <w:tabs>
          <w:tab w:val="left" w:pos="210"/>
        </w:tabs>
        <w:autoSpaceDE w:val="0"/>
        <w:autoSpaceDN w:val="0"/>
        <w:adjustRightInd w:val="0"/>
        <w:spacing w:line="360" w:lineRule="auto"/>
        <w:ind w:firstLine="448" w:firstLineChars="200"/>
        <w:outlineLvl w:val="0"/>
        <w:rPr>
          <w:sz w:val="24"/>
          <w:szCs w:val="24"/>
        </w:rPr>
      </w:pPr>
      <w:r>
        <w:rPr>
          <w:sz w:val="24"/>
          <w:szCs w:val="24"/>
        </w:rPr>
        <w:t>详见项目需求书</w:t>
      </w:r>
    </w:p>
    <w:p w14:paraId="03720297">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二、技术要求</w:t>
      </w:r>
    </w:p>
    <w:p w14:paraId="556F73BB">
      <w:pPr>
        <w:spacing w:line="360" w:lineRule="auto"/>
        <w:ind w:firstLine="448" w:firstLineChars="200"/>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14:paraId="049682A3">
      <w:pPr>
        <w:spacing w:line="360" w:lineRule="auto"/>
        <w:ind w:firstLine="504" w:firstLineChars="225"/>
        <w:rPr>
          <w:sz w:val="24"/>
        </w:rPr>
      </w:pPr>
      <w:r>
        <w:rPr>
          <w:rFonts w:hint="eastAsia"/>
          <w:sz w:val="24"/>
        </w:rPr>
        <w:t>★（二）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保密，经采购人允许合规使用。</w:t>
      </w:r>
    </w:p>
    <w:p w14:paraId="0612B1B2">
      <w:pPr>
        <w:spacing w:line="360" w:lineRule="auto"/>
        <w:ind w:firstLine="504" w:firstLineChars="225"/>
        <w:rPr>
          <w:sz w:val="24"/>
        </w:rPr>
      </w:pPr>
      <w:r>
        <w:rPr>
          <w:rFonts w:hint="eastAsia"/>
          <w:sz w:val="24"/>
        </w:rPr>
        <w:t>（三）具体需求详见项目需求书。</w:t>
      </w:r>
    </w:p>
    <w:p w14:paraId="610444B6">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三</w:t>
      </w:r>
      <w:r>
        <w:rPr>
          <w:sz w:val="24"/>
          <w:szCs w:val="24"/>
        </w:rPr>
        <w:t>、商务要求</w:t>
      </w:r>
    </w:p>
    <w:p w14:paraId="2C43CA85">
      <w:pPr>
        <w:tabs>
          <w:tab w:val="left" w:pos="210"/>
        </w:tabs>
        <w:autoSpaceDE w:val="0"/>
        <w:autoSpaceDN w:val="0"/>
        <w:adjustRightInd w:val="0"/>
        <w:spacing w:line="360" w:lineRule="auto"/>
        <w:ind w:firstLine="448" w:firstLineChars="200"/>
        <w:outlineLvl w:val="0"/>
        <w:rPr>
          <w:sz w:val="24"/>
          <w:szCs w:val="24"/>
        </w:rPr>
      </w:pPr>
      <w:r>
        <w:rPr>
          <w:sz w:val="24"/>
          <w:szCs w:val="24"/>
        </w:rPr>
        <w:t>（一）报价要求</w:t>
      </w:r>
    </w:p>
    <w:p w14:paraId="543B7B8C">
      <w:pPr>
        <w:autoSpaceDE w:val="0"/>
        <w:autoSpaceDN w:val="0"/>
        <w:adjustRightInd w:val="0"/>
        <w:spacing w:line="360" w:lineRule="auto"/>
        <w:ind w:firstLine="448" w:firstLineChars="200"/>
        <w:rPr>
          <w:sz w:val="24"/>
        </w:rPr>
      </w:pPr>
      <w:r>
        <w:rPr>
          <w:sz w:val="24"/>
        </w:rPr>
        <w:t>1. 投标报价以人民币填列。</w:t>
      </w:r>
    </w:p>
    <w:p w14:paraId="07BCDDE4">
      <w:pPr>
        <w:autoSpaceDE w:val="0"/>
        <w:autoSpaceDN w:val="0"/>
        <w:adjustRightInd w:val="0"/>
        <w:spacing w:line="360" w:lineRule="auto"/>
        <w:ind w:firstLine="448" w:firstLineChars="200"/>
        <w:rPr>
          <w:sz w:val="24"/>
        </w:rPr>
      </w:pPr>
      <w:r>
        <w:rPr>
          <w:sz w:val="24"/>
        </w:rPr>
        <w:t>2. 投标人的报价应包括：人员费用、</w:t>
      </w:r>
      <w:r>
        <w:rPr>
          <w:rFonts w:hint="eastAsia"/>
          <w:sz w:val="24"/>
        </w:rPr>
        <w:t>维保</w:t>
      </w:r>
      <w:r>
        <w:rPr>
          <w:sz w:val="24"/>
        </w:rPr>
        <w:t>服务费用、</w:t>
      </w:r>
      <w:r>
        <w:rPr>
          <w:rFonts w:hint="eastAsia"/>
          <w:sz w:val="24"/>
        </w:rPr>
        <w:t>管理费及税金</w:t>
      </w:r>
      <w:r>
        <w:rPr>
          <w:sz w:val="24"/>
        </w:rPr>
        <w:t>等为完成招标文件规定的一切工作所需的全部费用。投标人所报价格应为最终优惠价格。</w:t>
      </w:r>
    </w:p>
    <w:p w14:paraId="54D3A617">
      <w:pPr>
        <w:spacing w:line="360" w:lineRule="auto"/>
        <w:ind w:firstLine="448" w:firstLineChars="200"/>
        <w:rPr>
          <w:kern w:val="0"/>
          <w:sz w:val="24"/>
          <w:szCs w:val="24"/>
        </w:rPr>
      </w:pPr>
      <w:r>
        <w:rPr>
          <w:rFonts w:hint="eastAsia"/>
          <w:kern w:val="0"/>
          <w:sz w:val="24"/>
          <w:szCs w:val="24"/>
        </w:rPr>
        <w:t xml:space="preserve">3. </w:t>
      </w:r>
      <w:r>
        <w:rPr>
          <w:sz w:val="24"/>
        </w:rPr>
        <w:t>验收相关费用由投标人负责。</w:t>
      </w:r>
    </w:p>
    <w:p w14:paraId="3A435650">
      <w:pPr>
        <w:autoSpaceDE w:val="0"/>
        <w:autoSpaceDN w:val="0"/>
        <w:adjustRightInd w:val="0"/>
        <w:spacing w:line="360" w:lineRule="auto"/>
        <w:ind w:firstLine="448" w:firstLineChars="200"/>
        <w:rPr>
          <w:sz w:val="24"/>
        </w:rPr>
      </w:pPr>
      <w:r>
        <w:rPr>
          <w:sz w:val="24"/>
        </w:rPr>
        <w:t>（</w:t>
      </w:r>
      <w:r>
        <w:rPr>
          <w:rFonts w:hint="eastAsia"/>
          <w:sz w:val="24"/>
        </w:rPr>
        <w:t>二</w:t>
      </w:r>
      <w:r>
        <w:rPr>
          <w:sz w:val="24"/>
        </w:rPr>
        <w:t>）时间、地点要求</w:t>
      </w:r>
    </w:p>
    <w:p w14:paraId="23E6AED8">
      <w:pPr>
        <w:autoSpaceDE w:val="0"/>
        <w:autoSpaceDN w:val="0"/>
        <w:adjustRightInd w:val="0"/>
        <w:spacing w:line="360" w:lineRule="auto"/>
        <w:ind w:firstLine="448" w:firstLineChars="200"/>
        <w:rPr>
          <w:sz w:val="24"/>
        </w:rPr>
      </w:pPr>
      <w:r>
        <w:rPr>
          <w:sz w:val="24"/>
        </w:rPr>
        <w:t>1. 时间要求：</w:t>
      </w:r>
    </w:p>
    <w:p w14:paraId="17122071">
      <w:pPr>
        <w:autoSpaceDE w:val="0"/>
        <w:autoSpaceDN w:val="0"/>
        <w:adjustRightInd w:val="0"/>
        <w:spacing w:line="360" w:lineRule="auto"/>
        <w:ind w:firstLine="448" w:firstLineChars="200"/>
        <w:rPr>
          <w:sz w:val="24"/>
        </w:rPr>
      </w:pPr>
      <w:r>
        <w:rPr>
          <w:rFonts w:hint="eastAsia"/>
          <w:sz w:val="24"/>
        </w:rPr>
        <w:t>1.OA子系统：自合同签订之日起一年的服务期。</w:t>
      </w:r>
    </w:p>
    <w:p w14:paraId="74CF9049">
      <w:pPr>
        <w:autoSpaceDE w:val="0"/>
        <w:autoSpaceDN w:val="0"/>
        <w:adjustRightInd w:val="0"/>
        <w:spacing w:line="360" w:lineRule="auto"/>
        <w:ind w:firstLine="448" w:firstLineChars="200"/>
        <w:rPr>
          <w:sz w:val="24"/>
        </w:rPr>
      </w:pPr>
      <w:r>
        <w:rPr>
          <w:rFonts w:hint="eastAsia"/>
          <w:sz w:val="24"/>
        </w:rPr>
        <w:t>2.ERP子系统：自合同签订之日起至2027年8月25日</w:t>
      </w:r>
      <w:r>
        <w:rPr>
          <w:sz w:val="24"/>
        </w:rPr>
        <w:t>（特殊情况以合同为准）。</w:t>
      </w:r>
    </w:p>
    <w:p w14:paraId="668F296B">
      <w:pPr>
        <w:autoSpaceDE w:val="0"/>
        <w:autoSpaceDN w:val="0"/>
        <w:adjustRightInd w:val="0"/>
        <w:spacing w:line="360" w:lineRule="auto"/>
        <w:ind w:firstLine="448" w:firstLineChars="200"/>
        <w:rPr>
          <w:sz w:val="24"/>
        </w:rPr>
      </w:pPr>
      <w:r>
        <w:rPr>
          <w:sz w:val="24"/>
        </w:rPr>
        <w:t>2. 服务地点：</w:t>
      </w:r>
      <w:r>
        <w:rPr>
          <w:rFonts w:hint="eastAsia"/>
          <w:bCs/>
          <w:sz w:val="24"/>
          <w:szCs w:val="24"/>
        </w:rPr>
        <w:t>天津市和平区大沽北路115号</w:t>
      </w:r>
      <w:r>
        <w:rPr>
          <w:rFonts w:hint="eastAsia"/>
          <w:sz w:val="24"/>
        </w:rPr>
        <w:t xml:space="preserve">   </w:t>
      </w:r>
      <w:r>
        <w:rPr>
          <w:sz w:val="24"/>
        </w:rPr>
        <w:t>（特殊情况以合同为准）。</w:t>
      </w:r>
    </w:p>
    <w:p w14:paraId="0BEDAA8E">
      <w:pPr>
        <w:autoSpaceDE w:val="0"/>
        <w:autoSpaceDN w:val="0"/>
        <w:adjustRightInd w:val="0"/>
        <w:spacing w:line="360" w:lineRule="auto"/>
        <w:ind w:firstLine="448" w:firstLineChars="200"/>
        <w:rPr>
          <w:sz w:val="24"/>
        </w:rPr>
      </w:pPr>
      <w:r>
        <w:rPr>
          <w:sz w:val="24"/>
        </w:rPr>
        <w:t>（</w:t>
      </w:r>
      <w:r>
        <w:rPr>
          <w:rFonts w:hint="eastAsia"/>
          <w:sz w:val="24"/>
        </w:rPr>
        <w:t>三</w:t>
      </w:r>
      <w:r>
        <w:rPr>
          <w:sz w:val="24"/>
        </w:rPr>
        <w:t>）付款方式</w:t>
      </w:r>
    </w:p>
    <w:p w14:paraId="1E65E43F">
      <w:pPr>
        <w:autoSpaceDE w:val="0"/>
        <w:autoSpaceDN w:val="0"/>
        <w:adjustRightInd w:val="0"/>
        <w:spacing w:line="360" w:lineRule="auto"/>
        <w:ind w:firstLine="448" w:firstLineChars="200"/>
        <w:rPr>
          <w:sz w:val="24"/>
        </w:rPr>
      </w:pPr>
      <w:r>
        <w:rPr>
          <w:rFonts w:hint="eastAsia"/>
          <w:sz w:val="24"/>
          <w:szCs w:val="22"/>
        </w:rPr>
        <w:t>本项目维保服务期半年期结束后15个工作日内支付合同总金额的60%，本项目服务期全部结束且验收合格后15个工作日内支付合同总金额的40%。（特殊情况以合同为准）。</w:t>
      </w:r>
    </w:p>
    <w:p w14:paraId="383EC118">
      <w:pPr>
        <w:autoSpaceDE w:val="0"/>
        <w:autoSpaceDN w:val="0"/>
        <w:adjustRightInd w:val="0"/>
        <w:spacing w:line="360" w:lineRule="auto"/>
        <w:ind w:firstLine="448" w:firstLineChars="200"/>
        <w:rPr>
          <w:sz w:val="24"/>
        </w:rPr>
      </w:pPr>
      <w:r>
        <w:rPr>
          <w:sz w:val="24"/>
        </w:rPr>
        <w:t>（</w:t>
      </w:r>
      <w:r>
        <w:rPr>
          <w:rFonts w:hint="eastAsia"/>
          <w:sz w:val="24"/>
        </w:rPr>
        <w:t>四</w:t>
      </w:r>
      <w:r>
        <w:rPr>
          <w:sz w:val="24"/>
        </w:rPr>
        <w:t>）投标保证金和履约保证金</w:t>
      </w:r>
    </w:p>
    <w:p w14:paraId="56E2F830">
      <w:pPr>
        <w:autoSpaceDE w:val="0"/>
        <w:autoSpaceDN w:val="0"/>
        <w:adjustRightInd w:val="0"/>
        <w:spacing w:line="360" w:lineRule="auto"/>
        <w:ind w:firstLine="448" w:firstLineChars="200"/>
        <w:rPr>
          <w:sz w:val="24"/>
        </w:rPr>
      </w:pPr>
      <w:r>
        <w:rPr>
          <w:sz w:val="24"/>
        </w:rPr>
        <w:t>本项目不收取投标保证金和履约保证金。</w:t>
      </w:r>
    </w:p>
    <w:p w14:paraId="70D27489">
      <w:pPr>
        <w:autoSpaceDE w:val="0"/>
        <w:autoSpaceDN w:val="0"/>
        <w:adjustRightInd w:val="0"/>
        <w:spacing w:line="360" w:lineRule="auto"/>
        <w:ind w:firstLine="448" w:firstLineChars="200"/>
        <w:rPr>
          <w:sz w:val="24"/>
        </w:rPr>
      </w:pPr>
      <w:r>
        <w:rPr>
          <w:rFonts w:hint="eastAsia"/>
          <w:sz w:val="24"/>
        </w:rPr>
        <w:t>（五）验收方法及标准</w:t>
      </w:r>
    </w:p>
    <w:p w14:paraId="255A2C20">
      <w:pPr>
        <w:autoSpaceDE w:val="0"/>
        <w:autoSpaceDN w:val="0"/>
        <w:adjustRightInd w:val="0"/>
        <w:spacing w:line="360" w:lineRule="auto"/>
        <w:ind w:firstLine="448" w:firstLineChars="200"/>
        <w:rPr>
          <w:sz w:val="24"/>
        </w:rPr>
      </w:pPr>
      <w:r>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2A4B693F">
      <w:pPr>
        <w:spacing w:line="360" w:lineRule="auto"/>
        <w:ind w:firstLine="448" w:firstLineChars="200"/>
        <w:outlineLvl w:val="0"/>
        <w:rPr>
          <w:sz w:val="24"/>
        </w:rPr>
      </w:pPr>
      <w:r>
        <w:rPr>
          <w:sz w:val="24"/>
        </w:rPr>
        <w:t>四、评分因素及评标标准</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7"/>
        <w:gridCol w:w="1167"/>
        <w:gridCol w:w="5900"/>
        <w:gridCol w:w="924"/>
      </w:tblGrid>
      <w:tr w14:paraId="1D807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458" w:type="pct"/>
            <w:gridSpan w:val="3"/>
            <w:tcBorders>
              <w:top w:val="single" w:color="auto" w:sz="4" w:space="0"/>
              <w:left w:val="single" w:color="auto" w:sz="4" w:space="0"/>
              <w:bottom w:val="single" w:color="auto" w:sz="4" w:space="0"/>
              <w:right w:val="single" w:color="auto" w:sz="4" w:space="0"/>
            </w:tcBorders>
            <w:vAlign w:val="center"/>
          </w:tcPr>
          <w:p w14:paraId="623519C8">
            <w:pPr>
              <w:widowControl/>
              <w:adjustRightInd w:val="0"/>
              <w:snapToGrid w:val="0"/>
              <w:jc w:val="center"/>
              <w:rPr>
                <w:kern w:val="0"/>
                <w:sz w:val="24"/>
                <w:szCs w:val="24"/>
              </w:rPr>
            </w:pPr>
            <w:r>
              <w:rPr>
                <w:rFonts w:hint="eastAsia"/>
                <w:kern w:val="0"/>
                <w:sz w:val="24"/>
                <w:szCs w:val="24"/>
              </w:rPr>
              <w:t>第一部分</w:t>
            </w:r>
            <w:r>
              <w:rPr>
                <w:kern w:val="0"/>
                <w:sz w:val="24"/>
                <w:szCs w:val="24"/>
              </w:rPr>
              <w:t xml:space="preserve"> </w:t>
            </w:r>
            <w:r>
              <w:rPr>
                <w:rFonts w:hint="eastAsia"/>
                <w:kern w:val="0"/>
                <w:sz w:val="24"/>
                <w:szCs w:val="24"/>
              </w:rPr>
              <w:t>价格（15分）</w:t>
            </w:r>
          </w:p>
        </w:tc>
        <w:tc>
          <w:tcPr>
            <w:tcW w:w="542" w:type="pct"/>
            <w:tcBorders>
              <w:top w:val="single" w:color="auto" w:sz="4" w:space="0"/>
              <w:left w:val="single" w:color="auto" w:sz="4" w:space="0"/>
              <w:bottom w:val="single" w:color="auto" w:sz="4" w:space="0"/>
              <w:right w:val="single" w:color="auto" w:sz="4" w:space="0"/>
            </w:tcBorders>
            <w:vAlign w:val="center"/>
          </w:tcPr>
          <w:p w14:paraId="0AA152E7">
            <w:pPr>
              <w:widowControl/>
              <w:adjustRightInd w:val="0"/>
              <w:snapToGrid w:val="0"/>
              <w:jc w:val="center"/>
              <w:rPr>
                <w:kern w:val="0"/>
                <w:sz w:val="24"/>
                <w:szCs w:val="24"/>
              </w:rPr>
            </w:pPr>
            <w:r>
              <w:rPr>
                <w:rFonts w:hint="eastAsia"/>
                <w:kern w:val="0"/>
                <w:sz w:val="24"/>
                <w:szCs w:val="24"/>
              </w:rPr>
              <w:t>分值</w:t>
            </w:r>
          </w:p>
        </w:tc>
      </w:tr>
      <w:tr w14:paraId="015D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315" w:type="pct"/>
            <w:tcBorders>
              <w:top w:val="single" w:color="auto" w:sz="4" w:space="0"/>
              <w:left w:val="single" w:color="auto" w:sz="4" w:space="0"/>
              <w:bottom w:val="single" w:color="auto" w:sz="4" w:space="0"/>
              <w:right w:val="single" w:color="auto" w:sz="4" w:space="0"/>
            </w:tcBorders>
            <w:noWrap/>
            <w:vAlign w:val="center"/>
          </w:tcPr>
          <w:p w14:paraId="496E3E30">
            <w:pPr>
              <w:widowControl/>
              <w:adjustRightInd w:val="0"/>
              <w:snapToGrid w:val="0"/>
              <w:jc w:val="center"/>
              <w:rPr>
                <w:kern w:val="0"/>
                <w:sz w:val="24"/>
                <w:szCs w:val="24"/>
              </w:rPr>
            </w:pPr>
            <w:r>
              <w:rPr>
                <w:kern w:val="0"/>
                <w:sz w:val="24"/>
                <w:szCs w:val="24"/>
              </w:rPr>
              <w:t>1</w:t>
            </w:r>
          </w:p>
        </w:tc>
        <w:tc>
          <w:tcPr>
            <w:tcW w:w="684" w:type="pct"/>
            <w:tcBorders>
              <w:top w:val="single" w:color="auto" w:sz="4" w:space="0"/>
              <w:left w:val="single" w:color="auto" w:sz="4" w:space="0"/>
              <w:bottom w:val="single" w:color="auto" w:sz="4" w:space="0"/>
              <w:right w:val="single" w:color="auto" w:sz="4" w:space="0"/>
            </w:tcBorders>
            <w:vAlign w:val="center"/>
          </w:tcPr>
          <w:p w14:paraId="646849C9">
            <w:pPr>
              <w:widowControl/>
              <w:adjustRightInd w:val="0"/>
              <w:snapToGrid w:val="0"/>
              <w:jc w:val="center"/>
              <w:rPr>
                <w:kern w:val="0"/>
                <w:sz w:val="24"/>
                <w:szCs w:val="24"/>
              </w:rPr>
            </w:pPr>
            <w:r>
              <w:rPr>
                <w:rFonts w:hint="eastAsia"/>
                <w:kern w:val="0"/>
                <w:sz w:val="24"/>
                <w:szCs w:val="24"/>
              </w:rPr>
              <w:t>价格</w:t>
            </w:r>
          </w:p>
        </w:tc>
        <w:tc>
          <w:tcPr>
            <w:tcW w:w="3459" w:type="pct"/>
            <w:tcBorders>
              <w:top w:val="single" w:color="auto" w:sz="4" w:space="0"/>
              <w:left w:val="single" w:color="auto" w:sz="4" w:space="0"/>
              <w:bottom w:val="single" w:color="auto" w:sz="4" w:space="0"/>
              <w:right w:val="single" w:color="auto" w:sz="4" w:space="0"/>
            </w:tcBorders>
            <w:vAlign w:val="center"/>
          </w:tcPr>
          <w:p w14:paraId="3BAD76AA">
            <w:pPr>
              <w:widowControl/>
              <w:adjustRightInd w:val="0"/>
              <w:snapToGrid w:val="0"/>
              <w:rPr>
                <w:kern w:val="0"/>
                <w:sz w:val="24"/>
                <w:szCs w:val="24"/>
              </w:rPr>
            </w:pPr>
            <w:r>
              <w:rPr>
                <w:rFonts w:hint="eastAsia"/>
                <w:kern w:val="0"/>
                <w:sz w:val="24"/>
                <w:szCs w:val="24"/>
              </w:rPr>
              <w:t>（</w:t>
            </w:r>
            <w:r>
              <w:rPr>
                <w:kern w:val="0"/>
                <w:sz w:val="24"/>
                <w:szCs w:val="24"/>
              </w:rPr>
              <w:t>1</w:t>
            </w:r>
            <w:r>
              <w:rPr>
                <w:rFonts w:hint="eastAsia"/>
                <w:kern w:val="0"/>
                <w:sz w:val="24"/>
                <w:szCs w:val="24"/>
              </w:rPr>
              <w:t>）投标报价超过采购预算的，投标无效，未超过采购预算的投标报价按以下公式进行计算。</w:t>
            </w:r>
          </w:p>
          <w:p w14:paraId="6058301C">
            <w:pPr>
              <w:widowControl/>
              <w:adjustRightInd w:val="0"/>
              <w:snapToGrid w:val="0"/>
              <w:rPr>
                <w:kern w:val="0"/>
                <w:sz w:val="24"/>
                <w:szCs w:val="24"/>
              </w:rPr>
            </w:pPr>
            <w:r>
              <w:rPr>
                <w:rFonts w:hint="eastAsia"/>
                <w:kern w:val="0"/>
                <w:sz w:val="24"/>
                <w:szCs w:val="24"/>
              </w:rPr>
              <w:t>（</w:t>
            </w:r>
            <w:r>
              <w:rPr>
                <w:kern w:val="0"/>
                <w:sz w:val="24"/>
                <w:szCs w:val="24"/>
              </w:rPr>
              <w:t>2</w:t>
            </w:r>
            <w:r>
              <w:rPr>
                <w:rFonts w:hint="eastAsia"/>
                <w:kern w:val="0"/>
                <w:sz w:val="24"/>
                <w:szCs w:val="24"/>
              </w:rPr>
              <w:t>）投标报价得分</w:t>
            </w:r>
            <w:r>
              <w:rPr>
                <w:kern w:val="0"/>
                <w:sz w:val="24"/>
                <w:szCs w:val="24"/>
              </w:rPr>
              <w:t>=</w:t>
            </w:r>
            <w:r>
              <w:rPr>
                <w:rFonts w:hint="eastAsia"/>
                <w:kern w:val="0"/>
                <w:sz w:val="24"/>
                <w:szCs w:val="24"/>
              </w:rPr>
              <w:t>（评标基准价</w:t>
            </w:r>
            <w:r>
              <w:rPr>
                <w:kern w:val="0"/>
                <w:sz w:val="24"/>
                <w:szCs w:val="24"/>
              </w:rPr>
              <w:t>/</w:t>
            </w:r>
            <w:r>
              <w:rPr>
                <w:rFonts w:hint="eastAsia"/>
                <w:kern w:val="0"/>
                <w:sz w:val="24"/>
                <w:szCs w:val="24"/>
              </w:rPr>
              <w:t>投标报价）</w:t>
            </w:r>
            <w:r>
              <w:rPr>
                <w:kern w:val="0"/>
                <w:sz w:val="24"/>
                <w:szCs w:val="24"/>
              </w:rPr>
              <w:t>×</w:t>
            </w:r>
            <w:r>
              <w:rPr>
                <w:rFonts w:hint="eastAsia"/>
                <w:kern w:val="0"/>
                <w:sz w:val="24"/>
                <w:szCs w:val="24"/>
              </w:rPr>
              <w:t>15</w:t>
            </w:r>
          </w:p>
          <w:p w14:paraId="10019762">
            <w:pPr>
              <w:widowControl/>
              <w:adjustRightInd w:val="0"/>
              <w:snapToGrid w:val="0"/>
              <w:rPr>
                <w:kern w:val="0"/>
                <w:sz w:val="24"/>
                <w:szCs w:val="24"/>
              </w:rPr>
            </w:pPr>
            <w:r>
              <w:rPr>
                <w:rFonts w:hint="eastAsia"/>
                <w:kern w:val="0"/>
                <w:sz w:val="24"/>
                <w:szCs w:val="24"/>
              </w:rPr>
              <w:t>注：满足招标文件要求且投标报价最低的投标报价为评标基准价。</w:t>
            </w:r>
          </w:p>
        </w:tc>
        <w:tc>
          <w:tcPr>
            <w:tcW w:w="542" w:type="pct"/>
            <w:tcBorders>
              <w:top w:val="single" w:color="auto" w:sz="4" w:space="0"/>
              <w:left w:val="single" w:color="auto" w:sz="4" w:space="0"/>
              <w:bottom w:val="single" w:color="auto" w:sz="4" w:space="0"/>
              <w:right w:val="single" w:color="auto" w:sz="4" w:space="0"/>
            </w:tcBorders>
            <w:vAlign w:val="center"/>
          </w:tcPr>
          <w:p w14:paraId="128FD9D1">
            <w:pPr>
              <w:widowControl/>
              <w:adjustRightInd w:val="0"/>
              <w:snapToGrid w:val="0"/>
              <w:jc w:val="center"/>
              <w:rPr>
                <w:kern w:val="0"/>
                <w:sz w:val="24"/>
                <w:szCs w:val="24"/>
              </w:rPr>
            </w:pPr>
            <w:r>
              <w:rPr>
                <w:rFonts w:hint="eastAsia"/>
                <w:kern w:val="0"/>
                <w:sz w:val="24"/>
                <w:szCs w:val="24"/>
              </w:rPr>
              <w:t>15</w:t>
            </w:r>
          </w:p>
        </w:tc>
      </w:tr>
      <w:tr w14:paraId="743E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4458" w:type="pct"/>
            <w:gridSpan w:val="3"/>
            <w:tcBorders>
              <w:top w:val="single" w:color="auto" w:sz="4" w:space="0"/>
              <w:left w:val="single" w:color="auto" w:sz="4" w:space="0"/>
              <w:bottom w:val="single" w:color="auto" w:sz="4" w:space="0"/>
              <w:right w:val="single" w:color="auto" w:sz="4" w:space="0"/>
            </w:tcBorders>
            <w:noWrap/>
            <w:vAlign w:val="center"/>
          </w:tcPr>
          <w:p w14:paraId="7875A81C">
            <w:pPr>
              <w:widowControl/>
              <w:adjustRightInd w:val="0"/>
              <w:snapToGrid w:val="0"/>
              <w:jc w:val="center"/>
              <w:rPr>
                <w:kern w:val="0"/>
                <w:sz w:val="24"/>
                <w:szCs w:val="24"/>
              </w:rPr>
            </w:pPr>
            <w:r>
              <w:rPr>
                <w:rFonts w:hint="eastAsia"/>
                <w:kern w:val="0"/>
                <w:sz w:val="24"/>
                <w:szCs w:val="24"/>
              </w:rPr>
              <w:t>第二部分</w:t>
            </w:r>
            <w:r>
              <w:rPr>
                <w:kern w:val="0"/>
                <w:sz w:val="24"/>
                <w:szCs w:val="24"/>
              </w:rPr>
              <w:t xml:space="preserve"> </w:t>
            </w:r>
            <w:r>
              <w:rPr>
                <w:rFonts w:hint="eastAsia"/>
                <w:kern w:val="0"/>
                <w:sz w:val="24"/>
                <w:szCs w:val="24"/>
              </w:rPr>
              <w:t>客观分（25分）</w:t>
            </w:r>
          </w:p>
        </w:tc>
        <w:tc>
          <w:tcPr>
            <w:tcW w:w="542" w:type="pct"/>
            <w:tcBorders>
              <w:top w:val="single" w:color="auto" w:sz="4" w:space="0"/>
              <w:left w:val="single" w:color="auto" w:sz="4" w:space="0"/>
              <w:bottom w:val="single" w:color="auto" w:sz="4" w:space="0"/>
              <w:right w:val="single" w:color="auto" w:sz="4" w:space="0"/>
            </w:tcBorders>
            <w:vAlign w:val="center"/>
          </w:tcPr>
          <w:p w14:paraId="0270AE5F">
            <w:pPr>
              <w:widowControl/>
              <w:adjustRightInd w:val="0"/>
              <w:snapToGrid w:val="0"/>
              <w:jc w:val="center"/>
              <w:rPr>
                <w:kern w:val="0"/>
                <w:sz w:val="24"/>
                <w:szCs w:val="24"/>
              </w:rPr>
            </w:pPr>
            <w:r>
              <w:rPr>
                <w:rFonts w:hint="eastAsia"/>
                <w:kern w:val="0"/>
                <w:sz w:val="24"/>
                <w:szCs w:val="24"/>
              </w:rPr>
              <w:t>分值</w:t>
            </w:r>
          </w:p>
        </w:tc>
      </w:tr>
      <w:tr w14:paraId="4D20E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15" w:type="pct"/>
            <w:tcBorders>
              <w:top w:val="single" w:color="auto" w:sz="4" w:space="0"/>
              <w:left w:val="single" w:color="auto" w:sz="4" w:space="0"/>
              <w:bottom w:val="single" w:color="auto" w:sz="4" w:space="0"/>
              <w:right w:val="single" w:color="auto" w:sz="4" w:space="0"/>
            </w:tcBorders>
            <w:noWrap/>
            <w:vAlign w:val="center"/>
          </w:tcPr>
          <w:p w14:paraId="330D4FE1">
            <w:pPr>
              <w:widowControl/>
              <w:adjustRightInd w:val="0"/>
              <w:snapToGrid w:val="0"/>
              <w:jc w:val="center"/>
              <w:rPr>
                <w:kern w:val="0"/>
                <w:sz w:val="24"/>
                <w:szCs w:val="24"/>
              </w:rPr>
            </w:pPr>
            <w:r>
              <w:rPr>
                <w:kern w:val="0"/>
                <w:sz w:val="24"/>
                <w:szCs w:val="24"/>
              </w:rPr>
              <w:t>1</w:t>
            </w:r>
          </w:p>
        </w:tc>
        <w:tc>
          <w:tcPr>
            <w:tcW w:w="684" w:type="pct"/>
            <w:tcBorders>
              <w:top w:val="single" w:color="auto" w:sz="4" w:space="0"/>
              <w:left w:val="single" w:color="auto" w:sz="4" w:space="0"/>
              <w:bottom w:val="single" w:color="auto" w:sz="4" w:space="0"/>
              <w:right w:val="single" w:color="auto" w:sz="4" w:space="0"/>
            </w:tcBorders>
            <w:vAlign w:val="center"/>
          </w:tcPr>
          <w:p w14:paraId="4D20AA27">
            <w:pPr>
              <w:widowControl/>
              <w:adjustRightInd w:val="0"/>
              <w:snapToGrid w:val="0"/>
              <w:jc w:val="center"/>
              <w:rPr>
                <w:kern w:val="0"/>
                <w:sz w:val="24"/>
                <w:szCs w:val="24"/>
              </w:rPr>
            </w:pPr>
            <w:r>
              <w:rPr>
                <w:rFonts w:hint="eastAsia"/>
                <w:kern w:val="0"/>
                <w:sz w:val="24"/>
                <w:szCs w:val="24"/>
              </w:rPr>
              <w:t>投标人业绩</w:t>
            </w:r>
          </w:p>
        </w:tc>
        <w:tc>
          <w:tcPr>
            <w:tcW w:w="3459" w:type="pct"/>
            <w:tcBorders>
              <w:top w:val="single" w:color="auto" w:sz="4" w:space="0"/>
              <w:left w:val="single" w:color="auto" w:sz="4" w:space="0"/>
              <w:bottom w:val="single" w:color="auto" w:sz="4" w:space="0"/>
              <w:right w:val="single" w:color="auto" w:sz="4" w:space="0"/>
            </w:tcBorders>
            <w:vAlign w:val="center"/>
          </w:tcPr>
          <w:p w14:paraId="5B494259">
            <w:pPr>
              <w:widowControl/>
              <w:adjustRightInd w:val="0"/>
              <w:snapToGrid w:val="0"/>
              <w:rPr>
                <w:kern w:val="0"/>
                <w:sz w:val="24"/>
                <w:szCs w:val="24"/>
              </w:rPr>
            </w:pPr>
            <w:r>
              <w:rPr>
                <w:rFonts w:hint="eastAsia"/>
                <w:kern w:val="0"/>
                <w:sz w:val="24"/>
                <w:szCs w:val="24"/>
              </w:rPr>
              <w:t>完全按照以下要求提供投标人曾实施的软件运行维护业绩，提供的证明材料均不得遮挡涂黑，否则不予认定加分。</w:t>
            </w:r>
          </w:p>
          <w:p w14:paraId="66C9AA33">
            <w:pPr>
              <w:pStyle w:val="34"/>
              <w:widowControl/>
              <w:numPr>
                <w:ilvl w:val="0"/>
                <w:numId w:val="2"/>
              </w:numPr>
              <w:adjustRightInd w:val="0"/>
              <w:snapToGrid w:val="0"/>
              <w:ind w:firstLineChars="0"/>
              <w:rPr>
                <w:kern w:val="0"/>
                <w:sz w:val="24"/>
                <w:szCs w:val="24"/>
              </w:rPr>
            </w:pPr>
            <w:r>
              <w:rPr>
                <w:rFonts w:hint="eastAsia"/>
                <w:kern w:val="0"/>
                <w:sz w:val="24"/>
                <w:szCs w:val="24"/>
              </w:rPr>
              <w:t>合同原件电子件。包括买卖双方名称及盖章、服务内容</w:t>
            </w:r>
            <w:r>
              <w:rPr>
                <w:rFonts w:hint="eastAsia"/>
                <w:bCs/>
                <w:sz w:val="24"/>
              </w:rPr>
              <w:t>、合同签订日期（应为2020年1月1日或以后）</w:t>
            </w:r>
            <w:r>
              <w:rPr>
                <w:rFonts w:hint="eastAsia"/>
                <w:kern w:val="0"/>
                <w:sz w:val="24"/>
                <w:szCs w:val="24"/>
              </w:rPr>
              <w:t>。</w:t>
            </w:r>
          </w:p>
          <w:p w14:paraId="4E8216E3">
            <w:pPr>
              <w:pStyle w:val="34"/>
              <w:widowControl/>
              <w:numPr>
                <w:ilvl w:val="0"/>
                <w:numId w:val="2"/>
              </w:numPr>
              <w:adjustRightInd w:val="0"/>
              <w:snapToGrid w:val="0"/>
              <w:ind w:firstLineChars="0"/>
              <w:rPr>
                <w:kern w:val="0"/>
                <w:sz w:val="24"/>
                <w:szCs w:val="24"/>
              </w:rPr>
            </w:pPr>
            <w:r>
              <w:rPr>
                <w:rFonts w:hint="eastAsia"/>
                <w:kern w:val="0"/>
                <w:sz w:val="24"/>
                <w:szCs w:val="24"/>
              </w:rPr>
              <w:t>上述合同履行良好的相关证明材料原件扫描件（加盖上述合同甲方单位公章或上述合同中所盖的甲方印章）</w:t>
            </w:r>
          </w:p>
          <w:p w14:paraId="41A0FA35">
            <w:pPr>
              <w:widowControl/>
              <w:adjustRightInd w:val="0"/>
              <w:snapToGrid w:val="0"/>
              <w:rPr>
                <w:kern w:val="0"/>
                <w:sz w:val="24"/>
                <w:szCs w:val="24"/>
              </w:rPr>
            </w:pPr>
            <w:r>
              <w:rPr>
                <w:rFonts w:hint="eastAsia"/>
                <w:kern w:val="0"/>
                <w:sz w:val="24"/>
                <w:szCs w:val="24"/>
              </w:rPr>
              <w:t>每个业绩2分，最多10分</w:t>
            </w:r>
          </w:p>
        </w:tc>
        <w:tc>
          <w:tcPr>
            <w:tcW w:w="542" w:type="pct"/>
            <w:tcBorders>
              <w:top w:val="single" w:color="auto" w:sz="4" w:space="0"/>
              <w:left w:val="single" w:color="auto" w:sz="4" w:space="0"/>
              <w:bottom w:val="single" w:color="auto" w:sz="4" w:space="0"/>
              <w:right w:val="single" w:color="auto" w:sz="4" w:space="0"/>
            </w:tcBorders>
            <w:vAlign w:val="center"/>
          </w:tcPr>
          <w:p w14:paraId="3B8C9A7C">
            <w:pPr>
              <w:widowControl/>
              <w:adjustRightInd w:val="0"/>
              <w:snapToGrid w:val="0"/>
              <w:jc w:val="center"/>
              <w:rPr>
                <w:kern w:val="0"/>
                <w:sz w:val="24"/>
                <w:szCs w:val="24"/>
              </w:rPr>
            </w:pPr>
            <w:r>
              <w:rPr>
                <w:rFonts w:hint="eastAsia"/>
                <w:kern w:val="0"/>
                <w:sz w:val="24"/>
                <w:szCs w:val="24"/>
              </w:rPr>
              <w:t>10</w:t>
            </w:r>
          </w:p>
        </w:tc>
      </w:tr>
      <w:tr w14:paraId="18684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15" w:type="pct"/>
            <w:tcBorders>
              <w:top w:val="single" w:color="auto" w:sz="4" w:space="0"/>
              <w:left w:val="single" w:color="auto" w:sz="4" w:space="0"/>
              <w:bottom w:val="single" w:color="auto" w:sz="4" w:space="0"/>
              <w:right w:val="single" w:color="auto" w:sz="4" w:space="0"/>
            </w:tcBorders>
            <w:noWrap/>
            <w:vAlign w:val="center"/>
          </w:tcPr>
          <w:p w14:paraId="29AC59A3">
            <w:pPr>
              <w:widowControl/>
              <w:adjustRightInd w:val="0"/>
              <w:snapToGrid w:val="0"/>
              <w:jc w:val="center"/>
              <w:rPr>
                <w:kern w:val="0"/>
                <w:sz w:val="24"/>
                <w:szCs w:val="24"/>
              </w:rPr>
            </w:pPr>
            <w:r>
              <w:rPr>
                <w:rFonts w:hint="eastAsia"/>
                <w:kern w:val="0"/>
                <w:sz w:val="24"/>
                <w:szCs w:val="24"/>
              </w:rPr>
              <w:t>2</w:t>
            </w:r>
          </w:p>
        </w:tc>
        <w:tc>
          <w:tcPr>
            <w:tcW w:w="684" w:type="pct"/>
            <w:tcBorders>
              <w:top w:val="single" w:color="auto" w:sz="4" w:space="0"/>
              <w:left w:val="single" w:color="auto" w:sz="4" w:space="0"/>
              <w:bottom w:val="single" w:color="auto" w:sz="4" w:space="0"/>
              <w:right w:val="single" w:color="auto" w:sz="4" w:space="0"/>
            </w:tcBorders>
            <w:vAlign w:val="center"/>
          </w:tcPr>
          <w:p w14:paraId="6698F699">
            <w:pPr>
              <w:widowControl/>
              <w:adjustRightInd w:val="0"/>
              <w:snapToGrid w:val="0"/>
              <w:jc w:val="center"/>
              <w:rPr>
                <w:kern w:val="0"/>
                <w:sz w:val="24"/>
                <w:szCs w:val="24"/>
              </w:rPr>
            </w:pPr>
            <w:r>
              <w:rPr>
                <w:rFonts w:hint="eastAsia"/>
                <w:kern w:val="0"/>
                <w:sz w:val="24"/>
                <w:szCs w:val="24"/>
              </w:rPr>
              <w:t>投标人相关证书评价</w:t>
            </w:r>
          </w:p>
        </w:tc>
        <w:tc>
          <w:tcPr>
            <w:tcW w:w="3459" w:type="pct"/>
            <w:tcBorders>
              <w:top w:val="single" w:color="auto" w:sz="4" w:space="0"/>
              <w:left w:val="single" w:color="auto" w:sz="4" w:space="0"/>
              <w:bottom w:val="single" w:color="auto" w:sz="4" w:space="0"/>
              <w:right w:val="single" w:color="auto" w:sz="4" w:space="0"/>
            </w:tcBorders>
            <w:vAlign w:val="center"/>
          </w:tcPr>
          <w:p w14:paraId="4F50F4E4">
            <w:pPr>
              <w:widowControl/>
              <w:adjustRightInd w:val="0"/>
              <w:snapToGrid w:val="0"/>
              <w:rPr>
                <w:kern w:val="0"/>
                <w:sz w:val="24"/>
                <w:szCs w:val="24"/>
              </w:rPr>
            </w:pPr>
            <w:r>
              <w:rPr>
                <w:rFonts w:hint="eastAsia"/>
                <w:kern w:val="0"/>
                <w:sz w:val="24"/>
                <w:szCs w:val="24"/>
              </w:rPr>
              <w:t>投标人提供2026年用友网络科技股份有限公司企业解决方案与软件产品商业伙伴授权证书，授权类型：U8解决方案伙伴。供扫描件得3分，其他0分。</w:t>
            </w:r>
          </w:p>
        </w:tc>
        <w:tc>
          <w:tcPr>
            <w:tcW w:w="542" w:type="pct"/>
            <w:tcBorders>
              <w:top w:val="single" w:color="auto" w:sz="4" w:space="0"/>
              <w:left w:val="single" w:color="auto" w:sz="4" w:space="0"/>
              <w:bottom w:val="single" w:color="auto" w:sz="4" w:space="0"/>
              <w:right w:val="single" w:color="auto" w:sz="4" w:space="0"/>
            </w:tcBorders>
            <w:vAlign w:val="center"/>
          </w:tcPr>
          <w:p w14:paraId="3AF903AC">
            <w:pPr>
              <w:widowControl/>
              <w:adjustRightInd w:val="0"/>
              <w:snapToGrid w:val="0"/>
              <w:jc w:val="center"/>
              <w:rPr>
                <w:kern w:val="0"/>
                <w:sz w:val="24"/>
                <w:szCs w:val="24"/>
              </w:rPr>
            </w:pPr>
            <w:r>
              <w:rPr>
                <w:rFonts w:hint="eastAsia"/>
                <w:kern w:val="0"/>
                <w:sz w:val="24"/>
                <w:szCs w:val="24"/>
              </w:rPr>
              <w:t>3</w:t>
            </w:r>
          </w:p>
        </w:tc>
      </w:tr>
      <w:tr w14:paraId="51CB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315" w:type="pct"/>
            <w:tcBorders>
              <w:top w:val="single" w:color="auto" w:sz="4" w:space="0"/>
              <w:left w:val="single" w:color="auto" w:sz="4" w:space="0"/>
              <w:bottom w:val="single" w:color="auto" w:sz="4" w:space="0"/>
              <w:right w:val="single" w:color="auto" w:sz="4" w:space="0"/>
            </w:tcBorders>
            <w:noWrap/>
            <w:vAlign w:val="center"/>
          </w:tcPr>
          <w:p w14:paraId="1820F290">
            <w:pPr>
              <w:widowControl/>
              <w:adjustRightInd w:val="0"/>
              <w:snapToGrid w:val="0"/>
              <w:jc w:val="center"/>
              <w:rPr>
                <w:kern w:val="0"/>
                <w:sz w:val="24"/>
                <w:szCs w:val="24"/>
              </w:rPr>
            </w:pPr>
            <w:r>
              <w:rPr>
                <w:rFonts w:hint="eastAsia"/>
                <w:kern w:val="0"/>
                <w:sz w:val="24"/>
                <w:szCs w:val="24"/>
              </w:rPr>
              <w:t>3</w:t>
            </w:r>
          </w:p>
        </w:tc>
        <w:tc>
          <w:tcPr>
            <w:tcW w:w="684" w:type="pct"/>
            <w:tcBorders>
              <w:top w:val="single" w:color="auto" w:sz="4" w:space="0"/>
              <w:left w:val="single" w:color="auto" w:sz="4" w:space="0"/>
              <w:bottom w:val="single" w:color="auto" w:sz="4" w:space="0"/>
              <w:right w:val="single" w:color="auto" w:sz="4" w:space="0"/>
            </w:tcBorders>
            <w:vAlign w:val="center"/>
          </w:tcPr>
          <w:p w14:paraId="5CE8989B">
            <w:pPr>
              <w:widowControl/>
              <w:adjustRightInd w:val="0"/>
              <w:snapToGrid w:val="0"/>
              <w:jc w:val="center"/>
              <w:rPr>
                <w:kern w:val="0"/>
                <w:sz w:val="24"/>
                <w:szCs w:val="24"/>
              </w:rPr>
            </w:pPr>
            <w:r>
              <w:rPr>
                <w:rFonts w:hint="eastAsia"/>
                <w:sz w:val="24"/>
              </w:rPr>
              <w:t>投入人员</w:t>
            </w:r>
            <w:r>
              <w:rPr>
                <w:sz w:val="24"/>
              </w:rPr>
              <w:t>评价</w:t>
            </w:r>
          </w:p>
        </w:tc>
        <w:tc>
          <w:tcPr>
            <w:tcW w:w="3459" w:type="pct"/>
            <w:tcBorders>
              <w:top w:val="single" w:color="auto" w:sz="4" w:space="0"/>
              <w:left w:val="single" w:color="auto" w:sz="4" w:space="0"/>
              <w:bottom w:val="single" w:color="auto" w:sz="4" w:space="0"/>
              <w:right w:val="single" w:color="auto" w:sz="4" w:space="0"/>
            </w:tcBorders>
            <w:vAlign w:val="center"/>
          </w:tcPr>
          <w:p w14:paraId="62122BE5">
            <w:pPr>
              <w:widowControl/>
              <w:adjustRightInd w:val="0"/>
              <w:snapToGrid w:val="0"/>
              <w:rPr>
                <w:kern w:val="0"/>
                <w:sz w:val="24"/>
                <w:szCs w:val="24"/>
              </w:rPr>
            </w:pPr>
            <w:r>
              <w:rPr>
                <w:rFonts w:hint="eastAsia"/>
                <w:kern w:val="0"/>
                <w:sz w:val="24"/>
                <w:szCs w:val="24"/>
              </w:rPr>
              <w:t>投入的人员为投标单位正式员工，提供姓名、</w:t>
            </w:r>
            <w:r>
              <w:rPr>
                <w:kern w:val="0"/>
                <w:sz w:val="24"/>
                <w:szCs w:val="24"/>
              </w:rPr>
              <w:t>开标日前</w:t>
            </w:r>
            <w:r>
              <w:rPr>
                <w:rFonts w:hint="eastAsia"/>
                <w:kern w:val="0"/>
                <w:sz w:val="24"/>
                <w:szCs w:val="24"/>
              </w:rPr>
              <w:t>四</w:t>
            </w:r>
            <w:r>
              <w:rPr>
                <w:kern w:val="0"/>
                <w:sz w:val="24"/>
                <w:szCs w:val="24"/>
              </w:rPr>
              <w:t>个月</w:t>
            </w:r>
            <w:r>
              <w:rPr>
                <w:rFonts w:hint="eastAsia"/>
                <w:kern w:val="0"/>
                <w:sz w:val="24"/>
                <w:szCs w:val="24"/>
              </w:rPr>
              <w:t>（含开标日当月）</w:t>
            </w:r>
            <w:r>
              <w:rPr>
                <w:kern w:val="0"/>
                <w:sz w:val="24"/>
                <w:szCs w:val="24"/>
              </w:rPr>
              <w:t>中连续两个月</w:t>
            </w:r>
            <w:r>
              <w:rPr>
                <w:rFonts w:hint="eastAsia"/>
                <w:kern w:val="0"/>
                <w:sz w:val="24"/>
                <w:szCs w:val="24"/>
              </w:rPr>
              <w:t>的由投标单位为投入人员缴纳社会保险证明电子件，否则不予认定加分。</w:t>
            </w:r>
          </w:p>
          <w:p w14:paraId="52B10798">
            <w:pPr>
              <w:adjustRightInd w:val="0"/>
              <w:snapToGrid w:val="0"/>
              <w:rPr>
                <w:rFonts w:eastAsiaTheme="minorEastAsia"/>
                <w:kern w:val="0"/>
                <w:sz w:val="24"/>
                <w:szCs w:val="24"/>
              </w:rPr>
            </w:pPr>
            <w:r>
              <w:rPr>
                <w:rFonts w:eastAsiaTheme="minorEastAsia"/>
                <w:kern w:val="0"/>
                <w:sz w:val="24"/>
                <w:szCs w:val="24"/>
              </w:rPr>
              <w:t>（1）</w:t>
            </w:r>
            <w:r>
              <w:rPr>
                <w:rFonts w:hint="eastAsia" w:eastAsiaTheme="minorEastAsia"/>
                <w:kern w:val="0"/>
                <w:sz w:val="24"/>
                <w:szCs w:val="24"/>
              </w:rPr>
              <w:t>安全工程师：具备5年（含5年）以上软件运行维护经验，</w:t>
            </w:r>
            <w:r>
              <w:rPr>
                <w:rFonts w:eastAsiaTheme="minorEastAsia"/>
                <w:kern w:val="0"/>
                <w:sz w:val="24"/>
                <w:szCs w:val="24"/>
              </w:rPr>
              <w:t>提供</w:t>
            </w:r>
            <w:r>
              <w:rPr>
                <w:rFonts w:hint="eastAsia" w:eastAsiaTheme="minorEastAsia"/>
                <w:kern w:val="0"/>
                <w:sz w:val="24"/>
                <w:szCs w:val="24"/>
              </w:rPr>
              <w:t>工作简历</w:t>
            </w:r>
            <w:r>
              <w:rPr>
                <w:rFonts w:eastAsiaTheme="minorEastAsia"/>
                <w:kern w:val="0"/>
                <w:sz w:val="24"/>
                <w:szCs w:val="24"/>
              </w:rPr>
              <w:t>电子件得</w:t>
            </w:r>
            <w:r>
              <w:rPr>
                <w:rFonts w:hint="eastAsia" w:eastAsiaTheme="minorEastAsia"/>
                <w:kern w:val="0"/>
                <w:sz w:val="24"/>
                <w:szCs w:val="24"/>
              </w:rPr>
              <w:t>3分，最多3分。</w:t>
            </w:r>
          </w:p>
          <w:p w14:paraId="3EFB2450">
            <w:pPr>
              <w:widowControl/>
              <w:adjustRightInd w:val="0"/>
              <w:snapToGrid w:val="0"/>
              <w:rPr>
                <w:kern w:val="0"/>
                <w:sz w:val="24"/>
                <w:szCs w:val="24"/>
              </w:rPr>
            </w:pPr>
            <w:r>
              <w:rPr>
                <w:rFonts w:eastAsiaTheme="minorEastAsia"/>
                <w:kern w:val="0"/>
                <w:sz w:val="24"/>
                <w:szCs w:val="24"/>
              </w:rPr>
              <w:t>（</w:t>
            </w:r>
            <w:r>
              <w:rPr>
                <w:rFonts w:hint="eastAsia" w:eastAsiaTheme="minorEastAsia"/>
                <w:kern w:val="0"/>
                <w:sz w:val="24"/>
                <w:szCs w:val="24"/>
              </w:rPr>
              <w:t>2</w:t>
            </w:r>
            <w:r>
              <w:rPr>
                <w:rFonts w:eastAsiaTheme="minorEastAsia"/>
                <w:kern w:val="0"/>
                <w:sz w:val="24"/>
                <w:szCs w:val="24"/>
              </w:rPr>
              <w:t>）</w:t>
            </w:r>
            <w:r>
              <w:rPr>
                <w:rFonts w:hint="eastAsia" w:eastAsiaTheme="minorEastAsia"/>
                <w:kern w:val="0"/>
                <w:sz w:val="24"/>
                <w:szCs w:val="24"/>
              </w:rPr>
              <w:t>运维工程师：具备3年（含3年）以上软件运行维护工作经验，</w:t>
            </w:r>
            <w:r>
              <w:rPr>
                <w:rFonts w:eastAsiaTheme="minorEastAsia"/>
                <w:kern w:val="0"/>
                <w:sz w:val="24"/>
                <w:szCs w:val="24"/>
              </w:rPr>
              <w:t>提供</w:t>
            </w:r>
            <w:r>
              <w:rPr>
                <w:rFonts w:hint="eastAsia" w:eastAsiaTheme="minorEastAsia"/>
                <w:kern w:val="0"/>
                <w:sz w:val="24"/>
                <w:szCs w:val="24"/>
              </w:rPr>
              <w:t>工作简历</w:t>
            </w:r>
            <w:r>
              <w:rPr>
                <w:rFonts w:eastAsiaTheme="minorEastAsia"/>
                <w:kern w:val="0"/>
                <w:sz w:val="24"/>
                <w:szCs w:val="24"/>
              </w:rPr>
              <w:t>电子件得</w:t>
            </w:r>
            <w:r>
              <w:rPr>
                <w:rFonts w:hint="eastAsia" w:eastAsiaTheme="minorEastAsia"/>
                <w:kern w:val="0"/>
                <w:sz w:val="24"/>
                <w:szCs w:val="24"/>
              </w:rPr>
              <w:t>3分，最多3分。</w:t>
            </w:r>
            <w:r>
              <w:rPr>
                <w:rFonts w:eastAsiaTheme="minorEastAsia"/>
                <w:kern w:val="0"/>
                <w:sz w:val="24"/>
                <w:szCs w:val="24"/>
              </w:rPr>
              <w:t>注：一人持多证不可以重复记分。</w:t>
            </w:r>
          </w:p>
        </w:tc>
        <w:tc>
          <w:tcPr>
            <w:tcW w:w="542" w:type="pct"/>
            <w:tcBorders>
              <w:top w:val="single" w:color="auto" w:sz="4" w:space="0"/>
              <w:left w:val="single" w:color="auto" w:sz="4" w:space="0"/>
              <w:bottom w:val="single" w:color="auto" w:sz="4" w:space="0"/>
              <w:right w:val="single" w:color="auto" w:sz="4" w:space="0"/>
            </w:tcBorders>
            <w:vAlign w:val="center"/>
          </w:tcPr>
          <w:p w14:paraId="10D8AC15">
            <w:pPr>
              <w:widowControl/>
              <w:adjustRightInd w:val="0"/>
              <w:snapToGrid w:val="0"/>
              <w:jc w:val="center"/>
              <w:rPr>
                <w:kern w:val="0"/>
                <w:sz w:val="24"/>
                <w:szCs w:val="24"/>
              </w:rPr>
            </w:pPr>
            <w:r>
              <w:rPr>
                <w:rFonts w:hint="eastAsia"/>
                <w:kern w:val="0"/>
                <w:sz w:val="24"/>
                <w:szCs w:val="24"/>
              </w:rPr>
              <w:t>6</w:t>
            </w:r>
          </w:p>
        </w:tc>
      </w:tr>
      <w:tr w14:paraId="5A1B2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315" w:type="pct"/>
            <w:tcBorders>
              <w:top w:val="single" w:color="auto" w:sz="4" w:space="0"/>
              <w:left w:val="single" w:color="auto" w:sz="4" w:space="0"/>
              <w:bottom w:val="single" w:color="auto" w:sz="4" w:space="0"/>
              <w:right w:val="single" w:color="auto" w:sz="4" w:space="0"/>
            </w:tcBorders>
            <w:noWrap/>
            <w:vAlign w:val="center"/>
          </w:tcPr>
          <w:p w14:paraId="07A01989">
            <w:pPr>
              <w:widowControl/>
              <w:adjustRightInd w:val="0"/>
              <w:snapToGrid w:val="0"/>
              <w:jc w:val="center"/>
              <w:rPr>
                <w:kern w:val="0"/>
                <w:sz w:val="24"/>
                <w:szCs w:val="24"/>
              </w:rPr>
            </w:pPr>
            <w:r>
              <w:rPr>
                <w:rFonts w:hint="eastAsia"/>
                <w:kern w:val="0"/>
                <w:sz w:val="24"/>
                <w:szCs w:val="24"/>
              </w:rPr>
              <w:t>4</w:t>
            </w:r>
          </w:p>
        </w:tc>
        <w:tc>
          <w:tcPr>
            <w:tcW w:w="684" w:type="pct"/>
            <w:tcBorders>
              <w:top w:val="single" w:color="auto" w:sz="4" w:space="0"/>
              <w:left w:val="single" w:color="auto" w:sz="4" w:space="0"/>
              <w:bottom w:val="single" w:color="auto" w:sz="4" w:space="0"/>
              <w:right w:val="single" w:color="auto" w:sz="4" w:space="0"/>
            </w:tcBorders>
            <w:vAlign w:val="center"/>
          </w:tcPr>
          <w:p w14:paraId="02DC720D">
            <w:pPr>
              <w:widowControl/>
              <w:adjustRightInd w:val="0"/>
              <w:snapToGrid w:val="0"/>
              <w:jc w:val="center"/>
              <w:rPr>
                <w:sz w:val="24"/>
              </w:rPr>
            </w:pPr>
            <w:r>
              <w:rPr>
                <w:rFonts w:hint="eastAsia"/>
                <w:sz w:val="24"/>
              </w:rPr>
              <w:t>投标人承诺评价</w:t>
            </w:r>
          </w:p>
        </w:tc>
        <w:tc>
          <w:tcPr>
            <w:tcW w:w="3459" w:type="pct"/>
            <w:tcBorders>
              <w:top w:val="single" w:color="auto" w:sz="4" w:space="0"/>
              <w:left w:val="single" w:color="auto" w:sz="4" w:space="0"/>
              <w:bottom w:val="single" w:color="auto" w:sz="4" w:space="0"/>
              <w:right w:val="single" w:color="auto" w:sz="4" w:space="0"/>
            </w:tcBorders>
            <w:vAlign w:val="center"/>
          </w:tcPr>
          <w:p w14:paraId="12F05B80">
            <w:pPr>
              <w:widowControl/>
              <w:adjustRightInd w:val="0"/>
              <w:snapToGrid w:val="0"/>
              <w:rPr>
                <w:kern w:val="0"/>
                <w:sz w:val="24"/>
                <w:szCs w:val="24"/>
              </w:rPr>
            </w:pPr>
            <w:r>
              <w:rPr>
                <w:rFonts w:hint="eastAsia"/>
                <w:kern w:val="0"/>
                <w:sz w:val="24"/>
                <w:szCs w:val="24"/>
              </w:rPr>
              <w:t>承诺完全满足招标文件“报价要求”、“时间地点要求”、“付款方式要求”和技术要求中非“★”号要求的：6分，其他0分。</w:t>
            </w:r>
          </w:p>
        </w:tc>
        <w:tc>
          <w:tcPr>
            <w:tcW w:w="542" w:type="pct"/>
            <w:tcBorders>
              <w:top w:val="single" w:color="auto" w:sz="4" w:space="0"/>
              <w:left w:val="single" w:color="auto" w:sz="4" w:space="0"/>
              <w:bottom w:val="single" w:color="auto" w:sz="4" w:space="0"/>
              <w:right w:val="single" w:color="auto" w:sz="4" w:space="0"/>
            </w:tcBorders>
            <w:vAlign w:val="center"/>
          </w:tcPr>
          <w:p w14:paraId="2FEFB18E">
            <w:pPr>
              <w:widowControl/>
              <w:adjustRightInd w:val="0"/>
              <w:snapToGrid w:val="0"/>
              <w:jc w:val="center"/>
              <w:rPr>
                <w:kern w:val="0"/>
                <w:sz w:val="24"/>
                <w:szCs w:val="24"/>
              </w:rPr>
            </w:pPr>
            <w:r>
              <w:rPr>
                <w:rFonts w:hint="eastAsia"/>
                <w:kern w:val="0"/>
                <w:sz w:val="24"/>
                <w:szCs w:val="24"/>
              </w:rPr>
              <w:t>6</w:t>
            </w:r>
          </w:p>
        </w:tc>
      </w:tr>
      <w:tr w14:paraId="02A7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4458" w:type="pct"/>
            <w:gridSpan w:val="3"/>
            <w:tcBorders>
              <w:top w:val="single" w:color="auto" w:sz="4" w:space="0"/>
              <w:left w:val="single" w:color="auto" w:sz="4" w:space="0"/>
              <w:bottom w:val="single" w:color="auto" w:sz="4" w:space="0"/>
              <w:right w:val="single" w:color="auto" w:sz="4" w:space="0"/>
            </w:tcBorders>
            <w:noWrap/>
            <w:vAlign w:val="center"/>
          </w:tcPr>
          <w:p w14:paraId="53DB658A">
            <w:pPr>
              <w:widowControl/>
              <w:adjustRightInd w:val="0"/>
              <w:snapToGrid w:val="0"/>
              <w:jc w:val="center"/>
              <w:rPr>
                <w:kern w:val="0"/>
                <w:sz w:val="24"/>
                <w:szCs w:val="24"/>
              </w:rPr>
            </w:pPr>
            <w:r>
              <w:rPr>
                <w:rFonts w:hint="eastAsia"/>
                <w:kern w:val="0"/>
                <w:sz w:val="24"/>
                <w:szCs w:val="24"/>
              </w:rPr>
              <w:t>第三部分</w:t>
            </w:r>
            <w:r>
              <w:rPr>
                <w:kern w:val="0"/>
                <w:sz w:val="24"/>
                <w:szCs w:val="24"/>
              </w:rPr>
              <w:t xml:space="preserve"> </w:t>
            </w:r>
            <w:r>
              <w:rPr>
                <w:rFonts w:hint="eastAsia"/>
                <w:kern w:val="0"/>
                <w:sz w:val="24"/>
                <w:szCs w:val="24"/>
              </w:rPr>
              <w:t>主观分（60分）</w:t>
            </w:r>
          </w:p>
        </w:tc>
        <w:tc>
          <w:tcPr>
            <w:tcW w:w="542" w:type="pct"/>
            <w:tcBorders>
              <w:top w:val="single" w:color="auto" w:sz="4" w:space="0"/>
              <w:left w:val="single" w:color="auto" w:sz="4" w:space="0"/>
              <w:bottom w:val="single" w:color="auto" w:sz="4" w:space="0"/>
              <w:right w:val="single" w:color="auto" w:sz="4" w:space="0"/>
            </w:tcBorders>
            <w:vAlign w:val="center"/>
          </w:tcPr>
          <w:p w14:paraId="64DB4B84">
            <w:pPr>
              <w:widowControl/>
              <w:adjustRightInd w:val="0"/>
              <w:snapToGrid w:val="0"/>
              <w:jc w:val="center"/>
              <w:rPr>
                <w:kern w:val="0"/>
                <w:sz w:val="24"/>
                <w:szCs w:val="24"/>
              </w:rPr>
            </w:pPr>
            <w:r>
              <w:rPr>
                <w:rFonts w:hint="eastAsia"/>
                <w:kern w:val="0"/>
                <w:sz w:val="24"/>
                <w:szCs w:val="24"/>
              </w:rPr>
              <w:t>分值</w:t>
            </w:r>
          </w:p>
        </w:tc>
      </w:tr>
      <w:tr w14:paraId="4EA5E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15" w:type="pct"/>
            <w:tcBorders>
              <w:top w:val="single" w:color="auto" w:sz="4" w:space="0"/>
              <w:left w:val="single" w:color="auto" w:sz="4" w:space="0"/>
              <w:bottom w:val="single" w:color="auto" w:sz="4" w:space="0"/>
              <w:right w:val="single" w:color="auto" w:sz="4" w:space="0"/>
            </w:tcBorders>
            <w:noWrap/>
            <w:vAlign w:val="center"/>
          </w:tcPr>
          <w:p w14:paraId="1CD7213A">
            <w:pPr>
              <w:widowControl/>
              <w:adjustRightInd w:val="0"/>
              <w:snapToGrid w:val="0"/>
              <w:jc w:val="center"/>
              <w:rPr>
                <w:kern w:val="0"/>
                <w:sz w:val="24"/>
                <w:szCs w:val="24"/>
              </w:rPr>
            </w:pPr>
            <w:r>
              <w:rPr>
                <w:rFonts w:hint="eastAsia"/>
                <w:kern w:val="0"/>
                <w:sz w:val="24"/>
                <w:szCs w:val="24"/>
              </w:rPr>
              <w:t>1</w:t>
            </w:r>
          </w:p>
        </w:tc>
        <w:tc>
          <w:tcPr>
            <w:tcW w:w="684" w:type="pct"/>
            <w:tcBorders>
              <w:top w:val="single" w:color="auto" w:sz="4" w:space="0"/>
              <w:left w:val="single" w:color="auto" w:sz="4" w:space="0"/>
              <w:bottom w:val="single" w:color="auto" w:sz="4" w:space="0"/>
              <w:right w:val="single" w:color="auto" w:sz="4" w:space="0"/>
            </w:tcBorders>
            <w:vAlign w:val="center"/>
          </w:tcPr>
          <w:p w14:paraId="3B85750E">
            <w:pPr>
              <w:widowControl/>
              <w:adjustRightInd w:val="0"/>
              <w:snapToGrid w:val="0"/>
              <w:jc w:val="center"/>
              <w:rPr>
                <w:kern w:val="0"/>
                <w:sz w:val="24"/>
                <w:szCs w:val="24"/>
              </w:rPr>
            </w:pPr>
            <w:r>
              <w:rPr>
                <w:rFonts w:hint="eastAsia"/>
                <w:kern w:val="0"/>
                <w:sz w:val="24"/>
                <w:szCs w:val="24"/>
              </w:rPr>
              <w:t>需求理解及综合分析评价</w:t>
            </w:r>
          </w:p>
        </w:tc>
        <w:tc>
          <w:tcPr>
            <w:tcW w:w="3459" w:type="pct"/>
            <w:tcBorders>
              <w:top w:val="single" w:color="auto" w:sz="4" w:space="0"/>
              <w:left w:val="single" w:color="auto" w:sz="4" w:space="0"/>
              <w:bottom w:val="single" w:color="auto" w:sz="4" w:space="0"/>
              <w:right w:val="single" w:color="auto" w:sz="4" w:space="0"/>
            </w:tcBorders>
            <w:vAlign w:val="center"/>
          </w:tcPr>
          <w:p w14:paraId="51481B2D">
            <w:pPr>
              <w:widowControl/>
              <w:adjustRightInd w:val="0"/>
              <w:snapToGrid w:val="0"/>
              <w:rPr>
                <w:rFonts w:cs="宋体"/>
                <w:sz w:val="24"/>
                <w:szCs w:val="24"/>
              </w:rPr>
            </w:pPr>
            <w:r>
              <w:rPr>
                <w:rFonts w:hint="eastAsia"/>
                <w:kern w:val="0"/>
                <w:sz w:val="24"/>
                <w:szCs w:val="24"/>
              </w:rPr>
              <w:t>至少包含对系统现状、应用环境、体系结构需求、功能需求、性能要求等内容。</w:t>
            </w:r>
          </w:p>
          <w:p w14:paraId="5B426FA5">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5B780CA0">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1处瑕疵减2.5分，最低0分。</w:t>
            </w:r>
          </w:p>
        </w:tc>
        <w:tc>
          <w:tcPr>
            <w:tcW w:w="542" w:type="pct"/>
            <w:tcBorders>
              <w:top w:val="single" w:color="auto" w:sz="4" w:space="0"/>
              <w:left w:val="single" w:color="auto" w:sz="4" w:space="0"/>
              <w:bottom w:val="single" w:color="auto" w:sz="4" w:space="0"/>
              <w:right w:val="single" w:color="auto" w:sz="4" w:space="0"/>
            </w:tcBorders>
            <w:vAlign w:val="center"/>
          </w:tcPr>
          <w:p w14:paraId="1F9A2C57">
            <w:pPr>
              <w:widowControl/>
              <w:adjustRightInd w:val="0"/>
              <w:snapToGrid w:val="0"/>
              <w:jc w:val="center"/>
              <w:rPr>
                <w:kern w:val="0"/>
                <w:sz w:val="24"/>
                <w:szCs w:val="24"/>
              </w:rPr>
            </w:pPr>
            <w:r>
              <w:rPr>
                <w:rFonts w:hint="eastAsia"/>
                <w:kern w:val="0"/>
                <w:sz w:val="24"/>
                <w:szCs w:val="24"/>
              </w:rPr>
              <w:t>10</w:t>
            </w:r>
          </w:p>
        </w:tc>
      </w:tr>
      <w:tr w14:paraId="4D92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15" w:type="pct"/>
            <w:tcBorders>
              <w:top w:val="single" w:color="auto" w:sz="4" w:space="0"/>
              <w:left w:val="single" w:color="auto" w:sz="4" w:space="0"/>
              <w:bottom w:val="single" w:color="auto" w:sz="4" w:space="0"/>
              <w:right w:val="single" w:color="auto" w:sz="4" w:space="0"/>
            </w:tcBorders>
            <w:noWrap/>
            <w:vAlign w:val="center"/>
          </w:tcPr>
          <w:p w14:paraId="6078B0DF">
            <w:pPr>
              <w:widowControl/>
              <w:adjustRightInd w:val="0"/>
              <w:snapToGrid w:val="0"/>
              <w:jc w:val="center"/>
              <w:rPr>
                <w:kern w:val="0"/>
                <w:sz w:val="24"/>
                <w:szCs w:val="24"/>
              </w:rPr>
            </w:pPr>
            <w:r>
              <w:rPr>
                <w:rFonts w:hint="eastAsia"/>
                <w:kern w:val="0"/>
                <w:sz w:val="24"/>
                <w:szCs w:val="24"/>
              </w:rPr>
              <w:t>2</w:t>
            </w:r>
          </w:p>
        </w:tc>
        <w:tc>
          <w:tcPr>
            <w:tcW w:w="684" w:type="pct"/>
            <w:tcBorders>
              <w:top w:val="single" w:color="auto" w:sz="4" w:space="0"/>
              <w:left w:val="single" w:color="auto" w:sz="4" w:space="0"/>
              <w:bottom w:val="single" w:color="auto" w:sz="4" w:space="0"/>
              <w:right w:val="single" w:color="auto" w:sz="4" w:space="0"/>
            </w:tcBorders>
            <w:vAlign w:val="center"/>
          </w:tcPr>
          <w:p w14:paraId="661B0B00">
            <w:pPr>
              <w:widowControl/>
              <w:adjustRightInd w:val="0"/>
              <w:snapToGrid w:val="0"/>
              <w:jc w:val="center"/>
              <w:rPr>
                <w:rFonts w:cs="宋体"/>
                <w:sz w:val="24"/>
                <w:szCs w:val="24"/>
                <w:lang w:val="zh-CN"/>
              </w:rPr>
            </w:pPr>
            <w:r>
              <w:rPr>
                <w:rFonts w:hint="eastAsia" w:cs="宋体"/>
                <w:sz w:val="24"/>
                <w:szCs w:val="24"/>
                <w:lang w:val="zh-CN"/>
              </w:rPr>
              <w:t>项目服务人员评价</w:t>
            </w:r>
          </w:p>
        </w:tc>
        <w:tc>
          <w:tcPr>
            <w:tcW w:w="3459" w:type="pct"/>
            <w:tcBorders>
              <w:top w:val="single" w:color="auto" w:sz="4" w:space="0"/>
              <w:left w:val="single" w:color="auto" w:sz="4" w:space="0"/>
              <w:bottom w:val="single" w:color="auto" w:sz="4" w:space="0"/>
              <w:right w:val="single" w:color="auto" w:sz="4" w:space="0"/>
            </w:tcBorders>
            <w:vAlign w:val="center"/>
          </w:tcPr>
          <w:p w14:paraId="795BD020">
            <w:pPr>
              <w:adjustRightInd w:val="0"/>
              <w:snapToGrid w:val="0"/>
              <w:rPr>
                <w:rFonts w:cs="宋体"/>
                <w:sz w:val="24"/>
                <w:szCs w:val="24"/>
                <w:lang w:val="zh-CN"/>
              </w:rPr>
            </w:pPr>
            <w:r>
              <w:rPr>
                <w:rFonts w:hint="eastAsia"/>
                <w:kern w:val="0"/>
                <w:sz w:val="24"/>
                <w:szCs w:val="24"/>
              </w:rPr>
              <w:t>至少包含人员分工、岗位职责、人员工作经验及技术实力、人员稳 定性保障措施等方面内容。</w:t>
            </w:r>
          </w:p>
          <w:p w14:paraId="7EE32933">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22769B2B">
            <w:pPr>
              <w:adjustRightInd w:val="0"/>
              <w:snapToGrid w:val="0"/>
              <w:rPr>
                <w:rFonts w:cs="宋体"/>
                <w:sz w:val="24"/>
                <w:szCs w:val="24"/>
                <w:lang w:val="zh-CN"/>
              </w:rPr>
            </w:pPr>
            <w:r>
              <w:rPr>
                <w:rFonts w:hint="eastAsia"/>
                <w:kern w:val="0"/>
                <w:sz w:val="24"/>
                <w:szCs w:val="24"/>
              </w:rPr>
              <w:t>方案</w:t>
            </w:r>
            <w:r>
              <w:rPr>
                <w:kern w:val="0"/>
                <w:sz w:val="24"/>
                <w:szCs w:val="24"/>
              </w:rPr>
              <w:t>内容每出现</w:t>
            </w:r>
            <w:r>
              <w:rPr>
                <w:rFonts w:hint="eastAsia"/>
                <w:kern w:val="0"/>
                <w:sz w:val="24"/>
                <w:szCs w:val="24"/>
              </w:rPr>
              <w:t>1处瑕疵减2.5分，最低0分。</w:t>
            </w:r>
          </w:p>
        </w:tc>
        <w:tc>
          <w:tcPr>
            <w:tcW w:w="542" w:type="pct"/>
            <w:tcBorders>
              <w:top w:val="single" w:color="auto" w:sz="4" w:space="0"/>
              <w:left w:val="single" w:color="auto" w:sz="4" w:space="0"/>
              <w:bottom w:val="single" w:color="auto" w:sz="4" w:space="0"/>
              <w:right w:val="single" w:color="auto" w:sz="4" w:space="0"/>
            </w:tcBorders>
            <w:vAlign w:val="center"/>
          </w:tcPr>
          <w:p w14:paraId="64A8F3C9">
            <w:pPr>
              <w:widowControl/>
              <w:adjustRightInd w:val="0"/>
              <w:snapToGrid w:val="0"/>
              <w:jc w:val="center"/>
              <w:rPr>
                <w:kern w:val="0"/>
                <w:sz w:val="24"/>
                <w:szCs w:val="24"/>
              </w:rPr>
            </w:pPr>
            <w:r>
              <w:rPr>
                <w:rFonts w:hint="eastAsia"/>
                <w:kern w:val="0"/>
                <w:sz w:val="24"/>
                <w:szCs w:val="24"/>
              </w:rPr>
              <w:t>10</w:t>
            </w:r>
          </w:p>
        </w:tc>
      </w:tr>
      <w:tr w14:paraId="4BCA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15" w:type="pct"/>
            <w:tcBorders>
              <w:top w:val="single" w:color="auto" w:sz="4" w:space="0"/>
              <w:left w:val="single" w:color="auto" w:sz="4" w:space="0"/>
              <w:bottom w:val="single" w:color="auto" w:sz="4" w:space="0"/>
              <w:right w:val="single" w:color="auto" w:sz="4" w:space="0"/>
            </w:tcBorders>
            <w:noWrap/>
            <w:vAlign w:val="center"/>
          </w:tcPr>
          <w:p w14:paraId="5F69ABAD">
            <w:pPr>
              <w:widowControl/>
              <w:adjustRightInd w:val="0"/>
              <w:snapToGrid w:val="0"/>
              <w:jc w:val="center"/>
              <w:rPr>
                <w:kern w:val="0"/>
                <w:sz w:val="24"/>
                <w:szCs w:val="24"/>
              </w:rPr>
            </w:pPr>
            <w:r>
              <w:rPr>
                <w:rFonts w:hint="eastAsia"/>
                <w:kern w:val="0"/>
                <w:sz w:val="24"/>
                <w:szCs w:val="24"/>
              </w:rPr>
              <w:t>3</w:t>
            </w:r>
          </w:p>
        </w:tc>
        <w:tc>
          <w:tcPr>
            <w:tcW w:w="684" w:type="pct"/>
            <w:tcBorders>
              <w:top w:val="single" w:color="auto" w:sz="4" w:space="0"/>
              <w:left w:val="single" w:color="auto" w:sz="4" w:space="0"/>
              <w:bottom w:val="single" w:color="auto" w:sz="4" w:space="0"/>
              <w:right w:val="single" w:color="auto" w:sz="4" w:space="0"/>
            </w:tcBorders>
            <w:vAlign w:val="center"/>
          </w:tcPr>
          <w:p w14:paraId="4A857E52">
            <w:pPr>
              <w:widowControl/>
              <w:adjustRightInd w:val="0"/>
              <w:snapToGrid w:val="0"/>
              <w:jc w:val="center"/>
              <w:rPr>
                <w:rFonts w:cs="宋体"/>
                <w:sz w:val="24"/>
                <w:szCs w:val="24"/>
                <w:lang w:val="zh-CN"/>
              </w:rPr>
            </w:pPr>
            <w:r>
              <w:rPr>
                <w:rFonts w:hint="eastAsia"/>
                <w:kern w:val="0"/>
                <w:sz w:val="24"/>
                <w:szCs w:val="24"/>
              </w:rPr>
              <w:t>维保服务方案完整性和合理评价</w:t>
            </w:r>
          </w:p>
        </w:tc>
        <w:tc>
          <w:tcPr>
            <w:tcW w:w="3459" w:type="pct"/>
            <w:tcBorders>
              <w:top w:val="single" w:color="auto" w:sz="4" w:space="0"/>
              <w:left w:val="single" w:color="auto" w:sz="4" w:space="0"/>
              <w:bottom w:val="single" w:color="auto" w:sz="4" w:space="0"/>
              <w:right w:val="single" w:color="auto" w:sz="4" w:space="0"/>
            </w:tcBorders>
            <w:vAlign w:val="center"/>
          </w:tcPr>
          <w:p w14:paraId="1B5CE563">
            <w:pPr>
              <w:widowControl/>
              <w:adjustRightInd w:val="0"/>
              <w:snapToGrid w:val="0"/>
              <w:rPr>
                <w:kern w:val="0"/>
                <w:sz w:val="24"/>
                <w:szCs w:val="24"/>
              </w:rPr>
            </w:pPr>
            <w:r>
              <w:rPr>
                <w:rFonts w:hint="eastAsia"/>
                <w:kern w:val="0"/>
                <w:sz w:val="24"/>
                <w:szCs w:val="24"/>
              </w:rPr>
              <w:t>至少包含系统现状、任务目标、实施要求等方面内容。</w:t>
            </w:r>
          </w:p>
          <w:p w14:paraId="3248C15C">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630A0455">
            <w:pPr>
              <w:adjustRightInd w:val="0"/>
              <w:snapToGrid w:val="0"/>
              <w:rPr>
                <w:rFonts w:cs="宋体"/>
                <w:sz w:val="24"/>
                <w:szCs w:val="24"/>
                <w:lang w:val="zh-CN"/>
              </w:rPr>
            </w:pPr>
            <w:r>
              <w:rPr>
                <w:rFonts w:hint="eastAsia"/>
                <w:kern w:val="0"/>
                <w:sz w:val="24"/>
                <w:szCs w:val="24"/>
              </w:rPr>
              <w:t>方案</w:t>
            </w:r>
            <w:r>
              <w:rPr>
                <w:kern w:val="0"/>
                <w:sz w:val="24"/>
                <w:szCs w:val="24"/>
              </w:rPr>
              <w:t>内容每出现</w:t>
            </w:r>
            <w:r>
              <w:rPr>
                <w:rFonts w:hint="eastAsia"/>
                <w:kern w:val="0"/>
                <w:sz w:val="24"/>
                <w:szCs w:val="24"/>
              </w:rPr>
              <w:t>1处瑕疵减2.5分，最低0分。</w:t>
            </w:r>
          </w:p>
        </w:tc>
        <w:tc>
          <w:tcPr>
            <w:tcW w:w="542" w:type="pct"/>
            <w:tcBorders>
              <w:top w:val="single" w:color="auto" w:sz="4" w:space="0"/>
              <w:left w:val="single" w:color="auto" w:sz="4" w:space="0"/>
              <w:bottom w:val="single" w:color="auto" w:sz="4" w:space="0"/>
              <w:right w:val="single" w:color="auto" w:sz="4" w:space="0"/>
            </w:tcBorders>
            <w:vAlign w:val="center"/>
          </w:tcPr>
          <w:p w14:paraId="55FF126D">
            <w:pPr>
              <w:widowControl/>
              <w:adjustRightInd w:val="0"/>
              <w:snapToGrid w:val="0"/>
              <w:jc w:val="center"/>
              <w:rPr>
                <w:kern w:val="0"/>
                <w:sz w:val="24"/>
                <w:szCs w:val="24"/>
              </w:rPr>
            </w:pPr>
            <w:r>
              <w:rPr>
                <w:rFonts w:hint="eastAsia"/>
                <w:kern w:val="0"/>
                <w:sz w:val="24"/>
                <w:szCs w:val="24"/>
              </w:rPr>
              <w:t>10</w:t>
            </w:r>
          </w:p>
        </w:tc>
      </w:tr>
      <w:tr w14:paraId="767DA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15" w:type="pct"/>
            <w:tcBorders>
              <w:top w:val="single" w:color="auto" w:sz="4" w:space="0"/>
              <w:left w:val="single" w:color="auto" w:sz="4" w:space="0"/>
              <w:bottom w:val="single" w:color="auto" w:sz="4" w:space="0"/>
              <w:right w:val="single" w:color="auto" w:sz="4" w:space="0"/>
            </w:tcBorders>
            <w:noWrap/>
            <w:vAlign w:val="center"/>
          </w:tcPr>
          <w:p w14:paraId="41C076C7">
            <w:pPr>
              <w:widowControl/>
              <w:adjustRightInd w:val="0"/>
              <w:snapToGrid w:val="0"/>
              <w:jc w:val="center"/>
              <w:rPr>
                <w:kern w:val="0"/>
                <w:sz w:val="24"/>
                <w:szCs w:val="24"/>
              </w:rPr>
            </w:pPr>
            <w:r>
              <w:rPr>
                <w:rFonts w:hint="eastAsia"/>
                <w:kern w:val="0"/>
                <w:sz w:val="24"/>
                <w:szCs w:val="24"/>
              </w:rPr>
              <w:t>4</w:t>
            </w:r>
          </w:p>
        </w:tc>
        <w:tc>
          <w:tcPr>
            <w:tcW w:w="684" w:type="pct"/>
            <w:tcBorders>
              <w:top w:val="single" w:color="auto" w:sz="4" w:space="0"/>
              <w:left w:val="single" w:color="auto" w:sz="4" w:space="0"/>
              <w:bottom w:val="single" w:color="auto" w:sz="4" w:space="0"/>
              <w:right w:val="single" w:color="auto" w:sz="4" w:space="0"/>
            </w:tcBorders>
            <w:vAlign w:val="center"/>
          </w:tcPr>
          <w:p w14:paraId="320EF9EE">
            <w:pPr>
              <w:widowControl/>
              <w:adjustRightInd w:val="0"/>
              <w:snapToGrid w:val="0"/>
              <w:jc w:val="center"/>
              <w:rPr>
                <w:kern w:val="0"/>
                <w:sz w:val="24"/>
                <w:szCs w:val="24"/>
              </w:rPr>
            </w:pPr>
            <w:r>
              <w:rPr>
                <w:rFonts w:hint="eastAsia"/>
                <w:kern w:val="0"/>
                <w:sz w:val="24"/>
                <w:szCs w:val="24"/>
              </w:rPr>
              <w:t>关联性了解和维保服务能力</w:t>
            </w:r>
          </w:p>
        </w:tc>
        <w:tc>
          <w:tcPr>
            <w:tcW w:w="3459" w:type="pct"/>
            <w:tcBorders>
              <w:top w:val="single" w:color="auto" w:sz="4" w:space="0"/>
              <w:left w:val="single" w:color="auto" w:sz="4" w:space="0"/>
              <w:bottom w:val="single" w:color="auto" w:sz="4" w:space="0"/>
              <w:right w:val="single" w:color="auto" w:sz="4" w:space="0"/>
            </w:tcBorders>
            <w:vAlign w:val="center"/>
          </w:tcPr>
          <w:p w14:paraId="4A7E7B90">
            <w:pPr>
              <w:widowControl/>
              <w:jc w:val="left"/>
              <w:textAlignment w:val="center"/>
              <w:rPr>
                <w:kern w:val="0"/>
                <w:sz w:val="24"/>
                <w:szCs w:val="24"/>
              </w:rPr>
            </w:pPr>
            <w:r>
              <w:rPr>
                <w:rFonts w:hint="eastAsia"/>
                <w:kern w:val="0"/>
                <w:sz w:val="24"/>
                <w:szCs w:val="24"/>
              </w:rPr>
              <w:t>至少包含预防性检查频率、检查内容、发现问题后的解决方案等方面内容。</w:t>
            </w:r>
          </w:p>
          <w:p w14:paraId="0A062B5A">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2C80CDA9">
            <w:pPr>
              <w:adjustRightInd w:val="0"/>
              <w:snapToGrid w:val="0"/>
              <w:rPr>
                <w:rFonts w:cs="宋体"/>
                <w:sz w:val="24"/>
                <w:szCs w:val="24"/>
                <w:lang w:val="zh-CN"/>
              </w:rPr>
            </w:pPr>
            <w:r>
              <w:rPr>
                <w:rFonts w:hint="eastAsia"/>
                <w:kern w:val="0"/>
                <w:sz w:val="24"/>
                <w:szCs w:val="24"/>
              </w:rPr>
              <w:t>方案</w:t>
            </w:r>
            <w:r>
              <w:rPr>
                <w:kern w:val="0"/>
                <w:sz w:val="24"/>
                <w:szCs w:val="24"/>
              </w:rPr>
              <w:t>内容每出现</w:t>
            </w:r>
            <w:r>
              <w:rPr>
                <w:rFonts w:hint="eastAsia"/>
                <w:kern w:val="0"/>
                <w:sz w:val="24"/>
                <w:szCs w:val="24"/>
              </w:rPr>
              <w:t>1处瑕疵减2.5分，最低0分。</w:t>
            </w:r>
          </w:p>
        </w:tc>
        <w:tc>
          <w:tcPr>
            <w:tcW w:w="542" w:type="pct"/>
            <w:tcBorders>
              <w:top w:val="single" w:color="auto" w:sz="4" w:space="0"/>
              <w:left w:val="single" w:color="auto" w:sz="4" w:space="0"/>
              <w:bottom w:val="single" w:color="auto" w:sz="4" w:space="0"/>
              <w:right w:val="single" w:color="auto" w:sz="4" w:space="0"/>
            </w:tcBorders>
            <w:vAlign w:val="center"/>
          </w:tcPr>
          <w:p w14:paraId="1AF8A043">
            <w:pPr>
              <w:widowControl/>
              <w:adjustRightInd w:val="0"/>
              <w:snapToGrid w:val="0"/>
              <w:jc w:val="center"/>
              <w:rPr>
                <w:kern w:val="0"/>
                <w:sz w:val="24"/>
                <w:szCs w:val="24"/>
              </w:rPr>
            </w:pPr>
            <w:r>
              <w:rPr>
                <w:rFonts w:hint="eastAsia"/>
                <w:kern w:val="0"/>
                <w:sz w:val="24"/>
                <w:szCs w:val="24"/>
              </w:rPr>
              <w:t>10</w:t>
            </w:r>
          </w:p>
        </w:tc>
      </w:tr>
      <w:tr w14:paraId="477E9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15" w:type="pct"/>
            <w:tcBorders>
              <w:top w:val="single" w:color="auto" w:sz="4" w:space="0"/>
              <w:left w:val="single" w:color="auto" w:sz="4" w:space="0"/>
              <w:bottom w:val="single" w:color="auto" w:sz="4" w:space="0"/>
              <w:right w:val="single" w:color="auto" w:sz="4" w:space="0"/>
            </w:tcBorders>
            <w:noWrap/>
            <w:vAlign w:val="center"/>
          </w:tcPr>
          <w:p w14:paraId="3615D86D">
            <w:pPr>
              <w:widowControl/>
              <w:adjustRightInd w:val="0"/>
              <w:snapToGrid w:val="0"/>
              <w:jc w:val="center"/>
              <w:rPr>
                <w:kern w:val="0"/>
                <w:sz w:val="24"/>
                <w:szCs w:val="24"/>
              </w:rPr>
            </w:pPr>
            <w:r>
              <w:rPr>
                <w:rFonts w:hint="eastAsia"/>
                <w:kern w:val="0"/>
                <w:sz w:val="24"/>
                <w:szCs w:val="24"/>
              </w:rPr>
              <w:t>5</w:t>
            </w:r>
          </w:p>
        </w:tc>
        <w:tc>
          <w:tcPr>
            <w:tcW w:w="684" w:type="pct"/>
            <w:tcBorders>
              <w:top w:val="single" w:color="auto" w:sz="4" w:space="0"/>
              <w:left w:val="single" w:color="auto" w:sz="4" w:space="0"/>
              <w:bottom w:val="single" w:color="auto" w:sz="4" w:space="0"/>
              <w:right w:val="single" w:color="auto" w:sz="4" w:space="0"/>
            </w:tcBorders>
            <w:vAlign w:val="center"/>
          </w:tcPr>
          <w:p w14:paraId="205164B7">
            <w:pPr>
              <w:widowControl/>
              <w:adjustRightInd w:val="0"/>
              <w:snapToGrid w:val="0"/>
              <w:jc w:val="center"/>
              <w:rPr>
                <w:kern w:val="0"/>
                <w:sz w:val="24"/>
                <w:szCs w:val="24"/>
              </w:rPr>
            </w:pPr>
            <w:r>
              <w:rPr>
                <w:rFonts w:hint="eastAsia"/>
                <w:kern w:val="0"/>
                <w:sz w:val="24"/>
                <w:szCs w:val="24"/>
              </w:rPr>
              <w:t>定制开发</w:t>
            </w:r>
            <w:r>
              <w:rPr>
                <w:rFonts w:hint="eastAsia"/>
                <w:kern w:val="0"/>
                <w:sz w:val="24"/>
                <w:szCs w:val="24"/>
              </w:rPr>
              <w:br w:type="textWrapping"/>
            </w:r>
            <w:r>
              <w:rPr>
                <w:rFonts w:hint="eastAsia"/>
                <w:kern w:val="0"/>
                <w:sz w:val="24"/>
                <w:szCs w:val="24"/>
              </w:rPr>
              <w:t>软件的全面了解和维保能力 评价</w:t>
            </w:r>
          </w:p>
        </w:tc>
        <w:tc>
          <w:tcPr>
            <w:tcW w:w="3459" w:type="pct"/>
            <w:tcBorders>
              <w:top w:val="single" w:color="auto" w:sz="4" w:space="0"/>
              <w:left w:val="single" w:color="auto" w:sz="4" w:space="0"/>
              <w:bottom w:val="single" w:color="auto" w:sz="4" w:space="0"/>
              <w:right w:val="single" w:color="auto" w:sz="4" w:space="0"/>
            </w:tcBorders>
            <w:vAlign w:val="center"/>
          </w:tcPr>
          <w:p w14:paraId="24858BE4">
            <w:pPr>
              <w:widowControl/>
              <w:adjustRightInd w:val="0"/>
              <w:snapToGrid w:val="0"/>
              <w:rPr>
                <w:kern w:val="0"/>
                <w:sz w:val="24"/>
                <w:szCs w:val="24"/>
              </w:rPr>
            </w:pPr>
            <w:r>
              <w:rPr>
                <w:rFonts w:hint="eastAsia"/>
                <w:kern w:val="0"/>
                <w:sz w:val="24"/>
                <w:szCs w:val="24"/>
              </w:rPr>
              <w:t>至少包含响应时间、故障处理方案、防止再发方案等方面内容。</w:t>
            </w:r>
          </w:p>
          <w:p w14:paraId="35D69B6C">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6677CA15">
            <w:pPr>
              <w:adjustRightInd w:val="0"/>
              <w:snapToGrid w:val="0"/>
              <w:rPr>
                <w:rFonts w:cs="宋体"/>
                <w:sz w:val="24"/>
                <w:szCs w:val="24"/>
                <w:lang w:val="zh-CN"/>
              </w:rPr>
            </w:pPr>
            <w:r>
              <w:rPr>
                <w:rFonts w:hint="eastAsia"/>
                <w:kern w:val="0"/>
                <w:sz w:val="24"/>
                <w:szCs w:val="24"/>
              </w:rPr>
              <w:t>方案</w:t>
            </w:r>
            <w:r>
              <w:rPr>
                <w:kern w:val="0"/>
                <w:sz w:val="24"/>
                <w:szCs w:val="24"/>
              </w:rPr>
              <w:t>内容每出现</w:t>
            </w:r>
            <w:r>
              <w:rPr>
                <w:rFonts w:hint="eastAsia"/>
                <w:kern w:val="0"/>
                <w:sz w:val="24"/>
                <w:szCs w:val="24"/>
              </w:rPr>
              <w:t>1处瑕疵减2.5分，最低0分。</w:t>
            </w:r>
          </w:p>
        </w:tc>
        <w:tc>
          <w:tcPr>
            <w:tcW w:w="542" w:type="pct"/>
            <w:tcBorders>
              <w:top w:val="single" w:color="auto" w:sz="4" w:space="0"/>
              <w:left w:val="single" w:color="auto" w:sz="4" w:space="0"/>
              <w:bottom w:val="single" w:color="auto" w:sz="4" w:space="0"/>
              <w:right w:val="single" w:color="auto" w:sz="4" w:space="0"/>
            </w:tcBorders>
            <w:vAlign w:val="center"/>
          </w:tcPr>
          <w:p w14:paraId="676AE06A">
            <w:pPr>
              <w:widowControl/>
              <w:adjustRightInd w:val="0"/>
              <w:snapToGrid w:val="0"/>
              <w:jc w:val="center"/>
              <w:rPr>
                <w:kern w:val="0"/>
                <w:sz w:val="24"/>
                <w:szCs w:val="24"/>
              </w:rPr>
            </w:pPr>
            <w:r>
              <w:rPr>
                <w:rFonts w:hint="eastAsia"/>
                <w:kern w:val="0"/>
                <w:sz w:val="24"/>
                <w:szCs w:val="24"/>
              </w:rPr>
              <w:t>10</w:t>
            </w:r>
          </w:p>
        </w:tc>
      </w:tr>
      <w:tr w14:paraId="29187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15" w:type="pct"/>
            <w:tcBorders>
              <w:top w:val="single" w:color="auto" w:sz="4" w:space="0"/>
              <w:left w:val="single" w:color="auto" w:sz="4" w:space="0"/>
              <w:bottom w:val="single" w:color="auto" w:sz="4" w:space="0"/>
              <w:right w:val="single" w:color="auto" w:sz="4" w:space="0"/>
            </w:tcBorders>
            <w:noWrap/>
            <w:vAlign w:val="center"/>
          </w:tcPr>
          <w:p w14:paraId="5C96DECB">
            <w:pPr>
              <w:widowControl/>
              <w:adjustRightInd w:val="0"/>
              <w:snapToGrid w:val="0"/>
              <w:jc w:val="center"/>
              <w:rPr>
                <w:kern w:val="0"/>
                <w:sz w:val="24"/>
                <w:szCs w:val="24"/>
              </w:rPr>
            </w:pPr>
            <w:r>
              <w:rPr>
                <w:rFonts w:hint="eastAsia"/>
                <w:kern w:val="0"/>
                <w:sz w:val="24"/>
                <w:szCs w:val="24"/>
              </w:rPr>
              <w:t>6</w:t>
            </w:r>
          </w:p>
        </w:tc>
        <w:tc>
          <w:tcPr>
            <w:tcW w:w="684" w:type="pct"/>
            <w:tcBorders>
              <w:top w:val="single" w:color="auto" w:sz="4" w:space="0"/>
              <w:left w:val="single" w:color="auto" w:sz="4" w:space="0"/>
              <w:bottom w:val="single" w:color="auto" w:sz="4" w:space="0"/>
              <w:right w:val="single" w:color="auto" w:sz="4" w:space="0"/>
            </w:tcBorders>
            <w:vAlign w:val="center"/>
          </w:tcPr>
          <w:p w14:paraId="4A74B1EB">
            <w:pPr>
              <w:widowControl/>
              <w:adjustRightInd w:val="0"/>
              <w:snapToGrid w:val="0"/>
              <w:jc w:val="center"/>
              <w:rPr>
                <w:kern w:val="0"/>
                <w:sz w:val="24"/>
                <w:szCs w:val="24"/>
              </w:rPr>
            </w:pPr>
            <w:r>
              <w:rPr>
                <w:rFonts w:hint="eastAsia"/>
                <w:kern w:val="0"/>
                <w:sz w:val="24"/>
                <w:szCs w:val="24"/>
              </w:rPr>
              <w:t>突发事件管理方案</w:t>
            </w:r>
          </w:p>
        </w:tc>
        <w:tc>
          <w:tcPr>
            <w:tcW w:w="3459" w:type="pct"/>
            <w:tcBorders>
              <w:top w:val="single" w:color="auto" w:sz="4" w:space="0"/>
              <w:left w:val="single" w:color="auto" w:sz="4" w:space="0"/>
              <w:bottom w:val="single" w:color="auto" w:sz="4" w:space="0"/>
              <w:right w:val="single" w:color="auto" w:sz="4" w:space="0"/>
            </w:tcBorders>
            <w:vAlign w:val="center"/>
          </w:tcPr>
          <w:p w14:paraId="3B943AAE">
            <w:pPr>
              <w:widowControl/>
              <w:jc w:val="left"/>
              <w:textAlignment w:val="center"/>
              <w:rPr>
                <w:kern w:val="0"/>
                <w:sz w:val="24"/>
                <w:szCs w:val="24"/>
              </w:rPr>
            </w:pPr>
            <w:r>
              <w:rPr>
                <w:rFonts w:hint="eastAsia"/>
                <w:kern w:val="0"/>
                <w:sz w:val="24"/>
                <w:szCs w:val="24"/>
              </w:rPr>
              <w:t>至少包含针对恶意攻击、访问量激增等处理方案。</w:t>
            </w:r>
          </w:p>
          <w:p w14:paraId="04D0C436">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5776468D">
            <w:pPr>
              <w:adjustRightInd w:val="0"/>
              <w:snapToGrid w:val="0"/>
              <w:rPr>
                <w:sz w:val="24"/>
              </w:rPr>
            </w:pPr>
            <w:r>
              <w:rPr>
                <w:rFonts w:hint="eastAsia"/>
                <w:kern w:val="0"/>
                <w:sz w:val="24"/>
                <w:szCs w:val="24"/>
              </w:rPr>
              <w:t>方案</w:t>
            </w:r>
            <w:r>
              <w:rPr>
                <w:kern w:val="0"/>
                <w:sz w:val="24"/>
                <w:szCs w:val="24"/>
              </w:rPr>
              <w:t>内容每出现</w:t>
            </w:r>
            <w:r>
              <w:rPr>
                <w:rFonts w:hint="eastAsia"/>
                <w:kern w:val="0"/>
                <w:sz w:val="24"/>
                <w:szCs w:val="24"/>
              </w:rPr>
              <w:t>1处瑕疵减2.5分，最低0分。</w:t>
            </w:r>
          </w:p>
        </w:tc>
        <w:tc>
          <w:tcPr>
            <w:tcW w:w="542" w:type="pct"/>
            <w:tcBorders>
              <w:top w:val="single" w:color="auto" w:sz="4" w:space="0"/>
              <w:left w:val="single" w:color="auto" w:sz="4" w:space="0"/>
              <w:bottom w:val="single" w:color="auto" w:sz="4" w:space="0"/>
              <w:right w:val="single" w:color="auto" w:sz="4" w:space="0"/>
            </w:tcBorders>
            <w:vAlign w:val="center"/>
          </w:tcPr>
          <w:p w14:paraId="7A0E2714">
            <w:pPr>
              <w:widowControl/>
              <w:adjustRightInd w:val="0"/>
              <w:snapToGrid w:val="0"/>
              <w:jc w:val="center"/>
              <w:rPr>
                <w:kern w:val="0"/>
                <w:sz w:val="24"/>
                <w:szCs w:val="24"/>
              </w:rPr>
            </w:pPr>
            <w:r>
              <w:rPr>
                <w:rFonts w:hint="eastAsia"/>
                <w:kern w:val="0"/>
                <w:sz w:val="24"/>
                <w:szCs w:val="24"/>
              </w:rPr>
              <w:t>10</w:t>
            </w:r>
          </w:p>
        </w:tc>
      </w:tr>
      <w:tr w14:paraId="4026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458" w:type="pct"/>
            <w:gridSpan w:val="3"/>
            <w:tcBorders>
              <w:top w:val="single" w:color="auto" w:sz="4" w:space="0"/>
              <w:left w:val="single" w:color="auto" w:sz="4" w:space="0"/>
              <w:bottom w:val="single" w:color="auto" w:sz="4" w:space="0"/>
              <w:right w:val="single" w:color="auto" w:sz="4" w:space="0"/>
            </w:tcBorders>
            <w:noWrap/>
            <w:vAlign w:val="center"/>
          </w:tcPr>
          <w:p w14:paraId="6AAF71A8">
            <w:pPr>
              <w:widowControl/>
              <w:adjustRightInd w:val="0"/>
              <w:snapToGrid w:val="0"/>
              <w:jc w:val="center"/>
              <w:rPr>
                <w:sz w:val="24"/>
              </w:rPr>
            </w:pPr>
            <w:r>
              <w:rPr>
                <w:rFonts w:hint="eastAsia"/>
                <w:sz w:val="24"/>
              </w:rPr>
              <w:t>合计</w:t>
            </w:r>
          </w:p>
        </w:tc>
        <w:tc>
          <w:tcPr>
            <w:tcW w:w="542" w:type="pct"/>
            <w:tcBorders>
              <w:top w:val="single" w:color="auto" w:sz="4" w:space="0"/>
              <w:left w:val="single" w:color="auto" w:sz="4" w:space="0"/>
              <w:bottom w:val="single" w:color="auto" w:sz="4" w:space="0"/>
              <w:right w:val="single" w:color="auto" w:sz="4" w:space="0"/>
            </w:tcBorders>
            <w:vAlign w:val="center"/>
          </w:tcPr>
          <w:p w14:paraId="3480E592">
            <w:pPr>
              <w:widowControl/>
              <w:adjustRightInd w:val="0"/>
              <w:snapToGrid w:val="0"/>
              <w:jc w:val="center"/>
              <w:rPr>
                <w:kern w:val="0"/>
                <w:sz w:val="24"/>
                <w:szCs w:val="24"/>
              </w:rPr>
            </w:pPr>
            <w:r>
              <w:rPr>
                <w:kern w:val="0"/>
                <w:sz w:val="24"/>
                <w:szCs w:val="24"/>
              </w:rPr>
              <w:t>100</w:t>
            </w:r>
          </w:p>
        </w:tc>
      </w:tr>
    </w:tbl>
    <w:p w14:paraId="6FC794F4">
      <w:pPr>
        <w:spacing w:line="360" w:lineRule="auto"/>
        <w:ind w:firstLine="448" w:firstLineChars="200"/>
        <w:outlineLvl w:val="0"/>
        <w:rPr>
          <w:sz w:val="24"/>
        </w:rPr>
      </w:pPr>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0638C6AE">
      <w:pPr>
        <w:widowControl/>
        <w:jc w:val="left"/>
        <w:rPr>
          <w:sz w:val="24"/>
        </w:rPr>
      </w:pPr>
    </w:p>
    <w:p w14:paraId="12FC79EC">
      <w:pPr>
        <w:spacing w:line="360" w:lineRule="auto"/>
        <w:outlineLvl w:val="0"/>
        <w:rPr>
          <w:b/>
          <w:sz w:val="24"/>
        </w:rPr>
      </w:pPr>
      <w:r>
        <w:rPr>
          <w:rFonts w:hint="eastAsia"/>
          <w:b/>
          <w:sz w:val="24"/>
        </w:rPr>
        <w:t xml:space="preserve">                                  </w:t>
      </w:r>
    </w:p>
    <w:p w14:paraId="5A0BF922">
      <w:pPr>
        <w:widowControl/>
        <w:jc w:val="left"/>
        <w:rPr>
          <w:b/>
          <w:sz w:val="24"/>
        </w:rPr>
      </w:pPr>
      <w:r>
        <w:rPr>
          <w:b/>
          <w:sz w:val="24"/>
        </w:rPr>
        <w:br w:type="page"/>
      </w:r>
    </w:p>
    <w:p w14:paraId="5A35CDCE">
      <w:pPr>
        <w:spacing w:line="360" w:lineRule="auto"/>
        <w:ind w:firstLine="4032" w:firstLineChars="1800"/>
        <w:outlineLvl w:val="0"/>
        <w:rPr>
          <w:rFonts w:ascii="宋体" w:hAnsi="宋体"/>
          <w:sz w:val="24"/>
          <w:szCs w:val="24"/>
        </w:rPr>
      </w:pPr>
      <w:r>
        <w:rPr>
          <w:rFonts w:hint="eastAsia"/>
          <w:b/>
          <w:sz w:val="24"/>
        </w:rPr>
        <w:t>项目需求书</w:t>
      </w:r>
    </w:p>
    <w:p w14:paraId="6C7B33B3">
      <w:pPr>
        <w:pStyle w:val="34"/>
        <w:numPr>
          <w:ilvl w:val="0"/>
          <w:numId w:val="3"/>
        </w:numPr>
        <w:spacing w:line="360" w:lineRule="auto"/>
        <w:ind w:firstLineChars="0"/>
        <w:outlineLvl w:val="0"/>
        <w:rPr>
          <w:rFonts w:ascii="宋体" w:hAnsi="宋体"/>
          <w:sz w:val="24"/>
          <w:szCs w:val="24"/>
        </w:rPr>
      </w:pPr>
      <w:r>
        <w:rPr>
          <w:rFonts w:hint="eastAsia" w:ascii="宋体" w:hAnsi="宋体"/>
          <w:sz w:val="24"/>
          <w:szCs w:val="24"/>
        </w:rPr>
        <w:t>项目背景</w:t>
      </w:r>
    </w:p>
    <w:p w14:paraId="6A0AEE30">
      <w:pPr>
        <w:spacing w:line="360" w:lineRule="auto"/>
        <w:ind w:firstLine="448" w:firstLineChars="200"/>
        <w:outlineLvl w:val="0"/>
        <w:rPr>
          <w:rFonts w:ascii="宋体" w:hAnsi="宋体"/>
          <w:sz w:val="24"/>
          <w:szCs w:val="24"/>
        </w:rPr>
      </w:pPr>
      <w:r>
        <w:rPr>
          <w:rFonts w:hint="eastAsia" w:ascii="宋体" w:hAnsi="宋体"/>
          <w:sz w:val="24"/>
          <w:szCs w:val="24"/>
        </w:rPr>
        <w:t>（一）运维软件介绍</w:t>
      </w:r>
    </w:p>
    <w:p w14:paraId="6ECD349B">
      <w:pPr>
        <w:spacing w:line="360" w:lineRule="auto"/>
        <w:ind w:firstLine="448" w:firstLineChars="200"/>
        <w:outlineLvl w:val="0"/>
        <w:rPr>
          <w:rFonts w:ascii="宋体" w:hAnsi="宋体"/>
          <w:sz w:val="24"/>
          <w:szCs w:val="24"/>
        </w:rPr>
      </w:pPr>
      <w:r>
        <w:rPr>
          <w:rFonts w:hint="eastAsia" w:ascii="宋体" w:hAnsi="宋体"/>
          <w:sz w:val="24"/>
          <w:szCs w:val="24"/>
        </w:rPr>
        <w:t>1.ERP子系统</w:t>
      </w:r>
    </w:p>
    <w:p w14:paraId="04027761">
      <w:pPr>
        <w:spacing w:line="360" w:lineRule="auto"/>
        <w:ind w:firstLine="448" w:firstLineChars="200"/>
        <w:outlineLvl w:val="0"/>
        <w:rPr>
          <w:rFonts w:ascii="宋体" w:hAnsi="宋体"/>
          <w:sz w:val="24"/>
          <w:szCs w:val="24"/>
        </w:rPr>
      </w:pPr>
      <w:r>
        <w:rPr>
          <w:rFonts w:hint="eastAsia" w:ascii="宋体" w:hAnsi="宋体"/>
          <w:sz w:val="24"/>
          <w:szCs w:val="24"/>
        </w:rPr>
        <w:t>ERP子系统使用的是用友U8+软件和完全二次开发网报管理，U8+版本为U8+V16.1，具体如下：</w:t>
      </w:r>
    </w:p>
    <w:p w14:paraId="1D002910">
      <w:pPr>
        <w:spacing w:line="360" w:lineRule="auto"/>
        <w:ind w:firstLine="448" w:firstLineChars="200"/>
        <w:outlineLvl w:val="0"/>
        <w:rPr>
          <w:rFonts w:ascii="宋体" w:hAnsi="宋体"/>
          <w:sz w:val="24"/>
          <w:szCs w:val="24"/>
        </w:rPr>
      </w:pPr>
      <w:r>
        <w:rPr>
          <w:rFonts w:hint="eastAsia" w:ascii="宋体" w:hAnsi="宋体"/>
          <w:sz w:val="24"/>
          <w:szCs w:val="24"/>
        </w:rPr>
        <w:t>（1）经费核算管理，标准应用产品共14个许可，标准软件模块包括：费用预算管理、平行记账、出纳管理、电子会计档案、总账、财务报表、固定资产、应付款管理；网上报销系统为完全二次开发内容，许可数不限。</w:t>
      </w:r>
    </w:p>
    <w:p w14:paraId="0C12EAAA">
      <w:pPr>
        <w:spacing w:line="360" w:lineRule="auto"/>
        <w:ind w:firstLine="448" w:firstLineChars="200"/>
        <w:outlineLvl w:val="0"/>
        <w:rPr>
          <w:rFonts w:ascii="宋体" w:hAnsi="宋体"/>
          <w:sz w:val="24"/>
          <w:szCs w:val="24"/>
        </w:rPr>
      </w:pPr>
      <w:r>
        <w:rPr>
          <w:rFonts w:hint="eastAsia" w:ascii="宋体" w:hAnsi="宋体"/>
          <w:sz w:val="24"/>
          <w:szCs w:val="24"/>
        </w:rPr>
        <w:t>资产管理管理，标准应用产品共40个许可，标准软件模块包括：采购询价、采购管理、合同管理、库存管理、库存条码-PC版、存货核算、资产条码管理。</w:t>
      </w:r>
    </w:p>
    <w:p w14:paraId="714C4CB6">
      <w:pPr>
        <w:spacing w:line="360" w:lineRule="auto"/>
        <w:ind w:firstLine="448" w:firstLineChars="200"/>
        <w:outlineLvl w:val="0"/>
        <w:rPr>
          <w:rFonts w:ascii="宋体" w:hAnsi="宋体"/>
          <w:sz w:val="24"/>
          <w:szCs w:val="24"/>
        </w:rPr>
      </w:pPr>
      <w:r>
        <w:rPr>
          <w:rFonts w:hint="eastAsia" w:ascii="宋体" w:hAnsi="宋体"/>
          <w:sz w:val="24"/>
          <w:szCs w:val="24"/>
        </w:rPr>
        <w:t>（2）人力资源管理，标准应用产品共157个许可，标准软件模块包括：人事管理、人事合同管理、薪资管理、保险福利管理、考勤休假管理、培训管理、领导自助、员工自助。</w:t>
      </w:r>
    </w:p>
    <w:p w14:paraId="6F3B848A">
      <w:pPr>
        <w:spacing w:line="360" w:lineRule="auto"/>
        <w:ind w:firstLine="448" w:firstLineChars="200"/>
        <w:outlineLvl w:val="0"/>
        <w:rPr>
          <w:rFonts w:ascii="宋体" w:hAnsi="宋体"/>
          <w:sz w:val="24"/>
          <w:szCs w:val="24"/>
        </w:rPr>
      </w:pPr>
      <w:r>
        <w:rPr>
          <w:rFonts w:hint="eastAsia" w:ascii="宋体" w:hAnsi="宋体"/>
          <w:sz w:val="24"/>
          <w:szCs w:val="24"/>
        </w:rPr>
        <w:t>开发商：用友网络科技股份有限公司。</w:t>
      </w:r>
    </w:p>
    <w:p w14:paraId="1F49CB5F">
      <w:pPr>
        <w:spacing w:line="360" w:lineRule="auto"/>
        <w:ind w:firstLine="448" w:firstLineChars="200"/>
        <w:outlineLvl w:val="0"/>
        <w:rPr>
          <w:rFonts w:ascii="宋体" w:hAnsi="宋体"/>
          <w:sz w:val="24"/>
          <w:szCs w:val="24"/>
        </w:rPr>
      </w:pPr>
      <w:r>
        <w:rPr>
          <w:rFonts w:hint="eastAsia" w:ascii="宋体" w:hAnsi="宋体"/>
          <w:sz w:val="24"/>
          <w:szCs w:val="24"/>
        </w:rPr>
        <w:t>使用领域：天津市住房公积金管理中心。</w:t>
      </w:r>
    </w:p>
    <w:p w14:paraId="7626FBE1">
      <w:pPr>
        <w:spacing w:line="360" w:lineRule="auto"/>
        <w:ind w:firstLine="448" w:firstLineChars="200"/>
        <w:outlineLvl w:val="0"/>
        <w:rPr>
          <w:rFonts w:ascii="宋体" w:hAnsi="宋体"/>
          <w:sz w:val="24"/>
          <w:szCs w:val="24"/>
        </w:rPr>
      </w:pPr>
      <w:r>
        <w:rPr>
          <w:rFonts w:hint="eastAsia" w:ascii="宋体" w:hAnsi="宋体"/>
          <w:sz w:val="24"/>
          <w:szCs w:val="24"/>
        </w:rPr>
        <w:t>2.OA子系统</w:t>
      </w:r>
    </w:p>
    <w:p w14:paraId="1E33BB29">
      <w:pPr>
        <w:spacing w:line="360" w:lineRule="auto"/>
        <w:ind w:firstLine="448" w:firstLineChars="200"/>
        <w:outlineLvl w:val="0"/>
        <w:rPr>
          <w:rFonts w:ascii="宋体" w:hAnsi="宋体"/>
          <w:sz w:val="24"/>
          <w:szCs w:val="24"/>
        </w:rPr>
      </w:pPr>
      <w:r>
        <w:rPr>
          <w:rFonts w:hint="eastAsia" w:ascii="宋体" w:hAnsi="宋体"/>
          <w:sz w:val="24"/>
          <w:szCs w:val="24"/>
        </w:rPr>
        <w:t>OA子系统使用的是致远A8软件，A8软件版本为A8-N V9.0，OA子系统包含如下几部分：</w:t>
      </w:r>
    </w:p>
    <w:p w14:paraId="248076C1">
      <w:pPr>
        <w:spacing w:line="360" w:lineRule="auto"/>
        <w:ind w:firstLine="448" w:firstLineChars="200"/>
        <w:outlineLvl w:val="0"/>
        <w:rPr>
          <w:rFonts w:ascii="宋体" w:hAnsi="宋体"/>
          <w:sz w:val="24"/>
          <w:szCs w:val="24"/>
        </w:rPr>
      </w:pPr>
      <w:r>
        <w:rPr>
          <w:rFonts w:hint="eastAsia" w:ascii="宋体" w:hAnsi="宋体"/>
          <w:sz w:val="24"/>
          <w:szCs w:val="24"/>
        </w:rPr>
        <w:t>（1）协同管理平台：基础平台、工作流程平台、门户管理、组织管理、组织协同管理、报表中心、基础应用、文化建设。</w:t>
      </w:r>
    </w:p>
    <w:p w14:paraId="2C3665E6">
      <w:pPr>
        <w:spacing w:line="360" w:lineRule="auto"/>
        <w:ind w:firstLine="448" w:firstLineChars="200"/>
        <w:outlineLvl w:val="0"/>
        <w:rPr>
          <w:rFonts w:ascii="宋体" w:hAnsi="宋体"/>
          <w:sz w:val="24"/>
          <w:szCs w:val="24"/>
        </w:rPr>
      </w:pPr>
      <w:r>
        <w:rPr>
          <w:rFonts w:hint="eastAsia" w:ascii="宋体" w:hAnsi="宋体"/>
          <w:sz w:val="24"/>
          <w:szCs w:val="24"/>
        </w:rPr>
        <w:t>（2）协同办公应用：知识社区、综合办公、工作流高级应用、公文管理、公文督办管理。</w:t>
      </w:r>
    </w:p>
    <w:p w14:paraId="1CF923CE">
      <w:pPr>
        <w:spacing w:line="360" w:lineRule="auto"/>
        <w:ind w:firstLine="448" w:firstLineChars="200"/>
        <w:outlineLvl w:val="0"/>
        <w:rPr>
          <w:rFonts w:ascii="宋体" w:hAnsi="宋体"/>
          <w:sz w:val="24"/>
          <w:szCs w:val="24"/>
        </w:rPr>
      </w:pPr>
      <w:r>
        <w:rPr>
          <w:rFonts w:hint="eastAsia" w:ascii="宋体" w:hAnsi="宋体"/>
          <w:sz w:val="24"/>
          <w:szCs w:val="24"/>
        </w:rPr>
        <w:t>（3）协同业务应用：国标office、高级office套件、电子签章管理、CFCA数字证书、应用定制平台高级版。</w:t>
      </w:r>
    </w:p>
    <w:p w14:paraId="498FDE34">
      <w:pPr>
        <w:spacing w:line="360" w:lineRule="auto"/>
        <w:ind w:firstLine="448" w:firstLineChars="200"/>
        <w:outlineLvl w:val="0"/>
        <w:rPr>
          <w:rFonts w:ascii="宋体" w:hAnsi="宋体"/>
          <w:sz w:val="24"/>
          <w:szCs w:val="24"/>
        </w:rPr>
      </w:pPr>
      <w:r>
        <w:rPr>
          <w:rFonts w:hint="eastAsia" w:ascii="宋体" w:hAnsi="宋体"/>
          <w:sz w:val="24"/>
          <w:szCs w:val="24"/>
        </w:rPr>
        <w:t>（4）OA子系统共700个许可。</w:t>
      </w:r>
    </w:p>
    <w:p w14:paraId="1390CB92">
      <w:pPr>
        <w:spacing w:line="360" w:lineRule="auto"/>
        <w:ind w:firstLine="448" w:firstLineChars="200"/>
        <w:outlineLvl w:val="0"/>
        <w:rPr>
          <w:rFonts w:ascii="宋体" w:hAnsi="宋体"/>
          <w:sz w:val="24"/>
          <w:szCs w:val="24"/>
        </w:rPr>
      </w:pPr>
      <w:r>
        <w:rPr>
          <w:rFonts w:hint="eastAsia" w:ascii="宋体" w:hAnsi="宋体"/>
          <w:sz w:val="24"/>
          <w:szCs w:val="24"/>
        </w:rPr>
        <w:t>（5）OA子系统与数字化档案管理子系统进行了归档对接。</w:t>
      </w:r>
    </w:p>
    <w:p w14:paraId="3C6B30A3">
      <w:pPr>
        <w:spacing w:line="360" w:lineRule="auto"/>
        <w:ind w:firstLine="448" w:firstLineChars="200"/>
        <w:outlineLvl w:val="0"/>
        <w:rPr>
          <w:rFonts w:ascii="宋体" w:hAnsi="宋体"/>
          <w:sz w:val="24"/>
          <w:szCs w:val="24"/>
        </w:rPr>
      </w:pPr>
      <w:r>
        <w:rPr>
          <w:rFonts w:hint="eastAsia" w:ascii="宋体" w:hAnsi="宋体"/>
          <w:sz w:val="24"/>
          <w:szCs w:val="24"/>
        </w:rPr>
        <w:t>开发商：北京致远互联软件股份有限公司。</w:t>
      </w:r>
    </w:p>
    <w:p w14:paraId="42CB3742">
      <w:pPr>
        <w:spacing w:line="360" w:lineRule="auto"/>
        <w:ind w:firstLine="448" w:firstLineChars="200"/>
        <w:outlineLvl w:val="0"/>
        <w:rPr>
          <w:rFonts w:ascii="宋体" w:hAnsi="宋体"/>
          <w:sz w:val="24"/>
          <w:szCs w:val="24"/>
        </w:rPr>
      </w:pPr>
      <w:r>
        <w:rPr>
          <w:rFonts w:hint="eastAsia" w:ascii="宋体" w:hAnsi="宋体"/>
          <w:sz w:val="24"/>
          <w:szCs w:val="24"/>
        </w:rPr>
        <w:t>使用领域：天津市住房公积金管理中心。</w:t>
      </w:r>
    </w:p>
    <w:p w14:paraId="666ADBE3">
      <w:pPr>
        <w:spacing w:line="360" w:lineRule="auto"/>
        <w:outlineLvl w:val="0"/>
        <w:rPr>
          <w:rFonts w:ascii="宋体" w:hAnsi="宋体"/>
          <w:sz w:val="24"/>
          <w:szCs w:val="24"/>
        </w:rPr>
      </w:pPr>
      <w:r>
        <w:rPr>
          <w:rFonts w:hint="eastAsia" w:ascii="宋体" w:hAnsi="宋体"/>
          <w:sz w:val="24"/>
          <w:szCs w:val="24"/>
        </w:rPr>
        <w:t>二、运维人员要求</w:t>
      </w:r>
    </w:p>
    <w:tbl>
      <w:tblPr>
        <w:tblStyle w:val="23"/>
        <w:tblpPr w:leftFromText="180" w:rightFromText="180" w:vertAnchor="text" w:horzAnchor="page" w:tblpX="1407" w:tblpY="628"/>
        <w:tblOverlap w:val="never"/>
        <w:tblW w:w="545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1489"/>
        <w:gridCol w:w="411"/>
        <w:gridCol w:w="2486"/>
        <w:gridCol w:w="3389"/>
        <w:gridCol w:w="945"/>
      </w:tblGrid>
      <w:tr w14:paraId="28AEE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314" w:type="pct"/>
            <w:vAlign w:val="center"/>
          </w:tcPr>
          <w:p w14:paraId="67C4A612">
            <w:pPr>
              <w:adjustRightInd w:val="0"/>
              <w:snapToGrid w:val="0"/>
              <w:spacing w:line="360" w:lineRule="auto"/>
              <w:rPr>
                <w:rFonts w:ascii="宋体" w:hAnsi="宋体" w:cs="宋体"/>
                <w:szCs w:val="21"/>
              </w:rPr>
            </w:pPr>
            <w:r>
              <w:rPr>
                <w:rFonts w:hint="eastAsia" w:ascii="宋体" w:hAnsi="宋体" w:cs="宋体"/>
                <w:szCs w:val="21"/>
              </w:rPr>
              <w:t>序号</w:t>
            </w:r>
          </w:p>
        </w:tc>
        <w:tc>
          <w:tcPr>
            <w:tcW w:w="800" w:type="pct"/>
            <w:vAlign w:val="center"/>
          </w:tcPr>
          <w:p w14:paraId="434B9FF9">
            <w:pPr>
              <w:adjustRightInd w:val="0"/>
              <w:snapToGrid w:val="0"/>
              <w:spacing w:line="360" w:lineRule="auto"/>
              <w:rPr>
                <w:rFonts w:ascii="宋体" w:hAnsi="宋体" w:cs="宋体"/>
                <w:szCs w:val="21"/>
              </w:rPr>
            </w:pPr>
            <w:r>
              <w:rPr>
                <w:rFonts w:hint="eastAsia" w:ascii="宋体" w:hAnsi="宋体" w:cs="宋体"/>
                <w:szCs w:val="21"/>
              </w:rPr>
              <w:t>岗位名称</w:t>
            </w:r>
          </w:p>
        </w:tc>
        <w:tc>
          <w:tcPr>
            <w:tcW w:w="221" w:type="pct"/>
            <w:vAlign w:val="center"/>
          </w:tcPr>
          <w:p w14:paraId="66AB3DCE">
            <w:pPr>
              <w:adjustRightInd w:val="0"/>
              <w:snapToGrid w:val="0"/>
              <w:spacing w:line="360" w:lineRule="auto"/>
              <w:rPr>
                <w:rFonts w:ascii="宋体" w:hAnsi="宋体" w:cs="宋体"/>
                <w:szCs w:val="21"/>
              </w:rPr>
            </w:pPr>
            <w:r>
              <w:rPr>
                <w:rFonts w:hint="eastAsia" w:ascii="宋体" w:hAnsi="宋体" w:cs="宋体"/>
                <w:szCs w:val="21"/>
              </w:rPr>
              <w:t>人数</w:t>
            </w:r>
          </w:p>
        </w:tc>
        <w:tc>
          <w:tcPr>
            <w:tcW w:w="1335" w:type="pct"/>
            <w:vAlign w:val="center"/>
          </w:tcPr>
          <w:p w14:paraId="2A9D6AA7">
            <w:pPr>
              <w:adjustRightInd w:val="0"/>
              <w:snapToGrid w:val="0"/>
              <w:spacing w:line="360" w:lineRule="auto"/>
              <w:ind w:firstLine="388" w:firstLineChars="200"/>
              <w:rPr>
                <w:rFonts w:ascii="宋体" w:hAnsi="宋体" w:cs="宋体"/>
                <w:szCs w:val="21"/>
              </w:rPr>
            </w:pPr>
            <w:r>
              <w:rPr>
                <w:rFonts w:hint="eastAsia" w:ascii="宋体" w:hAnsi="宋体" w:cs="宋体"/>
                <w:szCs w:val="21"/>
              </w:rPr>
              <w:t>要求</w:t>
            </w:r>
          </w:p>
        </w:tc>
        <w:tc>
          <w:tcPr>
            <w:tcW w:w="1820" w:type="pct"/>
            <w:vAlign w:val="center"/>
          </w:tcPr>
          <w:p w14:paraId="0AB5A25F">
            <w:pPr>
              <w:adjustRightInd w:val="0"/>
              <w:snapToGrid w:val="0"/>
              <w:spacing w:line="360" w:lineRule="auto"/>
              <w:ind w:firstLine="388" w:firstLineChars="200"/>
              <w:rPr>
                <w:rFonts w:ascii="宋体" w:hAnsi="宋体" w:cs="宋体"/>
                <w:szCs w:val="21"/>
              </w:rPr>
            </w:pPr>
            <w:r>
              <w:rPr>
                <w:rFonts w:hint="eastAsia" w:ascii="宋体" w:hAnsi="宋体" w:cs="宋体"/>
                <w:szCs w:val="21"/>
              </w:rPr>
              <w:t>工作职责</w:t>
            </w:r>
          </w:p>
        </w:tc>
        <w:tc>
          <w:tcPr>
            <w:tcW w:w="508" w:type="pct"/>
          </w:tcPr>
          <w:p w14:paraId="5EAF0E8D">
            <w:pPr>
              <w:adjustRightInd w:val="0"/>
              <w:snapToGrid w:val="0"/>
              <w:spacing w:line="360" w:lineRule="auto"/>
              <w:rPr>
                <w:rFonts w:ascii="宋体" w:hAnsi="宋体" w:cs="宋体"/>
                <w:szCs w:val="21"/>
              </w:rPr>
            </w:pPr>
            <w:r>
              <w:rPr>
                <w:rFonts w:hint="eastAsia" w:ascii="宋体" w:hAnsi="宋体" w:cs="宋体"/>
                <w:szCs w:val="21"/>
              </w:rPr>
              <w:t>是否驻场服务</w:t>
            </w:r>
          </w:p>
        </w:tc>
      </w:tr>
      <w:tr w14:paraId="3AA0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9" w:hRule="atLeast"/>
        </w:trPr>
        <w:tc>
          <w:tcPr>
            <w:tcW w:w="314" w:type="pct"/>
            <w:vAlign w:val="center"/>
          </w:tcPr>
          <w:p w14:paraId="0373221F">
            <w:pPr>
              <w:adjustRightInd w:val="0"/>
              <w:snapToGrid w:val="0"/>
              <w:spacing w:line="360" w:lineRule="auto"/>
              <w:rPr>
                <w:rFonts w:ascii="宋体" w:hAnsi="宋体" w:cs="宋体"/>
                <w:szCs w:val="21"/>
              </w:rPr>
            </w:pPr>
            <w:r>
              <w:rPr>
                <w:rFonts w:hint="eastAsia" w:ascii="宋体" w:hAnsi="宋体" w:cs="宋体"/>
                <w:szCs w:val="21"/>
              </w:rPr>
              <w:t>1</w:t>
            </w:r>
          </w:p>
        </w:tc>
        <w:tc>
          <w:tcPr>
            <w:tcW w:w="800" w:type="pct"/>
            <w:vAlign w:val="center"/>
          </w:tcPr>
          <w:p w14:paraId="21046240">
            <w:pPr>
              <w:adjustRightInd w:val="0"/>
              <w:snapToGrid w:val="0"/>
              <w:spacing w:line="360" w:lineRule="auto"/>
              <w:rPr>
                <w:rFonts w:ascii="宋体" w:hAnsi="宋体" w:cs="宋体"/>
                <w:szCs w:val="21"/>
              </w:rPr>
            </w:pPr>
            <w:r>
              <w:rPr>
                <w:rFonts w:hint="eastAsia" w:ascii="宋体" w:hAnsi="宋体" w:cs="宋体"/>
                <w:szCs w:val="21"/>
              </w:rPr>
              <w:t>运维项目经理</w:t>
            </w:r>
          </w:p>
        </w:tc>
        <w:tc>
          <w:tcPr>
            <w:tcW w:w="221" w:type="pct"/>
            <w:vAlign w:val="center"/>
          </w:tcPr>
          <w:p w14:paraId="67AA76DE">
            <w:pPr>
              <w:adjustRightInd w:val="0"/>
              <w:snapToGrid w:val="0"/>
              <w:spacing w:line="360" w:lineRule="auto"/>
              <w:rPr>
                <w:rFonts w:ascii="宋体" w:hAnsi="宋体" w:cs="宋体"/>
                <w:szCs w:val="21"/>
              </w:rPr>
            </w:pPr>
            <w:r>
              <w:rPr>
                <w:rFonts w:hint="eastAsia" w:ascii="宋体" w:hAnsi="宋体" w:cs="宋体"/>
                <w:szCs w:val="21"/>
              </w:rPr>
              <w:t>1</w:t>
            </w:r>
          </w:p>
        </w:tc>
        <w:tc>
          <w:tcPr>
            <w:tcW w:w="1335" w:type="pct"/>
            <w:vAlign w:val="center"/>
          </w:tcPr>
          <w:p w14:paraId="0B27B19D">
            <w:pPr>
              <w:adjustRightInd w:val="0"/>
              <w:snapToGrid w:val="0"/>
              <w:spacing w:line="360" w:lineRule="auto"/>
              <w:ind w:firstLine="388" w:firstLineChars="200"/>
              <w:rPr>
                <w:rFonts w:ascii="宋体" w:hAnsi="宋体" w:cs="宋体"/>
                <w:szCs w:val="21"/>
              </w:rPr>
            </w:pPr>
            <w:r>
              <w:rPr>
                <w:rFonts w:hint="eastAsia" w:ascii="宋体" w:hAnsi="宋体" w:cs="宋体"/>
                <w:szCs w:val="21"/>
              </w:rPr>
              <w:t>大本（或以上）学历，5年（或以上）相关软件运行维护工作经验。</w:t>
            </w:r>
          </w:p>
        </w:tc>
        <w:tc>
          <w:tcPr>
            <w:tcW w:w="1820" w:type="pct"/>
            <w:vAlign w:val="center"/>
          </w:tcPr>
          <w:p w14:paraId="7A8D86A4">
            <w:pPr>
              <w:adjustRightInd w:val="0"/>
              <w:snapToGrid w:val="0"/>
              <w:spacing w:line="360" w:lineRule="auto"/>
              <w:ind w:firstLine="388" w:firstLineChars="200"/>
              <w:rPr>
                <w:rFonts w:ascii="宋体" w:hAnsi="宋体" w:cs="宋体"/>
                <w:szCs w:val="21"/>
              </w:rPr>
            </w:pPr>
            <w:r>
              <w:rPr>
                <w:rFonts w:hint="eastAsia" w:ascii="宋体" w:hAnsi="宋体" w:cs="宋体"/>
                <w:szCs w:val="21"/>
              </w:rPr>
              <w:t>负责该项目中系统的业务流程、系统架构、部署情况、系统接口和系统运行状况。对windows server、银河麒麟高级服务器操作系统以及SQL Server数据库系统、电科金仓KingbaseES数据库系统进行优化管理。</w:t>
            </w:r>
          </w:p>
        </w:tc>
        <w:tc>
          <w:tcPr>
            <w:tcW w:w="508" w:type="pct"/>
            <w:vAlign w:val="center"/>
          </w:tcPr>
          <w:p w14:paraId="42964916">
            <w:pPr>
              <w:adjustRightInd w:val="0"/>
              <w:snapToGrid w:val="0"/>
              <w:spacing w:line="360" w:lineRule="auto"/>
              <w:rPr>
                <w:rFonts w:ascii="宋体" w:hAnsi="宋体" w:cs="宋体"/>
                <w:szCs w:val="21"/>
              </w:rPr>
            </w:pPr>
            <w:r>
              <w:rPr>
                <w:rFonts w:hint="eastAsia" w:ascii="宋体" w:hAnsi="宋体" w:cs="宋体"/>
                <w:szCs w:val="21"/>
              </w:rPr>
              <w:t>不驻场</w:t>
            </w:r>
          </w:p>
        </w:tc>
      </w:tr>
      <w:tr w14:paraId="16B6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vAlign w:val="center"/>
          </w:tcPr>
          <w:p w14:paraId="3BA33917">
            <w:pPr>
              <w:adjustRightInd w:val="0"/>
              <w:snapToGrid w:val="0"/>
              <w:spacing w:line="360" w:lineRule="auto"/>
              <w:rPr>
                <w:rFonts w:ascii="宋体" w:hAnsi="宋体" w:cs="宋体"/>
                <w:szCs w:val="21"/>
              </w:rPr>
            </w:pPr>
            <w:r>
              <w:rPr>
                <w:rFonts w:hint="eastAsia" w:ascii="宋体" w:hAnsi="宋体" w:cs="宋体"/>
                <w:szCs w:val="21"/>
              </w:rPr>
              <w:t>2</w:t>
            </w:r>
          </w:p>
        </w:tc>
        <w:tc>
          <w:tcPr>
            <w:tcW w:w="800" w:type="pct"/>
            <w:vAlign w:val="center"/>
          </w:tcPr>
          <w:p w14:paraId="59CF94D9">
            <w:pPr>
              <w:adjustRightInd w:val="0"/>
              <w:snapToGrid w:val="0"/>
              <w:spacing w:line="360" w:lineRule="auto"/>
              <w:rPr>
                <w:rFonts w:ascii="宋体" w:hAnsi="宋体" w:cs="宋体"/>
                <w:szCs w:val="21"/>
              </w:rPr>
            </w:pPr>
            <w:r>
              <w:rPr>
                <w:rFonts w:hint="eastAsia" w:ascii="宋体" w:hAnsi="宋体" w:cs="宋体"/>
                <w:szCs w:val="21"/>
              </w:rPr>
              <w:t>安全工程师</w:t>
            </w:r>
          </w:p>
        </w:tc>
        <w:tc>
          <w:tcPr>
            <w:tcW w:w="221" w:type="pct"/>
            <w:vAlign w:val="center"/>
          </w:tcPr>
          <w:p w14:paraId="15A7E499">
            <w:pPr>
              <w:adjustRightInd w:val="0"/>
              <w:snapToGrid w:val="0"/>
              <w:spacing w:line="360" w:lineRule="auto"/>
              <w:rPr>
                <w:rFonts w:ascii="宋体" w:hAnsi="宋体" w:cs="宋体"/>
                <w:szCs w:val="21"/>
              </w:rPr>
            </w:pPr>
            <w:r>
              <w:rPr>
                <w:rFonts w:hint="eastAsia" w:ascii="宋体" w:hAnsi="宋体" w:cs="宋体"/>
                <w:szCs w:val="21"/>
              </w:rPr>
              <w:t>1</w:t>
            </w:r>
          </w:p>
        </w:tc>
        <w:tc>
          <w:tcPr>
            <w:tcW w:w="1335" w:type="pct"/>
            <w:vAlign w:val="center"/>
          </w:tcPr>
          <w:p w14:paraId="4BD63895">
            <w:pPr>
              <w:adjustRightInd w:val="0"/>
              <w:snapToGrid w:val="0"/>
              <w:spacing w:line="360" w:lineRule="auto"/>
              <w:ind w:firstLine="388" w:firstLineChars="200"/>
              <w:rPr>
                <w:rFonts w:ascii="宋体" w:hAnsi="宋体" w:cs="宋体"/>
                <w:szCs w:val="21"/>
              </w:rPr>
            </w:pPr>
            <w:r>
              <w:rPr>
                <w:rFonts w:hint="eastAsia" w:ascii="宋体" w:hAnsi="宋体" w:cs="宋体"/>
                <w:szCs w:val="21"/>
              </w:rPr>
              <w:t>大本（或以上）学历，5年（或以上）相关软件运行维护工作经验。</w:t>
            </w:r>
          </w:p>
        </w:tc>
        <w:tc>
          <w:tcPr>
            <w:tcW w:w="1820" w:type="pct"/>
            <w:vAlign w:val="center"/>
          </w:tcPr>
          <w:p w14:paraId="7FBEB5FB">
            <w:pPr>
              <w:adjustRightInd w:val="0"/>
              <w:snapToGrid w:val="0"/>
              <w:spacing w:line="360" w:lineRule="auto"/>
              <w:ind w:firstLine="388" w:firstLineChars="200"/>
              <w:rPr>
                <w:rFonts w:ascii="宋体" w:hAnsi="宋体" w:cs="宋体"/>
                <w:szCs w:val="21"/>
              </w:rPr>
            </w:pPr>
            <w:r>
              <w:rPr>
                <w:rFonts w:hint="eastAsia" w:ascii="宋体" w:hAnsi="宋体" w:cs="宋体"/>
                <w:szCs w:val="21"/>
              </w:rPr>
              <w:t>负责与OA、ERP、电科金仓KingbaseES数据库、银河麒麟高级服务器操作系统、东方通中间件等标准化软件安全负责人对接并完成安全运维工作。</w:t>
            </w:r>
          </w:p>
        </w:tc>
        <w:tc>
          <w:tcPr>
            <w:tcW w:w="508" w:type="pct"/>
            <w:vAlign w:val="center"/>
          </w:tcPr>
          <w:p w14:paraId="2652E5E6">
            <w:pPr>
              <w:adjustRightInd w:val="0"/>
              <w:snapToGrid w:val="0"/>
              <w:spacing w:line="360" w:lineRule="auto"/>
              <w:rPr>
                <w:rFonts w:ascii="宋体" w:hAnsi="宋体" w:cs="宋体"/>
                <w:szCs w:val="21"/>
              </w:rPr>
            </w:pPr>
            <w:r>
              <w:rPr>
                <w:rFonts w:hint="eastAsia" w:ascii="宋体" w:hAnsi="宋体" w:cs="宋体"/>
                <w:szCs w:val="21"/>
              </w:rPr>
              <w:t>不驻场</w:t>
            </w:r>
          </w:p>
        </w:tc>
      </w:tr>
      <w:tr w14:paraId="1B53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vAlign w:val="center"/>
          </w:tcPr>
          <w:p w14:paraId="71335E68">
            <w:pPr>
              <w:adjustRightInd w:val="0"/>
              <w:snapToGrid w:val="0"/>
              <w:spacing w:line="360" w:lineRule="auto"/>
              <w:rPr>
                <w:rFonts w:ascii="宋体" w:hAnsi="宋体" w:cs="宋体"/>
                <w:szCs w:val="21"/>
              </w:rPr>
            </w:pPr>
            <w:r>
              <w:rPr>
                <w:rFonts w:hint="eastAsia" w:ascii="宋体" w:hAnsi="宋体" w:cs="宋体"/>
                <w:szCs w:val="21"/>
              </w:rPr>
              <w:t>3</w:t>
            </w:r>
          </w:p>
        </w:tc>
        <w:tc>
          <w:tcPr>
            <w:tcW w:w="800" w:type="pct"/>
            <w:vAlign w:val="center"/>
          </w:tcPr>
          <w:p w14:paraId="38836738">
            <w:pPr>
              <w:adjustRightInd w:val="0"/>
              <w:snapToGrid w:val="0"/>
              <w:spacing w:line="360" w:lineRule="auto"/>
              <w:rPr>
                <w:rFonts w:ascii="宋体" w:hAnsi="宋体" w:cs="宋体"/>
                <w:szCs w:val="21"/>
              </w:rPr>
            </w:pPr>
            <w:r>
              <w:rPr>
                <w:rFonts w:hint="eastAsia" w:ascii="宋体" w:hAnsi="宋体" w:cs="宋体"/>
                <w:szCs w:val="21"/>
              </w:rPr>
              <w:t>运维工程师</w:t>
            </w:r>
          </w:p>
        </w:tc>
        <w:tc>
          <w:tcPr>
            <w:tcW w:w="221" w:type="pct"/>
            <w:vAlign w:val="center"/>
          </w:tcPr>
          <w:p w14:paraId="35356B1A">
            <w:pPr>
              <w:adjustRightInd w:val="0"/>
              <w:snapToGrid w:val="0"/>
              <w:spacing w:line="360" w:lineRule="auto"/>
              <w:rPr>
                <w:rFonts w:ascii="宋体" w:hAnsi="宋体" w:cs="宋体"/>
                <w:szCs w:val="21"/>
              </w:rPr>
            </w:pPr>
            <w:r>
              <w:rPr>
                <w:rFonts w:hint="eastAsia" w:ascii="宋体" w:hAnsi="宋体" w:cs="宋体"/>
                <w:szCs w:val="21"/>
              </w:rPr>
              <w:t>1</w:t>
            </w:r>
          </w:p>
        </w:tc>
        <w:tc>
          <w:tcPr>
            <w:tcW w:w="1335" w:type="pct"/>
            <w:vAlign w:val="center"/>
          </w:tcPr>
          <w:p w14:paraId="7C7F8D96">
            <w:pPr>
              <w:adjustRightInd w:val="0"/>
              <w:snapToGrid w:val="0"/>
              <w:spacing w:line="360" w:lineRule="auto"/>
              <w:ind w:firstLine="388" w:firstLineChars="200"/>
              <w:rPr>
                <w:rFonts w:ascii="宋体" w:hAnsi="宋体" w:cs="宋体"/>
                <w:szCs w:val="21"/>
              </w:rPr>
            </w:pPr>
            <w:r>
              <w:rPr>
                <w:rFonts w:hint="eastAsia" w:ascii="宋体" w:hAnsi="宋体" w:cs="宋体"/>
                <w:szCs w:val="21"/>
              </w:rPr>
              <w:t>大本（或以上）学历，3年（或以上）相关软件运行维护工作经验。熟悉该项目中系统的业务流程、系统架构、部署情况、系统接口和系统运行状况。</w:t>
            </w:r>
          </w:p>
        </w:tc>
        <w:tc>
          <w:tcPr>
            <w:tcW w:w="1820" w:type="pct"/>
            <w:vAlign w:val="center"/>
          </w:tcPr>
          <w:p w14:paraId="13D5A17E">
            <w:pPr>
              <w:adjustRightInd w:val="0"/>
              <w:snapToGrid w:val="0"/>
              <w:spacing w:line="360" w:lineRule="auto"/>
              <w:ind w:firstLine="388" w:firstLineChars="200"/>
              <w:rPr>
                <w:rFonts w:ascii="宋体" w:hAnsi="宋体" w:cs="宋体"/>
                <w:szCs w:val="21"/>
              </w:rPr>
            </w:pPr>
            <w:r>
              <w:rPr>
                <w:rFonts w:hint="eastAsia" w:ascii="宋体" w:hAnsi="宋体" w:cs="宋体"/>
                <w:szCs w:val="21"/>
              </w:rPr>
              <w:t>负责完成运维监控分析、问题排查、故障解决、系统优化改进、预防性维护等相关工作。对系统使用人员按计划培训、对数据备份及数据归档按计划进行服务，提供其它运维服务。</w:t>
            </w:r>
          </w:p>
        </w:tc>
        <w:tc>
          <w:tcPr>
            <w:tcW w:w="508" w:type="pct"/>
            <w:vAlign w:val="center"/>
          </w:tcPr>
          <w:p w14:paraId="582E355B">
            <w:pPr>
              <w:adjustRightInd w:val="0"/>
              <w:snapToGrid w:val="0"/>
              <w:spacing w:line="360" w:lineRule="auto"/>
              <w:rPr>
                <w:rFonts w:ascii="宋体" w:hAnsi="宋体" w:cs="宋体"/>
                <w:szCs w:val="21"/>
              </w:rPr>
            </w:pPr>
            <w:r>
              <w:rPr>
                <w:rFonts w:hint="eastAsia" w:ascii="宋体" w:hAnsi="宋体" w:cs="宋体"/>
                <w:szCs w:val="21"/>
              </w:rPr>
              <w:t>驻场；</w:t>
            </w:r>
          </w:p>
          <w:p w14:paraId="4981FF21">
            <w:pPr>
              <w:adjustRightInd w:val="0"/>
              <w:snapToGrid w:val="0"/>
              <w:spacing w:line="360" w:lineRule="auto"/>
              <w:rPr>
                <w:rFonts w:ascii="宋体" w:hAnsi="宋体" w:cs="宋体"/>
                <w:szCs w:val="21"/>
              </w:rPr>
            </w:pPr>
            <w:r>
              <w:rPr>
                <w:rFonts w:hint="eastAsia" w:ascii="宋体" w:hAnsi="宋体" w:cs="宋体"/>
                <w:szCs w:val="21"/>
              </w:rPr>
              <w:t>驻场时间：不少于52人天</w:t>
            </w:r>
          </w:p>
        </w:tc>
      </w:tr>
    </w:tbl>
    <w:p w14:paraId="0BD0B116">
      <w:pPr>
        <w:spacing w:line="360" w:lineRule="auto"/>
        <w:outlineLvl w:val="0"/>
        <w:rPr>
          <w:rFonts w:ascii="宋体" w:hAnsi="宋体"/>
          <w:sz w:val="24"/>
          <w:szCs w:val="24"/>
        </w:rPr>
      </w:pPr>
    </w:p>
    <w:p w14:paraId="4F3ADD3E">
      <w:pPr>
        <w:numPr>
          <w:ilvl w:val="0"/>
          <w:numId w:val="4"/>
        </w:numPr>
        <w:spacing w:line="360" w:lineRule="auto"/>
        <w:ind w:firstLine="448" w:firstLineChars="200"/>
        <w:rPr>
          <w:sz w:val="24"/>
          <w:szCs w:val="22"/>
        </w:rPr>
      </w:pPr>
      <w:r>
        <w:rPr>
          <w:rFonts w:hint="eastAsia"/>
          <w:sz w:val="24"/>
          <w:szCs w:val="22"/>
        </w:rPr>
        <w:t>运维服务要求</w:t>
      </w:r>
    </w:p>
    <w:p w14:paraId="71117128">
      <w:pPr>
        <w:spacing w:line="360" w:lineRule="auto"/>
        <w:ind w:firstLine="448" w:firstLineChars="200"/>
        <w:rPr>
          <w:sz w:val="24"/>
          <w:szCs w:val="22"/>
        </w:rPr>
      </w:pPr>
      <w:r>
        <w:rPr>
          <w:rFonts w:hint="eastAsia"/>
          <w:sz w:val="24"/>
          <w:szCs w:val="22"/>
        </w:rPr>
        <w:t>1.提供应用系统调研评估工作。即对应用系统的调查研究和分析评价，提出应用系统的运行报告或建议。调研评估包括应用系统组成要素的构成分解、关联关系分析和应用系统的维护性分析。</w:t>
      </w:r>
    </w:p>
    <w:p w14:paraId="533C47F7">
      <w:pPr>
        <w:spacing w:line="360" w:lineRule="auto"/>
        <w:ind w:firstLine="448" w:firstLineChars="200"/>
        <w:rPr>
          <w:sz w:val="24"/>
          <w:szCs w:val="22"/>
        </w:rPr>
      </w:pPr>
      <w:r>
        <w:rPr>
          <w:rFonts w:hint="eastAsia"/>
          <w:sz w:val="24"/>
          <w:szCs w:val="22"/>
        </w:rPr>
        <w:t>2.提供应用系统的部署情况说明。包括但不限于：版本情况，部署方式，配置方式，加密方式，用户权限分配情况，口令设置情况，日志产生、存储、使用、备份、恢复及核查方式，数据备份、恢复、核查的内容及方式，监控部署方式，密钥部署情况及更换周期等。</w:t>
      </w:r>
    </w:p>
    <w:p w14:paraId="00CA044B">
      <w:pPr>
        <w:spacing w:line="360" w:lineRule="auto"/>
        <w:ind w:firstLine="448" w:firstLineChars="200"/>
        <w:rPr>
          <w:sz w:val="24"/>
          <w:szCs w:val="22"/>
        </w:rPr>
      </w:pPr>
      <w:r>
        <w:rPr>
          <w:rFonts w:hint="eastAsia"/>
          <w:sz w:val="24"/>
          <w:szCs w:val="22"/>
        </w:rPr>
        <w:t>3.提供应用系统运维成员组成及运维工作分配情况。</w:t>
      </w:r>
    </w:p>
    <w:p w14:paraId="182E62EA">
      <w:pPr>
        <w:spacing w:line="360" w:lineRule="auto"/>
        <w:ind w:firstLine="448" w:firstLineChars="200"/>
        <w:rPr>
          <w:sz w:val="24"/>
          <w:szCs w:val="22"/>
        </w:rPr>
      </w:pPr>
      <w:r>
        <w:rPr>
          <w:rFonts w:hint="eastAsia"/>
          <w:sz w:val="24"/>
          <w:szCs w:val="22"/>
        </w:rPr>
        <w:t>4.提供应用系统运维方案。包括但不限于：</w:t>
      </w:r>
    </w:p>
    <w:p w14:paraId="2A6630C1">
      <w:pPr>
        <w:spacing w:line="360" w:lineRule="auto"/>
        <w:ind w:firstLine="448" w:firstLineChars="200"/>
        <w:rPr>
          <w:sz w:val="24"/>
          <w:szCs w:val="22"/>
        </w:rPr>
      </w:pPr>
      <w:r>
        <w:rPr>
          <w:rFonts w:hint="eastAsia"/>
          <w:sz w:val="24"/>
          <w:szCs w:val="22"/>
        </w:rPr>
        <w:t>（1）故障管理。按照问题处理机制完成故障处置工作。</w:t>
      </w:r>
    </w:p>
    <w:p w14:paraId="347D97FD">
      <w:pPr>
        <w:spacing w:line="360" w:lineRule="auto"/>
        <w:ind w:firstLine="448" w:firstLineChars="200"/>
        <w:rPr>
          <w:sz w:val="24"/>
          <w:szCs w:val="22"/>
        </w:rPr>
      </w:pPr>
      <w:r>
        <w:rPr>
          <w:rFonts w:hint="eastAsia"/>
          <w:sz w:val="24"/>
          <w:szCs w:val="22"/>
        </w:rPr>
        <w:t>（2）变更管理、发布管理。配合完成发布（优化改善）准备会及确认会工作，提供发布（优化改善）准备及确认文档。完成发布（优化改善）操作及核查工作。</w:t>
      </w:r>
    </w:p>
    <w:p w14:paraId="36D75FB7">
      <w:pPr>
        <w:spacing w:line="360" w:lineRule="auto"/>
        <w:ind w:firstLine="448" w:firstLineChars="200"/>
        <w:rPr>
          <w:sz w:val="24"/>
          <w:szCs w:val="22"/>
        </w:rPr>
      </w:pPr>
      <w:r>
        <w:rPr>
          <w:rFonts w:hint="eastAsia"/>
          <w:sz w:val="24"/>
          <w:szCs w:val="22"/>
        </w:rPr>
        <w:t>（3）容量管理。实时监控应用系统容量使用与变化情况并处置告警，并定期进行应用系统容量核查，预估容量变化情况，提供后续容量调整方案。</w:t>
      </w:r>
    </w:p>
    <w:p w14:paraId="1CC32D2E">
      <w:pPr>
        <w:spacing w:line="360" w:lineRule="auto"/>
        <w:ind w:firstLine="448" w:firstLineChars="200"/>
        <w:rPr>
          <w:sz w:val="24"/>
          <w:szCs w:val="22"/>
        </w:rPr>
      </w:pPr>
      <w:r>
        <w:rPr>
          <w:rFonts w:hint="eastAsia"/>
          <w:sz w:val="24"/>
          <w:szCs w:val="22"/>
        </w:rPr>
        <w:t>（4）日志管理。形成日志管理文档，并按照日志管理文档实施日志管理工作。</w:t>
      </w:r>
    </w:p>
    <w:p w14:paraId="53A512D9">
      <w:pPr>
        <w:spacing w:line="360" w:lineRule="auto"/>
        <w:ind w:firstLine="448" w:firstLineChars="200"/>
        <w:rPr>
          <w:sz w:val="24"/>
          <w:szCs w:val="22"/>
        </w:rPr>
      </w:pPr>
      <w:r>
        <w:rPr>
          <w:rFonts w:hint="eastAsia"/>
          <w:sz w:val="24"/>
          <w:szCs w:val="22"/>
        </w:rPr>
        <w:t>（5）监控管理。使用监控工具实时监控应用系统运行情况、容量情况等，提供有效告警信息并实时处理。能够对接中心软件运维监控系统，对软件运维监控系统的告警信息实时处理。提供与软件运维监控系统的联通部署实施文档</w:t>
      </w:r>
    </w:p>
    <w:p w14:paraId="485616B0">
      <w:pPr>
        <w:spacing w:line="360" w:lineRule="auto"/>
        <w:ind w:firstLine="448" w:firstLineChars="200"/>
        <w:rPr>
          <w:sz w:val="24"/>
          <w:szCs w:val="22"/>
        </w:rPr>
      </w:pPr>
      <w:r>
        <w:rPr>
          <w:rFonts w:hint="eastAsia"/>
          <w:sz w:val="24"/>
          <w:szCs w:val="22"/>
        </w:rPr>
        <w:t>（6）运维巡检。形成运维巡检模板，按照巡检要求定期完成运维巡检工作，并形成巡检记录，为中心提供优化改进建议。</w:t>
      </w:r>
    </w:p>
    <w:p w14:paraId="05B5B3B8">
      <w:pPr>
        <w:spacing w:line="360" w:lineRule="auto"/>
        <w:ind w:firstLine="448" w:firstLineChars="200"/>
        <w:rPr>
          <w:sz w:val="24"/>
          <w:szCs w:val="22"/>
        </w:rPr>
      </w:pPr>
      <w:r>
        <w:rPr>
          <w:rFonts w:hint="eastAsia"/>
          <w:sz w:val="24"/>
          <w:szCs w:val="22"/>
        </w:rPr>
        <w:t>（7）数据操作。完成数据查询、修改、备份、恢复、核查、分析、迁移、验证、脱敏等工作。</w:t>
      </w:r>
    </w:p>
    <w:p w14:paraId="33AD3DF7">
      <w:pPr>
        <w:spacing w:line="360" w:lineRule="auto"/>
        <w:ind w:firstLine="448" w:firstLineChars="200"/>
        <w:rPr>
          <w:sz w:val="24"/>
          <w:szCs w:val="22"/>
        </w:rPr>
      </w:pPr>
      <w:r>
        <w:rPr>
          <w:rFonts w:hint="eastAsia"/>
          <w:sz w:val="24"/>
          <w:szCs w:val="22"/>
        </w:rPr>
        <w:t>（8）口令管理。完成应用系统口令设置及定期变更工作。提供口令可视化修改工具。具备定期修改口令提示功能。具备批量设置、修改用户口令功能。具备与应用系统运行软环境口令设置联动功能。</w:t>
      </w:r>
    </w:p>
    <w:p w14:paraId="096A744B">
      <w:pPr>
        <w:spacing w:line="360" w:lineRule="auto"/>
        <w:ind w:firstLine="448" w:firstLineChars="200"/>
        <w:rPr>
          <w:sz w:val="24"/>
          <w:szCs w:val="22"/>
        </w:rPr>
      </w:pPr>
      <w:r>
        <w:rPr>
          <w:rFonts w:hint="eastAsia"/>
          <w:sz w:val="24"/>
          <w:szCs w:val="22"/>
        </w:rPr>
        <w:t>（9）访问权限管理。完成应用系统用户配置、权限配置等工作。</w:t>
      </w:r>
    </w:p>
    <w:p w14:paraId="37631F9D">
      <w:pPr>
        <w:spacing w:line="360" w:lineRule="auto"/>
        <w:ind w:firstLine="448" w:firstLineChars="200"/>
        <w:rPr>
          <w:sz w:val="24"/>
          <w:szCs w:val="22"/>
        </w:rPr>
      </w:pPr>
      <w:r>
        <w:rPr>
          <w:rFonts w:hint="eastAsia"/>
          <w:sz w:val="24"/>
          <w:szCs w:val="22"/>
        </w:rPr>
        <w:t>（10）补丁管理。完成应用系统的补丁管理及测试等工作。</w:t>
      </w:r>
    </w:p>
    <w:p w14:paraId="776960DB">
      <w:pPr>
        <w:spacing w:line="360" w:lineRule="auto"/>
        <w:ind w:firstLine="448" w:firstLineChars="200"/>
        <w:rPr>
          <w:sz w:val="24"/>
          <w:szCs w:val="22"/>
        </w:rPr>
      </w:pPr>
      <w:r>
        <w:rPr>
          <w:rFonts w:hint="eastAsia"/>
          <w:sz w:val="24"/>
          <w:szCs w:val="22"/>
        </w:rPr>
        <w:t>（11）密钥管理。完成应用系统密钥的备份、装载、更换、验证等工作，并登记密钥管理台账，做好记录工作。</w:t>
      </w:r>
    </w:p>
    <w:p w14:paraId="7221DA99">
      <w:pPr>
        <w:spacing w:line="360" w:lineRule="auto"/>
        <w:ind w:firstLine="448" w:firstLineChars="200"/>
        <w:rPr>
          <w:sz w:val="24"/>
          <w:szCs w:val="22"/>
        </w:rPr>
      </w:pPr>
      <w:r>
        <w:rPr>
          <w:rFonts w:hint="eastAsia"/>
          <w:sz w:val="24"/>
          <w:szCs w:val="22"/>
        </w:rPr>
        <w:t>5.提供应用系统运维操作的指导培训、技术咨询等工作。</w:t>
      </w:r>
    </w:p>
    <w:p w14:paraId="4B951D85">
      <w:pPr>
        <w:spacing w:line="360" w:lineRule="auto"/>
        <w:ind w:firstLine="448" w:firstLineChars="200"/>
        <w:rPr>
          <w:sz w:val="24"/>
          <w:szCs w:val="22"/>
        </w:rPr>
      </w:pPr>
      <w:r>
        <w:rPr>
          <w:rFonts w:hint="eastAsia"/>
          <w:sz w:val="24"/>
          <w:szCs w:val="22"/>
        </w:rPr>
        <w:t>6.按照中心信息化运行维护管理规定及提供的运维方案要求，提供应用系统的运维工作。</w:t>
      </w:r>
    </w:p>
    <w:p w14:paraId="442A62A1">
      <w:pPr>
        <w:spacing w:line="360" w:lineRule="auto"/>
        <w:ind w:firstLine="448" w:firstLineChars="200"/>
        <w:rPr>
          <w:sz w:val="24"/>
          <w:szCs w:val="22"/>
        </w:rPr>
      </w:pPr>
      <w:r>
        <w:rPr>
          <w:rFonts w:hint="eastAsia"/>
          <w:sz w:val="24"/>
          <w:szCs w:val="22"/>
        </w:rPr>
        <w:t>7.其他运维工作：</w:t>
      </w:r>
    </w:p>
    <w:p w14:paraId="74CE0F72">
      <w:pPr>
        <w:spacing w:line="360" w:lineRule="auto"/>
        <w:ind w:firstLine="448" w:firstLineChars="200"/>
        <w:rPr>
          <w:sz w:val="24"/>
          <w:szCs w:val="22"/>
        </w:rPr>
      </w:pPr>
      <w:r>
        <w:rPr>
          <w:rFonts w:hint="eastAsia"/>
          <w:sz w:val="24"/>
          <w:szCs w:val="22"/>
        </w:rPr>
        <w:t>（1）业务数据核对、排查和调整。系统业务数据需要核对、排查或系统局部业务流程、参数、人员、权限等设置需要调整，由服务商技术人员根据中心需求提供技术支持。</w:t>
      </w:r>
    </w:p>
    <w:p w14:paraId="55E5A04C">
      <w:pPr>
        <w:spacing w:line="360" w:lineRule="auto"/>
        <w:ind w:firstLine="448" w:firstLineChars="200"/>
        <w:rPr>
          <w:sz w:val="24"/>
          <w:szCs w:val="22"/>
        </w:rPr>
      </w:pPr>
      <w:r>
        <w:rPr>
          <w:rFonts w:hint="eastAsia"/>
          <w:sz w:val="24"/>
          <w:szCs w:val="22"/>
        </w:rPr>
        <w:t>（2）定期现场服务。包括月结、年结、月工资及年终奖金发放等对服务要求及时到位的时间段提供现场服务。</w:t>
      </w:r>
    </w:p>
    <w:p w14:paraId="019D6B6D">
      <w:pPr>
        <w:spacing w:line="360" w:lineRule="auto"/>
        <w:ind w:firstLine="448" w:firstLineChars="200"/>
        <w:rPr>
          <w:sz w:val="24"/>
          <w:szCs w:val="22"/>
        </w:rPr>
      </w:pPr>
      <w:r>
        <w:rPr>
          <w:rFonts w:hint="eastAsia"/>
          <w:sz w:val="24"/>
          <w:szCs w:val="22"/>
        </w:rPr>
        <w:t>8.安全管理工作运维需求。</w:t>
      </w:r>
    </w:p>
    <w:p w14:paraId="7B15CF07">
      <w:pPr>
        <w:spacing w:line="360" w:lineRule="auto"/>
        <w:ind w:firstLine="448" w:firstLineChars="200"/>
        <w:rPr>
          <w:sz w:val="24"/>
          <w:szCs w:val="22"/>
        </w:rPr>
      </w:pPr>
      <w:r>
        <w:rPr>
          <w:rFonts w:hint="eastAsia"/>
          <w:sz w:val="24"/>
          <w:szCs w:val="22"/>
        </w:rPr>
        <w:t>（1）提供应用系统的漏洞定期修复工作，并常态化查找系统中是否存在漏洞，依据中心安全相关规定执行。</w:t>
      </w:r>
    </w:p>
    <w:p w14:paraId="6F59AB97">
      <w:pPr>
        <w:spacing w:line="360" w:lineRule="auto"/>
        <w:ind w:firstLine="448" w:firstLineChars="200"/>
        <w:rPr>
          <w:sz w:val="24"/>
          <w:szCs w:val="22"/>
        </w:rPr>
      </w:pPr>
      <w:r>
        <w:rPr>
          <w:rFonts w:hint="eastAsia"/>
          <w:sz w:val="24"/>
          <w:szCs w:val="22"/>
        </w:rPr>
        <w:t>（2）提供应用系统按照等保要求进行安全整改的服务工作。</w:t>
      </w:r>
    </w:p>
    <w:p w14:paraId="279F8892">
      <w:pPr>
        <w:spacing w:line="360" w:lineRule="auto"/>
        <w:ind w:firstLine="448" w:firstLineChars="200"/>
        <w:rPr>
          <w:sz w:val="24"/>
          <w:szCs w:val="22"/>
        </w:rPr>
      </w:pPr>
      <w:r>
        <w:rPr>
          <w:rFonts w:hint="eastAsia"/>
          <w:sz w:val="24"/>
          <w:szCs w:val="22"/>
        </w:rPr>
        <w:t>（3）提供应用系统的应急演练文档，配合完成应急演练等工作。</w:t>
      </w:r>
    </w:p>
    <w:p w14:paraId="764972CE">
      <w:pPr>
        <w:spacing w:line="360" w:lineRule="auto"/>
        <w:ind w:firstLine="448" w:firstLineChars="200"/>
        <w:rPr>
          <w:sz w:val="24"/>
          <w:szCs w:val="22"/>
        </w:rPr>
      </w:pPr>
      <w:r>
        <w:rPr>
          <w:rFonts w:hint="eastAsia"/>
          <w:sz w:val="24"/>
          <w:szCs w:val="22"/>
        </w:rPr>
        <w:t>（4）提供应用系统应急预案文档。</w:t>
      </w:r>
    </w:p>
    <w:p w14:paraId="492A14E9">
      <w:pPr>
        <w:spacing w:line="360" w:lineRule="auto"/>
        <w:ind w:firstLine="448" w:firstLineChars="200"/>
        <w:rPr>
          <w:sz w:val="24"/>
          <w:szCs w:val="22"/>
        </w:rPr>
      </w:pPr>
      <w:r>
        <w:rPr>
          <w:rFonts w:hint="eastAsia"/>
          <w:sz w:val="24"/>
          <w:szCs w:val="22"/>
        </w:rPr>
        <w:t>（5）提供应用系统在信息安全方面的保障服务工作。</w:t>
      </w:r>
    </w:p>
    <w:p w14:paraId="31B36FC9">
      <w:pPr>
        <w:spacing w:line="360" w:lineRule="auto"/>
        <w:ind w:firstLine="448" w:firstLineChars="200"/>
        <w:rPr>
          <w:sz w:val="24"/>
          <w:szCs w:val="22"/>
        </w:rPr>
      </w:pPr>
      <w:r>
        <w:rPr>
          <w:rFonts w:hint="eastAsia"/>
          <w:sz w:val="24"/>
          <w:szCs w:val="22"/>
        </w:rPr>
        <w:t>（6）提供中心要求重要时期的应用系统保障服务（不少于30人天）。</w:t>
      </w:r>
    </w:p>
    <w:p w14:paraId="1D4BC0C9">
      <w:pPr>
        <w:spacing w:line="360" w:lineRule="auto"/>
        <w:ind w:firstLine="448" w:firstLineChars="200"/>
        <w:rPr>
          <w:sz w:val="24"/>
          <w:szCs w:val="22"/>
        </w:rPr>
      </w:pPr>
      <w:r>
        <w:rPr>
          <w:rFonts w:hint="eastAsia"/>
          <w:sz w:val="24"/>
          <w:szCs w:val="22"/>
        </w:rPr>
        <w:t>9.配合中心完成其他要求的工作。</w:t>
      </w:r>
    </w:p>
    <w:p w14:paraId="7EF46CD2">
      <w:pPr>
        <w:numPr>
          <w:ilvl w:val="0"/>
          <w:numId w:val="4"/>
        </w:numPr>
        <w:spacing w:line="360" w:lineRule="auto"/>
        <w:ind w:firstLine="448" w:firstLineChars="200"/>
        <w:rPr>
          <w:sz w:val="24"/>
          <w:szCs w:val="22"/>
        </w:rPr>
      </w:pPr>
      <w:r>
        <w:rPr>
          <w:rFonts w:hint="eastAsia"/>
          <w:sz w:val="24"/>
          <w:szCs w:val="22"/>
        </w:rPr>
        <w:t>服务管理要求</w:t>
      </w:r>
    </w:p>
    <w:p w14:paraId="3ACBBE3D">
      <w:pPr>
        <w:spacing w:line="360" w:lineRule="auto"/>
        <w:ind w:firstLine="448" w:firstLineChars="200"/>
        <w:rPr>
          <w:sz w:val="24"/>
          <w:szCs w:val="22"/>
        </w:rPr>
      </w:pPr>
      <w:r>
        <w:rPr>
          <w:rFonts w:hint="eastAsia"/>
          <w:sz w:val="24"/>
          <w:szCs w:val="22"/>
        </w:rPr>
        <w:t>1.运行平台要求</w:t>
      </w:r>
    </w:p>
    <w:p w14:paraId="0C020B88">
      <w:pPr>
        <w:spacing w:line="360" w:lineRule="auto"/>
        <w:ind w:firstLine="448" w:firstLineChars="200"/>
        <w:rPr>
          <w:sz w:val="24"/>
          <w:szCs w:val="22"/>
        </w:rPr>
      </w:pPr>
      <w:r>
        <w:rPr>
          <w:rFonts w:hint="eastAsia"/>
          <w:sz w:val="24"/>
          <w:szCs w:val="22"/>
        </w:rPr>
        <w:t>（1）主要操作系统平台有：windows server 2016、银河麒麟高级服务器操作系统v10。</w:t>
      </w:r>
    </w:p>
    <w:p w14:paraId="0E5A83D5">
      <w:pPr>
        <w:spacing w:line="360" w:lineRule="auto"/>
        <w:ind w:firstLine="448" w:firstLineChars="200"/>
        <w:rPr>
          <w:sz w:val="24"/>
          <w:szCs w:val="22"/>
        </w:rPr>
      </w:pPr>
      <w:r>
        <w:rPr>
          <w:rFonts w:hint="eastAsia"/>
          <w:sz w:val="24"/>
          <w:szCs w:val="22"/>
        </w:rPr>
        <w:t>（2）主要数据库系统平台有： sql server 2016、电科金仓KingbaseESV8.0。</w:t>
      </w:r>
    </w:p>
    <w:p w14:paraId="0BD3899E">
      <w:pPr>
        <w:spacing w:line="360" w:lineRule="auto"/>
        <w:ind w:firstLine="448" w:firstLineChars="200"/>
        <w:rPr>
          <w:sz w:val="24"/>
          <w:szCs w:val="22"/>
        </w:rPr>
      </w:pPr>
      <w:r>
        <w:rPr>
          <w:rFonts w:hint="eastAsia"/>
          <w:sz w:val="24"/>
          <w:szCs w:val="22"/>
        </w:rPr>
        <w:t>（3）主要环境及语言有： Java、C++、html、东方通中间件等。</w:t>
      </w:r>
    </w:p>
    <w:p w14:paraId="15BC3996">
      <w:pPr>
        <w:spacing w:line="360" w:lineRule="auto"/>
        <w:ind w:firstLine="448" w:firstLineChars="200"/>
        <w:rPr>
          <w:sz w:val="24"/>
          <w:szCs w:val="22"/>
        </w:rPr>
      </w:pPr>
      <w:r>
        <w:rPr>
          <w:rFonts w:hint="eastAsia"/>
          <w:sz w:val="24"/>
          <w:szCs w:val="22"/>
        </w:rPr>
        <w:t>（4）主要开发工具：Java、 .NET 等。</w:t>
      </w:r>
    </w:p>
    <w:p w14:paraId="27FCC486">
      <w:pPr>
        <w:spacing w:line="360" w:lineRule="auto"/>
        <w:ind w:firstLine="448" w:firstLineChars="200"/>
        <w:rPr>
          <w:sz w:val="24"/>
          <w:szCs w:val="22"/>
        </w:rPr>
      </w:pPr>
      <w:r>
        <w:rPr>
          <w:rFonts w:hint="eastAsia"/>
          <w:sz w:val="24"/>
          <w:szCs w:val="22"/>
        </w:rPr>
        <w:t>2.团队人员要求</w:t>
      </w:r>
    </w:p>
    <w:p w14:paraId="1D2E445A">
      <w:pPr>
        <w:spacing w:line="360" w:lineRule="auto"/>
        <w:ind w:firstLine="448" w:firstLineChars="200"/>
        <w:rPr>
          <w:sz w:val="24"/>
          <w:szCs w:val="22"/>
        </w:rPr>
      </w:pPr>
      <w:r>
        <w:rPr>
          <w:rFonts w:hint="eastAsia"/>
          <w:sz w:val="24"/>
          <w:szCs w:val="22"/>
        </w:rPr>
        <w:t>提供不少于3人的运维团队，运维团队由运维项目经理、运维工程师和安全工程师组成。</w:t>
      </w:r>
    </w:p>
    <w:p w14:paraId="19116933">
      <w:pPr>
        <w:spacing w:line="360" w:lineRule="auto"/>
        <w:ind w:firstLine="448" w:firstLineChars="200"/>
        <w:rPr>
          <w:sz w:val="24"/>
          <w:szCs w:val="22"/>
        </w:rPr>
      </w:pPr>
      <w:r>
        <w:rPr>
          <w:rFonts w:hint="eastAsia"/>
          <w:sz w:val="24"/>
          <w:szCs w:val="22"/>
        </w:rPr>
        <w:t>（1）投入人员能力要求</w:t>
      </w:r>
    </w:p>
    <w:p w14:paraId="12AA91AD">
      <w:pPr>
        <w:spacing w:line="360" w:lineRule="auto"/>
        <w:ind w:firstLine="448" w:firstLineChars="200"/>
        <w:rPr>
          <w:sz w:val="24"/>
          <w:szCs w:val="22"/>
        </w:rPr>
      </w:pPr>
      <w:r>
        <w:rPr>
          <w:rFonts w:hint="eastAsia"/>
          <w:sz w:val="24"/>
          <w:szCs w:val="22"/>
        </w:rPr>
        <w:t>运维团队成员具备独立完成运维监控分析、问题排查、故障解决的技术能力。</w:t>
      </w:r>
    </w:p>
    <w:p w14:paraId="1BDFD3C6">
      <w:pPr>
        <w:spacing w:line="360" w:lineRule="auto"/>
        <w:ind w:firstLine="448" w:firstLineChars="200"/>
        <w:rPr>
          <w:sz w:val="24"/>
          <w:szCs w:val="22"/>
        </w:rPr>
      </w:pPr>
      <w:r>
        <w:rPr>
          <w:rFonts w:hint="eastAsia"/>
          <w:sz w:val="24"/>
          <w:szCs w:val="22"/>
        </w:rPr>
        <w:t>运维项目经理应熟悉该项目中系统的业务流程、系统架构、部署情况、系统接口和系统运行状况。对windows server、银河麒麟高级服务器操作系统以及SQL Server数据库系统、电科金仓KingbaseES数据库系统进行优化管理。</w:t>
      </w:r>
    </w:p>
    <w:p w14:paraId="5F75D1FD">
      <w:pPr>
        <w:spacing w:line="360" w:lineRule="auto"/>
        <w:ind w:firstLine="448" w:firstLineChars="200"/>
        <w:rPr>
          <w:sz w:val="24"/>
          <w:szCs w:val="22"/>
        </w:rPr>
      </w:pPr>
      <w:r>
        <w:rPr>
          <w:rFonts w:hint="eastAsia"/>
          <w:sz w:val="24"/>
          <w:szCs w:val="22"/>
        </w:rPr>
        <w:t>运维工程师熟悉该项目中系统的业务流程、系统架构、部署情况、系统接口和系统运行状况。</w:t>
      </w:r>
    </w:p>
    <w:p w14:paraId="210A3109">
      <w:pPr>
        <w:spacing w:line="360" w:lineRule="auto"/>
        <w:ind w:firstLine="448" w:firstLineChars="200"/>
        <w:rPr>
          <w:sz w:val="24"/>
          <w:szCs w:val="22"/>
        </w:rPr>
      </w:pPr>
      <w:r>
        <w:rPr>
          <w:rFonts w:hint="eastAsia"/>
          <w:sz w:val="24"/>
          <w:szCs w:val="22"/>
        </w:rPr>
        <w:t>安全工程师应具备信息安全管理、安全运维工作的技术能力。</w:t>
      </w:r>
    </w:p>
    <w:p w14:paraId="0322EA83">
      <w:pPr>
        <w:spacing w:line="360" w:lineRule="auto"/>
        <w:ind w:firstLine="448" w:firstLineChars="200"/>
        <w:rPr>
          <w:sz w:val="24"/>
          <w:szCs w:val="22"/>
        </w:rPr>
      </w:pPr>
      <w:r>
        <w:rPr>
          <w:rFonts w:hint="eastAsia"/>
          <w:sz w:val="24"/>
          <w:szCs w:val="22"/>
        </w:rPr>
        <w:t>（2）投入人员管理要求</w:t>
      </w:r>
    </w:p>
    <w:p w14:paraId="138020FB">
      <w:pPr>
        <w:spacing w:line="360" w:lineRule="auto"/>
        <w:ind w:firstLine="448" w:firstLineChars="200"/>
        <w:rPr>
          <w:sz w:val="24"/>
          <w:szCs w:val="22"/>
        </w:rPr>
      </w:pPr>
      <w:r>
        <w:rPr>
          <w:rFonts w:hint="eastAsia"/>
          <w:sz w:val="24"/>
          <w:szCs w:val="22"/>
        </w:rPr>
        <w:t>中心对运维团队成员进行技术及管理能力结构化面试，有权要求运维服务供应商按照中心发展要求更换运维团队成员。面试内容包括但不限于投入人员能力要求中的编程语言、数据结构、算法分析、数据库知识、框架及工具运用、性能调优、故障定位、日志分析、安全管理等技术能力，以及沟通与团队协作能力、技术学习与创新能力等管理能力。</w:t>
      </w:r>
    </w:p>
    <w:p w14:paraId="0084B001">
      <w:pPr>
        <w:spacing w:line="360" w:lineRule="auto"/>
        <w:ind w:firstLine="448" w:firstLineChars="200"/>
        <w:rPr>
          <w:sz w:val="24"/>
          <w:szCs w:val="22"/>
        </w:rPr>
      </w:pPr>
      <w:r>
        <w:rPr>
          <w:rFonts w:hint="eastAsia"/>
          <w:sz w:val="24"/>
          <w:szCs w:val="22"/>
        </w:rPr>
        <w:t>由于运维服务供应商原因需变更团队成员的，须提前30日书面通知中心，中心同意后可进行人员变更。</w:t>
      </w:r>
    </w:p>
    <w:p w14:paraId="2F108FBE">
      <w:pPr>
        <w:spacing w:line="360" w:lineRule="auto"/>
        <w:ind w:firstLine="448" w:firstLineChars="200"/>
        <w:rPr>
          <w:sz w:val="24"/>
          <w:szCs w:val="22"/>
        </w:rPr>
      </w:pPr>
      <w:r>
        <w:rPr>
          <w:rFonts w:hint="eastAsia"/>
          <w:sz w:val="24"/>
          <w:szCs w:val="22"/>
        </w:rPr>
        <w:t>3.驻场要求</w:t>
      </w:r>
    </w:p>
    <w:p w14:paraId="641D86C2">
      <w:pPr>
        <w:spacing w:line="360" w:lineRule="auto"/>
        <w:ind w:firstLine="448" w:firstLineChars="200"/>
        <w:rPr>
          <w:sz w:val="24"/>
          <w:szCs w:val="22"/>
        </w:rPr>
      </w:pPr>
      <w:r>
        <w:rPr>
          <w:rFonts w:hint="eastAsia"/>
          <w:sz w:val="24"/>
          <w:szCs w:val="22"/>
        </w:rPr>
        <w:t>要求运维团队提供驻场运维服务，驻场人员不少于1人。驻场时间不少于52人天。节假日及重要时期按照中心要求安排驻场人员值班，同工作日驻场时间。</w:t>
      </w:r>
    </w:p>
    <w:p w14:paraId="4F780D79">
      <w:pPr>
        <w:spacing w:line="360" w:lineRule="auto"/>
        <w:ind w:firstLine="448" w:firstLineChars="200"/>
        <w:rPr>
          <w:sz w:val="24"/>
          <w:szCs w:val="22"/>
        </w:rPr>
      </w:pPr>
      <w:r>
        <w:rPr>
          <w:rFonts w:hint="eastAsia"/>
          <w:sz w:val="24"/>
          <w:szCs w:val="22"/>
        </w:rPr>
        <w:t>★驻场运维期间，须至少自行配备软件运维专用电脑1台，按招标人的要求进行配置和使用。</w:t>
      </w:r>
    </w:p>
    <w:p w14:paraId="03341F92">
      <w:pPr>
        <w:spacing w:line="360" w:lineRule="auto"/>
        <w:ind w:firstLine="448" w:firstLineChars="200"/>
        <w:rPr>
          <w:sz w:val="24"/>
          <w:szCs w:val="22"/>
        </w:rPr>
      </w:pPr>
      <w:r>
        <w:rPr>
          <w:rFonts w:hint="eastAsia"/>
          <w:sz w:val="24"/>
          <w:szCs w:val="22"/>
        </w:rPr>
        <w:t>4.运维响应要求</w:t>
      </w:r>
    </w:p>
    <w:p w14:paraId="078BD77A">
      <w:pPr>
        <w:spacing w:line="360" w:lineRule="auto"/>
        <w:ind w:firstLine="448" w:firstLineChars="200"/>
        <w:rPr>
          <w:sz w:val="24"/>
          <w:szCs w:val="22"/>
        </w:rPr>
      </w:pPr>
      <w:r>
        <w:rPr>
          <w:rFonts w:hint="eastAsia"/>
          <w:sz w:val="24"/>
          <w:szCs w:val="22"/>
        </w:rPr>
        <w:t>驻场时间内，运维服务10分钟内响应，故障情况按照故障响应要求及问题处理机制执行。非驻场时间，提供专人7*24小时电话支持服务，运维服务10分钟内响应，1小时内到达中心现场，故障情况按照故障响应要求及问题处理机制执行。</w:t>
      </w:r>
    </w:p>
    <w:p w14:paraId="1E53FE14">
      <w:pPr>
        <w:spacing w:line="360" w:lineRule="auto"/>
        <w:ind w:firstLine="448" w:firstLineChars="200"/>
        <w:rPr>
          <w:sz w:val="24"/>
          <w:szCs w:val="22"/>
        </w:rPr>
      </w:pPr>
      <w:r>
        <w:rPr>
          <w:rFonts w:hint="eastAsia"/>
          <w:sz w:val="24"/>
          <w:szCs w:val="22"/>
        </w:rPr>
        <w:t>5.故障处置要求</w:t>
      </w:r>
    </w:p>
    <w:p w14:paraId="27F1DA5C">
      <w:pPr>
        <w:spacing w:line="360" w:lineRule="auto"/>
        <w:ind w:firstLine="448" w:firstLineChars="200"/>
        <w:rPr>
          <w:sz w:val="24"/>
          <w:szCs w:val="22"/>
        </w:rPr>
      </w:pPr>
      <w:r>
        <w:rPr>
          <w:rFonts w:hint="eastAsia"/>
          <w:sz w:val="24"/>
          <w:szCs w:val="22"/>
        </w:rPr>
        <w:t>驻场时间内，一般问题1小时内解决，严重问题2小时内解决。非驻场时间，一般问题2小时内解决，严重问题3小时内解决。特殊情况与中心商议后按计划执行。</w:t>
      </w:r>
    </w:p>
    <w:p w14:paraId="02C7F3F2">
      <w:pPr>
        <w:spacing w:line="360" w:lineRule="auto"/>
        <w:ind w:firstLine="448" w:firstLineChars="200"/>
        <w:rPr>
          <w:sz w:val="24"/>
          <w:szCs w:val="22"/>
        </w:rPr>
      </w:pPr>
      <w:r>
        <w:rPr>
          <w:rFonts w:hint="eastAsia"/>
          <w:sz w:val="24"/>
          <w:szCs w:val="22"/>
        </w:rPr>
        <w:t>（五）违约相关要求</w:t>
      </w:r>
    </w:p>
    <w:p w14:paraId="58240C1E">
      <w:pPr>
        <w:spacing w:line="360" w:lineRule="auto"/>
        <w:ind w:firstLine="448" w:firstLineChars="200"/>
        <w:rPr>
          <w:rFonts w:ascii="宋体" w:hAnsi="宋体" w:cs="宋体"/>
          <w:sz w:val="24"/>
        </w:rPr>
      </w:pPr>
      <w:r>
        <w:rPr>
          <w:rFonts w:hint="eastAsia" w:ascii="宋体" w:hAnsi="宋体" w:cs="宋体"/>
          <w:sz w:val="24"/>
          <w:szCs w:val="24"/>
        </w:rPr>
        <w:t>1.中心对运维团队成员进行面试，面试不合格的，中心有权要求运维服务供应商更换运维团队成员，不合格运维人员不予入场。</w:t>
      </w:r>
    </w:p>
    <w:p w14:paraId="13791552">
      <w:pPr>
        <w:spacing w:line="360" w:lineRule="auto"/>
        <w:ind w:firstLine="448" w:firstLineChars="200"/>
        <w:rPr>
          <w:rFonts w:ascii="宋体" w:hAnsi="宋体" w:cs="宋体"/>
          <w:sz w:val="24"/>
        </w:rPr>
      </w:pPr>
      <w:r>
        <w:rPr>
          <w:rFonts w:hint="eastAsia" w:ascii="宋体" w:hAnsi="宋体" w:cs="宋体"/>
          <w:sz w:val="24"/>
          <w:szCs w:val="24"/>
        </w:rPr>
        <w:t>由于面试不合格造成的运维团队成员更换的，或由于运维供应商原因需变更团队成员的，未提前30日通知中心的，每发生一人次，运维服务供应商应按合同总金额的0.85%支付违约金。超过3人次（含3人次），且运维服务供应商无法按照招标需求中驻场人员数量及质量进行完整运维服务的天数累计超过10个工作日的，运维服务供应商应按合同总金额的10%支付违约金。</w:t>
      </w:r>
    </w:p>
    <w:p w14:paraId="10105AC1">
      <w:pPr>
        <w:spacing w:line="360" w:lineRule="auto"/>
        <w:ind w:firstLine="448" w:firstLineChars="200"/>
        <w:rPr>
          <w:rFonts w:ascii="宋体" w:hAnsi="宋体" w:cs="宋体"/>
          <w:sz w:val="24"/>
        </w:rPr>
      </w:pPr>
      <w:r>
        <w:rPr>
          <w:rFonts w:hint="eastAsia" w:ascii="宋体" w:hAnsi="宋体" w:cs="宋体"/>
          <w:sz w:val="24"/>
          <w:szCs w:val="24"/>
        </w:rPr>
        <w:t>由于运维供应商原因自行更换团队成员且未通知中心的，每发生一人次，运维服务供应商应按合同总金额的0.85%支付违约金。超过3人次（含3人次），且运维服务供应商无法按照招标需求中驻场人员数量及质量进行完整运维服务的天数累计超过10个工作日的，运维服务供应商应按合同总金额的15%支付违约金。</w:t>
      </w:r>
    </w:p>
    <w:p w14:paraId="468F26AB">
      <w:pPr>
        <w:spacing w:line="360" w:lineRule="auto"/>
        <w:ind w:firstLine="448" w:firstLineChars="200"/>
        <w:rPr>
          <w:rFonts w:ascii="宋体" w:hAnsi="宋体" w:cs="宋体"/>
          <w:sz w:val="24"/>
        </w:rPr>
      </w:pPr>
      <w:r>
        <w:rPr>
          <w:rFonts w:hint="eastAsia" w:ascii="宋体" w:hAnsi="宋体" w:cs="宋体"/>
          <w:sz w:val="24"/>
          <w:szCs w:val="24"/>
        </w:rPr>
        <w:t>由于运维供应商原因，造成无法按照招标需求中驻场人员数量及质量进行完整运维服务的天数累计超过20个工作日的，中心有权解除该运维项目合同，并要求运维服务供应商退回合同已支付款项，并支付合同总金额20%的违约金。</w:t>
      </w:r>
    </w:p>
    <w:p w14:paraId="796B4BA4">
      <w:pPr>
        <w:spacing w:line="360" w:lineRule="auto"/>
        <w:ind w:firstLine="448" w:firstLineChars="200"/>
        <w:rPr>
          <w:rFonts w:ascii="宋体" w:hAnsi="宋体" w:cs="宋体"/>
          <w:sz w:val="24"/>
        </w:rPr>
      </w:pPr>
      <w:r>
        <w:rPr>
          <w:rFonts w:hint="eastAsia" w:ascii="宋体" w:hAnsi="宋体" w:cs="宋体"/>
          <w:sz w:val="24"/>
          <w:szCs w:val="24"/>
        </w:rPr>
        <w:t>2.由于运维服务供应商原因超出运维响应规定时限的，运维服务供应商应按合同总金额的0.85%支付违约金。一个月内累计超过3次（含3次）未及时响应的，运维服务供应商应按合同总金额的10%支付违约金。运维服务期内累计超过6次（含6次）未及时响应的，运维服务供应商应按合同总金额的20%支付违约金。</w:t>
      </w:r>
    </w:p>
    <w:p w14:paraId="25150A92">
      <w:pPr>
        <w:spacing w:line="360" w:lineRule="auto"/>
        <w:ind w:firstLine="448" w:firstLineChars="200"/>
        <w:rPr>
          <w:rFonts w:ascii="宋体" w:hAnsi="宋体" w:cs="宋体"/>
          <w:sz w:val="24"/>
        </w:rPr>
      </w:pPr>
      <w:r>
        <w:rPr>
          <w:rFonts w:hint="eastAsia" w:ascii="宋体" w:hAnsi="宋体" w:cs="宋体"/>
          <w:sz w:val="24"/>
          <w:szCs w:val="24"/>
        </w:rPr>
        <w:t>3.由于运维服务供应商原因致使故障超出规定解决时限的，每发生一次，运维服务供应商应按合同总金额的0.85%支付违约金。累计超过3次（含3次）故障未及时解决的，运维服务供应商应按合同总金额的20%支付违约金。</w:t>
      </w:r>
    </w:p>
    <w:p w14:paraId="145F3F91">
      <w:pPr>
        <w:spacing w:line="360" w:lineRule="auto"/>
        <w:ind w:firstLine="448" w:firstLineChars="200"/>
        <w:rPr>
          <w:rFonts w:ascii="宋体" w:hAnsi="宋体" w:cs="宋体"/>
          <w:sz w:val="24"/>
        </w:rPr>
      </w:pPr>
      <w:r>
        <w:rPr>
          <w:rFonts w:hint="eastAsia" w:ascii="宋体" w:hAnsi="宋体" w:cs="宋体"/>
          <w:sz w:val="24"/>
          <w:szCs w:val="24"/>
        </w:rPr>
        <w:t>4.由于运维服务供应商原因造成中心经济损失的，按实际经济损失金额对中心进行全额赔偿。</w:t>
      </w:r>
    </w:p>
    <w:p w14:paraId="55064950">
      <w:pPr>
        <w:spacing w:line="360" w:lineRule="auto"/>
        <w:ind w:firstLine="448" w:firstLineChars="200"/>
        <w:rPr>
          <w:rFonts w:ascii="宋体" w:hAnsi="宋体" w:cs="宋体"/>
          <w:sz w:val="24"/>
        </w:rPr>
      </w:pPr>
      <w:r>
        <w:rPr>
          <w:rFonts w:hint="eastAsia" w:ascii="宋体" w:hAnsi="宋体" w:cs="宋体"/>
          <w:sz w:val="24"/>
          <w:szCs w:val="24"/>
        </w:rPr>
        <w:t>5.由于运维服务供应商原因未及时发现漏洞，造成损失的，每发生一次，运维服务供应商应按合同总金额的0.85%支付违约金。累计超过2次（含2次）的，中心有权解除该运维项目合同，并要求运维服务供应商退回合同已支付款项，并支付合同总金额20%的违约金。</w:t>
      </w:r>
    </w:p>
    <w:p w14:paraId="16D89F86">
      <w:pPr>
        <w:spacing w:line="360" w:lineRule="auto"/>
        <w:ind w:firstLine="448" w:firstLineChars="200"/>
        <w:rPr>
          <w:rFonts w:ascii="宋体" w:hAnsi="宋体" w:cs="宋体"/>
          <w:sz w:val="24"/>
        </w:rPr>
      </w:pPr>
      <w:r>
        <w:rPr>
          <w:rFonts w:hint="eastAsia" w:ascii="宋体" w:hAnsi="宋体" w:cs="宋体"/>
          <w:sz w:val="24"/>
          <w:szCs w:val="24"/>
        </w:rPr>
        <w:t>6.由于运维服务供应商原因无法按照中心网络安全要求进行超危及高危安全漏洞修复的，运维服务供应商应按合同总金额的0.85%支付违约金。累计超过2次（含2次）的，中心有权解除该运维项目合同，并要求运维服务供应商退回合同已支付款项，并支付合同总金额20%的违约金。</w:t>
      </w:r>
    </w:p>
    <w:p w14:paraId="691AE2A8">
      <w:pPr>
        <w:spacing w:line="360" w:lineRule="auto"/>
        <w:ind w:firstLine="448" w:firstLineChars="200"/>
        <w:rPr>
          <w:rFonts w:ascii="宋体" w:hAnsi="宋体" w:cs="宋体"/>
          <w:sz w:val="24"/>
        </w:rPr>
      </w:pPr>
      <w:r>
        <w:rPr>
          <w:rFonts w:hint="eastAsia" w:ascii="宋体" w:hAnsi="宋体" w:cs="宋体"/>
          <w:sz w:val="24"/>
          <w:szCs w:val="24"/>
        </w:rPr>
        <w:t>7.以上全部违约要求需运维服务供应商支付的违约金，中心有权在应付合同尾款中直接予以扣除。</w:t>
      </w:r>
    </w:p>
    <w:p w14:paraId="7E8D9C0B">
      <w:pPr>
        <w:spacing w:line="360" w:lineRule="auto"/>
        <w:ind w:firstLine="448" w:firstLineChars="200"/>
        <w:rPr>
          <w:rFonts w:ascii="宋体" w:hAnsi="宋体" w:cs="宋体"/>
          <w:sz w:val="24"/>
          <w:lang w:bidi="en-US"/>
        </w:rPr>
      </w:pPr>
      <w:r>
        <w:rPr>
          <w:rFonts w:hint="eastAsia" w:ascii="宋体" w:hAnsi="宋体" w:cs="宋体"/>
          <w:b/>
          <w:sz w:val="24"/>
          <w:szCs w:val="24"/>
        </w:rPr>
        <w:t>八、验收标准</w:t>
      </w:r>
    </w:p>
    <w:p w14:paraId="71BABF51">
      <w:pPr>
        <w:widowControl/>
        <w:jc w:val="left"/>
        <w:rPr>
          <w:b/>
          <w:bCs/>
          <w:kern w:val="28"/>
          <w:sz w:val="32"/>
          <w:szCs w:val="32"/>
          <w:lang w:val="zh-CN"/>
        </w:rPr>
      </w:pPr>
      <w:r>
        <w:rPr>
          <w:rFonts w:hint="eastAsia" w:ascii="宋体" w:hAnsi="宋体" w:cs="宋体"/>
          <w:sz w:val="24"/>
          <w:szCs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r>
        <w:br w:type="page"/>
      </w:r>
    </w:p>
    <w:p w14:paraId="003F1509">
      <w:pPr>
        <w:pStyle w:val="16"/>
        <w:rPr>
          <w:rFonts w:ascii="Times New Roman" w:hAnsi="Times New Roman"/>
        </w:rPr>
      </w:pPr>
      <w:r>
        <w:rPr>
          <w:rFonts w:ascii="Times New Roman" w:hAnsi="Times New Roman"/>
        </w:rPr>
        <w:t>第三部分  投标须知</w:t>
      </w:r>
    </w:p>
    <w:p w14:paraId="5A062BA8">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274A55B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774566B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根据《中华人民共和国政府采购法》、《中华人民共和国政府采购法实施条例》等有关法律、法规和规章的规定，本采购项目已具备招标条件。</w:t>
      </w:r>
    </w:p>
    <w:p w14:paraId="107D359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 本招标文件仅适用于投标邀请函中所叙述项目货物和服务的采购。</w:t>
      </w:r>
    </w:p>
    <w:p w14:paraId="0BC964D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参与招标投标活动的所有各方，对在参与招标投标过程中获悉的国家、商业和技术秘密以及其它依法应当保密的内容，均负有保密义务，违者应对由此造成的后果承担全部法律责任。</w:t>
      </w:r>
    </w:p>
    <w:p w14:paraId="23066C6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4E40F3B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 “采购人”和“招标人”系指本次招标活动的采购单位。“采购代理机构”系指组织本次招标活动的机构，即“天津市政府采购中心”。 </w:t>
      </w:r>
    </w:p>
    <w:p w14:paraId="46BC179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2.2 “投标人”和“供应商”系指</w:t>
      </w:r>
      <w:r>
        <w:rPr>
          <w:rFonts w:hint="eastAsia" w:ascii="Times New Roman" w:hAnsi="Times New Roman" w:eastAsia="宋体" w:cs="Times New Roman"/>
          <w:color w:val="auto"/>
        </w:rPr>
        <w:t>响应招标、参加投标竞争的法人、其他组织或者自然人。</w:t>
      </w:r>
    </w:p>
    <w:p w14:paraId="7D3FACCB">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2.3</w:t>
      </w:r>
      <w:r>
        <w:rPr>
          <w:rFonts w:hint="eastAsia" w:ascii="Times New Roman" w:hAnsi="Times New Roman" w:eastAsia="宋体" w:cs="Times New Roman"/>
          <w:color w:val="auto"/>
        </w:rPr>
        <w:t xml:space="preserve"> “货物”</w:t>
      </w:r>
      <w:r>
        <w:rPr>
          <w:rFonts w:ascii="Times New Roman" w:hAnsi="Times New Roman" w:eastAsia="宋体" w:cs="Times New Roman"/>
          <w:color w:val="auto"/>
        </w:rPr>
        <w:t>系指</w:t>
      </w:r>
      <w:r>
        <w:rPr>
          <w:rFonts w:hint="eastAsia" w:ascii="Times New Roman" w:hAnsi="Times New Roman" w:eastAsia="宋体" w:cs="Times New Roman"/>
          <w:color w:val="auto"/>
        </w:rPr>
        <w:t>各种形态和种类的物品，包括原材料、燃料、设备、产品等；“工程”</w:t>
      </w:r>
      <w:r>
        <w:rPr>
          <w:rFonts w:ascii="Times New Roman" w:hAnsi="Times New Roman" w:eastAsia="宋体" w:cs="Times New Roman"/>
          <w:color w:val="auto"/>
        </w:rPr>
        <w:t>系指</w:t>
      </w:r>
      <w:r>
        <w:rPr>
          <w:rFonts w:hint="eastAsia" w:ascii="Times New Roman" w:hAnsi="Times New Roman" w:eastAsia="宋体" w:cs="Times New Roman"/>
          <w:color w:val="auto"/>
        </w:rPr>
        <w:t>建设工程，包括建筑物和构筑物的新建、改建、扩建、装修、拆除、修缮等；“服务”</w:t>
      </w:r>
      <w:r>
        <w:rPr>
          <w:rFonts w:ascii="Times New Roman" w:hAnsi="Times New Roman" w:eastAsia="宋体" w:cs="Times New Roman"/>
          <w:color w:val="auto"/>
        </w:rPr>
        <w:t>系指</w:t>
      </w:r>
      <w:r>
        <w:rPr>
          <w:rFonts w:hint="eastAsia" w:ascii="Times New Roman" w:hAnsi="Times New Roman" w:eastAsia="宋体" w:cs="Times New Roman"/>
          <w:color w:val="auto"/>
        </w:rPr>
        <w:t>除货物和工程以外的其他政府采购对象。</w:t>
      </w:r>
    </w:p>
    <w:p w14:paraId="3CCFEFA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4015FF2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本次招投标的最终解释权归为采购人、采购代理机构。</w:t>
      </w:r>
    </w:p>
    <w:p w14:paraId="393D2CE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1F39D4F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合格的投标人</w:t>
      </w:r>
    </w:p>
    <w:p w14:paraId="40E1658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w:t>
      </w:r>
      <w:r>
        <w:rPr>
          <w:rFonts w:hint="eastAsia" w:ascii="Times New Roman" w:hAnsi="Times New Roman" w:eastAsia="宋体" w:cs="Times New Roman"/>
          <w:color w:val="auto"/>
        </w:rPr>
        <w:t>采购</w:t>
      </w:r>
      <w:r>
        <w:rPr>
          <w:rFonts w:ascii="Times New Roman" w:hAnsi="Times New Roman" w:eastAsia="宋体" w:cs="Times New Roman"/>
          <w:color w:val="auto"/>
        </w:rPr>
        <w:t>标的的供应商。</w:t>
      </w:r>
    </w:p>
    <w:p w14:paraId="1A067BCB">
      <w:pPr>
        <w:pStyle w:val="29"/>
        <w:spacing w:line="360" w:lineRule="auto"/>
        <w:ind w:firstLine="448" w:firstLineChars="200"/>
        <w:jc w:val="both"/>
        <w:rPr>
          <w:rFonts w:ascii="Times New Roman" w:hAnsi="Times New Roman" w:cs="Times New Roman"/>
          <w:color w:val="auto"/>
        </w:rPr>
      </w:pPr>
      <w:r>
        <w:rPr>
          <w:rFonts w:ascii="Times New Roman" w:hAnsi="Times New Roman" w:eastAsia="宋体" w:cs="Times New Roman"/>
          <w:color w:val="auto"/>
        </w:rPr>
        <w:t xml:space="preserve">4.2 </w:t>
      </w:r>
      <w:r>
        <w:rPr>
          <w:rFonts w:ascii="Times New Roman" w:hAnsi="Times New Roman" w:cs="Times New Roman"/>
          <w:color w:val="auto"/>
        </w:rPr>
        <w:t>符合《投标邀请函》中关于供应商资格要求（实质性要求）的规定。</w:t>
      </w:r>
    </w:p>
    <w:p w14:paraId="5473C5D4">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4.3 关于联合体投标</w:t>
      </w:r>
    </w:p>
    <w:p w14:paraId="4BEC1B6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若</w:t>
      </w:r>
      <w:r>
        <w:rPr>
          <w:rFonts w:ascii="Times New Roman" w:hAnsi="Times New Roman" w:eastAsia="宋体" w:cs="Times New Roman"/>
          <w:color w:val="auto"/>
        </w:rPr>
        <w:t>《投标邀请函》接受联合体投标的：</w:t>
      </w:r>
    </w:p>
    <w:p w14:paraId="5FCAA3AA">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48127894">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w:t>
      </w:r>
      <w:r>
        <w:rPr>
          <w:rFonts w:hint="eastAsia" w:ascii="Times New Roman" w:hAnsi="Times New Roman" w:eastAsia="宋体" w:cs="Times New Roman"/>
          <w:color w:val="auto"/>
        </w:rPr>
        <w:t>《中华人民共和国政府采购法》</w:t>
      </w:r>
      <w:r>
        <w:rPr>
          <w:rFonts w:ascii="Times New Roman" w:hAnsi="Times New Roman" w:eastAsia="宋体" w:cs="Times New Roman"/>
          <w:color w:val="auto"/>
        </w:rPr>
        <w:t>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rPr>
        <w:t>要求</w:t>
      </w:r>
      <w:r>
        <w:rPr>
          <w:rFonts w:ascii="Times New Roman" w:hAnsi="Times New Roman" w:eastAsia="宋体" w:cs="Times New Roman"/>
          <w:color w:val="auto"/>
        </w:rPr>
        <w:t>）。</w:t>
      </w:r>
    </w:p>
    <w:p w14:paraId="5B0F549E">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rPr>
        <w:t>同一合同项下</w:t>
      </w:r>
      <w:r>
        <w:rPr>
          <w:rFonts w:ascii="Times New Roman" w:hAnsi="Times New Roman" w:eastAsia="宋体" w:cs="Times New Roman"/>
          <w:color w:val="auto"/>
        </w:rPr>
        <w:t>投标，也不得组成新的联合体参加同一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w:t>
      </w:r>
    </w:p>
    <w:p w14:paraId="1132F451">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hint="eastAsia" w:ascii="Times New Roman" w:hAnsi="Times New Roman" w:eastAsia="宋体" w:cs="Times New Roman"/>
          <w:color w:val="auto"/>
        </w:rPr>
        <w:t>下载招标文件</w:t>
      </w:r>
      <w:r>
        <w:rPr>
          <w:rFonts w:ascii="Times New Roman" w:hAnsi="Times New Roman" w:eastAsia="宋体" w:cs="Times New Roman"/>
          <w:color w:val="auto"/>
        </w:rPr>
        <w:t>时，应以联合体协议中确定的主体方名义</w:t>
      </w:r>
      <w:r>
        <w:rPr>
          <w:rFonts w:hint="eastAsia" w:ascii="Times New Roman" w:hAnsi="Times New Roman" w:eastAsia="宋体" w:cs="Times New Roman"/>
          <w:color w:val="auto"/>
        </w:rPr>
        <w:t>下载</w:t>
      </w:r>
      <w:r>
        <w:rPr>
          <w:rFonts w:ascii="Times New Roman" w:hAnsi="Times New Roman" w:eastAsia="宋体" w:cs="Times New Roman"/>
          <w:color w:val="auto"/>
        </w:rPr>
        <w:t>。</w:t>
      </w:r>
    </w:p>
    <w:p w14:paraId="30A4A5D5">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（5）联合体投标的，应以主体方名义提交投标保证金（如有），对联合体各方均具有约束力。</w:t>
      </w:r>
    </w:p>
    <w:p w14:paraId="46D564F0">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2021198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2CFD02E8">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7CA8F67C">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00F6BEFD">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项下的投标。如同时参加，则评审时将同时被拒绝。</w:t>
      </w:r>
    </w:p>
    <w:p w14:paraId="15654EE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4.5 关于分公司投标</w:t>
      </w:r>
    </w:p>
    <w:p w14:paraId="20171C4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40C5A5F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4.6 关于提供前期服务的供应商</w:t>
      </w:r>
    </w:p>
    <w:p w14:paraId="33F1435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370E4EC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4.7 关于中小微企业参与投标</w:t>
      </w:r>
    </w:p>
    <w:p w14:paraId="43EA6B5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049584D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0D402709">
      <w:pPr>
        <w:pStyle w:val="29"/>
        <w:spacing w:line="360" w:lineRule="auto"/>
        <w:ind w:firstLine="448" w:firstLineChars="200"/>
        <w:jc w:val="both"/>
        <w:rPr>
          <w:rFonts w:ascii="Times New Roman" w:hAnsi="Times New Roman" w:eastAsia="宋体" w:cs="Times New Roman"/>
          <w:color w:val="auto"/>
        </w:rPr>
      </w:pPr>
      <w:bookmarkStart w:id="6" w:name="OLE_LINK6"/>
      <w:bookmarkStart w:id="7" w:name="OLE_LINK5"/>
      <w:r>
        <w:rPr>
          <w:rFonts w:ascii="Times New Roman" w:hAnsi="Times New Roman" w:eastAsia="宋体" w:cs="Times New Roman"/>
          <w:color w:val="auto"/>
        </w:rPr>
        <w:t>根据《财政部 民政部 中国残疾人联合会关于促进残疾人就业政府采购政策的通知》（财库〔2017〕141号）的规定，残疾人福利性单位视同为小型、微型企业。</w:t>
      </w:r>
    </w:p>
    <w:p w14:paraId="339D63A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 合格的货物和相关服务</w:t>
      </w:r>
    </w:p>
    <w:p w14:paraId="3004B7E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28E2B80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 投标人提供的货物服务应符合招标文件要求，质量应当完全符合现行的国家标准、行业标准或地方标准。除《招标项目需求》有特殊规定外，投标人提供的货物应当是全新的、未使用过的。</w:t>
      </w:r>
    </w:p>
    <w:p w14:paraId="561942A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投标人应当说明投标货物的来源地，如投标的货物非投标人生产或制造的，则交货时有义务提供其从合法途径获得该货物的相关证明。</w:t>
      </w:r>
    </w:p>
    <w:p w14:paraId="7A30F08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系统软件、通用软件必须是具有在中国境内的合法使用权或版权的正版软件，涉及到第三方提出侵权或知识产权的起诉及支付版税等费用由投标人承担所有责任及费用。</w:t>
      </w:r>
    </w:p>
    <w:p w14:paraId="08D0721C">
      <w:pPr>
        <w:pStyle w:val="29"/>
        <w:spacing w:line="360" w:lineRule="auto"/>
        <w:ind w:firstLine="448" w:firstLineChars="200"/>
        <w:jc w:val="both"/>
        <w:rPr>
          <w:rFonts w:ascii="Times New Roman" w:hAnsi="Times New Roman" w:eastAsia="宋体" w:cs="Times New Roman"/>
          <w:color w:val="auto"/>
        </w:rPr>
      </w:pPr>
    </w:p>
    <w:bookmarkEnd w:id="6"/>
    <w:bookmarkEnd w:id="7"/>
    <w:p w14:paraId="6350015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 投标费用</w:t>
      </w:r>
    </w:p>
    <w:p w14:paraId="5547EB7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无论投标过程中的做法和结果如何，投标人自行承担所有与参加投标有关的费用。</w:t>
      </w:r>
    </w:p>
    <w:p w14:paraId="177D244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3C6016A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0CD642A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1688B99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472A40F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10641AC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24F7A6F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58B6E53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6232A5A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71724EC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659BCF0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0831FBD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41C596A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3DE1F33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针对询问或质疑的答复内容需要修改采购文件的，其修改内容应当以政府采购网发布的更正公告为准。</w:t>
      </w:r>
    </w:p>
    <w:p w14:paraId="7162F32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653B5E7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本《投标须知》的条款如与《投标邀请函》、《招标项目需求》就同一内容的表述不一致的，以《投标邀请函》、《招标项目需求》中规定的内容为准。</w:t>
      </w:r>
    </w:p>
    <w:p w14:paraId="79C2938B">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B  招标文件说明</w:t>
      </w:r>
    </w:p>
    <w:p w14:paraId="485F670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 招标文件的构成</w:t>
      </w:r>
    </w:p>
    <w:p w14:paraId="233A195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10.1招标文件由下述部分组成：</w:t>
      </w:r>
    </w:p>
    <w:p w14:paraId="0DEE10A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w:t>
      </w:r>
    </w:p>
    <w:p w14:paraId="723ECC4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（2）招标项目需求</w:t>
      </w:r>
    </w:p>
    <w:p w14:paraId="315708E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（3）投标须知</w:t>
      </w:r>
    </w:p>
    <w:p w14:paraId="5D070F7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cs="Times New Roman"/>
          <w:color w:val="auto"/>
        </w:rPr>
        <w:t>合同条款</w:t>
      </w:r>
    </w:p>
    <w:p w14:paraId="14EAE3D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（5）投标文件格式</w:t>
      </w:r>
    </w:p>
    <w:p w14:paraId="19AD2A7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w:t>
      </w:r>
      <w:r>
        <w:rPr>
          <w:rFonts w:ascii="Times New Roman" w:hAnsi="Times New Roman" w:cs="Times New Roman"/>
          <w:color w:val="auto"/>
        </w:rPr>
        <w:t>本项目招标文件的更正公告内容（如有）</w:t>
      </w:r>
    </w:p>
    <w:p w14:paraId="64AF669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除非有特殊要求，招标文件不单独提供招标项目使用地的自然环境、气候条件、公用设施等情况，投标人被视为熟悉上述与履行合同有关的一切情况。</w:t>
      </w:r>
    </w:p>
    <w:p w14:paraId="5F9A4C7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加注“★”号条款为不允许偏离的实质性要求，经评标委员会判定任意一条加注“★”号的条款出现偏离，视为无效投标。</w:t>
      </w:r>
    </w:p>
    <w:p w14:paraId="3907811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10.4 招标文件中涉及的参照品牌、型号仅起说明作用，并没有任何限制性，投标人在投标中可以选用其他替代品牌或型号，但这些替代要实质上优于或相当于招标要求。</w:t>
      </w:r>
    </w:p>
    <w:p w14:paraId="0F8AAD6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10.5 除招标文件另有规定外，招标文件中要求的每一项产品只允许一种产品投标，每一项产品的采购数量不允许变更。</w:t>
      </w:r>
    </w:p>
    <w:p w14:paraId="192A5AE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招标文件的澄清和修改</w:t>
      </w:r>
    </w:p>
    <w:p w14:paraId="20A3C7C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11.1 投标截止前，采购人、采购代理机构需要对招标文件进行补充或修改的，采购人、采购代理机构将会通过“天津市政府采购网”、“天津市政府采购中心网”以更正公告形式发布。</w:t>
      </w:r>
    </w:p>
    <w:p w14:paraId="3059A0B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rPr>
        <w:t>获取招标文件</w:t>
      </w:r>
      <w:r>
        <w:rPr>
          <w:rFonts w:ascii="Times New Roman" w:hAnsi="Times New Roman" w:eastAsia="宋体" w:cs="Times New Roman"/>
          <w:color w:val="auto"/>
        </w:rPr>
        <w:t>供应商的“查看项目文件”，视同已书面通知所有招标文件的收受人。请参与项目的供应商及时关注更正公告，由此导致的风险由投标人自行承担，采购人、采购代理机构不承担任何责任。</w:t>
      </w:r>
    </w:p>
    <w:p w14:paraId="6309416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更正公告的内容为招标文件的组成部分。当招标文件与更正公告就同一内容的表述不一致时，以最后发出的更正公告内容为准。</w:t>
      </w:r>
    </w:p>
    <w:p w14:paraId="4AA517C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2A5331E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Times New Roman" w:cs="Times New Roman"/>
          <w:color w:val="auto"/>
        </w:rPr>
        <w:t>答疑会和现场考察</w:t>
      </w:r>
    </w:p>
    <w:p w14:paraId="4BE5EB7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采购人、采购代理机构召开答疑会的，所有投标人应按《投标邀请函》规定的时间、地点参加答疑会。投标人如不参加，其风险由投标人自行承担，采购人、采购代理机构不承担任何责任。</w:t>
      </w:r>
    </w:p>
    <w:p w14:paraId="4D09174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采购人、采购代理机构组织现场考察的，所有投标人按《投标邀请函》规定的时间、地点参加现场考察活动。投标人如不参加，其风险由投标人自行承担，采购人、采购代理机构不承担任何责任。</w:t>
      </w:r>
    </w:p>
    <w:p w14:paraId="03FEF82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采购人、采购代理机构在答疑会或现场考察中口头介绍的情况，除经“天津市政府采购网”、“天津市政府采购中心网”以更正公告的形式发布外，不构成对招标文件的修改，不作为投标人编制投标文件的依据。</w:t>
      </w:r>
    </w:p>
    <w:p w14:paraId="27CB5D86">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投标文件的编制</w:t>
      </w:r>
    </w:p>
    <w:p w14:paraId="4A063FB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55CF413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13.1 投标人应仔细阅读招标文件的所有内容，按招标文件要求编制投标文件，以使其投标对招标文件做出实质性响应。否则，其投标文件可能被拒绝，投标人须自行承担由此引起的风险和责任。</w:t>
      </w:r>
    </w:p>
    <w:p w14:paraId="4F78225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13.2 投标人应根据招标项目需求和投标文件格式编制投标文件，保证其真实有效，并承担相应的法律责任。</w:t>
      </w:r>
    </w:p>
    <w:p w14:paraId="6429452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45A34E5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6A079F9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7EFFE99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14.2 除招标文件中另有规定，投标文件所使用的计量单位均应使用中华人民共和国法定计量单位。</w:t>
      </w:r>
    </w:p>
    <w:p w14:paraId="0E465B7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 投标文件格式</w:t>
      </w:r>
    </w:p>
    <w:p w14:paraId="313FB1F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15.1 投标人应按招标文件中提供的投标文件格式完整填写。因不按要求编制而引起系统无法检索、读取相关信息时，其后果由投标人自行承担。</w:t>
      </w:r>
    </w:p>
    <w:p w14:paraId="5452531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15.2 投标人可对招标文件</w:t>
      </w:r>
      <w:r>
        <w:rPr>
          <w:rFonts w:hint="eastAsia" w:ascii="Times New Roman" w:hAnsi="Times New Roman" w:eastAsia="宋体" w:cs="Times New Roman"/>
          <w:color w:val="auto"/>
        </w:rPr>
        <w:t>全部</w:t>
      </w:r>
      <w:r>
        <w:rPr>
          <w:rFonts w:ascii="Times New Roman" w:hAnsi="Times New Roman" w:eastAsia="宋体" w:cs="Times New Roman"/>
          <w:color w:val="auto"/>
        </w:rPr>
        <w:t>采购包进行投标，也可只对其中一包或几包进行投标；若无特殊说明，每一包的内容不得分项投标，原则上按照整包确定中标供应商。</w:t>
      </w:r>
    </w:p>
    <w:p w14:paraId="6BBD763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14787DC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如投标多个包的，要求按包分别独立制作投标文件。</w:t>
      </w:r>
    </w:p>
    <w:p w14:paraId="2091585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投标文件（包括封面和目录）的每一页，从封面开始按阿拉伯数字1、2、3…顺序编制页码。</w:t>
      </w:r>
    </w:p>
    <w:p w14:paraId="676DB3E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 投标报价</w:t>
      </w:r>
    </w:p>
    <w:p w14:paraId="34A1E50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16.1 投标书、开标一览表等各表中的报价，若无特殊说明应采用人民币填报。</w:t>
      </w:r>
    </w:p>
    <w:p w14:paraId="373E36A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16.2 投标报价是</w:t>
      </w:r>
      <w:r>
        <w:rPr>
          <w:rFonts w:ascii="Times New Roman" w:hAnsi="Times New Roman" w:cs="Times New Roman"/>
          <w:color w:val="auto"/>
        </w:rPr>
        <w:t>为完成招标文件规定的一切工作所需的全部费用的最终优惠价格。</w:t>
      </w:r>
    </w:p>
    <w:p w14:paraId="46A0CB1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16.3 除《招标项目需求》中说明并允许外，投标的每一个货物、服务的单项报价以及采购项目的投标总价均只允许有一个报价，任何有选择的报价，采购人、采购代理机构均将予以拒绝。</w:t>
      </w:r>
    </w:p>
    <w:p w14:paraId="0FDC925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17. 投标人资格证明文件</w:t>
      </w:r>
    </w:p>
    <w:p w14:paraId="0DB7625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投标人必须提交证明其有资格进行投标和有能力履行合同的文件，作为投标文件的一部分。</w:t>
      </w:r>
    </w:p>
    <w:p w14:paraId="16A3AD9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（1）《投标邀请函》中规定的供应商资格要求（实质性要求）证明文件；</w:t>
      </w:r>
    </w:p>
    <w:p w14:paraId="1E29ACE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4C6254D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）涉及本须知中“4. 合格的投标人”相关要求的，按其要求执行。</w:t>
      </w:r>
    </w:p>
    <w:p w14:paraId="32A4F6A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 技术响应文件</w:t>
      </w:r>
    </w:p>
    <w:p w14:paraId="4C2630D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18.1 投标人须提交证明其拟提供的服务符合招标文件规定的技术响应文件，作为投标文件的一部分。</w:t>
      </w:r>
    </w:p>
    <w:p w14:paraId="5C801676">
      <w:pPr>
        <w:pStyle w:val="29"/>
        <w:spacing w:line="360" w:lineRule="auto"/>
        <w:ind w:firstLine="448" w:firstLineChars="200"/>
        <w:jc w:val="both"/>
        <w:rPr>
          <w:rFonts w:ascii="Times New Roman" w:hAnsi="Times New Roman" w:cs="Times New Roman"/>
          <w:color w:val="auto"/>
          <w:szCs w:val="21"/>
        </w:rPr>
      </w:pPr>
      <w:r>
        <w:rPr>
          <w:rFonts w:ascii="Times New Roman" w:hAnsi="Times New Roman" w:eastAsia="宋体" w:cs="Times New Roman"/>
          <w:color w:val="auto"/>
        </w:rPr>
        <w:t>18.2 上述技术响应文件可以是文字资料、图纸或数据，</w:t>
      </w:r>
      <w:r>
        <w:rPr>
          <w:rFonts w:ascii="Times New Roman" w:hAnsi="Times New Roman" w:cs="Times New Roman"/>
          <w:color w:val="auto"/>
          <w:szCs w:val="21"/>
        </w:rPr>
        <w:t>其内容应包括但不限于：</w:t>
      </w:r>
    </w:p>
    <w:p w14:paraId="137D4EA7">
      <w:pPr>
        <w:pStyle w:val="29"/>
        <w:spacing w:line="360" w:lineRule="auto"/>
        <w:ind w:firstLine="448" w:firstLineChars="200"/>
        <w:jc w:val="both"/>
        <w:rPr>
          <w:rFonts w:ascii="Times New Roman" w:hAnsi="Times New Roman" w:cs="Times New Roman"/>
          <w:color w:val="auto"/>
          <w:szCs w:val="21"/>
        </w:rPr>
      </w:pPr>
      <w:r>
        <w:rPr>
          <w:rFonts w:hint="eastAsia" w:ascii="Times New Roman" w:hAnsi="Times New Roman" w:cs="Times New Roman"/>
          <w:color w:val="auto"/>
          <w:szCs w:val="21"/>
        </w:rPr>
        <w:t>（1）</w:t>
      </w:r>
      <w:r>
        <w:rPr>
          <w:rFonts w:ascii="Times New Roman" w:hAnsi="Times New Roman" w:cs="Times New Roman"/>
          <w:color w:val="auto"/>
          <w:szCs w:val="21"/>
        </w:rPr>
        <w:t>人力、物力等资源的投入以及服务内容、方式、手段、措施、质量保证及建议等。</w:t>
      </w:r>
    </w:p>
    <w:p w14:paraId="7145B14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（2）货物主要技术性能的详细描述；</w:t>
      </w:r>
    </w:p>
    <w:p w14:paraId="0AF7174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（3）保证货物从采购人开始使用至招标文件规定的保修期内正常和连续运转期间所需要的所有备件和专用工具的详细清单，包括其现行价格和供货来源资料；</w:t>
      </w:r>
    </w:p>
    <w:p w14:paraId="700B9EA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（4）逐条对招标文件要求的技术规格进行评议，并按招标文件所附格式完整地填写《技术要求偏离应答表》，说明自己所投标的与招标文件要求的偏离情况。</w:t>
      </w:r>
    </w:p>
    <w:p w14:paraId="5AC3B7A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 投标保证金</w:t>
      </w:r>
    </w:p>
    <w:p w14:paraId="29FEA36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按照《招标项目需求》要求执行。</w:t>
      </w:r>
    </w:p>
    <w:p w14:paraId="6B5B065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w:t>
      </w:r>
      <w:r>
        <w:rPr>
          <w:rFonts w:hint="eastAsia" w:ascii="Times New Roman" w:hAnsi="Times New Roman" w:eastAsia="宋体" w:cs="Times New Roman"/>
          <w:color w:val="auto"/>
        </w:rPr>
        <w:t>《中华人民共和国政府采购法实施条例》</w:t>
      </w:r>
      <w:r>
        <w:rPr>
          <w:rFonts w:ascii="Times New Roman" w:hAnsi="Times New Roman" w:eastAsia="宋体" w:cs="Times New Roman"/>
          <w:color w:val="auto"/>
        </w:rPr>
        <w:t>相关规定。</w:t>
      </w:r>
    </w:p>
    <w:p w14:paraId="7C4736D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14:paraId="622578E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14:paraId="3CCA9F1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599A1BB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14:paraId="696567B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投标文件应按《招标项目需求》和《投标文件格式》如实编写，未尽事宜可自行补充。投标文件内容不完整、格式不符合导致投标文件被误读、漏读或者查找不到相关内容的，投标人自行承担由此产生的风险。</w:t>
      </w:r>
    </w:p>
    <w:p w14:paraId="11727C5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14:paraId="5EC06C0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21.3</w:t>
      </w:r>
      <w:r>
        <w:rPr>
          <w:rFonts w:hint="eastAsia" w:ascii="Times New Roman" w:hAnsi="Times New Roman" w:eastAsia="宋体" w:cs="Times New Roman"/>
          <w:color w:val="auto"/>
        </w:rPr>
        <w:t xml:space="preserve"> 若上传加盖投标人电子签章的电子投标文件有修改，须于规定时间内重新提交电子投标文件。电子投标文件因模糊不清或表达不清所引起的后果由投标人自负。</w:t>
      </w:r>
    </w:p>
    <w:p w14:paraId="38607D8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21.4文件中的电子件指扫描件、电子证照、照片等形式电子文件；要求第三方出具的盖章件原件（如联合协议、分包意向协议、制造商授权书等），投标文件中应使用原件的电子件。</w:t>
      </w:r>
    </w:p>
    <w:p w14:paraId="4BCABCF9">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14:paraId="6C7CC1D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690006F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14:paraId="47147F3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14:paraId="719F54D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1DC64DD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268318A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09EE0FD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3FA376E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14:paraId="532619AC">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14:paraId="6609EFE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14:paraId="3D3463C7">
      <w:pPr>
        <w:pStyle w:val="29"/>
        <w:spacing w:line="360" w:lineRule="auto"/>
        <w:ind w:firstLine="448" w:firstLineChars="200"/>
        <w:jc w:val="both"/>
        <w:rPr>
          <w:rFonts w:ascii="Times New Roman" w:hAnsi="Times New Roman" w:eastAsia="宋体" w:cs="Times New Roman"/>
          <w:color w:val="auto"/>
        </w:rPr>
      </w:pPr>
    </w:p>
    <w:p w14:paraId="573C8A4C">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14:paraId="5DA9E93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14:paraId="66267A8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0ECE37D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14:paraId="05CE1A3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14:paraId="5803B96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开标解密后，投标代表人应保持电话畅通并具备相应的网络环境，随时准备接受评委的网上询标。</w:t>
      </w:r>
    </w:p>
    <w:p w14:paraId="32B4C64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投标人须于规定时间内通过天津市政府采购中心招投标系统“询标解答”对评委的网上询标予以解答。如投标代表人被要求到评审现场答疑时，须携带身份证等有效证件原件，以备查验。</w:t>
      </w:r>
    </w:p>
    <w:p w14:paraId="35D8FEA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14:paraId="2D6225F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14:paraId="6FDD648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14:paraId="11C4501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14:paraId="6E27CCF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14:paraId="11EC168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61B365F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14:paraId="01D46EF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14:paraId="0E2C34A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107D4D1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14:paraId="7564C4C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w:t>
      </w:r>
      <w:r>
        <w:rPr>
          <w:rFonts w:hint="eastAsia" w:ascii="Times New Roman" w:hAnsi="Times New Roman" w:eastAsia="宋体" w:cs="Times New Roman"/>
          <w:color w:val="auto"/>
        </w:rPr>
        <w:t>内容</w:t>
      </w:r>
      <w:r>
        <w:rPr>
          <w:rFonts w:ascii="Times New Roman" w:hAnsi="Times New Roman" w:eastAsia="宋体" w:cs="Times New Roman"/>
          <w:color w:val="auto"/>
        </w:rPr>
        <w:t>而使其投标成为响应性的投标。如出现下列情况之一的，其投标将被拒绝或中标无效：</w:t>
      </w:r>
    </w:p>
    <w:p w14:paraId="1960D7E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14:paraId="01C5687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14:paraId="77F7F94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14:paraId="3BCB530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（4）不能满足招标文件中任何一条实质性要求或加注“★”号条款经评委会认定出现偏离的或经评标委员会认定未实质性响应招标文件要求的或投标内容不符合相关强制性规定的；</w:t>
      </w:r>
    </w:p>
    <w:p w14:paraId="425BCC5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4A85FBA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17FF741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43F9CA2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14:paraId="524AA8E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14:paraId="5B7668E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14:paraId="66484C4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14:paraId="18E0555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14:paraId="2D77F4E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14:paraId="184A1F6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0D794F8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14:paraId="48C7B7A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评标委员会将要求投标人按上述修改错误的方法调整投标报价，投标人同意后，调整后的报价对投标人起约束作用。如果投标人不接受修改后的报价，其投标将被拒绝。</w:t>
      </w:r>
    </w:p>
    <w:p w14:paraId="4059804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0FAA60C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6F74B488">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w:t>
      </w:r>
      <w:r>
        <w:rPr>
          <w:rFonts w:hint="eastAsia" w:ascii="Times New Roman" w:hAnsi="Times New Roman" w:eastAsia="宋体" w:cs="Times New Roman"/>
          <w:color w:val="auto"/>
        </w:rPr>
        <w:t>电子</w:t>
      </w:r>
      <w:r>
        <w:rPr>
          <w:rFonts w:ascii="Times New Roman" w:hAnsi="Times New Roman" w:eastAsia="宋体" w:cs="Times New Roman"/>
          <w:color w:val="auto"/>
        </w:rPr>
        <w:t>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14:paraId="757A26C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14:paraId="3DA5FF1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14:paraId="56535B0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14:paraId="040EFD6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14:paraId="39BEDB3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14:paraId="67258CE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14:paraId="15C26057">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14:paraId="6419C7E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0A4C276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14:paraId="01EAD86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17866B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（5）根据《关于推动解决政府采购异常低价问题的通知》（财库〔2026〕2号）的要求，评标委员会启动异常低价投标审查程序，</w:t>
      </w:r>
      <w:r>
        <w:rPr>
          <w:rFonts w:ascii="Times New Roman" w:hAnsi="Times New Roman" w:eastAsia="宋体"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rPr>
        <w:t>评标</w:t>
      </w:r>
      <w:r>
        <w:rPr>
          <w:rFonts w:ascii="Times New Roman" w:hAnsi="Times New Roman" w:eastAsia="宋体"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hint="eastAsia" w:ascii="Times New Roman" w:hAnsi="Times New Roman" w:eastAsia="宋体" w:cs="Times New Roman"/>
          <w:color w:val="auto"/>
        </w:rPr>
        <w:t>标</w:t>
      </w:r>
      <w:r>
        <w:rPr>
          <w:rFonts w:ascii="Times New Roman" w:hAnsi="Times New Roman" w:eastAsia="宋体" w:cs="Times New Roman"/>
          <w:color w:val="auto"/>
        </w:rPr>
        <w:t>委员会应当将其作为无效投标处理。</w:t>
      </w:r>
    </w:p>
    <w:p w14:paraId="2747991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14:paraId="13ED4DF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5AD3034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3BA55C9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hint="eastAsia" w:ascii="Times New Roman" w:hAnsi="Times New Roman" w:eastAsia="宋体"/>
          <w:color w:val="auto"/>
        </w:rPr>
        <w:t>按照《关于调整优化节能产品、环境标志产品政府采购执行机制的通知》（财库〔2019〕9号）文件要求，对</w:t>
      </w:r>
      <w:r>
        <w:rPr>
          <w:rFonts w:ascii="Times New Roman" w:hAnsi="Times New Roman" w:cs="Times New Roman"/>
          <w:color w:val="auto"/>
        </w:rPr>
        <w:t>政府采购节能、环境标志品目清单</w:t>
      </w:r>
      <w:r>
        <w:rPr>
          <w:rFonts w:hint="eastAsia" w:ascii="Times New Roman" w:hAnsi="Times New Roman" w:cs="Times New Roman"/>
          <w:color w:val="auto"/>
        </w:rPr>
        <w:t>内的产品实施</w:t>
      </w:r>
      <w:r>
        <w:rPr>
          <w:rFonts w:hint="eastAsia" w:ascii="Times New Roman" w:hAnsi="Times New Roman" w:eastAsia="宋体"/>
          <w:color w:val="auto"/>
        </w:rPr>
        <w:t>优先采购和强制采购的评标方法。</w:t>
      </w:r>
    </w:p>
    <w:p w14:paraId="34DAB81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4</w:t>
      </w:r>
      <w:r>
        <w:rPr>
          <w:rFonts w:ascii="Times New Roman" w:hAnsi="Times New Roman" w:eastAsia="宋体"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14:paraId="27EF692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14:paraId="1CD68BD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6</w:t>
      </w:r>
      <w:r>
        <w:rPr>
          <w:rFonts w:ascii="Times New Roman" w:hAnsi="Times New Roman" w:eastAsia="宋体" w:cs="Times New Roman"/>
          <w:color w:val="auto"/>
        </w:rPr>
        <w:t>）根据《政府采购货物和服务招标投标管理办法》（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14:paraId="5E0456B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14:paraId="7ED617A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14:paraId="0EDE515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7C8BB658">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14:paraId="6EF5C19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32.4 （本条仅适用于货物类项目）不同投标人所投全部产品均为同一品牌或不同投标人所投任一核心产品为同一品牌时（</w:t>
      </w:r>
      <w:r>
        <w:rPr>
          <w:rFonts w:hint="eastAsia" w:ascii="Times New Roman" w:hAnsi="Times New Roman" w:eastAsia="宋体" w:cs="Times New Roman"/>
          <w:color w:val="auto"/>
        </w:rPr>
        <w:t>加注“▲”号的产品为核心产品如未明确核心产品，则视为全部产品均为核心产品</w:t>
      </w:r>
      <w:r>
        <w:rPr>
          <w:rFonts w:ascii="Times New Roman" w:hAnsi="Times New Roman" w:eastAsia="宋体" w:cs="Times New Roman"/>
          <w:color w:val="auto"/>
        </w:rPr>
        <w:t>），按以下原则处理：</w:t>
      </w:r>
    </w:p>
    <w:p w14:paraId="4831D58C">
      <w:pPr>
        <w:spacing w:line="360" w:lineRule="auto"/>
        <w:ind w:firstLine="448" w:firstLineChars="200"/>
        <w:jc w:val="left"/>
        <w:rPr>
          <w:sz w:val="24"/>
          <w:szCs w:val="24"/>
        </w:rPr>
      </w:pPr>
      <w:r>
        <w:rPr>
          <w:sz w:val="24"/>
          <w:szCs w:val="24"/>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14:paraId="7B5661C0">
      <w:pPr>
        <w:pStyle w:val="29"/>
        <w:spacing w:line="360" w:lineRule="auto"/>
        <w:ind w:firstLine="448" w:firstLineChars="200"/>
        <w:rPr>
          <w:rFonts w:ascii="Times New Roman" w:hAnsi="Times New Roman" w:cs="Times New Roman"/>
          <w:color w:val="auto"/>
        </w:rPr>
      </w:pPr>
      <w:r>
        <w:rPr>
          <w:rFonts w:ascii="Times New Roman" w:hAnsi="Times New Roman" w:cs="Times New Roman"/>
          <w:color w:val="auto"/>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14:paraId="1382DA2B">
      <w:pPr>
        <w:pStyle w:val="29"/>
        <w:spacing w:line="360" w:lineRule="auto"/>
        <w:ind w:firstLine="448" w:firstLineChars="200"/>
        <w:rPr>
          <w:rFonts w:ascii="Times New Roman" w:hAnsi="Times New Roman" w:eastAsia="宋体" w:cs="Times New Roman"/>
          <w:color w:val="auto"/>
        </w:rPr>
      </w:pPr>
    </w:p>
    <w:p w14:paraId="5EFEB7CE">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3D9C146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14:paraId="7A96E34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14:paraId="6ACC987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w:t>
      </w:r>
      <w:r>
        <w:rPr>
          <w:rFonts w:hint="eastAsia" w:ascii="Times New Roman" w:hAnsi="Times New Roman" w:eastAsia="宋体" w:cs="Times New Roman"/>
          <w:color w:val="auto"/>
        </w:rPr>
        <w:t>《中华人民共和国政府采购法》</w:t>
      </w:r>
      <w:r>
        <w:rPr>
          <w:rFonts w:ascii="Times New Roman" w:hAnsi="Times New Roman" w:eastAsia="宋体" w:cs="Times New Roman"/>
          <w:color w:val="auto"/>
        </w:rPr>
        <w:t>及其实施条例等法律法规的规定和招标文件的要求确认中标供应商。</w:t>
      </w:r>
    </w:p>
    <w:p w14:paraId="2CD6124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14:paraId="10158FF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7B5B6E2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10BCA80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14:paraId="2C46B3F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5C72C43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14:paraId="708878B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14:paraId="044C1D7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若《招标项目需求》规定须提交履约保证金的，中标供应商须按照规定要求提交履约保证金。</w:t>
      </w:r>
    </w:p>
    <w:p w14:paraId="62A7168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14:paraId="501A81C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14:paraId="47EC35E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14:paraId="4444A02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14:paraId="39CC93C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14:paraId="5CF1252A">
      <w:pPr>
        <w:pStyle w:val="29"/>
        <w:spacing w:line="360" w:lineRule="auto"/>
        <w:ind w:firstLine="448" w:firstLineChars="200"/>
        <w:jc w:val="both"/>
        <w:rPr>
          <w:rFonts w:ascii="Times New Roman" w:hAnsi="Times New Roman" w:eastAsia="宋体" w:cs="Times New Roman"/>
          <w:color w:val="auto"/>
        </w:rPr>
      </w:pPr>
    </w:p>
    <w:p w14:paraId="71F37B92">
      <w:pPr>
        <w:widowControl/>
        <w:jc w:val="left"/>
        <w:rPr>
          <w:b/>
          <w:bCs/>
          <w:kern w:val="28"/>
          <w:sz w:val="32"/>
          <w:szCs w:val="32"/>
          <w:lang w:val="zh-CN"/>
        </w:rPr>
      </w:pPr>
      <w:r>
        <w:br w:type="page"/>
      </w:r>
    </w:p>
    <w:p w14:paraId="1D341DBF">
      <w:pPr>
        <w:pStyle w:val="16"/>
        <w:rPr>
          <w:rFonts w:ascii="Times New Roman" w:hAnsi="Times New Roman"/>
        </w:rPr>
      </w:pPr>
      <w:r>
        <w:rPr>
          <w:rFonts w:ascii="Times New Roman" w:hAnsi="Times New Roman"/>
        </w:rPr>
        <w:t>第四部分  合同条款</w:t>
      </w:r>
    </w:p>
    <w:p w14:paraId="1FC5BF60">
      <w:pPr>
        <w:tabs>
          <w:tab w:val="left" w:pos="412"/>
          <w:tab w:val="left" w:pos="618"/>
        </w:tabs>
        <w:spacing w:line="520" w:lineRule="exact"/>
        <w:jc w:val="center"/>
        <w:rPr>
          <w:b/>
          <w:sz w:val="30"/>
          <w:szCs w:val="30"/>
        </w:rPr>
      </w:pPr>
      <w:r>
        <w:rPr>
          <w:b/>
          <w:sz w:val="30"/>
          <w:szCs w:val="30"/>
        </w:rPr>
        <w:t>合同一般条款</w:t>
      </w:r>
    </w:p>
    <w:p w14:paraId="2F032C99">
      <w:pPr>
        <w:tabs>
          <w:tab w:val="left" w:pos="0"/>
          <w:tab w:val="left" w:pos="315"/>
        </w:tabs>
        <w:spacing w:line="520" w:lineRule="exact"/>
        <w:ind w:firstLine="480"/>
        <w:rPr>
          <w:sz w:val="24"/>
          <w:szCs w:val="24"/>
        </w:rPr>
      </w:pPr>
      <w:r>
        <w:rPr>
          <w:sz w:val="24"/>
          <w:szCs w:val="24"/>
        </w:rPr>
        <w:t xml:space="preserve">需方：  </w:t>
      </w:r>
    </w:p>
    <w:p w14:paraId="54B3E226">
      <w:pPr>
        <w:tabs>
          <w:tab w:val="left" w:pos="0"/>
          <w:tab w:val="left" w:pos="315"/>
        </w:tabs>
        <w:spacing w:line="520" w:lineRule="exact"/>
        <w:ind w:firstLine="480"/>
        <w:rPr>
          <w:sz w:val="24"/>
          <w:szCs w:val="24"/>
        </w:rPr>
      </w:pPr>
      <w:r>
        <w:rPr>
          <w:sz w:val="24"/>
          <w:szCs w:val="24"/>
        </w:rPr>
        <w:t xml:space="preserve">供方： </w:t>
      </w:r>
    </w:p>
    <w:p w14:paraId="563D2999">
      <w:pPr>
        <w:tabs>
          <w:tab w:val="left" w:pos="0"/>
          <w:tab w:val="left" w:pos="315"/>
        </w:tabs>
        <w:spacing w:line="520" w:lineRule="exact"/>
        <w:ind w:firstLine="480"/>
        <w:rPr>
          <w:sz w:val="24"/>
          <w:szCs w:val="24"/>
        </w:rPr>
      </w:pPr>
      <w:r>
        <w:rPr>
          <w:sz w:val="24"/>
          <w:szCs w:val="24"/>
        </w:rPr>
        <w:t>供、需双方根据   项目（项目编号：TGPC-201 - ）的政府采购结果和</w:t>
      </w:r>
      <w:r>
        <w:rPr>
          <w:rFonts w:hint="eastAsia"/>
          <w:sz w:val="24"/>
          <w:szCs w:val="24"/>
        </w:rPr>
        <w:t>招标</w:t>
      </w:r>
      <w:r>
        <w:rPr>
          <w:sz w:val="24"/>
          <w:szCs w:val="24"/>
        </w:rPr>
        <w:t>文件的要求，并经双方协商一致，达成  合同：</w:t>
      </w:r>
    </w:p>
    <w:p w14:paraId="180AF7F3">
      <w:pPr>
        <w:pStyle w:val="34"/>
        <w:numPr>
          <w:ilvl w:val="0"/>
          <w:numId w:val="5"/>
        </w:numPr>
        <w:spacing w:line="480" w:lineRule="exact"/>
        <w:ind w:firstLineChars="0"/>
        <w:rPr>
          <w:sz w:val="24"/>
          <w:szCs w:val="24"/>
        </w:rPr>
      </w:pPr>
      <w:r>
        <w:rPr>
          <w:rFonts w:hint="eastAsia"/>
          <w:sz w:val="24"/>
          <w:szCs w:val="24"/>
        </w:rPr>
        <w:t>本合同为中小企业预留合同</w:t>
      </w:r>
    </w:p>
    <w:p w14:paraId="095304E6">
      <w:pPr>
        <w:pStyle w:val="34"/>
        <w:numPr>
          <w:ilvl w:val="0"/>
          <w:numId w:val="5"/>
        </w:numPr>
        <w:spacing w:line="480" w:lineRule="exact"/>
        <w:ind w:firstLineChars="0"/>
        <w:rPr>
          <w:sz w:val="24"/>
          <w:szCs w:val="24"/>
        </w:rPr>
      </w:pPr>
      <w:r>
        <w:rPr>
          <w:rFonts w:hint="eastAsia"/>
          <w:sz w:val="24"/>
          <w:szCs w:val="24"/>
        </w:rPr>
        <w:t>本合同非中小企业预留合同</w:t>
      </w:r>
    </w:p>
    <w:p w14:paraId="6326755B">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1EB061B1">
      <w:pPr>
        <w:tabs>
          <w:tab w:val="left" w:pos="1133"/>
        </w:tabs>
        <w:spacing w:line="520" w:lineRule="exact"/>
        <w:ind w:firstLine="448" w:firstLineChars="200"/>
        <w:rPr>
          <w:sz w:val="24"/>
          <w:szCs w:val="24"/>
        </w:rPr>
      </w:pPr>
      <w:r>
        <w:rPr>
          <w:sz w:val="24"/>
          <w:szCs w:val="24"/>
        </w:rPr>
        <w:t>一、采购内容：  （详见附件）</w:t>
      </w:r>
    </w:p>
    <w:p w14:paraId="1CBFCE6A">
      <w:pPr>
        <w:tabs>
          <w:tab w:val="left" w:pos="1133"/>
        </w:tabs>
        <w:spacing w:line="520" w:lineRule="exact"/>
        <w:ind w:firstLine="448" w:firstLineChars="200"/>
        <w:rPr>
          <w:sz w:val="24"/>
          <w:szCs w:val="24"/>
        </w:rPr>
      </w:pPr>
      <w:r>
        <w:rPr>
          <w:sz w:val="24"/>
          <w:szCs w:val="24"/>
        </w:rPr>
        <w:t xml:space="preserve">    合同总价款：人民币  元</w:t>
      </w:r>
    </w:p>
    <w:p w14:paraId="616D6699">
      <w:pPr>
        <w:tabs>
          <w:tab w:val="left" w:pos="1133"/>
        </w:tabs>
        <w:spacing w:line="520" w:lineRule="exact"/>
        <w:ind w:firstLine="448" w:firstLineChars="200"/>
        <w:rPr>
          <w:sz w:val="24"/>
          <w:szCs w:val="24"/>
        </w:rPr>
      </w:pPr>
      <w:r>
        <w:rPr>
          <w:sz w:val="24"/>
          <w:szCs w:val="24"/>
        </w:rPr>
        <w:t xml:space="preserve">    大写：人民币  元整</w:t>
      </w:r>
    </w:p>
    <w:p w14:paraId="6CE47DDC">
      <w:pPr>
        <w:tabs>
          <w:tab w:val="left" w:pos="360"/>
        </w:tabs>
        <w:spacing w:line="520" w:lineRule="exact"/>
        <w:ind w:firstLine="448" w:firstLineChars="200"/>
        <w:rPr>
          <w:sz w:val="24"/>
          <w:szCs w:val="24"/>
        </w:rPr>
      </w:pPr>
      <w:r>
        <w:rPr>
          <w:sz w:val="24"/>
          <w:szCs w:val="24"/>
        </w:rPr>
        <w:t>二、质量要求及对质量负责条件和期限：见附件。</w:t>
      </w:r>
    </w:p>
    <w:p w14:paraId="42CBF3B9">
      <w:pPr>
        <w:tabs>
          <w:tab w:val="left" w:pos="360"/>
        </w:tabs>
        <w:spacing w:line="520" w:lineRule="exact"/>
        <w:ind w:firstLine="448" w:firstLineChars="200"/>
        <w:rPr>
          <w:sz w:val="24"/>
          <w:szCs w:val="24"/>
        </w:rPr>
      </w:pPr>
      <w:r>
        <w:rPr>
          <w:sz w:val="24"/>
          <w:szCs w:val="24"/>
        </w:rPr>
        <w:t>三、供方所提供的服务必须具有合法手续及相关文件。如涉及知识产权则必须是自己拥有或合法使用的。</w:t>
      </w:r>
    </w:p>
    <w:p w14:paraId="3A620CE9">
      <w:pPr>
        <w:tabs>
          <w:tab w:val="left" w:pos="360"/>
        </w:tabs>
        <w:spacing w:line="520" w:lineRule="exact"/>
        <w:ind w:firstLine="448" w:firstLineChars="200"/>
        <w:rPr>
          <w:sz w:val="24"/>
          <w:szCs w:val="24"/>
        </w:rPr>
      </w:pPr>
      <w:r>
        <w:rPr>
          <w:sz w:val="24"/>
          <w:szCs w:val="24"/>
        </w:rPr>
        <w:t>四、</w:t>
      </w:r>
      <w:r>
        <w:rPr>
          <w:rFonts w:hint="eastAsia"/>
          <w:sz w:val="24"/>
          <w:szCs w:val="24"/>
        </w:rPr>
        <w:t>服务</w:t>
      </w:r>
      <w:r>
        <w:rPr>
          <w:sz w:val="24"/>
          <w:szCs w:val="24"/>
        </w:rPr>
        <w:t>时间、地点、方式：见附件。</w:t>
      </w:r>
    </w:p>
    <w:p w14:paraId="1B2417F3">
      <w:pPr>
        <w:tabs>
          <w:tab w:val="left" w:pos="360"/>
        </w:tabs>
        <w:spacing w:line="520" w:lineRule="exact"/>
        <w:ind w:firstLine="448" w:firstLineChars="200"/>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14:paraId="7FE6E79F">
      <w:pPr>
        <w:tabs>
          <w:tab w:val="left" w:pos="360"/>
          <w:tab w:val="left" w:pos="721"/>
        </w:tabs>
        <w:spacing w:line="520" w:lineRule="exact"/>
        <w:rPr>
          <w:sz w:val="24"/>
          <w:szCs w:val="24"/>
        </w:rPr>
      </w:pPr>
      <w:r>
        <w:rPr>
          <w:sz w:val="24"/>
          <w:szCs w:val="24"/>
        </w:rPr>
        <w:t xml:space="preserve">    六、验收工作由需方负责对合同进行验收。</w:t>
      </w:r>
    </w:p>
    <w:p w14:paraId="36F25914">
      <w:pPr>
        <w:tabs>
          <w:tab w:val="left" w:pos="360"/>
        </w:tabs>
        <w:spacing w:line="520" w:lineRule="exact"/>
        <w:rPr>
          <w:sz w:val="24"/>
          <w:szCs w:val="24"/>
        </w:rPr>
      </w:pPr>
      <w:r>
        <w:rPr>
          <w:sz w:val="24"/>
          <w:szCs w:val="24"/>
        </w:rPr>
        <w:t xml:space="preserve">    七、货款支付方式：见附件。</w:t>
      </w:r>
    </w:p>
    <w:p w14:paraId="3E0289AB">
      <w:pPr>
        <w:tabs>
          <w:tab w:val="left" w:pos="0"/>
          <w:tab w:val="left" w:pos="721"/>
        </w:tabs>
        <w:spacing w:line="520" w:lineRule="exact"/>
        <w:ind w:firstLine="448" w:firstLineChars="200"/>
        <w:rPr>
          <w:sz w:val="24"/>
          <w:szCs w:val="24"/>
        </w:rPr>
      </w:pPr>
      <w:r>
        <w:rPr>
          <w:sz w:val="24"/>
          <w:szCs w:val="24"/>
        </w:rPr>
        <w:t>供方开户银行（汉字全称）：</w:t>
      </w:r>
      <w:r>
        <w:rPr>
          <w:sz w:val="24"/>
          <w:szCs w:val="24"/>
          <w:u w:val="single"/>
        </w:rPr>
        <w:t xml:space="preserve">                                        </w:t>
      </w:r>
      <w:r>
        <w:rPr>
          <w:sz w:val="24"/>
          <w:szCs w:val="24"/>
        </w:rPr>
        <w:t>，</w:t>
      </w:r>
    </w:p>
    <w:p w14:paraId="27763E38">
      <w:pPr>
        <w:tabs>
          <w:tab w:val="left" w:pos="0"/>
          <w:tab w:val="left" w:pos="721"/>
        </w:tabs>
        <w:spacing w:line="520" w:lineRule="exact"/>
        <w:ind w:firstLine="479" w:firstLineChars="214"/>
        <w:rPr>
          <w:sz w:val="24"/>
          <w:szCs w:val="24"/>
        </w:rPr>
      </w:pPr>
      <w:r>
        <w:rPr>
          <w:sz w:val="24"/>
          <w:szCs w:val="24"/>
        </w:rPr>
        <w:t>行号（数字代码）：</w:t>
      </w:r>
      <w:r>
        <w:rPr>
          <w:sz w:val="24"/>
          <w:szCs w:val="24"/>
          <w:u w:val="single"/>
        </w:rPr>
        <w:t xml:space="preserve">                                                </w:t>
      </w:r>
      <w:r>
        <w:rPr>
          <w:sz w:val="24"/>
          <w:szCs w:val="24"/>
        </w:rPr>
        <w:t>，</w:t>
      </w:r>
    </w:p>
    <w:p w14:paraId="164C1444">
      <w:pPr>
        <w:tabs>
          <w:tab w:val="left" w:pos="0"/>
          <w:tab w:val="left" w:pos="721"/>
        </w:tabs>
        <w:spacing w:line="520" w:lineRule="exact"/>
        <w:ind w:firstLine="479" w:firstLineChars="214"/>
        <w:rPr>
          <w:sz w:val="24"/>
          <w:szCs w:val="24"/>
        </w:rPr>
      </w:pPr>
      <w:r>
        <w:rPr>
          <w:rFonts w:hint="eastAsia"/>
          <w:sz w:val="24"/>
          <w:szCs w:val="24"/>
        </w:rPr>
        <w:t xml:space="preserve">账 </w:t>
      </w:r>
      <w:r>
        <w:rPr>
          <w:sz w:val="24"/>
          <w:szCs w:val="24"/>
        </w:rPr>
        <w:t xml:space="preserve">       号：</w:t>
      </w:r>
      <w:r>
        <w:rPr>
          <w:sz w:val="24"/>
          <w:szCs w:val="24"/>
          <w:u w:val="single"/>
        </w:rPr>
        <w:t xml:space="preserve">                                                   </w:t>
      </w:r>
      <w:r>
        <w:rPr>
          <w:szCs w:val="24"/>
        </w:rPr>
        <w:t>。</w:t>
      </w:r>
    </w:p>
    <w:p w14:paraId="7856A8AA">
      <w:pPr>
        <w:pStyle w:val="12"/>
        <w:spacing w:line="520" w:lineRule="exact"/>
        <w:ind w:left="-97" w:leftChars="-50" w:firstLine="448" w:firstLineChars="200"/>
        <w:rPr>
          <w:sz w:val="24"/>
          <w:szCs w:val="24"/>
        </w:rPr>
      </w:pPr>
      <w:r>
        <w:rPr>
          <w:rFonts w:hint="eastAsia"/>
          <w:sz w:val="24"/>
          <w:szCs w:val="24"/>
        </w:rPr>
        <w:t>八</w:t>
      </w:r>
      <w:r>
        <w:rPr>
          <w:sz w:val="24"/>
          <w:szCs w:val="24"/>
        </w:rPr>
        <w:t>、有关涉及本合同供方向天津市政府采购中心所提交的投标文件及有关澄清资料和服务承诺均视为本合同不可分割的部分，对供方具有约束力。</w:t>
      </w:r>
    </w:p>
    <w:p w14:paraId="16FAEE83">
      <w:pPr>
        <w:tabs>
          <w:tab w:val="left" w:pos="0"/>
          <w:tab w:val="left" w:pos="315"/>
        </w:tabs>
        <w:spacing w:line="520" w:lineRule="exact"/>
        <w:ind w:firstLine="448" w:firstLineChars="200"/>
        <w:rPr>
          <w:sz w:val="24"/>
          <w:szCs w:val="24"/>
        </w:rPr>
      </w:pPr>
      <w:r>
        <w:rPr>
          <w:rFonts w:hint="eastAsia"/>
          <w:sz w:val="24"/>
          <w:szCs w:val="24"/>
        </w:rPr>
        <w:t>九</w:t>
      </w:r>
      <w:r>
        <w:rPr>
          <w:sz w:val="24"/>
          <w:szCs w:val="24"/>
        </w:rPr>
        <w:t>、本合同一式   份，需方留存   份，供方留存   份，均具同等效力，签字盖章后生效。</w:t>
      </w:r>
    </w:p>
    <w:tbl>
      <w:tblPr>
        <w:tblStyle w:val="22"/>
        <w:tblW w:w="0" w:type="auto"/>
        <w:tblInd w:w="0" w:type="dxa"/>
        <w:tblLayout w:type="autofit"/>
        <w:tblCellMar>
          <w:top w:w="0" w:type="dxa"/>
          <w:left w:w="108" w:type="dxa"/>
          <w:bottom w:w="0" w:type="dxa"/>
          <w:right w:w="108" w:type="dxa"/>
        </w:tblCellMar>
      </w:tblPr>
      <w:tblGrid>
        <w:gridCol w:w="4261"/>
        <w:gridCol w:w="4261"/>
      </w:tblGrid>
      <w:tr w14:paraId="6EB86346">
        <w:tblPrEx>
          <w:tblCellMar>
            <w:top w:w="0" w:type="dxa"/>
            <w:left w:w="108" w:type="dxa"/>
            <w:bottom w:w="0" w:type="dxa"/>
            <w:right w:w="108" w:type="dxa"/>
          </w:tblCellMar>
        </w:tblPrEx>
        <w:tc>
          <w:tcPr>
            <w:tcW w:w="4261" w:type="dxa"/>
          </w:tcPr>
          <w:p w14:paraId="58DB32C0">
            <w:pPr>
              <w:tabs>
                <w:tab w:val="left" w:pos="0"/>
                <w:tab w:val="left" w:pos="315"/>
              </w:tabs>
              <w:spacing w:line="520" w:lineRule="exact"/>
              <w:rPr>
                <w:sz w:val="24"/>
                <w:szCs w:val="24"/>
              </w:rPr>
            </w:pPr>
            <w:r>
              <w:rPr>
                <w:sz w:val="24"/>
                <w:szCs w:val="24"/>
              </w:rPr>
              <w:t xml:space="preserve">供方（公章）： </w:t>
            </w:r>
          </w:p>
        </w:tc>
        <w:tc>
          <w:tcPr>
            <w:tcW w:w="4261" w:type="dxa"/>
          </w:tcPr>
          <w:p w14:paraId="4DE63821">
            <w:pPr>
              <w:tabs>
                <w:tab w:val="left" w:pos="0"/>
                <w:tab w:val="left" w:pos="315"/>
              </w:tabs>
              <w:spacing w:line="520" w:lineRule="exact"/>
              <w:rPr>
                <w:sz w:val="24"/>
                <w:szCs w:val="24"/>
              </w:rPr>
            </w:pPr>
            <w:r>
              <w:rPr>
                <w:sz w:val="24"/>
                <w:szCs w:val="24"/>
              </w:rPr>
              <w:t xml:space="preserve">需方（公章）： </w:t>
            </w:r>
          </w:p>
        </w:tc>
      </w:tr>
      <w:tr w14:paraId="6076DA2A">
        <w:tblPrEx>
          <w:tblCellMar>
            <w:top w:w="0" w:type="dxa"/>
            <w:left w:w="108" w:type="dxa"/>
            <w:bottom w:w="0" w:type="dxa"/>
            <w:right w:w="108" w:type="dxa"/>
          </w:tblCellMar>
        </w:tblPrEx>
        <w:tc>
          <w:tcPr>
            <w:tcW w:w="4261" w:type="dxa"/>
          </w:tcPr>
          <w:p w14:paraId="5377FC86">
            <w:pPr>
              <w:tabs>
                <w:tab w:val="left" w:pos="0"/>
                <w:tab w:val="left" w:pos="315"/>
              </w:tabs>
              <w:spacing w:line="520" w:lineRule="exact"/>
              <w:rPr>
                <w:sz w:val="24"/>
                <w:szCs w:val="24"/>
              </w:rPr>
            </w:pPr>
            <w:r>
              <w:rPr>
                <w:sz w:val="24"/>
                <w:szCs w:val="24"/>
              </w:rPr>
              <w:t xml:space="preserve">地址：  </w:t>
            </w:r>
          </w:p>
        </w:tc>
        <w:tc>
          <w:tcPr>
            <w:tcW w:w="4261" w:type="dxa"/>
          </w:tcPr>
          <w:p w14:paraId="08D30DDF">
            <w:pPr>
              <w:tabs>
                <w:tab w:val="left" w:pos="0"/>
                <w:tab w:val="left" w:pos="315"/>
              </w:tabs>
              <w:spacing w:line="520" w:lineRule="exact"/>
              <w:rPr>
                <w:sz w:val="24"/>
                <w:szCs w:val="24"/>
              </w:rPr>
            </w:pPr>
            <w:r>
              <w:rPr>
                <w:sz w:val="24"/>
                <w:szCs w:val="24"/>
              </w:rPr>
              <w:t xml:space="preserve">地址： </w:t>
            </w:r>
          </w:p>
        </w:tc>
      </w:tr>
      <w:tr w14:paraId="4DF74918">
        <w:tblPrEx>
          <w:tblCellMar>
            <w:top w:w="0" w:type="dxa"/>
            <w:left w:w="108" w:type="dxa"/>
            <w:bottom w:w="0" w:type="dxa"/>
            <w:right w:w="108" w:type="dxa"/>
          </w:tblCellMar>
        </w:tblPrEx>
        <w:tc>
          <w:tcPr>
            <w:tcW w:w="4261" w:type="dxa"/>
          </w:tcPr>
          <w:p w14:paraId="045205F0">
            <w:pPr>
              <w:tabs>
                <w:tab w:val="left" w:pos="360"/>
              </w:tabs>
              <w:spacing w:line="520" w:lineRule="exact"/>
              <w:rPr>
                <w:sz w:val="24"/>
                <w:szCs w:val="24"/>
              </w:rPr>
            </w:pPr>
            <w:r>
              <w:rPr>
                <w:sz w:val="24"/>
                <w:szCs w:val="24"/>
              </w:rPr>
              <w:t xml:space="preserve">法定代表人： </w:t>
            </w:r>
          </w:p>
        </w:tc>
        <w:tc>
          <w:tcPr>
            <w:tcW w:w="4261" w:type="dxa"/>
          </w:tcPr>
          <w:p w14:paraId="31C7FABB">
            <w:pPr>
              <w:tabs>
                <w:tab w:val="left" w:pos="360"/>
              </w:tabs>
              <w:spacing w:line="520" w:lineRule="exact"/>
              <w:rPr>
                <w:sz w:val="24"/>
                <w:szCs w:val="24"/>
              </w:rPr>
            </w:pPr>
            <w:r>
              <w:rPr>
                <w:sz w:val="24"/>
                <w:szCs w:val="24"/>
              </w:rPr>
              <w:t xml:space="preserve">法定代表人： </w:t>
            </w:r>
          </w:p>
        </w:tc>
      </w:tr>
      <w:tr w14:paraId="7AF26604">
        <w:tc>
          <w:tcPr>
            <w:tcW w:w="4261" w:type="dxa"/>
          </w:tcPr>
          <w:p w14:paraId="68633546">
            <w:pPr>
              <w:tabs>
                <w:tab w:val="left" w:pos="360"/>
              </w:tabs>
              <w:spacing w:line="520" w:lineRule="exact"/>
              <w:rPr>
                <w:sz w:val="24"/>
                <w:szCs w:val="24"/>
              </w:rPr>
            </w:pPr>
            <w:r>
              <w:rPr>
                <w:sz w:val="24"/>
                <w:szCs w:val="24"/>
              </w:rPr>
              <w:t xml:space="preserve">委托代理人： </w:t>
            </w:r>
          </w:p>
        </w:tc>
        <w:tc>
          <w:tcPr>
            <w:tcW w:w="4261" w:type="dxa"/>
          </w:tcPr>
          <w:p w14:paraId="7AF12D18">
            <w:pPr>
              <w:tabs>
                <w:tab w:val="left" w:pos="360"/>
              </w:tabs>
              <w:spacing w:line="520" w:lineRule="exact"/>
              <w:rPr>
                <w:sz w:val="24"/>
                <w:szCs w:val="24"/>
              </w:rPr>
            </w:pPr>
            <w:r>
              <w:rPr>
                <w:sz w:val="24"/>
                <w:szCs w:val="24"/>
              </w:rPr>
              <w:t xml:space="preserve">委托代理人： </w:t>
            </w:r>
          </w:p>
        </w:tc>
      </w:tr>
      <w:tr w14:paraId="6296D2CE">
        <w:tblPrEx>
          <w:tblCellMar>
            <w:top w:w="0" w:type="dxa"/>
            <w:left w:w="108" w:type="dxa"/>
            <w:bottom w:w="0" w:type="dxa"/>
            <w:right w:w="108" w:type="dxa"/>
          </w:tblCellMar>
        </w:tblPrEx>
        <w:tc>
          <w:tcPr>
            <w:tcW w:w="4261" w:type="dxa"/>
          </w:tcPr>
          <w:p w14:paraId="30C201AF">
            <w:pPr>
              <w:tabs>
                <w:tab w:val="left" w:pos="360"/>
              </w:tabs>
              <w:spacing w:line="520" w:lineRule="exact"/>
              <w:rPr>
                <w:sz w:val="24"/>
                <w:szCs w:val="24"/>
              </w:rPr>
            </w:pPr>
            <w:r>
              <w:rPr>
                <w:sz w:val="24"/>
                <w:szCs w:val="24"/>
              </w:rPr>
              <w:t>电话：</w:t>
            </w:r>
          </w:p>
        </w:tc>
        <w:tc>
          <w:tcPr>
            <w:tcW w:w="4261" w:type="dxa"/>
          </w:tcPr>
          <w:p w14:paraId="009C4A7E">
            <w:pPr>
              <w:tabs>
                <w:tab w:val="left" w:pos="360"/>
              </w:tabs>
              <w:spacing w:line="520" w:lineRule="exact"/>
              <w:rPr>
                <w:sz w:val="24"/>
                <w:szCs w:val="24"/>
              </w:rPr>
            </w:pPr>
            <w:r>
              <w:rPr>
                <w:sz w:val="24"/>
                <w:szCs w:val="24"/>
              </w:rPr>
              <w:t>电话：</w:t>
            </w:r>
          </w:p>
        </w:tc>
      </w:tr>
    </w:tbl>
    <w:p w14:paraId="00034159">
      <w:pPr>
        <w:rPr>
          <w:sz w:val="24"/>
          <w:szCs w:val="24"/>
        </w:rPr>
      </w:pPr>
    </w:p>
    <w:p w14:paraId="42B3836B">
      <w:pPr>
        <w:rPr>
          <w:szCs w:val="24"/>
        </w:rPr>
      </w:pPr>
      <w:r>
        <w:rPr>
          <w:sz w:val="24"/>
          <w:szCs w:val="24"/>
        </w:rPr>
        <w:t>时间：20</w:t>
      </w:r>
      <w:r>
        <w:rPr>
          <w:rFonts w:hint="eastAsia"/>
          <w:sz w:val="24"/>
          <w:szCs w:val="24"/>
        </w:rPr>
        <w:t xml:space="preserve">  </w:t>
      </w:r>
      <w:r>
        <w:rPr>
          <w:sz w:val="24"/>
          <w:szCs w:val="24"/>
        </w:rPr>
        <w:t>年  月  日</w:t>
      </w:r>
    </w:p>
    <w:p w14:paraId="2D14BEA2">
      <w:pPr>
        <w:jc w:val="center"/>
        <w:rPr>
          <w:b/>
          <w:sz w:val="30"/>
          <w:szCs w:val="30"/>
        </w:rPr>
      </w:pPr>
      <w:r>
        <w:rPr>
          <w:b/>
          <w:sz w:val="30"/>
          <w:szCs w:val="30"/>
        </w:rPr>
        <w:br w:type="page"/>
      </w:r>
      <w:r>
        <w:rPr>
          <w:b/>
          <w:sz w:val="30"/>
          <w:szCs w:val="30"/>
        </w:rPr>
        <w:t>合同特殊条款</w:t>
      </w:r>
    </w:p>
    <w:p w14:paraId="38F45654">
      <w:pPr>
        <w:tabs>
          <w:tab w:val="left" w:pos="360"/>
        </w:tabs>
        <w:spacing w:line="520" w:lineRule="exact"/>
        <w:ind w:firstLine="383" w:firstLineChars="171"/>
        <w:rPr>
          <w:sz w:val="24"/>
          <w:szCs w:val="24"/>
        </w:rPr>
      </w:pPr>
    </w:p>
    <w:p w14:paraId="03E6B93F">
      <w:pPr>
        <w:tabs>
          <w:tab w:val="left" w:pos="360"/>
        </w:tabs>
        <w:spacing w:line="520" w:lineRule="exact"/>
        <w:ind w:firstLine="383" w:firstLineChars="171"/>
        <w:rPr>
          <w:sz w:val="24"/>
          <w:szCs w:val="24"/>
        </w:rPr>
      </w:pPr>
      <w:r>
        <w:rPr>
          <w:sz w:val="24"/>
          <w:szCs w:val="24"/>
        </w:rPr>
        <w:t xml:space="preserve"> 合同特殊条款是合同一般条款的补充和修改。如果两者之间有抵触，应以特殊条款为准。</w:t>
      </w:r>
    </w:p>
    <w:p w14:paraId="436A4536">
      <w:pPr>
        <w:tabs>
          <w:tab w:val="left" w:pos="360"/>
        </w:tabs>
        <w:spacing w:line="520" w:lineRule="exact"/>
        <w:ind w:firstLine="383" w:firstLineChars="171"/>
        <w:rPr>
          <w:sz w:val="24"/>
          <w:szCs w:val="24"/>
        </w:rPr>
      </w:pPr>
      <w:r>
        <w:rPr>
          <w:sz w:val="24"/>
          <w:szCs w:val="24"/>
        </w:rPr>
        <w:t xml:space="preserve"> 合同特殊条款由</w:t>
      </w:r>
      <w:r>
        <w:rPr>
          <w:rFonts w:hint="eastAsia"/>
          <w:sz w:val="24"/>
          <w:szCs w:val="24"/>
        </w:rPr>
        <w:t>供方</w:t>
      </w:r>
      <w:r>
        <w:rPr>
          <w:sz w:val="24"/>
          <w:szCs w:val="24"/>
        </w:rPr>
        <w:t>和需方根据项目的具体情况协商拟订。</w:t>
      </w:r>
    </w:p>
    <w:p w14:paraId="2478E407">
      <w:pPr>
        <w:autoSpaceDE w:val="0"/>
        <w:autoSpaceDN w:val="0"/>
        <w:adjustRightInd w:val="0"/>
        <w:spacing w:line="360" w:lineRule="auto"/>
        <w:ind w:firstLine="448" w:firstLineChars="200"/>
        <w:rPr>
          <w:sz w:val="24"/>
        </w:rPr>
      </w:pPr>
    </w:p>
    <w:p w14:paraId="4E926EF2">
      <w:pPr>
        <w:widowControl/>
        <w:jc w:val="left"/>
        <w:rPr>
          <w:sz w:val="24"/>
        </w:rPr>
      </w:pPr>
      <w:r>
        <w:rPr>
          <w:sz w:val="24"/>
        </w:rPr>
        <w:br w:type="page"/>
      </w:r>
    </w:p>
    <w:p w14:paraId="27AF1DAB">
      <w:pPr>
        <w:pStyle w:val="16"/>
        <w:rPr>
          <w:rFonts w:ascii="Times New Roman" w:hAnsi="Times New Roman"/>
        </w:rPr>
      </w:pPr>
      <w:r>
        <w:rPr>
          <w:rFonts w:ascii="Times New Roman" w:hAnsi="Times New Roman"/>
        </w:rPr>
        <w:t>第五部分  投标文件格式</w:t>
      </w:r>
    </w:p>
    <w:p w14:paraId="14CA3719">
      <w:pPr>
        <w:autoSpaceDN w:val="0"/>
        <w:spacing w:line="360" w:lineRule="auto"/>
        <w:jc w:val="center"/>
        <w:rPr>
          <w:b/>
          <w:bCs/>
          <w:sz w:val="24"/>
        </w:rPr>
      </w:pPr>
      <w:r>
        <w:rPr>
          <w:b/>
          <w:bCs/>
          <w:sz w:val="24"/>
        </w:rPr>
        <w:t>投标文件封面格式</w:t>
      </w:r>
    </w:p>
    <w:p w14:paraId="39D52911">
      <w:pPr>
        <w:autoSpaceDE w:val="0"/>
        <w:autoSpaceDN w:val="0"/>
        <w:adjustRightInd w:val="0"/>
        <w:spacing w:line="520" w:lineRule="exact"/>
      </w:pPr>
    </w:p>
    <w:p w14:paraId="03A0CAE3">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1B51030B">
      <w:pPr>
        <w:autoSpaceDE w:val="0"/>
        <w:autoSpaceDN w:val="0"/>
        <w:adjustRightInd w:val="0"/>
        <w:spacing w:line="520" w:lineRule="exact"/>
        <w:rPr>
          <w:b/>
          <w:kern w:val="0"/>
          <w:sz w:val="24"/>
        </w:rPr>
      </w:pPr>
    </w:p>
    <w:p w14:paraId="003EA5D6">
      <w:pPr>
        <w:autoSpaceDE w:val="0"/>
        <w:autoSpaceDN w:val="0"/>
        <w:adjustRightInd w:val="0"/>
        <w:spacing w:line="520" w:lineRule="exact"/>
        <w:rPr>
          <w:b/>
          <w:kern w:val="0"/>
          <w:sz w:val="24"/>
        </w:rPr>
      </w:pPr>
    </w:p>
    <w:p w14:paraId="51FCE478">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54DF757E">
      <w:pPr>
        <w:autoSpaceDE w:val="0"/>
        <w:autoSpaceDN w:val="0"/>
        <w:adjustRightInd w:val="0"/>
        <w:spacing w:line="520" w:lineRule="exact"/>
        <w:rPr>
          <w:b/>
          <w:kern w:val="0"/>
          <w:sz w:val="36"/>
          <w:szCs w:val="36"/>
        </w:rPr>
      </w:pPr>
    </w:p>
    <w:p w14:paraId="3CB5AF10">
      <w:pPr>
        <w:autoSpaceDE w:val="0"/>
        <w:autoSpaceDN w:val="0"/>
        <w:adjustRightInd w:val="0"/>
        <w:spacing w:line="520" w:lineRule="exact"/>
        <w:jc w:val="center"/>
        <w:rPr>
          <w:b/>
          <w:kern w:val="0"/>
          <w:sz w:val="24"/>
        </w:rPr>
      </w:pPr>
      <w:r>
        <w:rPr>
          <w:b/>
          <w:kern w:val="0"/>
          <w:sz w:val="24"/>
        </w:rPr>
        <w:t>（加盖电子签章）</w:t>
      </w:r>
    </w:p>
    <w:p w14:paraId="5D71E869">
      <w:pPr>
        <w:spacing w:before="85" w:beforeLines="30" w:after="199" w:afterLines="70" w:line="540" w:lineRule="exact"/>
        <w:ind w:left="582" w:leftChars="300"/>
        <w:rPr>
          <w:b/>
          <w:sz w:val="34"/>
          <w:szCs w:val="34"/>
        </w:rPr>
      </w:pPr>
      <w:r>
        <w:rPr>
          <w:b/>
          <w:sz w:val="34"/>
          <w:szCs w:val="34"/>
        </w:rPr>
        <w:t>项目编号：</w:t>
      </w:r>
    </w:p>
    <w:p w14:paraId="38865B38">
      <w:pPr>
        <w:spacing w:before="85" w:beforeLines="30" w:after="199" w:afterLines="70" w:line="540" w:lineRule="exact"/>
        <w:ind w:left="2027" w:leftChars="300" w:hanging="1445" w:hangingChars="446"/>
        <w:rPr>
          <w:b/>
          <w:sz w:val="34"/>
          <w:szCs w:val="34"/>
        </w:rPr>
      </w:pPr>
      <w:r>
        <w:rPr>
          <w:b/>
          <w:sz w:val="34"/>
          <w:szCs w:val="34"/>
        </w:rPr>
        <w:t>项目名称：</w:t>
      </w:r>
    </w:p>
    <w:p w14:paraId="25DD3129">
      <w:pPr>
        <w:spacing w:before="85" w:beforeLines="30" w:after="199" w:afterLines="70" w:line="540" w:lineRule="exact"/>
        <w:ind w:left="2027" w:leftChars="300" w:hanging="1445" w:hangingChars="446"/>
        <w:rPr>
          <w:b/>
          <w:sz w:val="34"/>
          <w:szCs w:val="34"/>
        </w:rPr>
      </w:pPr>
      <w:r>
        <w:rPr>
          <w:b/>
          <w:sz w:val="34"/>
          <w:szCs w:val="34"/>
        </w:rPr>
        <w:t>所投包号：</w:t>
      </w:r>
    </w:p>
    <w:p w14:paraId="02718935">
      <w:pPr>
        <w:spacing w:before="85" w:beforeLines="30" w:after="199" w:afterLines="70" w:line="540" w:lineRule="exact"/>
        <w:ind w:left="582" w:leftChars="300"/>
        <w:rPr>
          <w:b/>
          <w:sz w:val="34"/>
          <w:szCs w:val="34"/>
        </w:rPr>
      </w:pPr>
      <w:r>
        <w:rPr>
          <w:b/>
          <w:sz w:val="34"/>
          <w:szCs w:val="34"/>
        </w:rPr>
        <w:t>投标单位名称：</w:t>
      </w:r>
    </w:p>
    <w:p w14:paraId="60A78004">
      <w:pPr>
        <w:spacing w:before="85" w:beforeLines="30" w:after="199" w:afterLines="70" w:line="540" w:lineRule="exact"/>
        <w:ind w:left="582" w:leftChars="300"/>
        <w:rPr>
          <w:b/>
          <w:sz w:val="34"/>
          <w:szCs w:val="34"/>
        </w:rPr>
      </w:pPr>
      <w:r>
        <w:rPr>
          <w:rFonts w:hint="eastAsia"/>
          <w:b/>
          <w:sz w:val="34"/>
          <w:szCs w:val="34"/>
        </w:rPr>
        <w:t>投标代表人姓名：</w:t>
      </w:r>
    </w:p>
    <w:p w14:paraId="71DB1B4C">
      <w:pPr>
        <w:spacing w:before="85" w:beforeLines="30" w:after="199" w:afterLines="70" w:line="540" w:lineRule="exact"/>
        <w:ind w:left="582" w:leftChars="300"/>
        <w:rPr>
          <w:b/>
          <w:sz w:val="34"/>
          <w:szCs w:val="34"/>
        </w:rPr>
      </w:pPr>
    </w:p>
    <w:p w14:paraId="12A343AF">
      <w:pPr>
        <w:spacing w:before="85" w:beforeLines="30" w:after="199" w:afterLines="70" w:line="540" w:lineRule="exact"/>
        <w:ind w:left="582" w:leftChars="300"/>
        <w:rPr>
          <w:b/>
          <w:sz w:val="34"/>
          <w:szCs w:val="34"/>
        </w:rPr>
      </w:pPr>
    </w:p>
    <w:p w14:paraId="36458867">
      <w:pPr>
        <w:spacing w:before="85" w:beforeLines="30" w:after="199" w:afterLines="70" w:line="540" w:lineRule="exact"/>
        <w:ind w:left="582" w:leftChars="300"/>
        <w:rPr>
          <w:b/>
          <w:sz w:val="34"/>
          <w:szCs w:val="34"/>
        </w:rPr>
      </w:pPr>
    </w:p>
    <w:p w14:paraId="5E33C31D">
      <w:pPr>
        <w:spacing w:before="85" w:beforeLines="30" w:after="199" w:afterLines="70" w:line="540" w:lineRule="exact"/>
        <w:ind w:left="582" w:leftChars="300"/>
        <w:rPr>
          <w:b/>
          <w:bCs/>
          <w:sz w:val="24"/>
        </w:rPr>
      </w:pPr>
      <w:r>
        <w:rPr>
          <w:b/>
          <w:sz w:val="34"/>
          <w:szCs w:val="34"/>
        </w:rPr>
        <w:t>投标日期：   年   月   日</w:t>
      </w:r>
    </w:p>
    <w:p w14:paraId="01A054D9">
      <w:pPr>
        <w:widowControl/>
        <w:jc w:val="left"/>
        <w:rPr>
          <w:b/>
          <w:bCs/>
          <w:sz w:val="24"/>
        </w:rPr>
      </w:pPr>
      <w:r>
        <w:rPr>
          <w:b/>
          <w:bCs/>
          <w:sz w:val="24"/>
        </w:rPr>
        <w:br w:type="page"/>
      </w:r>
    </w:p>
    <w:p w14:paraId="79612BF6">
      <w:pPr>
        <w:autoSpaceDN w:val="0"/>
        <w:spacing w:line="360" w:lineRule="auto"/>
        <w:jc w:val="center"/>
        <w:rPr>
          <w:b/>
          <w:bCs/>
          <w:sz w:val="24"/>
        </w:rPr>
      </w:pPr>
      <w:r>
        <w:rPr>
          <w:b/>
          <w:bCs/>
          <w:sz w:val="24"/>
        </w:rPr>
        <w:t>投标文件总目录</w:t>
      </w:r>
    </w:p>
    <w:p w14:paraId="7A547DD6">
      <w:pPr>
        <w:autoSpaceDN w:val="0"/>
        <w:spacing w:line="360" w:lineRule="auto"/>
        <w:jc w:val="center"/>
        <w:rPr>
          <w:b/>
          <w:bCs/>
          <w:sz w:val="24"/>
        </w:rPr>
      </w:pPr>
      <w:r>
        <w:rPr>
          <w:b/>
          <w:bCs/>
          <w:sz w:val="24"/>
        </w:rPr>
        <w:t>（</w:t>
      </w:r>
      <w:r>
        <w:rPr>
          <w:rFonts w:hint="eastAsia"/>
          <w:b/>
          <w:bCs/>
          <w:sz w:val="24"/>
        </w:rPr>
        <w:t>投标人</w:t>
      </w:r>
      <w:r>
        <w:rPr>
          <w:b/>
          <w:bCs/>
          <w:sz w:val="24"/>
        </w:rPr>
        <w:t>自行编制）</w:t>
      </w:r>
    </w:p>
    <w:p w14:paraId="13EB3CB9">
      <w:pPr>
        <w:widowControl/>
        <w:jc w:val="center"/>
        <w:rPr>
          <w:b/>
          <w:sz w:val="24"/>
        </w:rPr>
      </w:pPr>
    </w:p>
    <w:p w14:paraId="31BA1271">
      <w:pPr>
        <w:widowControl/>
        <w:jc w:val="left"/>
        <w:rPr>
          <w:b/>
          <w:sz w:val="24"/>
        </w:rPr>
      </w:pPr>
      <w:r>
        <w:rPr>
          <w:b/>
          <w:sz w:val="24"/>
        </w:rPr>
        <w:br w:type="page"/>
      </w:r>
    </w:p>
    <w:p w14:paraId="531D7A26">
      <w:pPr>
        <w:widowControl/>
        <w:jc w:val="center"/>
        <w:rPr>
          <w:b/>
          <w:sz w:val="24"/>
        </w:rPr>
      </w:pPr>
      <w:r>
        <w:rPr>
          <w:b/>
          <w:sz w:val="24"/>
        </w:rPr>
        <w:t>评分因素及评标标准页码检索</w:t>
      </w:r>
    </w:p>
    <w:p w14:paraId="63E5E7A0">
      <w:pPr>
        <w:widowControl/>
        <w:jc w:val="center"/>
        <w:rPr>
          <w:b/>
          <w:sz w:val="24"/>
        </w:rPr>
      </w:pPr>
      <w:r>
        <w:rPr>
          <w:b/>
          <w:bCs/>
          <w:sz w:val="24"/>
        </w:rPr>
        <w:t>（需投标人按招标文件“评分因素及评标标准”中每个评分项逐项列明页码）</w:t>
      </w:r>
    </w:p>
    <w:p w14:paraId="129DB47E">
      <w:pPr>
        <w:widowControl/>
        <w:jc w:val="left"/>
        <w:rPr>
          <w:sz w:val="24"/>
        </w:rPr>
      </w:pPr>
      <w:r>
        <w:rPr>
          <w:sz w:val="24"/>
        </w:rPr>
        <w:br w:type="page"/>
      </w:r>
    </w:p>
    <w:p w14:paraId="3976278D">
      <w:pPr>
        <w:tabs>
          <w:tab w:val="left" w:pos="360"/>
        </w:tabs>
        <w:spacing w:after="285" w:afterLines="100" w:line="360" w:lineRule="auto"/>
        <w:rPr>
          <w:b/>
          <w:sz w:val="24"/>
        </w:rPr>
      </w:pPr>
      <w:r>
        <w:rPr>
          <w:b/>
          <w:sz w:val="24"/>
        </w:rPr>
        <w:t>附件1</w:t>
      </w:r>
    </w:p>
    <w:p w14:paraId="10662FCE">
      <w:pPr>
        <w:autoSpaceDN w:val="0"/>
        <w:spacing w:line="360" w:lineRule="auto"/>
        <w:jc w:val="center"/>
        <w:rPr>
          <w:b/>
          <w:bCs/>
          <w:sz w:val="24"/>
        </w:rPr>
      </w:pPr>
      <w:r>
        <w:rPr>
          <w:b/>
          <w:bCs/>
          <w:sz w:val="24"/>
        </w:rPr>
        <w:t>投标书</w:t>
      </w:r>
    </w:p>
    <w:p w14:paraId="1B64AC26">
      <w:pPr>
        <w:spacing w:line="360" w:lineRule="auto"/>
        <w:rPr>
          <w:sz w:val="24"/>
        </w:rPr>
      </w:pPr>
      <w:r>
        <w:rPr>
          <w:sz w:val="24"/>
        </w:rPr>
        <w:t>致：天津市政府采购中心</w:t>
      </w:r>
    </w:p>
    <w:p w14:paraId="78486AA5">
      <w:pPr>
        <w:spacing w:line="360" w:lineRule="auto"/>
        <w:ind w:firstLine="448" w:firstLineChars="20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14:paraId="2CE0FB37">
      <w:pPr>
        <w:spacing w:line="360" w:lineRule="auto"/>
        <w:ind w:firstLine="448" w:firstLineChars="200"/>
        <w:rPr>
          <w:sz w:val="24"/>
        </w:rPr>
      </w:pPr>
      <w:r>
        <w:rPr>
          <w:sz w:val="24"/>
        </w:rPr>
        <w:t>据此函，签字代表宣布同意如下：</w:t>
      </w:r>
    </w:p>
    <w:p w14:paraId="283C99A7">
      <w:pPr>
        <w:spacing w:line="360" w:lineRule="auto"/>
        <w:ind w:firstLine="448" w:firstLineChars="200"/>
        <w:rPr>
          <w:sz w:val="24"/>
        </w:rPr>
      </w:pPr>
      <w:r>
        <w:rPr>
          <w:sz w:val="24"/>
        </w:rPr>
        <w:t>1. 所附投标报价表中规定的应提供和交付的服务投标总价为：</w:t>
      </w:r>
    </w:p>
    <w:p w14:paraId="549AD6AD">
      <w:pPr>
        <w:spacing w:line="360" w:lineRule="auto"/>
        <w:ind w:firstLine="448" w:firstLineChars="200"/>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14:paraId="1F0B3C73">
      <w:pPr>
        <w:spacing w:line="360" w:lineRule="auto"/>
        <w:ind w:firstLine="448" w:firstLineChars="200"/>
        <w:rPr>
          <w:sz w:val="24"/>
        </w:rPr>
      </w:pPr>
      <w:r>
        <w:rPr>
          <w:sz w:val="24"/>
        </w:rPr>
        <w:t>……</w:t>
      </w:r>
    </w:p>
    <w:p w14:paraId="48E47921">
      <w:pPr>
        <w:spacing w:line="360" w:lineRule="auto"/>
        <w:ind w:firstLine="448" w:firstLineChars="200"/>
        <w:rPr>
          <w:sz w:val="24"/>
        </w:rPr>
      </w:pPr>
      <w:r>
        <w:rPr>
          <w:sz w:val="24"/>
        </w:rPr>
        <w:t>2. 我公司将按招标文件的规定履行合同责任和义务。</w:t>
      </w:r>
    </w:p>
    <w:p w14:paraId="78B05581">
      <w:pPr>
        <w:spacing w:line="360" w:lineRule="auto"/>
        <w:ind w:firstLine="448" w:firstLineChars="200"/>
        <w:rPr>
          <w:sz w:val="24"/>
        </w:rPr>
      </w:pPr>
      <w:r>
        <w:rPr>
          <w:sz w:val="24"/>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57F66C7F">
      <w:pPr>
        <w:spacing w:line="360" w:lineRule="auto"/>
        <w:ind w:firstLine="448" w:firstLineChars="200"/>
        <w:rPr>
          <w:sz w:val="24"/>
        </w:rPr>
      </w:pPr>
      <w:r>
        <w:rPr>
          <w:sz w:val="24"/>
        </w:rPr>
        <w:t>4. 我公司的投标有效期为开标之日起60天。</w:t>
      </w:r>
    </w:p>
    <w:p w14:paraId="47E8237F">
      <w:pPr>
        <w:spacing w:line="360" w:lineRule="auto"/>
        <w:ind w:firstLine="448"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4D916B70">
      <w:pPr>
        <w:spacing w:line="360" w:lineRule="auto"/>
        <w:ind w:firstLine="448"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17A7E029">
      <w:pPr>
        <w:spacing w:line="360" w:lineRule="auto"/>
        <w:ind w:firstLine="448" w:firstLineChars="200"/>
        <w:rPr>
          <w:sz w:val="24"/>
        </w:rPr>
      </w:pPr>
      <w:r>
        <w:rPr>
          <w:sz w:val="24"/>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53CE4B72">
      <w:pPr>
        <w:spacing w:line="360" w:lineRule="auto"/>
        <w:ind w:firstLine="448" w:firstLineChars="200"/>
        <w:rPr>
          <w:sz w:val="24"/>
        </w:rPr>
      </w:pPr>
      <w:r>
        <w:rPr>
          <w:sz w:val="24"/>
        </w:rPr>
        <w:t>8. 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等法律法规规定，并随时接受采购人、采购代理机构的检查验证。在整个招标过程中，我公司若有违规行为，我公司完全接受贵中心依照相关法律法规和招标文件的规定给予处罚。</w:t>
      </w:r>
    </w:p>
    <w:p w14:paraId="69FA28E7">
      <w:pPr>
        <w:spacing w:line="360" w:lineRule="auto"/>
        <w:ind w:firstLine="448" w:firstLineChars="200"/>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27F5D049">
      <w:pPr>
        <w:spacing w:line="360" w:lineRule="auto"/>
        <w:ind w:firstLine="448" w:firstLineChars="200"/>
        <w:rPr>
          <w:sz w:val="24"/>
        </w:rPr>
      </w:pPr>
      <w:r>
        <w:rPr>
          <w:rFonts w:hint="eastAsia"/>
          <w:sz w:val="24"/>
        </w:rPr>
        <w:t>10</w:t>
      </w:r>
      <w:r>
        <w:rPr>
          <w:sz w:val="24"/>
        </w:rPr>
        <w:t>. 我公司若中标，本承诺将成为合同不可分割的一部分，与合同具有同等的法律效力。</w:t>
      </w:r>
    </w:p>
    <w:p w14:paraId="3E5A6698">
      <w:pPr>
        <w:spacing w:line="360" w:lineRule="auto"/>
        <w:ind w:firstLine="448" w:firstLineChars="200"/>
        <w:rPr>
          <w:sz w:val="24"/>
        </w:rPr>
      </w:pPr>
      <w:r>
        <w:rPr>
          <w:sz w:val="24"/>
        </w:rPr>
        <w:t>1</w:t>
      </w:r>
      <w:r>
        <w:rPr>
          <w:rFonts w:hint="eastAsia"/>
          <w:sz w:val="24"/>
        </w:rPr>
        <w:t>1</w:t>
      </w:r>
      <w:r>
        <w:rPr>
          <w:sz w:val="24"/>
        </w:rPr>
        <w:t>. 如违反上述承诺，我公司投标无效且接受相关部门依法作出的处罚，并承担通过相关媒体予以公布的任何风险和责任。</w:t>
      </w:r>
    </w:p>
    <w:p w14:paraId="473271E3">
      <w:pPr>
        <w:spacing w:line="360" w:lineRule="auto"/>
        <w:ind w:firstLine="448"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3457AF12">
      <w:pPr>
        <w:spacing w:line="360" w:lineRule="auto"/>
        <w:ind w:firstLine="448" w:firstLineChars="200"/>
        <w:rPr>
          <w:sz w:val="24"/>
        </w:rPr>
      </w:pPr>
      <w:r>
        <w:rPr>
          <w:rFonts w:hint="eastAsia"/>
          <w:sz w:val="24"/>
        </w:rPr>
        <w:t>纳税人识别号：</w:t>
      </w:r>
    </w:p>
    <w:p w14:paraId="62207CF4">
      <w:pPr>
        <w:spacing w:line="360" w:lineRule="auto"/>
        <w:ind w:firstLine="448" w:firstLineChars="200"/>
        <w:rPr>
          <w:sz w:val="24"/>
        </w:rPr>
      </w:pPr>
      <w:r>
        <w:rPr>
          <w:rFonts w:hint="eastAsia"/>
          <w:sz w:val="24"/>
        </w:rPr>
        <w:t>地址、电话：</w:t>
      </w:r>
    </w:p>
    <w:p w14:paraId="02EE22DF">
      <w:pPr>
        <w:spacing w:line="360" w:lineRule="auto"/>
        <w:ind w:firstLine="448" w:firstLineChars="200"/>
        <w:rPr>
          <w:sz w:val="24"/>
        </w:rPr>
      </w:pPr>
      <w:r>
        <w:rPr>
          <w:rFonts w:hint="eastAsia"/>
          <w:sz w:val="24"/>
        </w:rPr>
        <w:t>开户行及账号：</w:t>
      </w:r>
    </w:p>
    <w:p w14:paraId="2DC04219">
      <w:pPr>
        <w:spacing w:line="360" w:lineRule="auto"/>
        <w:ind w:firstLine="448" w:firstLineChars="200"/>
        <w:rPr>
          <w:sz w:val="24"/>
        </w:rPr>
      </w:pPr>
      <w:r>
        <w:rPr>
          <w:rFonts w:hint="eastAsia"/>
          <w:sz w:val="24"/>
        </w:rPr>
        <w:t>开具发票类型：□增值税专用发票         □增值税普通发票</w:t>
      </w:r>
    </w:p>
    <w:p w14:paraId="39B4F744">
      <w:pPr>
        <w:spacing w:line="360" w:lineRule="auto"/>
        <w:ind w:firstLine="448"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538CFE67">
      <w:pPr>
        <w:spacing w:line="360" w:lineRule="auto"/>
        <w:ind w:firstLine="448" w:firstLineChars="200"/>
        <w:rPr>
          <w:b/>
          <w:sz w:val="24"/>
        </w:rPr>
      </w:pPr>
      <w:r>
        <w:rPr>
          <w:rFonts w:hint="eastAsia"/>
          <w:b/>
          <w:sz w:val="24"/>
        </w:rPr>
        <w:t>□</w:t>
      </w:r>
      <w:r>
        <w:rPr>
          <w:b/>
          <w:sz w:val="24"/>
        </w:rPr>
        <w:t>上门自取</w:t>
      </w:r>
    </w:p>
    <w:p w14:paraId="5DB57A4F">
      <w:pPr>
        <w:spacing w:line="360" w:lineRule="auto"/>
        <w:ind w:firstLine="448" w:firstLineChars="200"/>
        <w:rPr>
          <w:sz w:val="24"/>
        </w:rPr>
      </w:pPr>
    </w:p>
    <w:p w14:paraId="78BD0188">
      <w:pPr>
        <w:spacing w:line="360" w:lineRule="auto"/>
        <w:ind w:firstLine="448" w:firstLineChars="200"/>
        <w:rPr>
          <w:b/>
          <w:sz w:val="24"/>
        </w:rPr>
      </w:pPr>
      <w:r>
        <w:rPr>
          <w:rFonts w:hint="eastAsia"/>
          <w:b/>
          <w:sz w:val="24"/>
        </w:rPr>
        <w:t>□</w:t>
      </w:r>
      <w:r>
        <w:rPr>
          <w:b/>
          <w:sz w:val="24"/>
        </w:rPr>
        <w:t>到付邮寄</w:t>
      </w:r>
    </w:p>
    <w:p w14:paraId="6E6C98E3">
      <w:pPr>
        <w:spacing w:line="360" w:lineRule="auto"/>
        <w:ind w:firstLine="448" w:firstLineChars="200"/>
        <w:rPr>
          <w:sz w:val="24"/>
        </w:rPr>
      </w:pPr>
      <w:r>
        <w:rPr>
          <w:sz w:val="24"/>
        </w:rPr>
        <w:t>邮寄地址</w:t>
      </w:r>
      <w:r>
        <w:rPr>
          <w:rFonts w:hint="eastAsia"/>
          <w:sz w:val="24"/>
        </w:rPr>
        <w:t>、邮编</w:t>
      </w:r>
      <w:r>
        <w:rPr>
          <w:sz w:val="24"/>
        </w:rPr>
        <w:t>：</w:t>
      </w:r>
    </w:p>
    <w:p w14:paraId="7C68E470">
      <w:pPr>
        <w:spacing w:line="360" w:lineRule="auto"/>
        <w:ind w:firstLine="448" w:firstLineChars="200"/>
        <w:rPr>
          <w:sz w:val="24"/>
        </w:rPr>
      </w:pPr>
      <w:r>
        <w:rPr>
          <w:sz w:val="24"/>
        </w:rPr>
        <w:t>邮寄联系人、手机号码：</w:t>
      </w:r>
    </w:p>
    <w:p w14:paraId="35948B45">
      <w:pPr>
        <w:spacing w:line="360" w:lineRule="auto"/>
        <w:ind w:firstLine="3808" w:firstLineChars="1700"/>
        <w:rPr>
          <w:sz w:val="24"/>
        </w:rPr>
      </w:pPr>
    </w:p>
    <w:p w14:paraId="7BFEA8F9">
      <w:pPr>
        <w:spacing w:line="360" w:lineRule="auto"/>
        <w:ind w:firstLine="3808" w:firstLineChars="1700"/>
        <w:rPr>
          <w:sz w:val="24"/>
        </w:rPr>
      </w:pPr>
      <w:r>
        <w:rPr>
          <w:sz w:val="24"/>
        </w:rPr>
        <w:t>投标人名称：</w:t>
      </w:r>
    </w:p>
    <w:p w14:paraId="3FB506E0">
      <w:pPr>
        <w:spacing w:line="360" w:lineRule="auto"/>
        <w:ind w:firstLine="3808" w:firstLineChars="1700"/>
        <w:rPr>
          <w:sz w:val="24"/>
        </w:rPr>
      </w:pPr>
    </w:p>
    <w:p w14:paraId="375E8B50">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A531D44">
      <w:pPr>
        <w:spacing w:line="460" w:lineRule="exact"/>
        <w:rPr>
          <w:sz w:val="24"/>
        </w:rPr>
      </w:pPr>
    </w:p>
    <w:p w14:paraId="1ED36CD7">
      <w:pPr>
        <w:widowControl/>
        <w:jc w:val="left"/>
        <w:rPr>
          <w:sz w:val="24"/>
        </w:rPr>
      </w:pPr>
      <w:r>
        <w:rPr>
          <w:sz w:val="24"/>
        </w:rPr>
        <w:br w:type="page"/>
      </w:r>
    </w:p>
    <w:p w14:paraId="6E364137">
      <w:pPr>
        <w:widowControl/>
        <w:jc w:val="left"/>
        <w:rPr>
          <w:b/>
          <w:sz w:val="24"/>
        </w:rPr>
      </w:pPr>
      <w:r>
        <w:rPr>
          <w:b/>
          <w:sz w:val="24"/>
        </w:rPr>
        <w:t>附件2</w:t>
      </w:r>
    </w:p>
    <w:p w14:paraId="7CA4BEB1">
      <w:pPr>
        <w:autoSpaceDN w:val="0"/>
        <w:spacing w:line="360" w:lineRule="auto"/>
        <w:jc w:val="center"/>
        <w:rPr>
          <w:b/>
          <w:bCs/>
          <w:sz w:val="24"/>
        </w:rPr>
      </w:pPr>
    </w:p>
    <w:p w14:paraId="51054668">
      <w:pPr>
        <w:ind w:right="84"/>
        <w:jc w:val="center"/>
        <w:rPr>
          <w:b/>
          <w:sz w:val="24"/>
        </w:rPr>
      </w:pPr>
      <w:r>
        <w:rPr>
          <w:rFonts w:hint="eastAsia"/>
          <w:b/>
          <w:sz w:val="24"/>
        </w:rPr>
        <w:t>供应商资格声明函</w:t>
      </w:r>
    </w:p>
    <w:p w14:paraId="64037098">
      <w:pPr>
        <w:spacing w:line="360" w:lineRule="auto"/>
        <w:ind w:firstLine="420"/>
        <w:jc w:val="center"/>
        <w:rPr>
          <w:b/>
          <w:sz w:val="24"/>
        </w:rPr>
      </w:pPr>
    </w:p>
    <w:p w14:paraId="517BB2B5">
      <w:pPr>
        <w:spacing w:line="360" w:lineRule="auto"/>
        <w:rPr>
          <w:sz w:val="24"/>
        </w:rPr>
      </w:pPr>
      <w:r>
        <w:rPr>
          <w:rFonts w:hint="eastAsia"/>
          <w:sz w:val="24"/>
        </w:rPr>
        <w:t>天津市政府采购中心：</w:t>
      </w:r>
    </w:p>
    <w:p w14:paraId="7D4BC2D0">
      <w:pPr>
        <w:spacing w:line="360" w:lineRule="auto"/>
        <w:ind w:firstLine="448" w:firstLineChars="200"/>
        <w:rPr>
          <w:sz w:val="24"/>
        </w:rPr>
      </w:pPr>
      <w:r>
        <w:rPr>
          <w:rFonts w:hint="eastAsia"/>
          <w:sz w:val="24"/>
        </w:rPr>
        <w:t>我单位自愿参与本项目的政府采购活动，郑重承诺如下：</w:t>
      </w:r>
    </w:p>
    <w:p w14:paraId="5EAEE40B">
      <w:pPr>
        <w:spacing w:line="360" w:lineRule="auto"/>
        <w:ind w:firstLine="448" w:firstLineChars="200"/>
        <w:rPr>
          <w:sz w:val="24"/>
        </w:rPr>
      </w:pPr>
      <w:r>
        <w:rPr>
          <w:rFonts w:hint="eastAsia"/>
          <w:sz w:val="24"/>
        </w:rPr>
        <w:t>（一）我单位具有良好的商业信誉和健全的财务会计制度；</w:t>
      </w:r>
    </w:p>
    <w:p w14:paraId="0C6E9A3D">
      <w:pPr>
        <w:spacing w:line="360" w:lineRule="auto"/>
        <w:ind w:firstLine="448" w:firstLineChars="200"/>
        <w:rPr>
          <w:sz w:val="24"/>
        </w:rPr>
      </w:pPr>
      <w:r>
        <w:rPr>
          <w:rFonts w:hint="eastAsia"/>
          <w:sz w:val="24"/>
        </w:rPr>
        <w:t>（二）我单位依法缴纳税收和社会保障资金；</w:t>
      </w:r>
    </w:p>
    <w:p w14:paraId="16ADC85E">
      <w:pPr>
        <w:spacing w:line="360" w:lineRule="auto"/>
        <w:ind w:firstLine="448" w:firstLineChars="200"/>
        <w:rPr>
          <w:sz w:val="24"/>
        </w:rPr>
      </w:pPr>
      <w:r>
        <w:rPr>
          <w:rFonts w:hint="eastAsia"/>
          <w:sz w:val="24"/>
        </w:rPr>
        <w:t>（三）我单位具备履行合同所必需的设备和专业技术能力；</w:t>
      </w:r>
    </w:p>
    <w:p w14:paraId="04308F09">
      <w:pPr>
        <w:spacing w:line="360" w:lineRule="auto"/>
        <w:ind w:firstLine="448" w:firstLineChars="200"/>
        <w:rPr>
          <w:sz w:val="24"/>
        </w:rPr>
      </w:pPr>
      <w:r>
        <w:rPr>
          <w:rFonts w:hint="eastAsia"/>
          <w:sz w:val="24"/>
        </w:rPr>
        <w:t>（四）参加政府采购活动前3年我单位在经营活动中没有重大违法记录；</w:t>
      </w:r>
    </w:p>
    <w:p w14:paraId="661E0D4B">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694D3D7F">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721EB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1F9A654">
            <w:pPr>
              <w:jc w:val="center"/>
              <w:rPr>
                <w:szCs w:val="21"/>
              </w:rPr>
            </w:pPr>
            <w:r>
              <w:rPr>
                <w:rFonts w:hint="eastAsia"/>
                <w:szCs w:val="21"/>
              </w:rPr>
              <w:t>序号</w:t>
            </w:r>
          </w:p>
        </w:tc>
        <w:tc>
          <w:tcPr>
            <w:tcW w:w="2273" w:type="pct"/>
            <w:vAlign w:val="center"/>
          </w:tcPr>
          <w:p w14:paraId="2F68CCFB">
            <w:pPr>
              <w:jc w:val="center"/>
              <w:rPr>
                <w:szCs w:val="21"/>
              </w:rPr>
            </w:pPr>
            <w:r>
              <w:rPr>
                <w:rFonts w:hint="eastAsia"/>
                <w:szCs w:val="21"/>
              </w:rPr>
              <w:t>单位名称</w:t>
            </w:r>
          </w:p>
        </w:tc>
        <w:tc>
          <w:tcPr>
            <w:tcW w:w="1667" w:type="pct"/>
            <w:vAlign w:val="center"/>
          </w:tcPr>
          <w:p w14:paraId="51F4CF12">
            <w:pPr>
              <w:jc w:val="center"/>
              <w:rPr>
                <w:szCs w:val="21"/>
              </w:rPr>
            </w:pPr>
            <w:r>
              <w:rPr>
                <w:rFonts w:hint="eastAsia"/>
                <w:szCs w:val="21"/>
              </w:rPr>
              <w:t>相互关系类型</w:t>
            </w:r>
          </w:p>
        </w:tc>
      </w:tr>
      <w:tr w14:paraId="71D60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00BEE9E3">
            <w:pPr>
              <w:jc w:val="center"/>
              <w:rPr>
                <w:szCs w:val="21"/>
              </w:rPr>
            </w:pPr>
            <w:r>
              <w:rPr>
                <w:rFonts w:hint="eastAsia"/>
                <w:szCs w:val="21"/>
              </w:rPr>
              <w:t>1</w:t>
            </w:r>
          </w:p>
        </w:tc>
        <w:tc>
          <w:tcPr>
            <w:tcW w:w="2273" w:type="pct"/>
            <w:vAlign w:val="center"/>
          </w:tcPr>
          <w:p w14:paraId="18433F59">
            <w:pPr>
              <w:jc w:val="center"/>
              <w:rPr>
                <w:szCs w:val="21"/>
              </w:rPr>
            </w:pPr>
          </w:p>
        </w:tc>
        <w:tc>
          <w:tcPr>
            <w:tcW w:w="1667" w:type="pct"/>
            <w:vAlign w:val="center"/>
          </w:tcPr>
          <w:p w14:paraId="093596DC">
            <w:pPr>
              <w:jc w:val="center"/>
              <w:rPr>
                <w:szCs w:val="21"/>
              </w:rPr>
            </w:pPr>
          </w:p>
        </w:tc>
      </w:tr>
      <w:tr w14:paraId="09CD0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07B27D09">
            <w:pPr>
              <w:jc w:val="center"/>
              <w:rPr>
                <w:szCs w:val="21"/>
              </w:rPr>
            </w:pPr>
            <w:r>
              <w:rPr>
                <w:rFonts w:hint="eastAsia"/>
                <w:szCs w:val="21"/>
              </w:rPr>
              <w:t>2</w:t>
            </w:r>
          </w:p>
        </w:tc>
        <w:tc>
          <w:tcPr>
            <w:tcW w:w="2273" w:type="pct"/>
            <w:vAlign w:val="center"/>
          </w:tcPr>
          <w:p w14:paraId="7CCF2D7B">
            <w:pPr>
              <w:jc w:val="center"/>
              <w:rPr>
                <w:szCs w:val="21"/>
              </w:rPr>
            </w:pPr>
          </w:p>
        </w:tc>
        <w:tc>
          <w:tcPr>
            <w:tcW w:w="1667" w:type="pct"/>
            <w:vAlign w:val="center"/>
          </w:tcPr>
          <w:p w14:paraId="480C0F94">
            <w:pPr>
              <w:jc w:val="center"/>
              <w:rPr>
                <w:szCs w:val="21"/>
              </w:rPr>
            </w:pPr>
          </w:p>
        </w:tc>
      </w:tr>
      <w:tr w14:paraId="6CF10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1" w:type="pct"/>
            <w:vAlign w:val="center"/>
          </w:tcPr>
          <w:p w14:paraId="14763ADA">
            <w:pPr>
              <w:jc w:val="center"/>
              <w:rPr>
                <w:szCs w:val="21"/>
              </w:rPr>
            </w:pPr>
            <w:r>
              <w:rPr>
                <w:rFonts w:hint="eastAsia"/>
                <w:szCs w:val="21"/>
              </w:rPr>
              <w:t>3</w:t>
            </w:r>
          </w:p>
        </w:tc>
        <w:tc>
          <w:tcPr>
            <w:tcW w:w="2273" w:type="pct"/>
            <w:vAlign w:val="center"/>
          </w:tcPr>
          <w:p w14:paraId="72DA2691">
            <w:pPr>
              <w:jc w:val="center"/>
              <w:rPr>
                <w:szCs w:val="21"/>
              </w:rPr>
            </w:pPr>
          </w:p>
        </w:tc>
        <w:tc>
          <w:tcPr>
            <w:tcW w:w="1667" w:type="pct"/>
            <w:vAlign w:val="center"/>
          </w:tcPr>
          <w:p w14:paraId="0AE6E05C">
            <w:pPr>
              <w:jc w:val="center"/>
              <w:rPr>
                <w:szCs w:val="21"/>
              </w:rPr>
            </w:pPr>
          </w:p>
        </w:tc>
      </w:tr>
    </w:tbl>
    <w:p w14:paraId="4AB61175">
      <w:pPr>
        <w:spacing w:line="360" w:lineRule="auto"/>
        <w:ind w:firstLine="448" w:firstLineChars="200"/>
        <w:rPr>
          <w:sz w:val="24"/>
        </w:rPr>
      </w:pPr>
      <w:r>
        <w:rPr>
          <w:rFonts w:hint="eastAsia"/>
          <w:sz w:val="24"/>
        </w:rPr>
        <w:t>上表未填写的，视为不存在第（六）条所列情形</w:t>
      </w:r>
    </w:p>
    <w:p w14:paraId="71C0B70F">
      <w:pPr>
        <w:spacing w:line="360" w:lineRule="auto"/>
        <w:ind w:firstLine="448" w:firstLineChars="200"/>
        <w:rPr>
          <w:sz w:val="24"/>
        </w:rPr>
      </w:pPr>
    </w:p>
    <w:p w14:paraId="7A517CF5">
      <w:pPr>
        <w:spacing w:line="360" w:lineRule="auto"/>
        <w:ind w:firstLine="448" w:firstLineChars="200"/>
        <w:rPr>
          <w:sz w:val="24"/>
        </w:rPr>
      </w:pPr>
      <w:r>
        <w:rPr>
          <w:rFonts w:hint="eastAsia"/>
          <w:sz w:val="24"/>
        </w:rPr>
        <w:t>上述声明真实有效，否则我单位承担全部责任和不利后果。</w:t>
      </w:r>
    </w:p>
    <w:p w14:paraId="5F7FA3B0">
      <w:pPr>
        <w:spacing w:line="360" w:lineRule="auto"/>
        <w:ind w:firstLine="448" w:firstLineChars="200"/>
        <w:rPr>
          <w:sz w:val="24"/>
        </w:rPr>
      </w:pPr>
    </w:p>
    <w:p w14:paraId="6A1D5509">
      <w:pPr>
        <w:spacing w:line="360" w:lineRule="auto"/>
        <w:ind w:firstLine="224" w:firstLineChars="100"/>
        <w:rPr>
          <w:sz w:val="24"/>
        </w:rPr>
      </w:pPr>
      <w:r>
        <w:rPr>
          <w:sz w:val="24"/>
        </w:rPr>
        <w:t>投标人名称：</w:t>
      </w:r>
    </w:p>
    <w:p w14:paraId="20BE658F">
      <w:pPr>
        <w:spacing w:line="360" w:lineRule="auto"/>
        <w:ind w:firstLine="224" w:firstLineChars="100"/>
        <w:rPr>
          <w:sz w:val="24"/>
        </w:rPr>
      </w:pPr>
    </w:p>
    <w:p w14:paraId="18AEC724">
      <w:pPr>
        <w:spacing w:line="360" w:lineRule="auto"/>
        <w:ind w:firstLine="224" w:firstLineChars="100"/>
        <w:rPr>
          <w:position w:val="-40"/>
          <w:sz w:val="24"/>
        </w:rPr>
      </w:pPr>
      <w:r>
        <w:rPr>
          <w:sz w:val="24"/>
        </w:rPr>
        <w:t xml:space="preserve">日期：  </w:t>
      </w:r>
    </w:p>
    <w:p w14:paraId="43B1F973">
      <w:pPr>
        <w:autoSpaceDN w:val="0"/>
        <w:spacing w:line="360" w:lineRule="auto"/>
        <w:jc w:val="center"/>
        <w:rPr>
          <w:b/>
          <w:bCs/>
          <w:sz w:val="24"/>
        </w:rPr>
      </w:pPr>
    </w:p>
    <w:p w14:paraId="48F002A0">
      <w:pPr>
        <w:widowControl/>
        <w:jc w:val="left"/>
        <w:rPr>
          <w:b/>
          <w:bCs/>
          <w:sz w:val="24"/>
        </w:rPr>
      </w:pPr>
      <w:r>
        <w:rPr>
          <w:b/>
          <w:bCs/>
          <w:sz w:val="24"/>
        </w:rPr>
        <w:br w:type="page"/>
      </w:r>
    </w:p>
    <w:p w14:paraId="3300DF8D">
      <w:pPr>
        <w:spacing w:line="460" w:lineRule="exact"/>
        <w:rPr>
          <w:b/>
          <w:sz w:val="24"/>
        </w:rPr>
      </w:pPr>
      <w:r>
        <w:rPr>
          <w:rFonts w:hint="eastAsia"/>
          <w:b/>
          <w:bCs/>
          <w:sz w:val="24"/>
        </w:rPr>
        <w:t>附件2-1：招标文件第一部分供应商资格要求的证件</w:t>
      </w:r>
    </w:p>
    <w:p w14:paraId="1EEBA6C2">
      <w:pPr>
        <w:widowControl/>
        <w:jc w:val="left"/>
        <w:rPr>
          <w:b/>
          <w:bCs/>
          <w:sz w:val="24"/>
        </w:rPr>
      </w:pPr>
      <w:r>
        <w:rPr>
          <w:b/>
          <w:bCs/>
          <w:sz w:val="24"/>
        </w:rPr>
        <w:br w:type="page"/>
      </w:r>
    </w:p>
    <w:p w14:paraId="31B6160C">
      <w:pPr>
        <w:autoSpaceDN w:val="0"/>
        <w:spacing w:line="360" w:lineRule="auto"/>
        <w:rPr>
          <w:b/>
          <w:bCs/>
          <w:sz w:val="24"/>
        </w:rPr>
      </w:pPr>
      <w:r>
        <w:rPr>
          <w:rFonts w:hint="eastAsia"/>
          <w:b/>
          <w:bCs/>
          <w:sz w:val="24"/>
        </w:rPr>
        <w:t>附件3</w:t>
      </w:r>
    </w:p>
    <w:p w14:paraId="2C7D244B">
      <w:pPr>
        <w:autoSpaceDN w:val="0"/>
        <w:spacing w:line="360" w:lineRule="auto"/>
        <w:jc w:val="center"/>
        <w:rPr>
          <w:b/>
          <w:bCs/>
          <w:sz w:val="24"/>
        </w:rPr>
      </w:pPr>
    </w:p>
    <w:p w14:paraId="1CBB41C4">
      <w:pPr>
        <w:autoSpaceDN w:val="0"/>
        <w:spacing w:line="360" w:lineRule="auto"/>
        <w:jc w:val="center"/>
        <w:rPr>
          <w:b/>
          <w:bCs/>
          <w:sz w:val="24"/>
        </w:rPr>
      </w:pPr>
      <w:r>
        <w:rPr>
          <w:b/>
          <w:bCs/>
          <w:sz w:val="24"/>
        </w:rPr>
        <w:t>开标一览表</w:t>
      </w:r>
    </w:p>
    <w:p w14:paraId="3CFDF959">
      <w:pPr>
        <w:ind w:right="84"/>
        <w:rPr>
          <w:sz w:val="24"/>
        </w:rPr>
      </w:pPr>
    </w:p>
    <w:p w14:paraId="276981DB">
      <w:pPr>
        <w:spacing w:line="460" w:lineRule="exact"/>
        <w:rPr>
          <w:sz w:val="24"/>
        </w:rPr>
      </w:pPr>
      <w:r>
        <w:rPr>
          <w:sz w:val="24"/>
        </w:rPr>
        <w:t>项目名称：</w:t>
      </w:r>
      <w:r>
        <w:rPr>
          <w:sz w:val="24"/>
          <w:u w:val="single"/>
        </w:rPr>
        <w:t xml:space="preserve">                    </w:t>
      </w:r>
    </w:p>
    <w:p w14:paraId="6F32C641">
      <w:pPr>
        <w:spacing w:line="460" w:lineRule="exact"/>
        <w:rPr>
          <w:sz w:val="24"/>
        </w:rPr>
      </w:pPr>
      <w:r>
        <w:rPr>
          <w:sz w:val="24"/>
        </w:rPr>
        <w:t>项目编号：</w:t>
      </w:r>
      <w:r>
        <w:rPr>
          <w:sz w:val="24"/>
          <w:u w:val="single"/>
        </w:rPr>
        <w:t xml:space="preserve">                    </w:t>
      </w:r>
    </w:p>
    <w:p w14:paraId="77280F90">
      <w:pPr>
        <w:spacing w:line="460" w:lineRule="exact"/>
        <w:rPr>
          <w:sz w:val="24"/>
          <w:u w:val="single"/>
        </w:rPr>
      </w:pPr>
      <w:r>
        <w:rPr>
          <w:sz w:val="24"/>
        </w:rPr>
        <w:t>包号：</w:t>
      </w:r>
      <w:r>
        <w:rPr>
          <w:sz w:val="24"/>
          <w:u w:val="single"/>
        </w:rPr>
        <w:t xml:space="preserve">                        </w:t>
      </w:r>
    </w:p>
    <w:p w14:paraId="65BFFF9E">
      <w:pPr>
        <w:spacing w:line="460" w:lineRule="exact"/>
        <w:rPr>
          <w:sz w:val="24"/>
        </w:rPr>
      </w:pPr>
      <w:r>
        <w:rPr>
          <w:sz w:val="24"/>
        </w:rPr>
        <w:t xml:space="preserve">                                                       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8"/>
      </w:tblGrid>
      <w:tr w14:paraId="28D7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07A15056">
            <w:pPr>
              <w:spacing w:line="460" w:lineRule="exact"/>
              <w:jc w:val="center"/>
              <w:rPr>
                <w:sz w:val="24"/>
              </w:rPr>
            </w:pPr>
            <w:r>
              <w:rPr>
                <w:sz w:val="24"/>
              </w:rPr>
              <w:t>包号</w:t>
            </w:r>
          </w:p>
        </w:tc>
        <w:tc>
          <w:tcPr>
            <w:tcW w:w="1278" w:type="pct"/>
            <w:vAlign w:val="center"/>
          </w:tcPr>
          <w:p w14:paraId="01EB57D0">
            <w:pPr>
              <w:spacing w:line="460" w:lineRule="exact"/>
              <w:jc w:val="center"/>
              <w:rPr>
                <w:sz w:val="24"/>
              </w:rPr>
            </w:pPr>
            <w:r>
              <w:rPr>
                <w:sz w:val="24"/>
              </w:rPr>
              <w:t>服务名称</w:t>
            </w:r>
          </w:p>
        </w:tc>
        <w:tc>
          <w:tcPr>
            <w:tcW w:w="806" w:type="pct"/>
            <w:vAlign w:val="center"/>
          </w:tcPr>
          <w:p w14:paraId="18B81653">
            <w:pPr>
              <w:spacing w:line="460" w:lineRule="exact"/>
              <w:jc w:val="center"/>
              <w:rPr>
                <w:sz w:val="24"/>
              </w:rPr>
            </w:pPr>
            <w:r>
              <w:rPr>
                <w:sz w:val="24"/>
              </w:rPr>
              <w:t>数量</w:t>
            </w:r>
          </w:p>
        </w:tc>
        <w:tc>
          <w:tcPr>
            <w:tcW w:w="1202" w:type="pct"/>
            <w:vAlign w:val="center"/>
          </w:tcPr>
          <w:p w14:paraId="70E73497">
            <w:pPr>
              <w:spacing w:line="460" w:lineRule="exact"/>
              <w:jc w:val="center"/>
              <w:rPr>
                <w:sz w:val="24"/>
              </w:rPr>
            </w:pPr>
            <w:r>
              <w:rPr>
                <w:sz w:val="24"/>
              </w:rPr>
              <w:t>投标总价</w:t>
            </w:r>
          </w:p>
        </w:tc>
        <w:tc>
          <w:tcPr>
            <w:tcW w:w="984" w:type="pct"/>
            <w:vAlign w:val="center"/>
          </w:tcPr>
          <w:p w14:paraId="70C8818C">
            <w:pPr>
              <w:spacing w:line="460" w:lineRule="exact"/>
              <w:jc w:val="center"/>
              <w:rPr>
                <w:sz w:val="24"/>
              </w:rPr>
            </w:pPr>
            <w:r>
              <w:rPr>
                <w:sz w:val="24"/>
              </w:rPr>
              <w:t>备注</w:t>
            </w:r>
          </w:p>
        </w:tc>
      </w:tr>
      <w:tr w14:paraId="1EB0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53C0B01">
            <w:pPr>
              <w:spacing w:line="460" w:lineRule="exact"/>
              <w:rPr>
                <w:sz w:val="24"/>
              </w:rPr>
            </w:pPr>
          </w:p>
        </w:tc>
        <w:tc>
          <w:tcPr>
            <w:tcW w:w="1278" w:type="pct"/>
          </w:tcPr>
          <w:p w14:paraId="1A2FB9C0">
            <w:pPr>
              <w:spacing w:line="460" w:lineRule="exact"/>
              <w:rPr>
                <w:sz w:val="24"/>
              </w:rPr>
            </w:pPr>
          </w:p>
        </w:tc>
        <w:tc>
          <w:tcPr>
            <w:tcW w:w="806" w:type="pct"/>
          </w:tcPr>
          <w:p w14:paraId="326C90C9">
            <w:pPr>
              <w:spacing w:line="460" w:lineRule="exact"/>
              <w:rPr>
                <w:sz w:val="24"/>
              </w:rPr>
            </w:pPr>
          </w:p>
        </w:tc>
        <w:tc>
          <w:tcPr>
            <w:tcW w:w="1202" w:type="pct"/>
          </w:tcPr>
          <w:p w14:paraId="060FBB99">
            <w:pPr>
              <w:spacing w:line="460" w:lineRule="exact"/>
              <w:rPr>
                <w:sz w:val="24"/>
              </w:rPr>
            </w:pPr>
          </w:p>
        </w:tc>
        <w:tc>
          <w:tcPr>
            <w:tcW w:w="984" w:type="pct"/>
          </w:tcPr>
          <w:p w14:paraId="53B02676">
            <w:pPr>
              <w:spacing w:line="460" w:lineRule="exact"/>
              <w:rPr>
                <w:sz w:val="24"/>
              </w:rPr>
            </w:pPr>
          </w:p>
        </w:tc>
      </w:tr>
      <w:tr w14:paraId="24303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F137D13">
            <w:pPr>
              <w:spacing w:line="460" w:lineRule="exact"/>
              <w:rPr>
                <w:sz w:val="24"/>
              </w:rPr>
            </w:pPr>
          </w:p>
        </w:tc>
        <w:tc>
          <w:tcPr>
            <w:tcW w:w="1278" w:type="pct"/>
          </w:tcPr>
          <w:p w14:paraId="3C16879B">
            <w:pPr>
              <w:spacing w:line="460" w:lineRule="exact"/>
              <w:rPr>
                <w:sz w:val="24"/>
              </w:rPr>
            </w:pPr>
          </w:p>
        </w:tc>
        <w:tc>
          <w:tcPr>
            <w:tcW w:w="806" w:type="pct"/>
          </w:tcPr>
          <w:p w14:paraId="26DB7E58">
            <w:pPr>
              <w:spacing w:line="460" w:lineRule="exact"/>
              <w:rPr>
                <w:sz w:val="24"/>
              </w:rPr>
            </w:pPr>
          </w:p>
        </w:tc>
        <w:tc>
          <w:tcPr>
            <w:tcW w:w="1202" w:type="pct"/>
          </w:tcPr>
          <w:p w14:paraId="79109C2C">
            <w:pPr>
              <w:spacing w:line="460" w:lineRule="exact"/>
              <w:rPr>
                <w:sz w:val="24"/>
              </w:rPr>
            </w:pPr>
          </w:p>
        </w:tc>
        <w:tc>
          <w:tcPr>
            <w:tcW w:w="984" w:type="pct"/>
          </w:tcPr>
          <w:p w14:paraId="0B6C3343">
            <w:pPr>
              <w:spacing w:line="460" w:lineRule="exact"/>
              <w:rPr>
                <w:sz w:val="24"/>
              </w:rPr>
            </w:pPr>
          </w:p>
        </w:tc>
      </w:tr>
      <w:tr w14:paraId="38FDC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30" w:type="pct"/>
          </w:tcPr>
          <w:p w14:paraId="79A65A22">
            <w:pPr>
              <w:spacing w:line="460" w:lineRule="exact"/>
              <w:rPr>
                <w:sz w:val="24"/>
              </w:rPr>
            </w:pPr>
          </w:p>
        </w:tc>
        <w:tc>
          <w:tcPr>
            <w:tcW w:w="1278" w:type="pct"/>
          </w:tcPr>
          <w:p w14:paraId="52335760">
            <w:pPr>
              <w:spacing w:line="460" w:lineRule="exact"/>
              <w:rPr>
                <w:sz w:val="24"/>
              </w:rPr>
            </w:pPr>
          </w:p>
        </w:tc>
        <w:tc>
          <w:tcPr>
            <w:tcW w:w="806" w:type="pct"/>
          </w:tcPr>
          <w:p w14:paraId="3D1C0704">
            <w:pPr>
              <w:spacing w:line="460" w:lineRule="exact"/>
              <w:rPr>
                <w:sz w:val="24"/>
              </w:rPr>
            </w:pPr>
          </w:p>
        </w:tc>
        <w:tc>
          <w:tcPr>
            <w:tcW w:w="1202" w:type="pct"/>
          </w:tcPr>
          <w:p w14:paraId="59D27C9D">
            <w:pPr>
              <w:spacing w:line="460" w:lineRule="exact"/>
              <w:rPr>
                <w:sz w:val="24"/>
              </w:rPr>
            </w:pPr>
          </w:p>
        </w:tc>
        <w:tc>
          <w:tcPr>
            <w:tcW w:w="984" w:type="pct"/>
          </w:tcPr>
          <w:p w14:paraId="504E381D">
            <w:pPr>
              <w:spacing w:line="460" w:lineRule="exact"/>
              <w:rPr>
                <w:sz w:val="24"/>
              </w:rPr>
            </w:pPr>
          </w:p>
        </w:tc>
      </w:tr>
      <w:tr w14:paraId="2B20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21CAA70">
            <w:pPr>
              <w:spacing w:line="460" w:lineRule="exact"/>
              <w:rPr>
                <w:sz w:val="24"/>
              </w:rPr>
            </w:pPr>
          </w:p>
        </w:tc>
        <w:tc>
          <w:tcPr>
            <w:tcW w:w="1278" w:type="pct"/>
          </w:tcPr>
          <w:p w14:paraId="48B9693C">
            <w:pPr>
              <w:spacing w:line="460" w:lineRule="exact"/>
              <w:rPr>
                <w:sz w:val="24"/>
              </w:rPr>
            </w:pPr>
          </w:p>
        </w:tc>
        <w:tc>
          <w:tcPr>
            <w:tcW w:w="806" w:type="pct"/>
          </w:tcPr>
          <w:p w14:paraId="282DF898">
            <w:pPr>
              <w:spacing w:line="460" w:lineRule="exact"/>
              <w:rPr>
                <w:sz w:val="24"/>
              </w:rPr>
            </w:pPr>
          </w:p>
        </w:tc>
        <w:tc>
          <w:tcPr>
            <w:tcW w:w="1202" w:type="pct"/>
          </w:tcPr>
          <w:p w14:paraId="10ED90B2">
            <w:pPr>
              <w:spacing w:line="460" w:lineRule="exact"/>
              <w:rPr>
                <w:sz w:val="24"/>
              </w:rPr>
            </w:pPr>
          </w:p>
        </w:tc>
        <w:tc>
          <w:tcPr>
            <w:tcW w:w="984" w:type="pct"/>
          </w:tcPr>
          <w:p w14:paraId="3F2502C8">
            <w:pPr>
              <w:spacing w:line="460" w:lineRule="exact"/>
              <w:rPr>
                <w:sz w:val="24"/>
              </w:rPr>
            </w:pPr>
          </w:p>
        </w:tc>
      </w:tr>
      <w:tr w14:paraId="63CB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00C2036">
            <w:pPr>
              <w:spacing w:line="460" w:lineRule="exact"/>
              <w:rPr>
                <w:sz w:val="24"/>
              </w:rPr>
            </w:pPr>
          </w:p>
        </w:tc>
        <w:tc>
          <w:tcPr>
            <w:tcW w:w="1278" w:type="pct"/>
          </w:tcPr>
          <w:p w14:paraId="477A1A89">
            <w:pPr>
              <w:spacing w:line="460" w:lineRule="exact"/>
              <w:rPr>
                <w:sz w:val="24"/>
              </w:rPr>
            </w:pPr>
          </w:p>
        </w:tc>
        <w:tc>
          <w:tcPr>
            <w:tcW w:w="806" w:type="pct"/>
          </w:tcPr>
          <w:p w14:paraId="2BBF761B">
            <w:pPr>
              <w:spacing w:line="460" w:lineRule="exact"/>
              <w:rPr>
                <w:sz w:val="24"/>
              </w:rPr>
            </w:pPr>
          </w:p>
        </w:tc>
        <w:tc>
          <w:tcPr>
            <w:tcW w:w="1202" w:type="pct"/>
          </w:tcPr>
          <w:p w14:paraId="613CC716">
            <w:pPr>
              <w:spacing w:line="460" w:lineRule="exact"/>
              <w:rPr>
                <w:sz w:val="24"/>
              </w:rPr>
            </w:pPr>
          </w:p>
        </w:tc>
        <w:tc>
          <w:tcPr>
            <w:tcW w:w="984" w:type="pct"/>
          </w:tcPr>
          <w:p w14:paraId="4A93F6FE">
            <w:pPr>
              <w:spacing w:line="460" w:lineRule="exact"/>
              <w:rPr>
                <w:sz w:val="24"/>
              </w:rPr>
            </w:pPr>
          </w:p>
        </w:tc>
      </w:tr>
      <w:tr w14:paraId="0E676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E00801E">
            <w:pPr>
              <w:spacing w:line="460" w:lineRule="exact"/>
              <w:rPr>
                <w:sz w:val="24"/>
              </w:rPr>
            </w:pPr>
          </w:p>
        </w:tc>
        <w:tc>
          <w:tcPr>
            <w:tcW w:w="1278" w:type="pct"/>
          </w:tcPr>
          <w:p w14:paraId="6A7791C0">
            <w:pPr>
              <w:spacing w:line="460" w:lineRule="exact"/>
              <w:rPr>
                <w:sz w:val="24"/>
              </w:rPr>
            </w:pPr>
          </w:p>
        </w:tc>
        <w:tc>
          <w:tcPr>
            <w:tcW w:w="806" w:type="pct"/>
          </w:tcPr>
          <w:p w14:paraId="33ACC78C">
            <w:pPr>
              <w:spacing w:line="460" w:lineRule="exact"/>
              <w:rPr>
                <w:sz w:val="24"/>
              </w:rPr>
            </w:pPr>
          </w:p>
        </w:tc>
        <w:tc>
          <w:tcPr>
            <w:tcW w:w="1202" w:type="pct"/>
          </w:tcPr>
          <w:p w14:paraId="6EEF3BC3">
            <w:pPr>
              <w:spacing w:line="460" w:lineRule="exact"/>
              <w:rPr>
                <w:sz w:val="24"/>
              </w:rPr>
            </w:pPr>
          </w:p>
        </w:tc>
        <w:tc>
          <w:tcPr>
            <w:tcW w:w="984" w:type="pct"/>
          </w:tcPr>
          <w:p w14:paraId="0E01F4E0">
            <w:pPr>
              <w:spacing w:line="460" w:lineRule="exact"/>
              <w:rPr>
                <w:sz w:val="24"/>
              </w:rPr>
            </w:pPr>
          </w:p>
        </w:tc>
      </w:tr>
      <w:tr w14:paraId="1767F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30" w:type="pct"/>
          </w:tcPr>
          <w:p w14:paraId="263A6837">
            <w:pPr>
              <w:spacing w:line="460" w:lineRule="exact"/>
              <w:rPr>
                <w:sz w:val="24"/>
              </w:rPr>
            </w:pPr>
          </w:p>
        </w:tc>
        <w:tc>
          <w:tcPr>
            <w:tcW w:w="1278" w:type="pct"/>
          </w:tcPr>
          <w:p w14:paraId="18DC7110">
            <w:pPr>
              <w:spacing w:line="460" w:lineRule="exact"/>
              <w:rPr>
                <w:sz w:val="24"/>
              </w:rPr>
            </w:pPr>
          </w:p>
        </w:tc>
        <w:tc>
          <w:tcPr>
            <w:tcW w:w="806" w:type="pct"/>
          </w:tcPr>
          <w:p w14:paraId="7FDC4799">
            <w:pPr>
              <w:spacing w:line="460" w:lineRule="exact"/>
              <w:rPr>
                <w:sz w:val="24"/>
              </w:rPr>
            </w:pPr>
          </w:p>
        </w:tc>
        <w:tc>
          <w:tcPr>
            <w:tcW w:w="1202" w:type="pct"/>
          </w:tcPr>
          <w:p w14:paraId="72A10CFD">
            <w:pPr>
              <w:spacing w:line="460" w:lineRule="exact"/>
              <w:rPr>
                <w:sz w:val="24"/>
              </w:rPr>
            </w:pPr>
          </w:p>
        </w:tc>
        <w:tc>
          <w:tcPr>
            <w:tcW w:w="984" w:type="pct"/>
          </w:tcPr>
          <w:p w14:paraId="27F74780">
            <w:pPr>
              <w:spacing w:line="460" w:lineRule="exact"/>
              <w:rPr>
                <w:sz w:val="24"/>
              </w:rPr>
            </w:pPr>
          </w:p>
        </w:tc>
      </w:tr>
      <w:tr w14:paraId="159BB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1B6FC3B">
            <w:pPr>
              <w:spacing w:line="460" w:lineRule="exact"/>
              <w:rPr>
                <w:sz w:val="24"/>
              </w:rPr>
            </w:pPr>
          </w:p>
        </w:tc>
        <w:tc>
          <w:tcPr>
            <w:tcW w:w="1278" w:type="pct"/>
          </w:tcPr>
          <w:p w14:paraId="12EF2CBB">
            <w:pPr>
              <w:spacing w:line="460" w:lineRule="exact"/>
              <w:rPr>
                <w:sz w:val="24"/>
              </w:rPr>
            </w:pPr>
          </w:p>
        </w:tc>
        <w:tc>
          <w:tcPr>
            <w:tcW w:w="806" w:type="pct"/>
          </w:tcPr>
          <w:p w14:paraId="5A31CDFE">
            <w:pPr>
              <w:spacing w:line="460" w:lineRule="exact"/>
              <w:rPr>
                <w:sz w:val="24"/>
              </w:rPr>
            </w:pPr>
          </w:p>
        </w:tc>
        <w:tc>
          <w:tcPr>
            <w:tcW w:w="1202" w:type="pct"/>
          </w:tcPr>
          <w:p w14:paraId="3872ACE7">
            <w:pPr>
              <w:spacing w:line="460" w:lineRule="exact"/>
              <w:rPr>
                <w:sz w:val="24"/>
              </w:rPr>
            </w:pPr>
          </w:p>
        </w:tc>
        <w:tc>
          <w:tcPr>
            <w:tcW w:w="984" w:type="pct"/>
          </w:tcPr>
          <w:p w14:paraId="05E7E664">
            <w:pPr>
              <w:spacing w:line="460" w:lineRule="exact"/>
              <w:rPr>
                <w:sz w:val="24"/>
              </w:rPr>
            </w:pPr>
          </w:p>
        </w:tc>
      </w:tr>
      <w:tr w14:paraId="3FCDF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F33A553">
            <w:pPr>
              <w:spacing w:line="460" w:lineRule="exact"/>
              <w:rPr>
                <w:sz w:val="24"/>
              </w:rPr>
            </w:pPr>
          </w:p>
        </w:tc>
        <w:tc>
          <w:tcPr>
            <w:tcW w:w="1278" w:type="pct"/>
          </w:tcPr>
          <w:p w14:paraId="3FDEAE4E">
            <w:pPr>
              <w:spacing w:line="460" w:lineRule="exact"/>
              <w:rPr>
                <w:sz w:val="24"/>
              </w:rPr>
            </w:pPr>
          </w:p>
        </w:tc>
        <w:tc>
          <w:tcPr>
            <w:tcW w:w="806" w:type="pct"/>
          </w:tcPr>
          <w:p w14:paraId="4C3BB402">
            <w:pPr>
              <w:spacing w:line="460" w:lineRule="exact"/>
              <w:rPr>
                <w:sz w:val="24"/>
              </w:rPr>
            </w:pPr>
          </w:p>
        </w:tc>
        <w:tc>
          <w:tcPr>
            <w:tcW w:w="1202" w:type="pct"/>
          </w:tcPr>
          <w:p w14:paraId="3D2B4C13">
            <w:pPr>
              <w:spacing w:line="460" w:lineRule="exact"/>
              <w:rPr>
                <w:sz w:val="24"/>
              </w:rPr>
            </w:pPr>
          </w:p>
        </w:tc>
        <w:tc>
          <w:tcPr>
            <w:tcW w:w="984" w:type="pct"/>
          </w:tcPr>
          <w:p w14:paraId="47A67D53">
            <w:pPr>
              <w:spacing w:line="460" w:lineRule="exact"/>
              <w:rPr>
                <w:sz w:val="24"/>
              </w:rPr>
            </w:pPr>
          </w:p>
        </w:tc>
      </w:tr>
      <w:tr w14:paraId="4F0D5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48E3BE1">
            <w:pPr>
              <w:spacing w:line="460" w:lineRule="exact"/>
              <w:rPr>
                <w:sz w:val="24"/>
              </w:rPr>
            </w:pPr>
          </w:p>
        </w:tc>
        <w:tc>
          <w:tcPr>
            <w:tcW w:w="1278" w:type="pct"/>
          </w:tcPr>
          <w:p w14:paraId="3053D542">
            <w:pPr>
              <w:spacing w:line="460" w:lineRule="exact"/>
              <w:rPr>
                <w:sz w:val="24"/>
              </w:rPr>
            </w:pPr>
          </w:p>
        </w:tc>
        <w:tc>
          <w:tcPr>
            <w:tcW w:w="806" w:type="pct"/>
          </w:tcPr>
          <w:p w14:paraId="56BFE0E2">
            <w:pPr>
              <w:spacing w:line="460" w:lineRule="exact"/>
              <w:rPr>
                <w:sz w:val="24"/>
              </w:rPr>
            </w:pPr>
          </w:p>
        </w:tc>
        <w:tc>
          <w:tcPr>
            <w:tcW w:w="1202" w:type="pct"/>
          </w:tcPr>
          <w:p w14:paraId="60C3F9A8">
            <w:pPr>
              <w:spacing w:line="460" w:lineRule="exact"/>
              <w:rPr>
                <w:sz w:val="24"/>
              </w:rPr>
            </w:pPr>
          </w:p>
        </w:tc>
        <w:tc>
          <w:tcPr>
            <w:tcW w:w="984" w:type="pct"/>
          </w:tcPr>
          <w:p w14:paraId="5BDABF9C">
            <w:pPr>
              <w:spacing w:line="460" w:lineRule="exact"/>
              <w:rPr>
                <w:sz w:val="24"/>
              </w:rPr>
            </w:pPr>
          </w:p>
        </w:tc>
      </w:tr>
      <w:tr w14:paraId="1F73E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30" w:type="pct"/>
          </w:tcPr>
          <w:p w14:paraId="3DA55992">
            <w:pPr>
              <w:spacing w:line="460" w:lineRule="exact"/>
              <w:rPr>
                <w:sz w:val="24"/>
              </w:rPr>
            </w:pPr>
          </w:p>
        </w:tc>
        <w:tc>
          <w:tcPr>
            <w:tcW w:w="1278" w:type="pct"/>
          </w:tcPr>
          <w:p w14:paraId="61701FD2">
            <w:pPr>
              <w:spacing w:line="460" w:lineRule="exact"/>
              <w:rPr>
                <w:sz w:val="24"/>
              </w:rPr>
            </w:pPr>
          </w:p>
        </w:tc>
        <w:tc>
          <w:tcPr>
            <w:tcW w:w="806" w:type="pct"/>
          </w:tcPr>
          <w:p w14:paraId="700B50E4">
            <w:pPr>
              <w:spacing w:line="460" w:lineRule="exact"/>
              <w:rPr>
                <w:sz w:val="24"/>
              </w:rPr>
            </w:pPr>
          </w:p>
        </w:tc>
        <w:tc>
          <w:tcPr>
            <w:tcW w:w="1202" w:type="pct"/>
          </w:tcPr>
          <w:p w14:paraId="6B01128E">
            <w:pPr>
              <w:spacing w:line="460" w:lineRule="exact"/>
              <w:rPr>
                <w:sz w:val="24"/>
              </w:rPr>
            </w:pPr>
          </w:p>
        </w:tc>
        <w:tc>
          <w:tcPr>
            <w:tcW w:w="984" w:type="pct"/>
          </w:tcPr>
          <w:p w14:paraId="79D0C6F1">
            <w:pPr>
              <w:spacing w:line="460" w:lineRule="exact"/>
              <w:rPr>
                <w:sz w:val="24"/>
              </w:rPr>
            </w:pPr>
          </w:p>
        </w:tc>
      </w:tr>
      <w:tr w14:paraId="4403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214100F">
            <w:pPr>
              <w:spacing w:line="460" w:lineRule="exact"/>
              <w:rPr>
                <w:sz w:val="24"/>
              </w:rPr>
            </w:pPr>
          </w:p>
        </w:tc>
        <w:tc>
          <w:tcPr>
            <w:tcW w:w="1278" w:type="pct"/>
          </w:tcPr>
          <w:p w14:paraId="5E77508E">
            <w:pPr>
              <w:spacing w:line="460" w:lineRule="exact"/>
              <w:rPr>
                <w:sz w:val="24"/>
              </w:rPr>
            </w:pPr>
          </w:p>
        </w:tc>
        <w:tc>
          <w:tcPr>
            <w:tcW w:w="806" w:type="pct"/>
          </w:tcPr>
          <w:p w14:paraId="1758653D">
            <w:pPr>
              <w:spacing w:line="460" w:lineRule="exact"/>
              <w:rPr>
                <w:sz w:val="24"/>
              </w:rPr>
            </w:pPr>
          </w:p>
        </w:tc>
        <w:tc>
          <w:tcPr>
            <w:tcW w:w="1202" w:type="pct"/>
          </w:tcPr>
          <w:p w14:paraId="25C17D94">
            <w:pPr>
              <w:spacing w:line="460" w:lineRule="exact"/>
              <w:rPr>
                <w:sz w:val="24"/>
              </w:rPr>
            </w:pPr>
          </w:p>
        </w:tc>
        <w:tc>
          <w:tcPr>
            <w:tcW w:w="984" w:type="pct"/>
          </w:tcPr>
          <w:p w14:paraId="44563113">
            <w:pPr>
              <w:spacing w:line="460" w:lineRule="exact"/>
              <w:rPr>
                <w:sz w:val="24"/>
              </w:rPr>
            </w:pPr>
          </w:p>
        </w:tc>
      </w:tr>
    </w:tbl>
    <w:p w14:paraId="15145CA9">
      <w:pPr>
        <w:spacing w:line="360" w:lineRule="auto"/>
        <w:ind w:right="84" w:firstLine="420"/>
        <w:rPr>
          <w:sz w:val="24"/>
        </w:rPr>
      </w:pPr>
    </w:p>
    <w:p w14:paraId="262E2C8E">
      <w:pPr>
        <w:spacing w:line="360" w:lineRule="auto"/>
        <w:ind w:right="84" w:firstLine="420"/>
        <w:rPr>
          <w:sz w:val="24"/>
        </w:rPr>
      </w:pPr>
    </w:p>
    <w:p w14:paraId="306F72DE">
      <w:pPr>
        <w:spacing w:line="360" w:lineRule="auto"/>
        <w:ind w:firstLine="3808" w:firstLineChars="1700"/>
        <w:rPr>
          <w:sz w:val="24"/>
        </w:rPr>
      </w:pPr>
      <w:r>
        <w:rPr>
          <w:sz w:val="24"/>
        </w:rPr>
        <w:t>投标人名称：</w:t>
      </w:r>
    </w:p>
    <w:p w14:paraId="7E270D1F">
      <w:pPr>
        <w:spacing w:line="360" w:lineRule="auto"/>
        <w:ind w:firstLine="3808" w:firstLineChars="1700"/>
        <w:rPr>
          <w:sz w:val="24"/>
        </w:rPr>
      </w:pPr>
    </w:p>
    <w:p w14:paraId="53C234B5">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4F6D486">
      <w:pPr>
        <w:spacing w:line="360" w:lineRule="auto"/>
        <w:ind w:right="84" w:firstLine="420"/>
        <w:rPr>
          <w:sz w:val="24"/>
        </w:rPr>
      </w:pPr>
    </w:p>
    <w:p w14:paraId="0E561332">
      <w:pPr>
        <w:widowControl/>
        <w:jc w:val="left"/>
        <w:rPr>
          <w:sz w:val="24"/>
        </w:rPr>
      </w:pPr>
      <w:r>
        <w:rPr>
          <w:sz w:val="24"/>
        </w:rPr>
        <w:br w:type="page"/>
      </w:r>
    </w:p>
    <w:p w14:paraId="5FD37ECF">
      <w:pPr>
        <w:tabs>
          <w:tab w:val="left" w:pos="360"/>
        </w:tabs>
        <w:spacing w:line="360" w:lineRule="auto"/>
        <w:rPr>
          <w:b/>
          <w:sz w:val="24"/>
        </w:rPr>
      </w:pPr>
      <w:r>
        <w:rPr>
          <w:b/>
          <w:sz w:val="24"/>
        </w:rPr>
        <w:t>附件</w:t>
      </w:r>
      <w:r>
        <w:rPr>
          <w:rFonts w:hint="eastAsia"/>
          <w:b/>
          <w:sz w:val="24"/>
        </w:rPr>
        <w:t>4</w:t>
      </w:r>
    </w:p>
    <w:p w14:paraId="01721796">
      <w:pPr>
        <w:autoSpaceDN w:val="0"/>
        <w:spacing w:line="360" w:lineRule="auto"/>
        <w:jc w:val="center"/>
        <w:rPr>
          <w:b/>
          <w:bCs/>
          <w:sz w:val="24"/>
        </w:rPr>
      </w:pPr>
      <w:r>
        <w:rPr>
          <w:b/>
          <w:bCs/>
          <w:sz w:val="24"/>
        </w:rPr>
        <w:t>开标分项一览表</w:t>
      </w:r>
    </w:p>
    <w:p w14:paraId="0E35F4B1">
      <w:pPr>
        <w:ind w:right="84"/>
        <w:rPr>
          <w:sz w:val="24"/>
        </w:rPr>
      </w:pPr>
    </w:p>
    <w:p w14:paraId="77901FE3">
      <w:pPr>
        <w:spacing w:line="460" w:lineRule="exact"/>
        <w:ind w:left="192"/>
        <w:rPr>
          <w:sz w:val="24"/>
        </w:rPr>
      </w:pPr>
      <w:r>
        <w:rPr>
          <w:sz w:val="24"/>
        </w:rPr>
        <w:t>项目名称：</w:t>
      </w:r>
      <w:r>
        <w:rPr>
          <w:sz w:val="24"/>
          <w:u w:val="single"/>
        </w:rPr>
        <w:t xml:space="preserve">                    </w:t>
      </w:r>
    </w:p>
    <w:p w14:paraId="37618B5D">
      <w:pPr>
        <w:spacing w:line="460" w:lineRule="exact"/>
        <w:ind w:left="192"/>
        <w:rPr>
          <w:sz w:val="24"/>
        </w:rPr>
      </w:pPr>
      <w:r>
        <w:rPr>
          <w:sz w:val="24"/>
        </w:rPr>
        <w:t>项目编号：</w:t>
      </w:r>
      <w:r>
        <w:rPr>
          <w:sz w:val="24"/>
          <w:u w:val="single"/>
        </w:rPr>
        <w:t xml:space="preserve">                    </w:t>
      </w:r>
    </w:p>
    <w:p w14:paraId="6EBA552C">
      <w:pPr>
        <w:spacing w:line="460" w:lineRule="exact"/>
        <w:ind w:left="192"/>
        <w:rPr>
          <w:sz w:val="24"/>
        </w:rPr>
      </w:pPr>
      <w:r>
        <w:rPr>
          <w:sz w:val="24"/>
        </w:rPr>
        <w:t>包    号：</w:t>
      </w:r>
      <w:r>
        <w:rPr>
          <w:sz w:val="24"/>
          <w:u w:val="single"/>
        </w:rPr>
        <w:t xml:space="preserve">                    </w:t>
      </w:r>
    </w:p>
    <w:p w14:paraId="26286B6B">
      <w:pPr>
        <w:spacing w:line="460" w:lineRule="exact"/>
        <w:ind w:firstLine="6496" w:firstLineChars="2900"/>
        <w:rPr>
          <w:sz w:val="24"/>
        </w:rPr>
      </w:pPr>
      <w:r>
        <w:rPr>
          <w:sz w:val="24"/>
        </w:rPr>
        <w:t>单位：元</w:t>
      </w:r>
    </w:p>
    <w:tbl>
      <w:tblPr>
        <w:tblStyle w:val="22"/>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198C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0A6C52C4">
            <w:pPr>
              <w:widowControl/>
              <w:jc w:val="center"/>
              <w:rPr>
                <w:b/>
                <w:bCs/>
                <w:kern w:val="0"/>
                <w:sz w:val="24"/>
                <w:szCs w:val="24"/>
              </w:rPr>
            </w:pPr>
            <w:r>
              <w:rPr>
                <w:b/>
                <w:bCs/>
                <w:kern w:val="0"/>
                <w:sz w:val="24"/>
                <w:szCs w:val="24"/>
              </w:rPr>
              <w:t>项号</w:t>
            </w:r>
          </w:p>
        </w:tc>
        <w:tc>
          <w:tcPr>
            <w:tcW w:w="2349" w:type="dxa"/>
            <w:vAlign w:val="center"/>
          </w:tcPr>
          <w:p w14:paraId="30AE25B9">
            <w:pPr>
              <w:widowControl/>
              <w:jc w:val="center"/>
              <w:rPr>
                <w:b/>
                <w:bCs/>
                <w:kern w:val="0"/>
                <w:sz w:val="24"/>
                <w:szCs w:val="24"/>
              </w:rPr>
            </w:pPr>
            <w:r>
              <w:rPr>
                <w:b/>
                <w:bCs/>
                <w:kern w:val="0"/>
                <w:sz w:val="24"/>
                <w:szCs w:val="24"/>
              </w:rPr>
              <w:t>服务名称</w:t>
            </w:r>
          </w:p>
        </w:tc>
        <w:tc>
          <w:tcPr>
            <w:tcW w:w="1701" w:type="dxa"/>
            <w:vAlign w:val="center"/>
          </w:tcPr>
          <w:p w14:paraId="237F5875">
            <w:pPr>
              <w:widowControl/>
              <w:jc w:val="center"/>
              <w:rPr>
                <w:b/>
                <w:bCs/>
                <w:kern w:val="0"/>
                <w:sz w:val="24"/>
                <w:szCs w:val="24"/>
              </w:rPr>
            </w:pPr>
            <w:r>
              <w:rPr>
                <w:b/>
                <w:bCs/>
                <w:kern w:val="0"/>
                <w:sz w:val="24"/>
                <w:szCs w:val="24"/>
              </w:rPr>
              <w:t>总价</w:t>
            </w:r>
          </w:p>
        </w:tc>
        <w:tc>
          <w:tcPr>
            <w:tcW w:w="2238" w:type="dxa"/>
            <w:vAlign w:val="center"/>
          </w:tcPr>
          <w:p w14:paraId="0E306138">
            <w:pPr>
              <w:widowControl/>
              <w:jc w:val="center"/>
              <w:rPr>
                <w:b/>
                <w:bCs/>
                <w:kern w:val="0"/>
                <w:sz w:val="24"/>
                <w:szCs w:val="24"/>
              </w:rPr>
            </w:pPr>
            <w:r>
              <w:rPr>
                <w:b/>
                <w:bCs/>
                <w:kern w:val="0"/>
                <w:sz w:val="24"/>
                <w:szCs w:val="24"/>
              </w:rPr>
              <w:t>数量</w:t>
            </w:r>
          </w:p>
        </w:tc>
        <w:tc>
          <w:tcPr>
            <w:tcW w:w="1848" w:type="dxa"/>
            <w:vAlign w:val="center"/>
          </w:tcPr>
          <w:p w14:paraId="3CC89BD5">
            <w:pPr>
              <w:widowControl/>
              <w:jc w:val="center"/>
              <w:rPr>
                <w:b/>
                <w:bCs/>
                <w:kern w:val="0"/>
                <w:sz w:val="24"/>
                <w:szCs w:val="24"/>
              </w:rPr>
            </w:pPr>
            <w:r>
              <w:rPr>
                <w:b/>
                <w:bCs/>
                <w:kern w:val="0"/>
                <w:sz w:val="24"/>
                <w:szCs w:val="24"/>
              </w:rPr>
              <w:t>备注</w:t>
            </w:r>
          </w:p>
        </w:tc>
      </w:tr>
      <w:tr w14:paraId="7CFEE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661CCA81">
            <w:pPr>
              <w:widowControl/>
              <w:jc w:val="center"/>
              <w:rPr>
                <w:kern w:val="0"/>
                <w:sz w:val="24"/>
                <w:szCs w:val="24"/>
              </w:rPr>
            </w:pPr>
            <w:r>
              <w:rPr>
                <w:kern w:val="0"/>
                <w:sz w:val="24"/>
                <w:szCs w:val="24"/>
              </w:rPr>
              <w:t>1</w:t>
            </w:r>
          </w:p>
        </w:tc>
        <w:tc>
          <w:tcPr>
            <w:tcW w:w="2349" w:type="dxa"/>
            <w:vAlign w:val="center"/>
          </w:tcPr>
          <w:p w14:paraId="7FC094A6">
            <w:pPr>
              <w:widowControl/>
              <w:jc w:val="center"/>
              <w:rPr>
                <w:kern w:val="0"/>
                <w:sz w:val="24"/>
                <w:szCs w:val="24"/>
              </w:rPr>
            </w:pPr>
          </w:p>
        </w:tc>
        <w:tc>
          <w:tcPr>
            <w:tcW w:w="1701" w:type="dxa"/>
            <w:vAlign w:val="center"/>
          </w:tcPr>
          <w:p w14:paraId="046E0041">
            <w:pPr>
              <w:widowControl/>
              <w:jc w:val="center"/>
              <w:rPr>
                <w:kern w:val="0"/>
                <w:sz w:val="24"/>
                <w:szCs w:val="24"/>
              </w:rPr>
            </w:pPr>
          </w:p>
        </w:tc>
        <w:tc>
          <w:tcPr>
            <w:tcW w:w="2238" w:type="dxa"/>
            <w:vAlign w:val="center"/>
          </w:tcPr>
          <w:p w14:paraId="341925A2">
            <w:pPr>
              <w:widowControl/>
              <w:jc w:val="center"/>
              <w:rPr>
                <w:sz w:val="24"/>
                <w:szCs w:val="24"/>
              </w:rPr>
            </w:pPr>
            <w:r>
              <w:rPr>
                <w:sz w:val="24"/>
                <w:szCs w:val="24"/>
              </w:rPr>
              <w:t>1项</w:t>
            </w:r>
          </w:p>
        </w:tc>
        <w:tc>
          <w:tcPr>
            <w:tcW w:w="1848" w:type="dxa"/>
            <w:vAlign w:val="center"/>
          </w:tcPr>
          <w:p w14:paraId="6BE32F12">
            <w:pPr>
              <w:widowControl/>
              <w:jc w:val="center"/>
              <w:rPr>
                <w:sz w:val="24"/>
                <w:szCs w:val="24"/>
              </w:rPr>
            </w:pPr>
          </w:p>
        </w:tc>
      </w:tr>
      <w:tr w14:paraId="704EF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0E4F51FF">
            <w:pPr>
              <w:widowControl/>
              <w:jc w:val="left"/>
              <w:rPr>
                <w:kern w:val="0"/>
                <w:sz w:val="24"/>
                <w:szCs w:val="24"/>
              </w:rPr>
            </w:pPr>
            <w:r>
              <w:rPr>
                <w:kern w:val="0"/>
                <w:sz w:val="24"/>
                <w:szCs w:val="24"/>
              </w:rPr>
              <w:t>其中</w:t>
            </w:r>
          </w:p>
        </w:tc>
      </w:tr>
      <w:tr w14:paraId="7208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3D495D7">
            <w:pPr>
              <w:widowControl/>
              <w:jc w:val="left"/>
              <w:rPr>
                <w:b/>
                <w:sz w:val="24"/>
                <w:szCs w:val="24"/>
              </w:rPr>
            </w:pPr>
            <w:r>
              <w:rPr>
                <w:b/>
                <w:sz w:val="24"/>
                <w:szCs w:val="24"/>
              </w:rPr>
              <w:t>分项名称</w:t>
            </w:r>
          </w:p>
        </w:tc>
        <w:tc>
          <w:tcPr>
            <w:tcW w:w="1701" w:type="dxa"/>
            <w:vAlign w:val="center"/>
          </w:tcPr>
          <w:p w14:paraId="4AD7FF58">
            <w:pPr>
              <w:widowControl/>
              <w:jc w:val="center"/>
              <w:rPr>
                <w:b/>
                <w:kern w:val="0"/>
                <w:sz w:val="24"/>
                <w:szCs w:val="24"/>
              </w:rPr>
            </w:pPr>
            <w:r>
              <w:rPr>
                <w:b/>
                <w:kern w:val="0"/>
                <w:sz w:val="24"/>
                <w:szCs w:val="24"/>
              </w:rPr>
              <w:t>价格</w:t>
            </w:r>
          </w:p>
        </w:tc>
        <w:tc>
          <w:tcPr>
            <w:tcW w:w="2238" w:type="dxa"/>
            <w:vAlign w:val="center"/>
          </w:tcPr>
          <w:p w14:paraId="341C1C8E">
            <w:pPr>
              <w:widowControl/>
              <w:jc w:val="center"/>
              <w:rPr>
                <w:b/>
                <w:kern w:val="0"/>
                <w:sz w:val="24"/>
                <w:szCs w:val="24"/>
              </w:rPr>
            </w:pPr>
            <w:r>
              <w:rPr>
                <w:b/>
                <w:kern w:val="0"/>
                <w:sz w:val="24"/>
                <w:szCs w:val="24"/>
              </w:rPr>
              <w:t>数量</w:t>
            </w:r>
          </w:p>
        </w:tc>
        <w:tc>
          <w:tcPr>
            <w:tcW w:w="1848" w:type="dxa"/>
            <w:vAlign w:val="center"/>
          </w:tcPr>
          <w:p w14:paraId="2AF6874C">
            <w:pPr>
              <w:widowControl/>
              <w:jc w:val="center"/>
              <w:rPr>
                <w:b/>
                <w:bCs/>
                <w:kern w:val="0"/>
                <w:sz w:val="24"/>
                <w:szCs w:val="24"/>
              </w:rPr>
            </w:pPr>
            <w:r>
              <w:rPr>
                <w:b/>
                <w:bCs/>
                <w:kern w:val="0"/>
                <w:sz w:val="24"/>
                <w:szCs w:val="24"/>
              </w:rPr>
              <w:t>备注</w:t>
            </w:r>
          </w:p>
        </w:tc>
      </w:tr>
      <w:tr w14:paraId="58CA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22978C14">
            <w:pPr>
              <w:widowControl/>
              <w:jc w:val="left"/>
              <w:rPr>
                <w:kern w:val="0"/>
                <w:sz w:val="24"/>
                <w:szCs w:val="24"/>
              </w:rPr>
            </w:pPr>
          </w:p>
        </w:tc>
        <w:tc>
          <w:tcPr>
            <w:tcW w:w="1701" w:type="dxa"/>
            <w:vAlign w:val="center"/>
          </w:tcPr>
          <w:p w14:paraId="60A96E6E">
            <w:pPr>
              <w:widowControl/>
              <w:jc w:val="center"/>
              <w:rPr>
                <w:kern w:val="0"/>
                <w:sz w:val="24"/>
                <w:szCs w:val="24"/>
              </w:rPr>
            </w:pPr>
          </w:p>
        </w:tc>
        <w:tc>
          <w:tcPr>
            <w:tcW w:w="2238" w:type="dxa"/>
            <w:vAlign w:val="center"/>
          </w:tcPr>
          <w:p w14:paraId="7642FB93">
            <w:pPr>
              <w:widowControl/>
              <w:jc w:val="center"/>
              <w:rPr>
                <w:kern w:val="0"/>
                <w:sz w:val="24"/>
                <w:szCs w:val="24"/>
              </w:rPr>
            </w:pPr>
          </w:p>
        </w:tc>
        <w:tc>
          <w:tcPr>
            <w:tcW w:w="1848" w:type="dxa"/>
            <w:vAlign w:val="center"/>
          </w:tcPr>
          <w:p w14:paraId="2397F88E">
            <w:pPr>
              <w:widowControl/>
              <w:jc w:val="center"/>
              <w:rPr>
                <w:sz w:val="24"/>
                <w:szCs w:val="24"/>
              </w:rPr>
            </w:pPr>
          </w:p>
        </w:tc>
      </w:tr>
      <w:tr w14:paraId="6EA29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169D6DA4">
            <w:pPr>
              <w:widowControl/>
              <w:jc w:val="left"/>
              <w:rPr>
                <w:kern w:val="0"/>
                <w:sz w:val="24"/>
                <w:szCs w:val="24"/>
              </w:rPr>
            </w:pPr>
          </w:p>
        </w:tc>
        <w:tc>
          <w:tcPr>
            <w:tcW w:w="1701" w:type="dxa"/>
            <w:vAlign w:val="center"/>
          </w:tcPr>
          <w:p w14:paraId="2B39587B">
            <w:pPr>
              <w:widowControl/>
              <w:jc w:val="center"/>
              <w:rPr>
                <w:kern w:val="0"/>
                <w:sz w:val="24"/>
                <w:szCs w:val="24"/>
              </w:rPr>
            </w:pPr>
          </w:p>
        </w:tc>
        <w:tc>
          <w:tcPr>
            <w:tcW w:w="2238" w:type="dxa"/>
            <w:vAlign w:val="center"/>
          </w:tcPr>
          <w:p w14:paraId="2CE22C75">
            <w:pPr>
              <w:widowControl/>
              <w:jc w:val="center"/>
              <w:rPr>
                <w:kern w:val="0"/>
                <w:sz w:val="24"/>
                <w:szCs w:val="24"/>
              </w:rPr>
            </w:pPr>
          </w:p>
        </w:tc>
        <w:tc>
          <w:tcPr>
            <w:tcW w:w="1848" w:type="dxa"/>
            <w:vAlign w:val="center"/>
          </w:tcPr>
          <w:p w14:paraId="4B257ED7">
            <w:pPr>
              <w:widowControl/>
              <w:jc w:val="center"/>
              <w:rPr>
                <w:sz w:val="24"/>
                <w:szCs w:val="24"/>
              </w:rPr>
            </w:pPr>
          </w:p>
        </w:tc>
      </w:tr>
      <w:tr w14:paraId="4517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14212695">
            <w:pPr>
              <w:widowControl/>
              <w:jc w:val="left"/>
              <w:rPr>
                <w:kern w:val="0"/>
                <w:sz w:val="24"/>
                <w:szCs w:val="24"/>
              </w:rPr>
            </w:pPr>
          </w:p>
        </w:tc>
        <w:tc>
          <w:tcPr>
            <w:tcW w:w="1701" w:type="dxa"/>
            <w:vAlign w:val="center"/>
          </w:tcPr>
          <w:p w14:paraId="6DC31B5D">
            <w:pPr>
              <w:widowControl/>
              <w:jc w:val="center"/>
              <w:rPr>
                <w:kern w:val="0"/>
                <w:sz w:val="24"/>
                <w:szCs w:val="24"/>
              </w:rPr>
            </w:pPr>
          </w:p>
        </w:tc>
        <w:tc>
          <w:tcPr>
            <w:tcW w:w="2238" w:type="dxa"/>
            <w:vAlign w:val="center"/>
          </w:tcPr>
          <w:p w14:paraId="0B6A4470">
            <w:pPr>
              <w:widowControl/>
              <w:jc w:val="center"/>
              <w:rPr>
                <w:kern w:val="0"/>
                <w:sz w:val="24"/>
                <w:szCs w:val="24"/>
              </w:rPr>
            </w:pPr>
          </w:p>
        </w:tc>
        <w:tc>
          <w:tcPr>
            <w:tcW w:w="1848" w:type="dxa"/>
            <w:vAlign w:val="center"/>
          </w:tcPr>
          <w:p w14:paraId="35DC408A">
            <w:pPr>
              <w:widowControl/>
              <w:jc w:val="center"/>
              <w:rPr>
                <w:sz w:val="24"/>
                <w:szCs w:val="24"/>
              </w:rPr>
            </w:pPr>
          </w:p>
        </w:tc>
      </w:tr>
      <w:tr w14:paraId="1734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F4029D6">
            <w:pPr>
              <w:widowControl/>
              <w:jc w:val="left"/>
              <w:rPr>
                <w:kern w:val="0"/>
                <w:sz w:val="24"/>
                <w:szCs w:val="24"/>
              </w:rPr>
            </w:pPr>
          </w:p>
        </w:tc>
        <w:tc>
          <w:tcPr>
            <w:tcW w:w="1701" w:type="dxa"/>
            <w:vAlign w:val="center"/>
          </w:tcPr>
          <w:p w14:paraId="54C4738E">
            <w:pPr>
              <w:widowControl/>
              <w:jc w:val="center"/>
              <w:rPr>
                <w:kern w:val="0"/>
                <w:sz w:val="24"/>
                <w:szCs w:val="24"/>
              </w:rPr>
            </w:pPr>
          </w:p>
        </w:tc>
        <w:tc>
          <w:tcPr>
            <w:tcW w:w="2238" w:type="dxa"/>
            <w:vAlign w:val="center"/>
          </w:tcPr>
          <w:p w14:paraId="05D0B855">
            <w:pPr>
              <w:widowControl/>
              <w:jc w:val="center"/>
              <w:rPr>
                <w:kern w:val="0"/>
                <w:sz w:val="24"/>
                <w:szCs w:val="24"/>
              </w:rPr>
            </w:pPr>
          </w:p>
        </w:tc>
        <w:tc>
          <w:tcPr>
            <w:tcW w:w="1848" w:type="dxa"/>
            <w:vAlign w:val="center"/>
          </w:tcPr>
          <w:p w14:paraId="56B54B74">
            <w:pPr>
              <w:widowControl/>
              <w:jc w:val="center"/>
              <w:rPr>
                <w:sz w:val="24"/>
                <w:szCs w:val="24"/>
              </w:rPr>
            </w:pPr>
          </w:p>
        </w:tc>
      </w:tr>
      <w:tr w14:paraId="68BCB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1F7FA712">
            <w:pPr>
              <w:widowControl/>
              <w:jc w:val="left"/>
              <w:rPr>
                <w:sz w:val="24"/>
              </w:rPr>
            </w:pPr>
          </w:p>
        </w:tc>
        <w:tc>
          <w:tcPr>
            <w:tcW w:w="1701" w:type="dxa"/>
            <w:vAlign w:val="center"/>
          </w:tcPr>
          <w:p w14:paraId="787D5C02">
            <w:pPr>
              <w:widowControl/>
              <w:jc w:val="center"/>
              <w:rPr>
                <w:kern w:val="0"/>
                <w:sz w:val="24"/>
                <w:szCs w:val="24"/>
              </w:rPr>
            </w:pPr>
          </w:p>
        </w:tc>
        <w:tc>
          <w:tcPr>
            <w:tcW w:w="2238" w:type="dxa"/>
            <w:vAlign w:val="center"/>
          </w:tcPr>
          <w:p w14:paraId="1BAD92E9">
            <w:pPr>
              <w:widowControl/>
              <w:jc w:val="center"/>
              <w:rPr>
                <w:kern w:val="0"/>
                <w:sz w:val="24"/>
                <w:szCs w:val="24"/>
              </w:rPr>
            </w:pPr>
          </w:p>
        </w:tc>
        <w:tc>
          <w:tcPr>
            <w:tcW w:w="1848" w:type="dxa"/>
            <w:vAlign w:val="center"/>
          </w:tcPr>
          <w:p w14:paraId="405BCE71">
            <w:pPr>
              <w:widowControl/>
              <w:jc w:val="center"/>
              <w:rPr>
                <w:kern w:val="0"/>
                <w:sz w:val="24"/>
                <w:szCs w:val="24"/>
              </w:rPr>
            </w:pPr>
          </w:p>
        </w:tc>
      </w:tr>
      <w:tr w14:paraId="1F0F6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CDB2BAA">
            <w:pPr>
              <w:widowControl/>
              <w:jc w:val="left"/>
              <w:rPr>
                <w:sz w:val="24"/>
              </w:rPr>
            </w:pPr>
          </w:p>
        </w:tc>
        <w:tc>
          <w:tcPr>
            <w:tcW w:w="1701" w:type="dxa"/>
            <w:vAlign w:val="center"/>
          </w:tcPr>
          <w:p w14:paraId="08643216">
            <w:pPr>
              <w:widowControl/>
              <w:jc w:val="center"/>
              <w:rPr>
                <w:kern w:val="0"/>
                <w:sz w:val="24"/>
                <w:szCs w:val="24"/>
              </w:rPr>
            </w:pPr>
          </w:p>
        </w:tc>
        <w:tc>
          <w:tcPr>
            <w:tcW w:w="2238" w:type="dxa"/>
            <w:vAlign w:val="center"/>
          </w:tcPr>
          <w:p w14:paraId="40612ABA">
            <w:pPr>
              <w:widowControl/>
              <w:jc w:val="center"/>
              <w:rPr>
                <w:kern w:val="0"/>
                <w:sz w:val="24"/>
                <w:szCs w:val="24"/>
              </w:rPr>
            </w:pPr>
          </w:p>
        </w:tc>
        <w:tc>
          <w:tcPr>
            <w:tcW w:w="1848" w:type="dxa"/>
            <w:vAlign w:val="center"/>
          </w:tcPr>
          <w:p w14:paraId="4EE685E9">
            <w:pPr>
              <w:widowControl/>
              <w:jc w:val="center"/>
              <w:rPr>
                <w:kern w:val="0"/>
                <w:sz w:val="24"/>
                <w:szCs w:val="24"/>
              </w:rPr>
            </w:pPr>
          </w:p>
        </w:tc>
      </w:tr>
      <w:tr w14:paraId="568D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19F1D12">
            <w:pPr>
              <w:widowControl/>
              <w:jc w:val="center"/>
              <w:rPr>
                <w:sz w:val="24"/>
              </w:rPr>
            </w:pPr>
          </w:p>
        </w:tc>
        <w:tc>
          <w:tcPr>
            <w:tcW w:w="1701" w:type="dxa"/>
            <w:vAlign w:val="center"/>
          </w:tcPr>
          <w:p w14:paraId="22E6A04F">
            <w:pPr>
              <w:widowControl/>
              <w:jc w:val="center"/>
              <w:rPr>
                <w:kern w:val="0"/>
                <w:sz w:val="24"/>
                <w:szCs w:val="24"/>
              </w:rPr>
            </w:pPr>
          </w:p>
        </w:tc>
        <w:tc>
          <w:tcPr>
            <w:tcW w:w="2238" w:type="dxa"/>
            <w:vAlign w:val="center"/>
          </w:tcPr>
          <w:p w14:paraId="2C0A3187">
            <w:pPr>
              <w:widowControl/>
              <w:jc w:val="center"/>
              <w:rPr>
                <w:kern w:val="0"/>
                <w:sz w:val="24"/>
                <w:szCs w:val="24"/>
              </w:rPr>
            </w:pPr>
          </w:p>
        </w:tc>
        <w:tc>
          <w:tcPr>
            <w:tcW w:w="1848" w:type="dxa"/>
            <w:vAlign w:val="center"/>
          </w:tcPr>
          <w:p w14:paraId="30CA189D">
            <w:pPr>
              <w:widowControl/>
              <w:jc w:val="center"/>
              <w:rPr>
                <w:kern w:val="0"/>
                <w:sz w:val="24"/>
                <w:szCs w:val="24"/>
              </w:rPr>
            </w:pPr>
          </w:p>
        </w:tc>
      </w:tr>
    </w:tbl>
    <w:p w14:paraId="13184E0A">
      <w:pPr>
        <w:ind w:left="180"/>
        <w:rPr>
          <w:sz w:val="22"/>
          <w:szCs w:val="24"/>
        </w:rPr>
      </w:pPr>
      <w:r>
        <w:rPr>
          <w:sz w:val="22"/>
          <w:szCs w:val="24"/>
        </w:rPr>
        <w:t>注：1. 本表第一行填写本项目投标总价，须与附件</w:t>
      </w:r>
      <w:r>
        <w:rPr>
          <w:rFonts w:hint="eastAsia"/>
          <w:sz w:val="22"/>
          <w:szCs w:val="24"/>
        </w:rPr>
        <w:t>3</w:t>
      </w:r>
      <w:r>
        <w:rPr>
          <w:sz w:val="22"/>
          <w:szCs w:val="24"/>
        </w:rPr>
        <w:t>中投标总价保持一致。</w:t>
      </w:r>
    </w:p>
    <w:p w14:paraId="49D5BC9E">
      <w:pPr>
        <w:ind w:left="180" w:firstLine="408" w:firstLineChars="200"/>
      </w:pPr>
      <w:r>
        <w:rPr>
          <w:sz w:val="22"/>
          <w:szCs w:val="24"/>
        </w:rPr>
        <w:t>2. 下面应填写分项价格及分项名称（分项名称可根据实际情况增减、修改），分项价格汇总应等于总价。</w:t>
      </w:r>
    </w:p>
    <w:p w14:paraId="5FA01793">
      <w:pPr>
        <w:spacing w:line="360" w:lineRule="auto"/>
        <w:ind w:firstLine="3808" w:firstLineChars="1700"/>
        <w:rPr>
          <w:sz w:val="24"/>
        </w:rPr>
      </w:pPr>
      <w:r>
        <w:rPr>
          <w:sz w:val="24"/>
        </w:rPr>
        <w:t>投标人名称：</w:t>
      </w:r>
    </w:p>
    <w:p w14:paraId="62344A4B">
      <w:pPr>
        <w:spacing w:line="360" w:lineRule="auto"/>
        <w:ind w:firstLine="3808" w:firstLineChars="1700"/>
        <w:rPr>
          <w:sz w:val="24"/>
        </w:rPr>
      </w:pPr>
    </w:p>
    <w:p w14:paraId="7751079E">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01C0127">
      <w:pPr>
        <w:widowControl/>
        <w:jc w:val="left"/>
        <w:rPr>
          <w:sz w:val="24"/>
        </w:rPr>
      </w:pPr>
      <w:r>
        <w:rPr>
          <w:sz w:val="24"/>
        </w:rPr>
        <w:br w:type="page"/>
      </w:r>
    </w:p>
    <w:p w14:paraId="009ACF88">
      <w:pPr>
        <w:tabs>
          <w:tab w:val="left" w:pos="360"/>
        </w:tabs>
        <w:spacing w:line="360" w:lineRule="auto"/>
        <w:rPr>
          <w:b/>
          <w:sz w:val="24"/>
        </w:rPr>
      </w:pPr>
      <w:r>
        <w:rPr>
          <w:b/>
          <w:sz w:val="24"/>
        </w:rPr>
        <w:t>附件</w:t>
      </w:r>
      <w:r>
        <w:rPr>
          <w:rFonts w:hint="eastAsia"/>
          <w:b/>
          <w:sz w:val="24"/>
        </w:rPr>
        <w:t>5</w:t>
      </w:r>
    </w:p>
    <w:p w14:paraId="48CB6553">
      <w:pPr>
        <w:autoSpaceDN w:val="0"/>
        <w:spacing w:line="360" w:lineRule="auto"/>
        <w:jc w:val="center"/>
        <w:rPr>
          <w:b/>
          <w:bCs/>
          <w:sz w:val="24"/>
        </w:rPr>
      </w:pPr>
      <w:r>
        <w:rPr>
          <w:b/>
          <w:bCs/>
          <w:sz w:val="24"/>
        </w:rPr>
        <w:t>商务要求点对点应答表</w:t>
      </w:r>
    </w:p>
    <w:p w14:paraId="33D01514">
      <w:pPr>
        <w:spacing w:line="460" w:lineRule="exact"/>
        <w:rPr>
          <w:sz w:val="24"/>
        </w:rPr>
      </w:pPr>
    </w:p>
    <w:p w14:paraId="6B8D4B41">
      <w:pPr>
        <w:spacing w:line="460" w:lineRule="exact"/>
        <w:rPr>
          <w:sz w:val="24"/>
        </w:rPr>
      </w:pPr>
      <w:r>
        <w:rPr>
          <w:sz w:val="24"/>
        </w:rPr>
        <w:t>项目名称：</w:t>
      </w:r>
      <w:r>
        <w:rPr>
          <w:sz w:val="24"/>
          <w:u w:val="single"/>
        </w:rPr>
        <w:t xml:space="preserve">                    </w:t>
      </w:r>
    </w:p>
    <w:p w14:paraId="0FAB94FA">
      <w:pPr>
        <w:spacing w:line="460" w:lineRule="exact"/>
        <w:rPr>
          <w:sz w:val="24"/>
        </w:rPr>
      </w:pPr>
      <w:r>
        <w:rPr>
          <w:sz w:val="24"/>
        </w:rPr>
        <w:t>项目编号：</w:t>
      </w:r>
      <w:r>
        <w:rPr>
          <w:sz w:val="24"/>
          <w:u w:val="single"/>
        </w:rPr>
        <w:t xml:space="preserve">                    </w:t>
      </w:r>
    </w:p>
    <w:p w14:paraId="3043833A">
      <w:pPr>
        <w:spacing w:line="460" w:lineRule="exact"/>
        <w:rPr>
          <w:sz w:val="24"/>
          <w:u w:val="single"/>
        </w:rPr>
      </w:pPr>
      <w:r>
        <w:rPr>
          <w:sz w:val="24"/>
        </w:rPr>
        <w:t>包号：</w:t>
      </w:r>
      <w:r>
        <w:rPr>
          <w:sz w:val="24"/>
          <w:u w:val="single"/>
        </w:rPr>
        <w:t xml:space="preserve">                        </w:t>
      </w:r>
    </w:p>
    <w:p w14:paraId="034E982A">
      <w:pPr>
        <w:spacing w:line="460" w:lineRule="exact"/>
        <w:rPr>
          <w:sz w:val="24"/>
          <w:u w:val="single"/>
        </w:rPr>
      </w:pPr>
    </w:p>
    <w:tbl>
      <w:tblPr>
        <w:tblStyle w:val="22"/>
        <w:tblW w:w="51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2231"/>
        <w:gridCol w:w="2551"/>
        <w:gridCol w:w="1135"/>
        <w:gridCol w:w="1133"/>
      </w:tblGrid>
      <w:tr w14:paraId="1AB4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974" w:type="pct"/>
            <w:shd w:val="clear" w:color="auto" w:fill="auto"/>
            <w:vAlign w:val="center"/>
          </w:tcPr>
          <w:p w14:paraId="58BD0EDB">
            <w:pPr>
              <w:widowControl/>
              <w:jc w:val="center"/>
              <w:rPr>
                <w:kern w:val="0"/>
                <w:szCs w:val="21"/>
              </w:rPr>
            </w:pPr>
            <w:r>
              <w:rPr>
                <w:kern w:val="0"/>
                <w:szCs w:val="21"/>
              </w:rPr>
              <w:t>序号</w:t>
            </w:r>
          </w:p>
        </w:tc>
        <w:tc>
          <w:tcPr>
            <w:tcW w:w="1274" w:type="pct"/>
            <w:shd w:val="clear" w:color="auto" w:fill="auto"/>
            <w:vAlign w:val="center"/>
          </w:tcPr>
          <w:p w14:paraId="79C7EBDD">
            <w:pPr>
              <w:widowControl/>
              <w:jc w:val="center"/>
              <w:rPr>
                <w:kern w:val="0"/>
                <w:szCs w:val="21"/>
              </w:rPr>
            </w:pPr>
            <w:r>
              <w:rPr>
                <w:kern w:val="0"/>
                <w:szCs w:val="21"/>
              </w:rPr>
              <w:t>招标要求</w:t>
            </w:r>
          </w:p>
        </w:tc>
        <w:tc>
          <w:tcPr>
            <w:tcW w:w="1457" w:type="pct"/>
            <w:shd w:val="clear" w:color="auto" w:fill="auto"/>
            <w:vAlign w:val="center"/>
          </w:tcPr>
          <w:p w14:paraId="4245FFF0">
            <w:pPr>
              <w:widowControl/>
              <w:jc w:val="center"/>
              <w:rPr>
                <w:kern w:val="0"/>
                <w:szCs w:val="21"/>
              </w:rPr>
            </w:pPr>
            <w:r>
              <w:rPr>
                <w:kern w:val="0"/>
                <w:szCs w:val="21"/>
              </w:rPr>
              <w:t>投标应答</w:t>
            </w:r>
          </w:p>
        </w:tc>
        <w:tc>
          <w:tcPr>
            <w:tcW w:w="648" w:type="pct"/>
            <w:shd w:val="clear" w:color="auto" w:fill="auto"/>
            <w:vAlign w:val="center"/>
          </w:tcPr>
          <w:p w14:paraId="18BEF6DD">
            <w:pPr>
              <w:widowControl/>
              <w:jc w:val="center"/>
              <w:rPr>
                <w:kern w:val="0"/>
                <w:szCs w:val="21"/>
              </w:rPr>
            </w:pPr>
            <w:r>
              <w:rPr>
                <w:kern w:val="0"/>
                <w:szCs w:val="21"/>
              </w:rPr>
              <w:t>偏离说明</w:t>
            </w:r>
          </w:p>
        </w:tc>
        <w:tc>
          <w:tcPr>
            <w:tcW w:w="647" w:type="pct"/>
            <w:shd w:val="clear" w:color="auto" w:fill="auto"/>
            <w:vAlign w:val="center"/>
          </w:tcPr>
          <w:p w14:paraId="5D0ACA44">
            <w:pPr>
              <w:widowControl/>
              <w:jc w:val="center"/>
              <w:rPr>
                <w:kern w:val="0"/>
                <w:szCs w:val="21"/>
              </w:rPr>
            </w:pPr>
            <w:r>
              <w:rPr>
                <w:kern w:val="0"/>
                <w:szCs w:val="21"/>
              </w:rPr>
              <w:t>备注</w:t>
            </w:r>
          </w:p>
        </w:tc>
      </w:tr>
      <w:tr w14:paraId="2057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11B46F09">
            <w:pPr>
              <w:widowControl/>
              <w:jc w:val="left"/>
              <w:rPr>
                <w:kern w:val="0"/>
                <w:szCs w:val="21"/>
              </w:rPr>
            </w:pPr>
            <w:r>
              <w:rPr>
                <w:kern w:val="0"/>
                <w:szCs w:val="21"/>
              </w:rPr>
              <w:t>（一）报价要求</w:t>
            </w:r>
          </w:p>
        </w:tc>
      </w:tr>
      <w:tr w14:paraId="3752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974" w:type="pct"/>
            <w:shd w:val="clear" w:color="auto" w:fill="auto"/>
            <w:vAlign w:val="center"/>
          </w:tcPr>
          <w:p w14:paraId="02643561">
            <w:pPr>
              <w:widowControl/>
              <w:jc w:val="left"/>
              <w:rPr>
                <w:kern w:val="0"/>
                <w:szCs w:val="21"/>
              </w:rPr>
            </w:pPr>
            <w:r>
              <w:rPr>
                <w:kern w:val="0"/>
                <w:szCs w:val="21"/>
              </w:rPr>
              <w:t>　</w:t>
            </w:r>
          </w:p>
        </w:tc>
        <w:tc>
          <w:tcPr>
            <w:tcW w:w="1274" w:type="pct"/>
            <w:shd w:val="clear" w:color="auto" w:fill="auto"/>
            <w:vAlign w:val="center"/>
          </w:tcPr>
          <w:p w14:paraId="464C8E76">
            <w:pPr>
              <w:widowControl/>
              <w:jc w:val="left"/>
              <w:rPr>
                <w:kern w:val="0"/>
                <w:szCs w:val="21"/>
              </w:rPr>
            </w:pPr>
            <w:r>
              <w:rPr>
                <w:kern w:val="0"/>
                <w:szCs w:val="21"/>
              </w:rPr>
              <w:t>　</w:t>
            </w:r>
          </w:p>
        </w:tc>
        <w:tc>
          <w:tcPr>
            <w:tcW w:w="1457" w:type="pct"/>
            <w:shd w:val="clear" w:color="auto" w:fill="auto"/>
            <w:vAlign w:val="center"/>
          </w:tcPr>
          <w:p w14:paraId="7B3CEED0">
            <w:pPr>
              <w:widowControl/>
              <w:jc w:val="left"/>
              <w:rPr>
                <w:kern w:val="0"/>
                <w:szCs w:val="21"/>
              </w:rPr>
            </w:pPr>
            <w:r>
              <w:rPr>
                <w:kern w:val="0"/>
                <w:szCs w:val="21"/>
              </w:rPr>
              <w:t>　</w:t>
            </w:r>
          </w:p>
        </w:tc>
        <w:tc>
          <w:tcPr>
            <w:tcW w:w="648" w:type="pct"/>
            <w:shd w:val="clear" w:color="auto" w:fill="auto"/>
            <w:vAlign w:val="center"/>
          </w:tcPr>
          <w:p w14:paraId="1C6FF8F7">
            <w:pPr>
              <w:widowControl/>
              <w:jc w:val="left"/>
              <w:rPr>
                <w:kern w:val="0"/>
                <w:szCs w:val="21"/>
              </w:rPr>
            </w:pPr>
            <w:r>
              <w:rPr>
                <w:kern w:val="0"/>
                <w:szCs w:val="21"/>
              </w:rPr>
              <w:t>　</w:t>
            </w:r>
          </w:p>
        </w:tc>
        <w:tc>
          <w:tcPr>
            <w:tcW w:w="647" w:type="pct"/>
            <w:shd w:val="clear" w:color="auto" w:fill="auto"/>
            <w:vAlign w:val="center"/>
          </w:tcPr>
          <w:p w14:paraId="07E73078">
            <w:pPr>
              <w:widowControl/>
              <w:jc w:val="left"/>
              <w:rPr>
                <w:kern w:val="0"/>
                <w:szCs w:val="21"/>
              </w:rPr>
            </w:pPr>
            <w:r>
              <w:rPr>
                <w:kern w:val="0"/>
                <w:szCs w:val="21"/>
              </w:rPr>
              <w:t>　</w:t>
            </w:r>
          </w:p>
        </w:tc>
      </w:tr>
      <w:tr w14:paraId="155B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5"/>
            <w:shd w:val="clear" w:color="auto" w:fill="auto"/>
            <w:vAlign w:val="center"/>
          </w:tcPr>
          <w:p w14:paraId="6D0B30BA">
            <w:pPr>
              <w:widowControl/>
              <w:jc w:val="left"/>
              <w:rPr>
                <w:kern w:val="0"/>
                <w:szCs w:val="21"/>
              </w:rPr>
            </w:pPr>
            <w:r>
              <w:rPr>
                <w:kern w:val="0"/>
                <w:szCs w:val="21"/>
              </w:rPr>
              <w:t>（</w:t>
            </w:r>
            <w:r>
              <w:rPr>
                <w:rFonts w:hint="eastAsia"/>
                <w:kern w:val="0"/>
                <w:szCs w:val="21"/>
              </w:rPr>
              <w:t>二</w:t>
            </w:r>
            <w:r>
              <w:rPr>
                <w:kern w:val="0"/>
                <w:szCs w:val="21"/>
              </w:rPr>
              <w:t>）时间、地点要求</w:t>
            </w:r>
          </w:p>
        </w:tc>
      </w:tr>
      <w:tr w14:paraId="7C9CC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6F984848">
            <w:pPr>
              <w:widowControl/>
              <w:jc w:val="left"/>
              <w:rPr>
                <w:kern w:val="0"/>
                <w:szCs w:val="21"/>
              </w:rPr>
            </w:pPr>
            <w:r>
              <w:rPr>
                <w:kern w:val="0"/>
                <w:szCs w:val="21"/>
              </w:rPr>
              <w:t>　</w:t>
            </w:r>
          </w:p>
        </w:tc>
        <w:tc>
          <w:tcPr>
            <w:tcW w:w="1274" w:type="pct"/>
            <w:shd w:val="clear" w:color="auto" w:fill="auto"/>
            <w:vAlign w:val="center"/>
          </w:tcPr>
          <w:p w14:paraId="57E70B87">
            <w:pPr>
              <w:widowControl/>
              <w:jc w:val="left"/>
              <w:rPr>
                <w:kern w:val="0"/>
                <w:szCs w:val="21"/>
              </w:rPr>
            </w:pPr>
            <w:r>
              <w:rPr>
                <w:kern w:val="0"/>
                <w:szCs w:val="21"/>
              </w:rPr>
              <w:t>　</w:t>
            </w:r>
          </w:p>
        </w:tc>
        <w:tc>
          <w:tcPr>
            <w:tcW w:w="1457" w:type="pct"/>
            <w:shd w:val="clear" w:color="auto" w:fill="auto"/>
            <w:vAlign w:val="center"/>
          </w:tcPr>
          <w:p w14:paraId="1F64F369">
            <w:pPr>
              <w:widowControl/>
              <w:jc w:val="left"/>
              <w:rPr>
                <w:kern w:val="0"/>
                <w:szCs w:val="21"/>
              </w:rPr>
            </w:pPr>
            <w:r>
              <w:rPr>
                <w:kern w:val="0"/>
                <w:szCs w:val="21"/>
              </w:rPr>
              <w:t>　</w:t>
            </w:r>
          </w:p>
        </w:tc>
        <w:tc>
          <w:tcPr>
            <w:tcW w:w="648" w:type="pct"/>
            <w:shd w:val="clear" w:color="auto" w:fill="auto"/>
            <w:vAlign w:val="center"/>
          </w:tcPr>
          <w:p w14:paraId="4662F75C">
            <w:pPr>
              <w:widowControl/>
              <w:jc w:val="left"/>
              <w:rPr>
                <w:kern w:val="0"/>
                <w:szCs w:val="21"/>
              </w:rPr>
            </w:pPr>
            <w:r>
              <w:rPr>
                <w:kern w:val="0"/>
                <w:szCs w:val="21"/>
              </w:rPr>
              <w:t>　</w:t>
            </w:r>
          </w:p>
        </w:tc>
        <w:tc>
          <w:tcPr>
            <w:tcW w:w="647" w:type="pct"/>
            <w:shd w:val="clear" w:color="auto" w:fill="auto"/>
            <w:vAlign w:val="center"/>
          </w:tcPr>
          <w:p w14:paraId="064BD08C">
            <w:pPr>
              <w:widowControl/>
              <w:jc w:val="left"/>
              <w:rPr>
                <w:kern w:val="0"/>
                <w:szCs w:val="21"/>
              </w:rPr>
            </w:pPr>
            <w:r>
              <w:rPr>
                <w:kern w:val="0"/>
                <w:szCs w:val="21"/>
              </w:rPr>
              <w:t>　</w:t>
            </w:r>
          </w:p>
        </w:tc>
      </w:tr>
      <w:tr w14:paraId="011DD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09933E13">
            <w:pPr>
              <w:widowControl/>
              <w:jc w:val="left"/>
              <w:rPr>
                <w:kern w:val="0"/>
                <w:szCs w:val="21"/>
              </w:rPr>
            </w:pPr>
            <w:r>
              <w:rPr>
                <w:kern w:val="0"/>
                <w:szCs w:val="21"/>
              </w:rPr>
              <w:t>（</w:t>
            </w:r>
            <w:r>
              <w:rPr>
                <w:rFonts w:hint="eastAsia"/>
                <w:kern w:val="0"/>
                <w:szCs w:val="21"/>
              </w:rPr>
              <w:t>三</w:t>
            </w:r>
            <w:r>
              <w:rPr>
                <w:kern w:val="0"/>
                <w:szCs w:val="21"/>
              </w:rPr>
              <w:t>）付款方式</w:t>
            </w:r>
          </w:p>
        </w:tc>
      </w:tr>
      <w:tr w14:paraId="1368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03F8FB40">
            <w:pPr>
              <w:widowControl/>
              <w:jc w:val="left"/>
              <w:rPr>
                <w:kern w:val="0"/>
                <w:szCs w:val="21"/>
              </w:rPr>
            </w:pPr>
            <w:r>
              <w:rPr>
                <w:kern w:val="0"/>
                <w:szCs w:val="21"/>
              </w:rPr>
              <w:t>　</w:t>
            </w:r>
          </w:p>
        </w:tc>
        <w:tc>
          <w:tcPr>
            <w:tcW w:w="1274" w:type="pct"/>
            <w:shd w:val="clear" w:color="auto" w:fill="auto"/>
            <w:vAlign w:val="center"/>
          </w:tcPr>
          <w:p w14:paraId="239CAECB">
            <w:pPr>
              <w:widowControl/>
              <w:jc w:val="left"/>
              <w:rPr>
                <w:kern w:val="0"/>
                <w:szCs w:val="21"/>
              </w:rPr>
            </w:pPr>
            <w:r>
              <w:rPr>
                <w:kern w:val="0"/>
                <w:szCs w:val="21"/>
              </w:rPr>
              <w:t>　</w:t>
            </w:r>
          </w:p>
        </w:tc>
        <w:tc>
          <w:tcPr>
            <w:tcW w:w="1457" w:type="pct"/>
            <w:shd w:val="clear" w:color="auto" w:fill="auto"/>
            <w:vAlign w:val="center"/>
          </w:tcPr>
          <w:p w14:paraId="56AE22B3">
            <w:pPr>
              <w:widowControl/>
              <w:jc w:val="left"/>
              <w:rPr>
                <w:kern w:val="0"/>
                <w:szCs w:val="21"/>
              </w:rPr>
            </w:pPr>
            <w:r>
              <w:rPr>
                <w:kern w:val="0"/>
                <w:szCs w:val="21"/>
              </w:rPr>
              <w:t>　</w:t>
            </w:r>
          </w:p>
        </w:tc>
        <w:tc>
          <w:tcPr>
            <w:tcW w:w="648" w:type="pct"/>
            <w:shd w:val="clear" w:color="auto" w:fill="auto"/>
            <w:vAlign w:val="center"/>
          </w:tcPr>
          <w:p w14:paraId="773927A4">
            <w:pPr>
              <w:widowControl/>
              <w:jc w:val="left"/>
              <w:rPr>
                <w:kern w:val="0"/>
                <w:szCs w:val="21"/>
              </w:rPr>
            </w:pPr>
            <w:r>
              <w:rPr>
                <w:kern w:val="0"/>
                <w:szCs w:val="21"/>
              </w:rPr>
              <w:t>　</w:t>
            </w:r>
          </w:p>
        </w:tc>
        <w:tc>
          <w:tcPr>
            <w:tcW w:w="647" w:type="pct"/>
            <w:shd w:val="clear" w:color="auto" w:fill="auto"/>
            <w:vAlign w:val="center"/>
          </w:tcPr>
          <w:p w14:paraId="33404093">
            <w:pPr>
              <w:widowControl/>
              <w:jc w:val="left"/>
              <w:rPr>
                <w:kern w:val="0"/>
                <w:szCs w:val="21"/>
              </w:rPr>
            </w:pPr>
            <w:r>
              <w:rPr>
                <w:kern w:val="0"/>
                <w:szCs w:val="21"/>
              </w:rPr>
              <w:t>　</w:t>
            </w:r>
          </w:p>
        </w:tc>
      </w:tr>
      <w:tr w14:paraId="0F918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5"/>
            <w:shd w:val="clear" w:color="auto" w:fill="auto"/>
            <w:vAlign w:val="center"/>
          </w:tcPr>
          <w:p w14:paraId="69005732">
            <w:pPr>
              <w:widowControl/>
              <w:jc w:val="left"/>
              <w:rPr>
                <w:kern w:val="0"/>
                <w:szCs w:val="21"/>
              </w:rPr>
            </w:pPr>
            <w:r>
              <w:rPr>
                <w:kern w:val="0"/>
                <w:szCs w:val="21"/>
              </w:rPr>
              <w:t>（</w:t>
            </w:r>
            <w:r>
              <w:rPr>
                <w:rFonts w:hint="eastAsia"/>
                <w:kern w:val="0"/>
                <w:szCs w:val="21"/>
              </w:rPr>
              <w:t>四</w:t>
            </w:r>
            <w:r>
              <w:rPr>
                <w:kern w:val="0"/>
                <w:szCs w:val="21"/>
              </w:rPr>
              <w:t>）投标保证金和履约保证金</w:t>
            </w:r>
          </w:p>
        </w:tc>
      </w:tr>
      <w:tr w14:paraId="5C3DB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7CCC9972">
            <w:pPr>
              <w:widowControl/>
              <w:jc w:val="left"/>
              <w:rPr>
                <w:kern w:val="0"/>
                <w:szCs w:val="21"/>
              </w:rPr>
            </w:pPr>
            <w:r>
              <w:rPr>
                <w:kern w:val="0"/>
                <w:szCs w:val="21"/>
              </w:rPr>
              <w:t>　</w:t>
            </w:r>
          </w:p>
        </w:tc>
        <w:tc>
          <w:tcPr>
            <w:tcW w:w="1274" w:type="pct"/>
            <w:shd w:val="clear" w:color="auto" w:fill="auto"/>
            <w:vAlign w:val="center"/>
          </w:tcPr>
          <w:p w14:paraId="1CFA0822">
            <w:pPr>
              <w:widowControl/>
              <w:jc w:val="left"/>
              <w:rPr>
                <w:kern w:val="0"/>
                <w:szCs w:val="21"/>
              </w:rPr>
            </w:pPr>
            <w:r>
              <w:rPr>
                <w:kern w:val="0"/>
                <w:szCs w:val="21"/>
              </w:rPr>
              <w:t>　</w:t>
            </w:r>
          </w:p>
        </w:tc>
        <w:tc>
          <w:tcPr>
            <w:tcW w:w="1457" w:type="pct"/>
            <w:shd w:val="clear" w:color="auto" w:fill="auto"/>
            <w:vAlign w:val="center"/>
          </w:tcPr>
          <w:p w14:paraId="4AEDB85C">
            <w:pPr>
              <w:widowControl/>
              <w:jc w:val="left"/>
              <w:rPr>
                <w:kern w:val="0"/>
                <w:szCs w:val="21"/>
              </w:rPr>
            </w:pPr>
            <w:r>
              <w:rPr>
                <w:kern w:val="0"/>
                <w:szCs w:val="21"/>
              </w:rPr>
              <w:t>　</w:t>
            </w:r>
          </w:p>
        </w:tc>
        <w:tc>
          <w:tcPr>
            <w:tcW w:w="648" w:type="pct"/>
            <w:shd w:val="clear" w:color="auto" w:fill="auto"/>
            <w:vAlign w:val="center"/>
          </w:tcPr>
          <w:p w14:paraId="46382410">
            <w:pPr>
              <w:widowControl/>
              <w:jc w:val="left"/>
              <w:rPr>
                <w:kern w:val="0"/>
                <w:szCs w:val="21"/>
              </w:rPr>
            </w:pPr>
            <w:r>
              <w:rPr>
                <w:kern w:val="0"/>
                <w:szCs w:val="21"/>
              </w:rPr>
              <w:t>　</w:t>
            </w:r>
          </w:p>
        </w:tc>
        <w:tc>
          <w:tcPr>
            <w:tcW w:w="647" w:type="pct"/>
            <w:shd w:val="clear" w:color="auto" w:fill="auto"/>
            <w:vAlign w:val="center"/>
          </w:tcPr>
          <w:p w14:paraId="3A563134">
            <w:pPr>
              <w:widowControl/>
              <w:jc w:val="left"/>
              <w:rPr>
                <w:kern w:val="0"/>
                <w:szCs w:val="21"/>
              </w:rPr>
            </w:pPr>
            <w:r>
              <w:rPr>
                <w:kern w:val="0"/>
                <w:szCs w:val="21"/>
              </w:rPr>
              <w:t>　</w:t>
            </w:r>
          </w:p>
        </w:tc>
      </w:tr>
      <w:tr w14:paraId="43EE7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61846F0D">
            <w:pPr>
              <w:widowControl/>
              <w:jc w:val="left"/>
              <w:rPr>
                <w:kern w:val="0"/>
                <w:szCs w:val="21"/>
              </w:rPr>
            </w:pPr>
            <w:r>
              <w:rPr>
                <w:rFonts w:hint="eastAsia"/>
                <w:kern w:val="0"/>
                <w:szCs w:val="21"/>
              </w:rPr>
              <w:t>（五）验收方法及标准</w:t>
            </w:r>
          </w:p>
        </w:tc>
      </w:tr>
      <w:tr w14:paraId="745EA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795ED77E">
            <w:pPr>
              <w:widowControl/>
              <w:jc w:val="left"/>
              <w:rPr>
                <w:kern w:val="0"/>
                <w:szCs w:val="21"/>
              </w:rPr>
            </w:pPr>
          </w:p>
        </w:tc>
        <w:tc>
          <w:tcPr>
            <w:tcW w:w="1274" w:type="pct"/>
            <w:shd w:val="clear" w:color="auto" w:fill="auto"/>
            <w:vAlign w:val="center"/>
          </w:tcPr>
          <w:p w14:paraId="49AEA249">
            <w:pPr>
              <w:widowControl/>
              <w:jc w:val="left"/>
              <w:rPr>
                <w:kern w:val="0"/>
                <w:szCs w:val="21"/>
              </w:rPr>
            </w:pPr>
          </w:p>
        </w:tc>
        <w:tc>
          <w:tcPr>
            <w:tcW w:w="1457" w:type="pct"/>
            <w:shd w:val="clear" w:color="auto" w:fill="auto"/>
            <w:vAlign w:val="center"/>
          </w:tcPr>
          <w:p w14:paraId="7BE757ED">
            <w:pPr>
              <w:widowControl/>
              <w:jc w:val="left"/>
              <w:rPr>
                <w:kern w:val="0"/>
                <w:szCs w:val="21"/>
              </w:rPr>
            </w:pPr>
          </w:p>
        </w:tc>
        <w:tc>
          <w:tcPr>
            <w:tcW w:w="648" w:type="pct"/>
            <w:shd w:val="clear" w:color="auto" w:fill="auto"/>
            <w:vAlign w:val="center"/>
          </w:tcPr>
          <w:p w14:paraId="28E13EC0">
            <w:pPr>
              <w:widowControl/>
              <w:jc w:val="left"/>
              <w:rPr>
                <w:kern w:val="0"/>
                <w:szCs w:val="21"/>
              </w:rPr>
            </w:pPr>
          </w:p>
        </w:tc>
        <w:tc>
          <w:tcPr>
            <w:tcW w:w="647" w:type="pct"/>
            <w:shd w:val="clear" w:color="auto" w:fill="auto"/>
            <w:vAlign w:val="center"/>
          </w:tcPr>
          <w:p w14:paraId="374951F9">
            <w:pPr>
              <w:widowControl/>
              <w:jc w:val="left"/>
              <w:rPr>
                <w:kern w:val="0"/>
                <w:szCs w:val="21"/>
              </w:rPr>
            </w:pPr>
          </w:p>
        </w:tc>
      </w:tr>
    </w:tbl>
    <w:p w14:paraId="6ECFEEC1">
      <w:pPr>
        <w:spacing w:line="360" w:lineRule="auto"/>
        <w:ind w:firstLine="448" w:firstLineChars="200"/>
        <w:rPr>
          <w:sz w:val="24"/>
        </w:rPr>
      </w:pPr>
      <w:r>
        <w:rPr>
          <w:sz w:val="24"/>
        </w:rPr>
        <w:t>注：</w:t>
      </w:r>
    </w:p>
    <w:p w14:paraId="17EA9DEF">
      <w:pPr>
        <w:spacing w:line="360" w:lineRule="auto"/>
        <w:ind w:firstLine="448" w:firstLineChars="200"/>
        <w:rPr>
          <w:sz w:val="24"/>
        </w:rPr>
      </w:pPr>
      <w:r>
        <w:rPr>
          <w:rFonts w:hint="eastAsia"/>
          <w:sz w:val="24"/>
        </w:rPr>
        <w:t>1. 此表应按招标文件商务要求中的全部内容逐项进行应答，未应答的，视为不满足招标文件要求。</w:t>
      </w:r>
    </w:p>
    <w:p w14:paraId="2ABABB3D">
      <w:pPr>
        <w:spacing w:line="360" w:lineRule="auto"/>
        <w:ind w:firstLine="448" w:firstLineChars="200"/>
        <w:rPr>
          <w:sz w:val="24"/>
        </w:rPr>
      </w:pPr>
      <w:r>
        <w:rPr>
          <w:rFonts w:hint="eastAsia"/>
          <w:sz w:val="24"/>
        </w:rPr>
        <w:t>2</w:t>
      </w:r>
      <w:r>
        <w:rPr>
          <w:sz w:val="24"/>
        </w:rPr>
        <w:t>. 不如实填写偏离情况的投标文件将视为虚假材料。</w:t>
      </w:r>
    </w:p>
    <w:p w14:paraId="4CB68D7F">
      <w:pPr>
        <w:spacing w:line="360" w:lineRule="auto"/>
        <w:ind w:firstLine="448" w:firstLineChars="200"/>
        <w:rPr>
          <w:sz w:val="24"/>
        </w:rPr>
      </w:pPr>
      <w:r>
        <w:rPr>
          <w:rFonts w:hint="eastAsia"/>
          <w:sz w:val="24"/>
        </w:rPr>
        <w:t>3</w:t>
      </w:r>
      <w:r>
        <w:rPr>
          <w:sz w:val="24"/>
        </w:rPr>
        <w:t>. “招标要求”指招标文件中规定的具体要求，“投标应答”指投标文件的具体内容。“偏离说明”指招标要求与投标应答之间的不同之处。</w:t>
      </w:r>
    </w:p>
    <w:p w14:paraId="7135902E">
      <w:pPr>
        <w:spacing w:line="360" w:lineRule="auto"/>
        <w:rPr>
          <w:sz w:val="24"/>
        </w:rPr>
      </w:pPr>
    </w:p>
    <w:p w14:paraId="20763E56">
      <w:pPr>
        <w:spacing w:line="360" w:lineRule="auto"/>
        <w:ind w:firstLine="3808" w:firstLineChars="1700"/>
        <w:rPr>
          <w:sz w:val="24"/>
        </w:rPr>
      </w:pPr>
      <w:r>
        <w:rPr>
          <w:sz w:val="24"/>
        </w:rPr>
        <w:t>投标人名称：</w:t>
      </w:r>
    </w:p>
    <w:p w14:paraId="6E55B7B8">
      <w:pPr>
        <w:spacing w:line="360" w:lineRule="auto"/>
        <w:ind w:firstLine="3808" w:firstLineChars="1700"/>
        <w:rPr>
          <w:sz w:val="24"/>
        </w:rPr>
      </w:pPr>
    </w:p>
    <w:p w14:paraId="485C2024">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82B674D">
      <w:pPr>
        <w:tabs>
          <w:tab w:val="left" w:pos="360"/>
        </w:tabs>
        <w:spacing w:line="360" w:lineRule="auto"/>
        <w:rPr>
          <w:b/>
          <w:sz w:val="24"/>
        </w:rPr>
      </w:pPr>
      <w:r>
        <w:rPr>
          <w:sz w:val="24"/>
        </w:rPr>
        <w:br w:type="page"/>
      </w:r>
      <w:r>
        <w:rPr>
          <w:b/>
          <w:sz w:val="24"/>
        </w:rPr>
        <w:t>附件</w:t>
      </w:r>
      <w:r>
        <w:rPr>
          <w:rFonts w:hint="eastAsia"/>
          <w:b/>
          <w:sz w:val="24"/>
        </w:rPr>
        <w:t>6</w:t>
      </w:r>
    </w:p>
    <w:p w14:paraId="02DBC4DE">
      <w:pPr>
        <w:spacing w:line="360" w:lineRule="auto"/>
        <w:jc w:val="center"/>
        <w:rPr>
          <w:b/>
          <w:bCs/>
          <w:sz w:val="24"/>
          <w:szCs w:val="24"/>
        </w:rPr>
      </w:pPr>
      <w:r>
        <w:rPr>
          <w:rFonts w:ascii="宋体" w:hAnsi="宋体"/>
          <w:b/>
          <w:bCs/>
          <w:sz w:val="24"/>
          <w:szCs w:val="24"/>
        </w:rPr>
        <w:t>技术要求偏离应答表</w:t>
      </w:r>
    </w:p>
    <w:p w14:paraId="1E53BF37">
      <w:pPr>
        <w:spacing w:line="460" w:lineRule="exact"/>
        <w:rPr>
          <w:sz w:val="24"/>
        </w:rPr>
      </w:pPr>
      <w:r>
        <w:rPr>
          <w:sz w:val="24"/>
        </w:rPr>
        <w:t>项目名称：</w:t>
      </w:r>
      <w:r>
        <w:rPr>
          <w:sz w:val="24"/>
          <w:u w:val="single"/>
        </w:rPr>
        <w:t xml:space="preserve">                    </w:t>
      </w:r>
    </w:p>
    <w:p w14:paraId="36F61FD2">
      <w:pPr>
        <w:spacing w:line="460" w:lineRule="exact"/>
        <w:rPr>
          <w:sz w:val="24"/>
        </w:rPr>
      </w:pPr>
      <w:r>
        <w:rPr>
          <w:sz w:val="24"/>
        </w:rPr>
        <w:t>项目编号：</w:t>
      </w:r>
      <w:r>
        <w:rPr>
          <w:sz w:val="24"/>
          <w:u w:val="single"/>
        </w:rPr>
        <w:t xml:space="preserve">                    </w:t>
      </w:r>
    </w:p>
    <w:p w14:paraId="67F7F70B">
      <w:pPr>
        <w:spacing w:line="460" w:lineRule="exact"/>
        <w:rPr>
          <w:sz w:val="24"/>
          <w:u w:val="single"/>
        </w:rPr>
      </w:pPr>
      <w:r>
        <w:rPr>
          <w:sz w:val="24"/>
        </w:rPr>
        <w:t>包号：</w:t>
      </w:r>
      <w:r>
        <w:rPr>
          <w:sz w:val="24"/>
          <w:u w:val="single"/>
        </w:rPr>
        <w:t xml:space="preserve">                        </w:t>
      </w:r>
    </w:p>
    <w:p w14:paraId="2174699D">
      <w:pPr>
        <w:spacing w:line="460" w:lineRule="exact"/>
        <w:rPr>
          <w:sz w:val="24"/>
          <w:szCs w:val="24"/>
          <w:u w:val="single"/>
        </w:rPr>
      </w:pPr>
    </w:p>
    <w:p w14:paraId="66B65F1F">
      <w:pPr>
        <w:spacing w:line="360" w:lineRule="auto"/>
        <w:ind w:firstLine="448" w:firstLineChars="200"/>
        <w:rPr>
          <w:sz w:val="24"/>
          <w:szCs w:val="24"/>
          <w:u w:val="single"/>
        </w:rPr>
      </w:pPr>
      <w:r>
        <w:rPr>
          <w:rFonts w:hint="eastAsia" w:ascii="宋体" w:hAnsi="宋体"/>
          <w:b/>
          <w:sz w:val="24"/>
          <w:szCs w:val="24"/>
        </w:rPr>
        <w:t>我单位郑重承诺：所提供的服务、人员及设备符合相关强制性规定。验收时采购人有权要求我单位出具所提供的服务、人员及设备符合上述规定的证明文件。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我单位严格遵守与采购人签订的保密协议，对上述开放资料严格保密，经采购人允许合规使用。除下表列出的偏离外，与招标文件技术要求完全一致，并承担相应的法律责任。</w:t>
      </w:r>
    </w:p>
    <w:tbl>
      <w:tblPr>
        <w:tblStyle w:val="22"/>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097E1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5BA2636">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7B87DD4B">
            <w:pPr>
              <w:widowControl/>
              <w:snapToGrid w:val="0"/>
              <w:jc w:val="center"/>
              <w:rPr>
                <w:kern w:val="0"/>
                <w:sz w:val="24"/>
                <w:szCs w:val="24"/>
              </w:rPr>
            </w:pPr>
            <w:r>
              <w:rPr>
                <w:rFonts w:hint="eastAsia" w:ascii="宋体" w:hAnsi="宋体"/>
                <w:kern w:val="0"/>
                <w:sz w:val="24"/>
                <w:szCs w:val="24"/>
              </w:rPr>
              <w:t>招标文件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667992DE">
            <w:pPr>
              <w:widowControl/>
              <w:snapToGrid w:val="0"/>
              <w:jc w:val="center"/>
              <w:rPr>
                <w:kern w:val="0"/>
                <w:sz w:val="24"/>
                <w:szCs w:val="24"/>
              </w:rPr>
            </w:pPr>
            <w:r>
              <w:rPr>
                <w:rFonts w:hint="eastAsia" w:ascii="宋体" w:hAnsi="宋体"/>
                <w:kern w:val="0"/>
                <w:sz w:val="24"/>
                <w:szCs w:val="24"/>
              </w:rPr>
              <w:t>投标</w:t>
            </w:r>
            <w:r>
              <w:rPr>
                <w:rFonts w:ascii="宋体" w:hAnsi="宋体"/>
                <w:kern w:val="0"/>
                <w:sz w:val="24"/>
                <w:szCs w:val="24"/>
              </w:rPr>
              <w:t>应答</w:t>
            </w:r>
          </w:p>
        </w:tc>
        <w:tc>
          <w:tcPr>
            <w:tcW w:w="2071" w:type="dxa"/>
            <w:tcBorders>
              <w:top w:val="single" w:color="auto" w:sz="4" w:space="0"/>
              <w:left w:val="single" w:color="auto" w:sz="4" w:space="0"/>
              <w:bottom w:val="single" w:color="auto" w:sz="4" w:space="0"/>
              <w:right w:val="single" w:color="auto" w:sz="4" w:space="0"/>
            </w:tcBorders>
            <w:vAlign w:val="center"/>
          </w:tcPr>
          <w:p w14:paraId="13F31AD6">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61BB5DDE">
            <w:pPr>
              <w:widowControl/>
              <w:snapToGrid w:val="0"/>
              <w:jc w:val="center"/>
              <w:rPr>
                <w:kern w:val="0"/>
                <w:sz w:val="24"/>
                <w:szCs w:val="24"/>
              </w:rPr>
            </w:pPr>
            <w:r>
              <w:rPr>
                <w:rFonts w:ascii="宋体" w:hAnsi="宋体"/>
                <w:kern w:val="0"/>
                <w:sz w:val="24"/>
                <w:szCs w:val="24"/>
              </w:rPr>
              <w:t>备注</w:t>
            </w:r>
          </w:p>
        </w:tc>
      </w:tr>
      <w:tr w14:paraId="25094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523BAF1">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6391B18F">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715CE759">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5C176E18">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749AFE62">
            <w:pPr>
              <w:widowControl/>
              <w:snapToGrid w:val="0"/>
              <w:jc w:val="center"/>
              <w:rPr>
                <w:kern w:val="0"/>
                <w:sz w:val="24"/>
                <w:szCs w:val="24"/>
              </w:rPr>
            </w:pPr>
          </w:p>
        </w:tc>
      </w:tr>
      <w:tr w14:paraId="25AD3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77703F4">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58C90E5A">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261FF784">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51DD1AA5">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4D9B62B8">
            <w:pPr>
              <w:widowControl/>
              <w:snapToGrid w:val="0"/>
              <w:jc w:val="center"/>
              <w:rPr>
                <w:kern w:val="0"/>
                <w:sz w:val="24"/>
                <w:szCs w:val="24"/>
              </w:rPr>
            </w:pPr>
          </w:p>
        </w:tc>
      </w:tr>
      <w:tr w14:paraId="3988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09C6267">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6E3FC532">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5A1B9CB7">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52C514AE">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7319A6BD">
            <w:pPr>
              <w:widowControl/>
              <w:snapToGrid w:val="0"/>
              <w:jc w:val="center"/>
              <w:rPr>
                <w:kern w:val="0"/>
                <w:sz w:val="24"/>
                <w:szCs w:val="24"/>
              </w:rPr>
            </w:pPr>
          </w:p>
        </w:tc>
      </w:tr>
      <w:tr w14:paraId="0F77E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FF8BB43">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39D481CA">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0EBCD0A0">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6175B87C">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61144B12">
            <w:pPr>
              <w:widowControl/>
              <w:snapToGrid w:val="0"/>
              <w:jc w:val="center"/>
              <w:rPr>
                <w:kern w:val="0"/>
                <w:sz w:val="24"/>
                <w:szCs w:val="24"/>
              </w:rPr>
            </w:pPr>
          </w:p>
        </w:tc>
      </w:tr>
      <w:tr w14:paraId="059BC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35DAFCE8">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642ABBDE">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DC0D043">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01F22058">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50BCD89E">
            <w:pPr>
              <w:widowControl/>
              <w:snapToGrid w:val="0"/>
              <w:jc w:val="center"/>
              <w:rPr>
                <w:kern w:val="0"/>
                <w:sz w:val="24"/>
                <w:szCs w:val="24"/>
              </w:rPr>
            </w:pPr>
          </w:p>
        </w:tc>
      </w:tr>
    </w:tbl>
    <w:p w14:paraId="713BB37D">
      <w:pPr>
        <w:spacing w:line="360" w:lineRule="auto"/>
        <w:ind w:firstLine="448" w:firstLineChars="200"/>
        <w:rPr>
          <w:sz w:val="24"/>
          <w:szCs w:val="24"/>
        </w:rPr>
      </w:pPr>
      <w:r>
        <w:rPr>
          <w:rFonts w:ascii="宋体" w:hAnsi="宋体"/>
          <w:sz w:val="24"/>
          <w:szCs w:val="24"/>
        </w:rPr>
        <w:t>注：</w:t>
      </w:r>
    </w:p>
    <w:p w14:paraId="2C86F3E8">
      <w:pPr>
        <w:spacing w:line="360" w:lineRule="auto"/>
        <w:ind w:firstLine="448" w:firstLineChars="200"/>
        <w:rPr>
          <w:sz w:val="24"/>
          <w:szCs w:val="24"/>
        </w:rPr>
      </w:pPr>
      <w:r>
        <w:rPr>
          <w:rFonts w:hint="eastAsia"/>
          <w:sz w:val="24"/>
          <w:szCs w:val="24"/>
        </w:rPr>
        <w:t xml:space="preserve">1. </w:t>
      </w:r>
      <w:r>
        <w:rPr>
          <w:rFonts w:hint="eastAsia" w:ascii="宋体" w:hAnsi="宋体"/>
          <w:sz w:val="24"/>
          <w:szCs w:val="24"/>
        </w:rPr>
        <w:t>此表仅体现与招标文件技术要求存在偏离的部分，无偏离的部分，无需填写。</w:t>
      </w:r>
    </w:p>
    <w:p w14:paraId="7EB52CA1">
      <w:pPr>
        <w:spacing w:line="360" w:lineRule="auto"/>
        <w:ind w:firstLine="448" w:firstLineChars="200"/>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hint="eastAsia" w:ascii="宋体" w:hAnsi="宋体"/>
          <w:sz w:val="24"/>
          <w:szCs w:val="24"/>
        </w:rPr>
        <w:t>投标</w:t>
      </w:r>
      <w:r>
        <w:rPr>
          <w:rFonts w:ascii="宋体" w:hAnsi="宋体"/>
          <w:sz w:val="24"/>
          <w:szCs w:val="24"/>
        </w:rPr>
        <w:t>文件将视为虚假材料。</w:t>
      </w:r>
    </w:p>
    <w:p w14:paraId="7A1A7B0F">
      <w:pPr>
        <w:spacing w:line="360" w:lineRule="auto"/>
        <w:ind w:firstLine="448" w:firstLineChars="200"/>
        <w:rPr>
          <w:sz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hint="eastAsia" w:ascii="宋体" w:hAnsi="宋体"/>
          <w:sz w:val="24"/>
          <w:szCs w:val="24"/>
        </w:rPr>
        <w:t>招标</w:t>
      </w:r>
      <w:r>
        <w:rPr>
          <w:rFonts w:ascii="宋体" w:hAnsi="宋体"/>
          <w:sz w:val="24"/>
          <w:szCs w:val="24"/>
        </w:rPr>
        <w:t>文件中规定的具体要求，“</w:t>
      </w:r>
      <w:r>
        <w:rPr>
          <w:rFonts w:hint="eastAsia" w:ascii="宋体" w:hAnsi="宋体"/>
          <w:sz w:val="24"/>
          <w:szCs w:val="24"/>
        </w:rPr>
        <w:t>投标</w:t>
      </w:r>
      <w:r>
        <w:rPr>
          <w:rFonts w:ascii="宋体" w:hAnsi="宋体"/>
          <w:sz w:val="24"/>
          <w:szCs w:val="24"/>
        </w:rPr>
        <w:t>应答”指投标</w:t>
      </w:r>
      <w:r>
        <w:rPr>
          <w:rFonts w:hint="eastAsia" w:ascii="宋体" w:hAnsi="宋体"/>
          <w:sz w:val="24"/>
          <w:szCs w:val="24"/>
        </w:rPr>
        <w:t>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招标</w:t>
      </w:r>
      <w:r>
        <w:rPr>
          <w:rFonts w:ascii="宋体" w:hAnsi="宋体"/>
          <w:sz w:val="24"/>
          <w:szCs w:val="24"/>
        </w:rPr>
        <w:t>文件中规定的具体要求与</w:t>
      </w:r>
      <w:r>
        <w:rPr>
          <w:rFonts w:hint="eastAsia" w:ascii="宋体" w:hAnsi="宋体"/>
          <w:sz w:val="24"/>
          <w:szCs w:val="24"/>
        </w:rPr>
        <w:t>投标</w:t>
      </w:r>
      <w:r>
        <w:rPr>
          <w:rFonts w:ascii="宋体" w:hAnsi="宋体"/>
          <w:sz w:val="24"/>
          <w:szCs w:val="24"/>
        </w:rPr>
        <w:t>文件的具体内容的不同之处。</w:t>
      </w:r>
    </w:p>
    <w:p w14:paraId="7C9C3F47">
      <w:pPr>
        <w:spacing w:line="360" w:lineRule="auto"/>
        <w:rPr>
          <w:sz w:val="24"/>
        </w:rPr>
      </w:pPr>
    </w:p>
    <w:p w14:paraId="233E139A">
      <w:pPr>
        <w:spacing w:line="360" w:lineRule="auto"/>
        <w:ind w:firstLine="3808" w:firstLineChars="1700"/>
        <w:rPr>
          <w:sz w:val="24"/>
        </w:rPr>
      </w:pPr>
      <w:r>
        <w:rPr>
          <w:sz w:val="24"/>
        </w:rPr>
        <w:t>投标人名称：</w:t>
      </w:r>
    </w:p>
    <w:p w14:paraId="3AFB841F">
      <w:pPr>
        <w:spacing w:line="360" w:lineRule="auto"/>
        <w:ind w:firstLine="3808" w:firstLineChars="1700"/>
        <w:rPr>
          <w:sz w:val="24"/>
        </w:rPr>
      </w:pPr>
    </w:p>
    <w:p w14:paraId="53F6BAB2">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907EB9C">
      <w:pPr>
        <w:tabs>
          <w:tab w:val="left" w:pos="360"/>
        </w:tabs>
        <w:spacing w:line="360" w:lineRule="auto"/>
        <w:rPr>
          <w:b/>
          <w:sz w:val="24"/>
        </w:rPr>
      </w:pPr>
      <w:r>
        <w:rPr>
          <w:sz w:val="24"/>
        </w:rPr>
        <w:br w:type="page"/>
      </w:r>
      <w:r>
        <w:rPr>
          <w:b/>
          <w:sz w:val="24"/>
        </w:rPr>
        <w:t>附件</w:t>
      </w:r>
      <w:r>
        <w:rPr>
          <w:rFonts w:hint="eastAsia"/>
          <w:b/>
          <w:sz w:val="24"/>
        </w:rPr>
        <w:t>7</w:t>
      </w:r>
    </w:p>
    <w:p w14:paraId="772AEF3C">
      <w:pPr>
        <w:autoSpaceDN w:val="0"/>
        <w:spacing w:line="360" w:lineRule="auto"/>
        <w:jc w:val="center"/>
        <w:rPr>
          <w:b/>
          <w:bCs/>
          <w:sz w:val="24"/>
        </w:rPr>
      </w:pPr>
      <w:r>
        <w:rPr>
          <w:b/>
          <w:sz w:val="24"/>
        </w:rPr>
        <w:t>主要相关项目业绩一览表</w:t>
      </w:r>
    </w:p>
    <w:p w14:paraId="4F691FF7">
      <w:pPr>
        <w:spacing w:line="460" w:lineRule="exact"/>
        <w:ind w:left="192"/>
        <w:rPr>
          <w:sz w:val="24"/>
        </w:rPr>
      </w:pPr>
    </w:p>
    <w:p w14:paraId="4D1F6FE9">
      <w:pPr>
        <w:spacing w:line="460" w:lineRule="exact"/>
        <w:rPr>
          <w:sz w:val="24"/>
        </w:rPr>
      </w:pPr>
      <w:r>
        <w:rPr>
          <w:sz w:val="24"/>
        </w:rPr>
        <w:t>项目名称：</w:t>
      </w:r>
      <w:r>
        <w:rPr>
          <w:sz w:val="24"/>
          <w:u w:val="single"/>
        </w:rPr>
        <w:t xml:space="preserve">                    </w:t>
      </w:r>
    </w:p>
    <w:p w14:paraId="1EA5D666">
      <w:pPr>
        <w:spacing w:line="460" w:lineRule="exact"/>
        <w:rPr>
          <w:sz w:val="24"/>
        </w:rPr>
      </w:pPr>
      <w:r>
        <w:rPr>
          <w:sz w:val="24"/>
        </w:rPr>
        <w:t>项目编号：</w:t>
      </w:r>
      <w:r>
        <w:rPr>
          <w:sz w:val="24"/>
          <w:u w:val="single"/>
        </w:rPr>
        <w:t xml:space="preserve">                    </w:t>
      </w:r>
    </w:p>
    <w:p w14:paraId="457ADD26">
      <w:pPr>
        <w:spacing w:line="460" w:lineRule="exact"/>
        <w:rPr>
          <w:sz w:val="24"/>
          <w:u w:val="single"/>
        </w:rPr>
      </w:pPr>
      <w:r>
        <w:rPr>
          <w:sz w:val="24"/>
        </w:rPr>
        <w:t>包号：</w:t>
      </w:r>
      <w:r>
        <w:rPr>
          <w:sz w:val="24"/>
          <w:u w:val="single"/>
        </w:rPr>
        <w:t xml:space="preserve">                        </w:t>
      </w:r>
    </w:p>
    <w:p w14:paraId="0F77D464">
      <w:pPr>
        <w:spacing w:line="460" w:lineRule="exact"/>
        <w:ind w:left="192"/>
        <w:rPr>
          <w:sz w:val="24"/>
        </w:rPr>
      </w:pPr>
    </w:p>
    <w:tbl>
      <w:tblPr>
        <w:tblStyle w:val="22"/>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2628"/>
        <w:gridCol w:w="1735"/>
      </w:tblGrid>
      <w:tr w14:paraId="3638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A00F9CB">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3812A264">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752D7892">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3B20C2AF">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353089AC">
            <w:pPr>
              <w:snapToGrid w:val="0"/>
              <w:jc w:val="center"/>
              <w:rPr>
                <w:sz w:val="24"/>
              </w:rPr>
            </w:pPr>
            <w:r>
              <w:rPr>
                <w:sz w:val="24"/>
              </w:rPr>
              <w:t>项目起止时间</w:t>
            </w:r>
          </w:p>
        </w:tc>
      </w:tr>
      <w:tr w14:paraId="3343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785951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97D136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98E66D1">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B52E718">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FB22078">
            <w:pPr>
              <w:snapToGrid w:val="0"/>
              <w:jc w:val="center"/>
              <w:rPr>
                <w:sz w:val="24"/>
              </w:rPr>
            </w:pPr>
          </w:p>
        </w:tc>
      </w:tr>
      <w:tr w14:paraId="76AD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576012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8EA53A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24442A3">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823AD60">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E224ADC">
            <w:pPr>
              <w:snapToGrid w:val="0"/>
              <w:jc w:val="center"/>
              <w:rPr>
                <w:sz w:val="24"/>
              </w:rPr>
            </w:pPr>
          </w:p>
        </w:tc>
      </w:tr>
      <w:tr w14:paraId="2142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2F50CB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06C2AC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5E15178">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419DEB5">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D6A0E0A">
            <w:pPr>
              <w:snapToGrid w:val="0"/>
              <w:jc w:val="center"/>
              <w:rPr>
                <w:sz w:val="24"/>
              </w:rPr>
            </w:pPr>
          </w:p>
        </w:tc>
      </w:tr>
      <w:tr w14:paraId="74CC6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C1F0C4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278ADD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A154668">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33BEAC6F">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7AB0459">
            <w:pPr>
              <w:snapToGrid w:val="0"/>
              <w:jc w:val="center"/>
              <w:rPr>
                <w:sz w:val="24"/>
              </w:rPr>
            </w:pPr>
          </w:p>
        </w:tc>
      </w:tr>
      <w:tr w14:paraId="0786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E77EDE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161080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959325E">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11884E9">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0B8F916">
            <w:pPr>
              <w:snapToGrid w:val="0"/>
              <w:jc w:val="center"/>
              <w:rPr>
                <w:sz w:val="24"/>
              </w:rPr>
            </w:pPr>
          </w:p>
        </w:tc>
      </w:tr>
      <w:tr w14:paraId="283F9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E3B1E3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43411E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D6ED30A">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A2D76D7">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09C64F9">
            <w:pPr>
              <w:snapToGrid w:val="0"/>
              <w:jc w:val="center"/>
              <w:rPr>
                <w:sz w:val="24"/>
              </w:rPr>
            </w:pPr>
          </w:p>
        </w:tc>
      </w:tr>
      <w:tr w14:paraId="0E2E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369CAB5">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B529BD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8D5571E">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CA41933">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8269881">
            <w:pPr>
              <w:snapToGrid w:val="0"/>
              <w:jc w:val="center"/>
              <w:rPr>
                <w:sz w:val="24"/>
              </w:rPr>
            </w:pPr>
          </w:p>
        </w:tc>
      </w:tr>
      <w:tr w14:paraId="3F245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C39714C">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BB3611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5DD34A7">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16E91AD">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3B00AFF">
            <w:pPr>
              <w:snapToGrid w:val="0"/>
              <w:jc w:val="center"/>
              <w:rPr>
                <w:sz w:val="24"/>
              </w:rPr>
            </w:pPr>
          </w:p>
        </w:tc>
      </w:tr>
      <w:tr w14:paraId="1789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CD6A634">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657DB7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618616E">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30CC0AA6">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D383780">
            <w:pPr>
              <w:snapToGrid w:val="0"/>
              <w:jc w:val="center"/>
              <w:rPr>
                <w:sz w:val="24"/>
              </w:rPr>
            </w:pPr>
          </w:p>
        </w:tc>
      </w:tr>
      <w:tr w14:paraId="6D71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5E3F14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DD1C02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515437B">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70FC4A9">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1349A69">
            <w:pPr>
              <w:snapToGrid w:val="0"/>
              <w:jc w:val="center"/>
              <w:rPr>
                <w:sz w:val="24"/>
              </w:rPr>
            </w:pPr>
          </w:p>
        </w:tc>
      </w:tr>
      <w:tr w14:paraId="7E4F7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B232D2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5B180F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B9C8E3C">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B9573A8">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E727F46">
            <w:pPr>
              <w:snapToGrid w:val="0"/>
              <w:jc w:val="center"/>
              <w:rPr>
                <w:sz w:val="24"/>
              </w:rPr>
            </w:pPr>
          </w:p>
        </w:tc>
      </w:tr>
    </w:tbl>
    <w:p w14:paraId="385F95CB">
      <w:pPr>
        <w:spacing w:line="560" w:lineRule="exact"/>
        <w:rPr>
          <w:sz w:val="24"/>
        </w:rPr>
      </w:pPr>
      <w:r>
        <w:rPr>
          <w:sz w:val="24"/>
        </w:rPr>
        <w:t>备注：若招标文件第二部分评分因素及评标标准中要求提供业绩的，投标人所列业绩应按其要求将证明材料按顺序附后。</w:t>
      </w:r>
    </w:p>
    <w:p w14:paraId="16B4BC51">
      <w:pPr>
        <w:spacing w:line="560" w:lineRule="exact"/>
        <w:rPr>
          <w:sz w:val="24"/>
        </w:rPr>
      </w:pPr>
    </w:p>
    <w:p w14:paraId="5B1FCD8E">
      <w:pPr>
        <w:spacing w:line="360" w:lineRule="auto"/>
        <w:ind w:firstLine="3808" w:firstLineChars="1700"/>
        <w:rPr>
          <w:sz w:val="24"/>
        </w:rPr>
      </w:pPr>
      <w:r>
        <w:rPr>
          <w:sz w:val="24"/>
        </w:rPr>
        <w:t>投标人名称：</w:t>
      </w:r>
    </w:p>
    <w:p w14:paraId="52FC3417">
      <w:pPr>
        <w:spacing w:line="360" w:lineRule="auto"/>
        <w:ind w:firstLine="3808" w:firstLineChars="1700"/>
        <w:rPr>
          <w:sz w:val="24"/>
        </w:rPr>
      </w:pPr>
    </w:p>
    <w:p w14:paraId="73320B04">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4214C9D">
      <w:pPr>
        <w:spacing w:line="460" w:lineRule="exact"/>
        <w:rPr>
          <w:sz w:val="24"/>
        </w:rPr>
      </w:pPr>
    </w:p>
    <w:p w14:paraId="4B56DD38">
      <w:pPr>
        <w:widowControl/>
        <w:jc w:val="left"/>
        <w:rPr>
          <w:sz w:val="24"/>
        </w:rPr>
      </w:pPr>
      <w:r>
        <w:rPr>
          <w:sz w:val="24"/>
        </w:rPr>
        <w:br w:type="page"/>
      </w:r>
    </w:p>
    <w:p w14:paraId="7279FBFE">
      <w:pPr>
        <w:tabs>
          <w:tab w:val="left" w:pos="360"/>
        </w:tabs>
        <w:spacing w:line="360" w:lineRule="auto"/>
        <w:rPr>
          <w:b/>
          <w:sz w:val="24"/>
        </w:rPr>
      </w:pPr>
      <w:r>
        <w:rPr>
          <w:b/>
          <w:sz w:val="24"/>
        </w:rPr>
        <w:t>附件</w:t>
      </w:r>
      <w:r>
        <w:rPr>
          <w:rFonts w:hint="eastAsia"/>
          <w:b/>
          <w:sz w:val="24"/>
        </w:rPr>
        <w:t>8</w:t>
      </w:r>
    </w:p>
    <w:p w14:paraId="37A28C42">
      <w:pPr>
        <w:autoSpaceDN w:val="0"/>
        <w:spacing w:line="360" w:lineRule="auto"/>
        <w:jc w:val="center"/>
        <w:rPr>
          <w:b/>
          <w:bCs/>
          <w:sz w:val="24"/>
        </w:rPr>
      </w:pPr>
      <w:r>
        <w:rPr>
          <w:rFonts w:hint="eastAsia"/>
          <w:b/>
          <w:bCs/>
          <w:sz w:val="24"/>
        </w:rPr>
        <w:t>投标</w:t>
      </w:r>
      <w:r>
        <w:rPr>
          <w:b/>
          <w:bCs/>
          <w:sz w:val="24"/>
        </w:rPr>
        <w:t>代表人授权书</w:t>
      </w:r>
    </w:p>
    <w:p w14:paraId="47D2996E">
      <w:pPr>
        <w:spacing w:line="360" w:lineRule="auto"/>
        <w:rPr>
          <w:sz w:val="24"/>
          <w:szCs w:val="21"/>
        </w:rPr>
      </w:pPr>
    </w:p>
    <w:p w14:paraId="0298A7FF">
      <w:pPr>
        <w:spacing w:line="360" w:lineRule="auto"/>
        <w:rPr>
          <w:sz w:val="24"/>
          <w:szCs w:val="21"/>
        </w:rPr>
      </w:pPr>
      <w:r>
        <w:rPr>
          <w:sz w:val="24"/>
          <w:szCs w:val="21"/>
        </w:rPr>
        <w:t>致：天津市政府采购中心</w:t>
      </w:r>
    </w:p>
    <w:p w14:paraId="71BD4AF4">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5A0E1BA1">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660CBC14">
      <w:pPr>
        <w:spacing w:line="360" w:lineRule="auto"/>
        <w:ind w:firstLine="448" w:firstLineChars="200"/>
        <w:rPr>
          <w:sz w:val="24"/>
          <w:szCs w:val="21"/>
        </w:rPr>
      </w:pPr>
      <w:r>
        <w:rPr>
          <w:sz w:val="24"/>
          <w:szCs w:val="21"/>
        </w:rPr>
        <w:t>本授权书至投标有效期结束前始终有效。</w:t>
      </w:r>
    </w:p>
    <w:p w14:paraId="2A70630B">
      <w:pPr>
        <w:spacing w:line="360" w:lineRule="auto"/>
        <w:ind w:firstLine="448" w:firstLineChars="200"/>
        <w:rPr>
          <w:sz w:val="24"/>
          <w:szCs w:val="21"/>
        </w:rPr>
      </w:pPr>
      <w:r>
        <w:rPr>
          <w:sz w:val="24"/>
          <w:szCs w:val="21"/>
        </w:rPr>
        <w:t>投标代表人无转委托权，特此委托。</w:t>
      </w:r>
    </w:p>
    <w:p w14:paraId="263BA5C6">
      <w:pPr>
        <w:spacing w:line="360" w:lineRule="auto"/>
        <w:ind w:firstLine="448" w:firstLineChars="200"/>
        <w:rPr>
          <w:sz w:val="24"/>
        </w:rPr>
      </w:pPr>
    </w:p>
    <w:p w14:paraId="18EA761C">
      <w:pPr>
        <w:spacing w:line="360" w:lineRule="auto"/>
        <w:ind w:firstLine="448" w:firstLineChars="200"/>
        <w:rPr>
          <w:sz w:val="24"/>
        </w:rPr>
      </w:pPr>
    </w:p>
    <w:p w14:paraId="3E72A70B">
      <w:pPr>
        <w:spacing w:line="480" w:lineRule="auto"/>
        <w:jc w:val="center"/>
        <w:rPr>
          <w:sz w:val="24"/>
        </w:rPr>
      </w:pPr>
      <w:r>
        <w:rPr>
          <w:sz w:val="24"/>
        </w:rPr>
        <w:t xml:space="preserve">     年   月   日 </w:t>
      </w:r>
    </w:p>
    <w:p w14:paraId="32AC3534">
      <w:pPr>
        <w:spacing w:line="360" w:lineRule="auto"/>
        <w:ind w:firstLine="4704" w:firstLineChars="2100"/>
        <w:rPr>
          <w:sz w:val="24"/>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167E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61DE4B3E">
            <w:pPr>
              <w:spacing w:line="360" w:lineRule="auto"/>
              <w:jc w:val="left"/>
              <w:rPr>
                <w:sz w:val="24"/>
              </w:rPr>
            </w:pPr>
            <w:r>
              <w:rPr>
                <w:sz w:val="24"/>
              </w:rPr>
              <w:t>投标代表人身份证正面</w:t>
            </w:r>
          </w:p>
          <w:p w14:paraId="05241A41">
            <w:pPr>
              <w:spacing w:line="360" w:lineRule="auto"/>
              <w:jc w:val="left"/>
              <w:rPr>
                <w:sz w:val="24"/>
              </w:rPr>
            </w:pPr>
          </w:p>
          <w:p w14:paraId="4CBB3E97">
            <w:pPr>
              <w:spacing w:line="360" w:lineRule="auto"/>
              <w:jc w:val="left"/>
              <w:rPr>
                <w:sz w:val="24"/>
              </w:rPr>
            </w:pPr>
          </w:p>
          <w:p w14:paraId="40777F92">
            <w:pPr>
              <w:spacing w:line="360" w:lineRule="auto"/>
              <w:jc w:val="left"/>
              <w:rPr>
                <w:sz w:val="24"/>
              </w:rPr>
            </w:pPr>
          </w:p>
          <w:p w14:paraId="273EC1A2">
            <w:pPr>
              <w:spacing w:line="360" w:lineRule="auto"/>
              <w:jc w:val="left"/>
              <w:rPr>
                <w:sz w:val="24"/>
              </w:rPr>
            </w:pPr>
          </w:p>
          <w:p w14:paraId="7779E2CE">
            <w:pPr>
              <w:spacing w:line="360" w:lineRule="auto"/>
              <w:jc w:val="left"/>
              <w:rPr>
                <w:sz w:val="24"/>
              </w:rPr>
            </w:pPr>
          </w:p>
        </w:tc>
        <w:tc>
          <w:tcPr>
            <w:tcW w:w="4264" w:type="dxa"/>
          </w:tcPr>
          <w:p w14:paraId="3D7C6A0B">
            <w:pPr>
              <w:spacing w:line="360" w:lineRule="auto"/>
              <w:jc w:val="left"/>
              <w:rPr>
                <w:sz w:val="24"/>
              </w:rPr>
            </w:pPr>
            <w:r>
              <w:rPr>
                <w:sz w:val="24"/>
              </w:rPr>
              <w:t>投标代表人身份证背面</w:t>
            </w:r>
          </w:p>
        </w:tc>
      </w:tr>
    </w:tbl>
    <w:p w14:paraId="533B7A69">
      <w:pPr>
        <w:widowControl/>
        <w:jc w:val="left"/>
        <w:rPr>
          <w:sz w:val="24"/>
        </w:rPr>
      </w:pPr>
      <w:r>
        <w:rPr>
          <w:sz w:val="24"/>
        </w:rPr>
        <w:br w:type="page"/>
      </w:r>
    </w:p>
    <w:p w14:paraId="1353B4E3">
      <w:pPr>
        <w:autoSpaceDN w:val="0"/>
        <w:spacing w:line="360" w:lineRule="auto"/>
        <w:jc w:val="left"/>
        <w:rPr>
          <w:b/>
          <w:bCs/>
          <w:sz w:val="24"/>
        </w:rPr>
      </w:pPr>
      <w:r>
        <w:rPr>
          <w:b/>
          <w:bCs/>
          <w:sz w:val="24"/>
        </w:rPr>
        <w:t>附件</w:t>
      </w:r>
      <w:r>
        <w:rPr>
          <w:rFonts w:hint="eastAsia"/>
          <w:b/>
          <w:bCs/>
          <w:sz w:val="24"/>
        </w:rPr>
        <w:t>9-1</w:t>
      </w:r>
    </w:p>
    <w:p w14:paraId="6CEC6910">
      <w:pPr>
        <w:autoSpaceDE w:val="0"/>
        <w:autoSpaceDN w:val="0"/>
        <w:spacing w:line="480" w:lineRule="auto"/>
        <w:jc w:val="center"/>
        <w:rPr>
          <w:sz w:val="24"/>
          <w:szCs w:val="24"/>
        </w:rPr>
      </w:pPr>
      <w:r>
        <w:rPr>
          <w:b/>
          <w:sz w:val="24"/>
          <w:szCs w:val="24"/>
        </w:rPr>
        <w:t>中小企业声明函（服务）</w:t>
      </w:r>
    </w:p>
    <w:p w14:paraId="57A0D05F">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537526F5">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rFonts w:hint="eastAsia"/>
          <w:sz w:val="24"/>
          <w:szCs w:val="24"/>
          <w:u w:val="single"/>
        </w:rPr>
        <w:t>软件</w:t>
      </w:r>
      <w:r>
        <w:rPr>
          <w:sz w:val="24"/>
          <w:szCs w:val="24"/>
          <w:u w:val="single"/>
        </w:rPr>
        <w:t xml:space="preserve">和信息技术服务业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001CBDAE">
      <w:pPr>
        <w:autoSpaceDE w:val="0"/>
        <w:autoSpaceDN w:val="0"/>
        <w:spacing w:line="500" w:lineRule="exact"/>
        <w:ind w:firstLine="448"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57E64C26">
      <w:pPr>
        <w:autoSpaceDE w:val="0"/>
        <w:autoSpaceDN w:val="0"/>
        <w:spacing w:line="500" w:lineRule="exact"/>
        <w:ind w:left="641"/>
        <w:jc w:val="left"/>
        <w:rPr>
          <w:sz w:val="24"/>
          <w:szCs w:val="24"/>
        </w:rPr>
      </w:pPr>
      <w:r>
        <w:rPr>
          <w:sz w:val="24"/>
          <w:szCs w:val="24"/>
        </w:rPr>
        <w:t>……</w:t>
      </w:r>
    </w:p>
    <w:p w14:paraId="631B83D8">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1C843FDE">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198B6EB0">
      <w:pPr>
        <w:autoSpaceDE w:val="0"/>
        <w:autoSpaceDN w:val="0"/>
        <w:spacing w:line="500" w:lineRule="exact"/>
        <w:ind w:left="3840"/>
        <w:jc w:val="left"/>
        <w:rPr>
          <w:sz w:val="24"/>
          <w:szCs w:val="24"/>
        </w:rPr>
      </w:pPr>
      <w:r>
        <w:rPr>
          <w:sz w:val="24"/>
          <w:szCs w:val="24"/>
        </w:rPr>
        <w:t>投标人名称：</w:t>
      </w:r>
    </w:p>
    <w:p w14:paraId="2556301D">
      <w:pPr>
        <w:autoSpaceDE w:val="0"/>
        <w:autoSpaceDN w:val="0"/>
        <w:spacing w:line="500" w:lineRule="exact"/>
        <w:ind w:left="3840"/>
        <w:jc w:val="left"/>
        <w:rPr>
          <w:sz w:val="32"/>
        </w:rPr>
      </w:pPr>
      <w:r>
        <w:rPr>
          <w:sz w:val="24"/>
          <w:szCs w:val="24"/>
        </w:rPr>
        <w:t>日期：</w:t>
      </w:r>
    </w:p>
    <w:p w14:paraId="0F38DB54">
      <w:pPr>
        <w:spacing w:line="360" w:lineRule="auto"/>
        <w:ind w:right="84" w:firstLine="224" w:firstLineChars="100"/>
        <w:rPr>
          <w:b/>
          <w:sz w:val="24"/>
          <w:szCs w:val="24"/>
        </w:rPr>
      </w:pPr>
      <w:r>
        <w:rPr>
          <w:b/>
          <w:sz w:val="24"/>
          <w:szCs w:val="24"/>
        </w:rPr>
        <w:t>注：</w:t>
      </w:r>
    </w:p>
    <w:p w14:paraId="2672F338">
      <w:pPr>
        <w:spacing w:line="360" w:lineRule="auto"/>
        <w:ind w:firstLine="448" w:firstLineChars="200"/>
        <w:rPr>
          <w:b/>
          <w:sz w:val="24"/>
          <w:szCs w:val="24"/>
        </w:rPr>
      </w:pPr>
      <w:r>
        <w:rPr>
          <w:b/>
          <w:sz w:val="24"/>
          <w:szCs w:val="24"/>
        </w:rPr>
        <w:t>1.标的名称须按照采购文件中明确的标的名称进行填写；所属行业须按照采购文件中明确的所属行业进行填写。</w:t>
      </w:r>
    </w:p>
    <w:p w14:paraId="26E79409">
      <w:pPr>
        <w:spacing w:line="360" w:lineRule="auto"/>
        <w:ind w:firstLine="448" w:firstLineChars="200"/>
        <w:rPr>
          <w:b/>
          <w:sz w:val="24"/>
          <w:szCs w:val="24"/>
        </w:rPr>
      </w:pPr>
      <w:r>
        <w:rPr>
          <w:b/>
          <w:sz w:val="24"/>
          <w:szCs w:val="24"/>
        </w:rPr>
        <w:t>2.从业人员、营业收入、资产总额填报上一年度数据，无上一年度数据的新成立企业可不填报。</w:t>
      </w:r>
    </w:p>
    <w:p w14:paraId="019E3C80">
      <w:pPr>
        <w:spacing w:line="360" w:lineRule="auto"/>
        <w:ind w:firstLine="448" w:firstLineChars="200"/>
        <w:rPr>
          <w:b/>
          <w:sz w:val="24"/>
          <w:szCs w:val="21"/>
        </w:rPr>
      </w:pPr>
      <w:r>
        <w:rPr>
          <w:b/>
          <w:sz w:val="24"/>
          <w:szCs w:val="21"/>
        </w:rPr>
        <w:t>3.中标（成交）供应商享受中小企业扶持政策的，将随中标（成交）结果同时公告其《中小企业声明函》，接受社会监督。</w:t>
      </w:r>
    </w:p>
    <w:p w14:paraId="0745DDC5">
      <w:pPr>
        <w:widowControl/>
        <w:jc w:val="left"/>
        <w:rPr>
          <w:sz w:val="24"/>
        </w:rPr>
      </w:pPr>
      <w:r>
        <w:rPr>
          <w:sz w:val="24"/>
        </w:rPr>
        <w:br w:type="page"/>
      </w:r>
    </w:p>
    <w:p w14:paraId="25C3043E">
      <w:pPr>
        <w:autoSpaceDN w:val="0"/>
        <w:spacing w:line="360" w:lineRule="auto"/>
        <w:rPr>
          <w:b/>
          <w:bCs/>
          <w:sz w:val="24"/>
        </w:rPr>
      </w:pPr>
      <w:bookmarkStart w:id="8" w:name="OLE_LINK14"/>
      <w:bookmarkStart w:id="9" w:name="OLE_LINK13"/>
      <w:r>
        <w:rPr>
          <w:rFonts w:hint="eastAsia"/>
          <w:b/>
          <w:bCs/>
          <w:sz w:val="24"/>
        </w:rPr>
        <w:t>附件9-2</w:t>
      </w:r>
    </w:p>
    <w:bookmarkEnd w:id="8"/>
    <w:bookmarkEnd w:id="9"/>
    <w:p w14:paraId="34380E6C">
      <w:pPr>
        <w:autoSpaceDN w:val="0"/>
        <w:spacing w:line="360" w:lineRule="auto"/>
        <w:jc w:val="left"/>
        <w:rPr>
          <w:b/>
          <w:bCs/>
          <w:sz w:val="24"/>
        </w:rPr>
      </w:pPr>
      <w:r>
        <w:rPr>
          <w:rFonts w:hint="eastAsia"/>
          <w:b/>
          <w:kern w:val="0"/>
          <w:sz w:val="24"/>
          <w:szCs w:val="21"/>
        </w:rPr>
        <w:t>若不是残疾人福利性单位，投标文件中可不提供此声明函</w:t>
      </w:r>
    </w:p>
    <w:p w14:paraId="320E3F9A">
      <w:pPr>
        <w:autoSpaceDN w:val="0"/>
        <w:spacing w:line="360" w:lineRule="auto"/>
        <w:jc w:val="center"/>
        <w:rPr>
          <w:b/>
          <w:bCs/>
          <w:sz w:val="24"/>
        </w:rPr>
      </w:pPr>
    </w:p>
    <w:p w14:paraId="331A8769">
      <w:pPr>
        <w:snapToGrid w:val="0"/>
        <w:spacing w:line="360" w:lineRule="auto"/>
        <w:jc w:val="center"/>
        <w:rPr>
          <w:b/>
          <w:bCs/>
          <w:sz w:val="24"/>
        </w:rPr>
      </w:pPr>
      <w:r>
        <w:rPr>
          <w:rFonts w:hint="eastAsia"/>
          <w:b/>
          <w:bCs/>
          <w:sz w:val="24"/>
        </w:rPr>
        <w:t>残疾人福利性单位声明函</w:t>
      </w:r>
    </w:p>
    <w:p w14:paraId="357CDF09">
      <w:pPr>
        <w:snapToGrid w:val="0"/>
        <w:spacing w:line="360" w:lineRule="auto"/>
        <w:ind w:firstLine="448" w:firstLineChars="200"/>
        <w:jc w:val="left"/>
        <w:rPr>
          <w:b/>
          <w:bCs/>
          <w:sz w:val="24"/>
        </w:rPr>
      </w:pPr>
    </w:p>
    <w:p w14:paraId="32943173">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77A4971">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2374DB58">
      <w:pPr>
        <w:snapToGrid w:val="0"/>
        <w:spacing w:line="360" w:lineRule="auto"/>
        <w:ind w:firstLine="448" w:firstLineChars="200"/>
        <w:jc w:val="left"/>
        <w:rPr>
          <w:bCs/>
          <w:sz w:val="24"/>
        </w:rPr>
      </w:pPr>
    </w:p>
    <w:p w14:paraId="0E791E7A">
      <w:pPr>
        <w:snapToGrid w:val="0"/>
        <w:spacing w:line="360" w:lineRule="auto"/>
        <w:ind w:firstLine="448" w:firstLineChars="200"/>
        <w:jc w:val="left"/>
        <w:rPr>
          <w:bCs/>
          <w:sz w:val="24"/>
        </w:rPr>
      </w:pPr>
    </w:p>
    <w:p w14:paraId="13F00235">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4FA28825">
      <w:pPr>
        <w:snapToGrid w:val="0"/>
        <w:spacing w:line="360" w:lineRule="auto"/>
        <w:ind w:firstLine="448" w:firstLineChars="200"/>
        <w:jc w:val="left"/>
        <w:rPr>
          <w:bCs/>
          <w:sz w:val="24"/>
        </w:rPr>
      </w:pPr>
    </w:p>
    <w:p w14:paraId="226D8042">
      <w:pPr>
        <w:snapToGrid w:val="0"/>
        <w:spacing w:line="360" w:lineRule="auto"/>
        <w:ind w:firstLine="448" w:firstLineChars="200"/>
        <w:jc w:val="left"/>
        <w:rPr>
          <w:sz w:val="24"/>
          <w:szCs w:val="21"/>
        </w:rPr>
      </w:pPr>
      <w:r>
        <w:rPr>
          <w:rFonts w:hint="eastAsia"/>
          <w:bCs/>
          <w:sz w:val="24"/>
        </w:rPr>
        <w:t xml:space="preserve">               日  期：</w:t>
      </w:r>
    </w:p>
    <w:p w14:paraId="7FFEB9BF">
      <w:pPr>
        <w:snapToGrid w:val="0"/>
        <w:spacing w:line="360" w:lineRule="auto"/>
        <w:ind w:firstLine="448" w:firstLineChars="200"/>
        <w:jc w:val="left"/>
        <w:rPr>
          <w:sz w:val="24"/>
          <w:szCs w:val="21"/>
        </w:rPr>
      </w:pPr>
    </w:p>
    <w:p w14:paraId="50254FDC">
      <w:pPr>
        <w:snapToGrid w:val="0"/>
        <w:spacing w:line="360" w:lineRule="auto"/>
        <w:ind w:firstLine="448" w:firstLineChars="200"/>
        <w:rPr>
          <w:sz w:val="24"/>
          <w:szCs w:val="21"/>
        </w:rPr>
      </w:pPr>
      <w:r>
        <w:rPr>
          <w:sz w:val="24"/>
          <w:szCs w:val="21"/>
        </w:rPr>
        <w:t>注：</w:t>
      </w:r>
    </w:p>
    <w:p w14:paraId="2B7211E6">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7F1E96A0">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72DF5314">
      <w:pPr>
        <w:snapToGrid w:val="0"/>
        <w:spacing w:line="360" w:lineRule="auto"/>
        <w:ind w:firstLine="448" w:firstLineChars="200"/>
        <w:rPr>
          <w:sz w:val="24"/>
          <w:szCs w:val="21"/>
        </w:rPr>
      </w:pPr>
    </w:p>
    <w:p w14:paraId="03CEB334">
      <w:pPr>
        <w:snapToGrid w:val="0"/>
        <w:spacing w:line="360" w:lineRule="auto"/>
        <w:ind w:firstLine="448" w:firstLineChars="200"/>
        <w:jc w:val="left"/>
        <w:rPr>
          <w:sz w:val="24"/>
          <w:szCs w:val="21"/>
        </w:rPr>
      </w:pPr>
    </w:p>
    <w:p w14:paraId="624F2267">
      <w:pPr>
        <w:spacing w:line="360" w:lineRule="auto"/>
        <w:ind w:right="84" w:firstLine="224" w:firstLineChars="100"/>
        <w:rPr>
          <w:position w:val="-40"/>
          <w:sz w:val="24"/>
        </w:rPr>
      </w:pPr>
    </w:p>
    <w:p w14:paraId="0D0DB04E">
      <w:pPr>
        <w:tabs>
          <w:tab w:val="left" w:pos="360"/>
        </w:tabs>
        <w:spacing w:line="360" w:lineRule="auto"/>
        <w:rPr>
          <w:b/>
          <w:bCs/>
          <w:sz w:val="24"/>
        </w:rPr>
      </w:pPr>
      <w:r>
        <w:rPr>
          <w:sz w:val="24"/>
        </w:rPr>
        <w:br w:type="page"/>
      </w:r>
      <w:r>
        <w:rPr>
          <w:b/>
          <w:sz w:val="24"/>
        </w:rPr>
        <w:t>附件</w:t>
      </w:r>
      <w:r>
        <w:rPr>
          <w:rFonts w:hint="eastAsia"/>
          <w:b/>
          <w:sz w:val="24"/>
        </w:rPr>
        <w:t>10：</w:t>
      </w:r>
      <w:r>
        <w:rPr>
          <w:b/>
          <w:sz w:val="24"/>
        </w:rPr>
        <w:t>招标文件</w:t>
      </w:r>
      <w:r>
        <w:rPr>
          <w:b/>
          <w:bCs/>
          <w:sz w:val="24"/>
        </w:rPr>
        <w:t>评分因素及评标标准中要求的证明材料电子件、方案等</w:t>
      </w:r>
    </w:p>
    <w:p w14:paraId="3D995901">
      <w:pPr>
        <w:snapToGrid w:val="0"/>
        <w:spacing w:line="360" w:lineRule="auto"/>
        <w:rPr>
          <w:b/>
          <w:sz w:val="24"/>
          <w:szCs w:val="21"/>
        </w:rPr>
      </w:pPr>
      <w:r>
        <w:rPr>
          <w:b/>
          <w:bCs/>
          <w:sz w:val="24"/>
        </w:rPr>
        <w:t>附件1</w:t>
      </w:r>
      <w:r>
        <w:rPr>
          <w:rFonts w:hint="eastAsia"/>
          <w:b/>
          <w:bCs/>
          <w:sz w:val="24"/>
        </w:rPr>
        <w:t>1</w:t>
      </w:r>
      <w:r>
        <w:rPr>
          <w:b/>
          <w:bCs/>
          <w:sz w:val="24"/>
        </w:rPr>
        <w:t>：</w:t>
      </w:r>
      <w:r>
        <w:rPr>
          <w:b/>
          <w:sz w:val="24"/>
        </w:rPr>
        <w:t>投标人认为需要提供的其他资料</w:t>
      </w: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
    <w:altName w:val="汉仪中黑KW"/>
    <w:panose1 w:val="00000000000000000000"/>
    <w:charset w:val="86"/>
    <w:family w:val="roman"/>
    <w:pitch w:val="default"/>
    <w:sig w:usb0="00000000" w:usb1="00000000" w:usb2="00000010" w:usb3="00000000" w:csb0="00040000" w:csb1="00000000"/>
  </w:font>
  <w:font w:name="仿宋_GB2312">
    <w:altName w:val="汉仪仿宋KW"/>
    <w:panose1 w:val="00000000000000000000"/>
    <w:charset w:val="86"/>
    <w:family w:val="modern"/>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63681">
    <w:pPr>
      <w:pStyle w:val="14"/>
      <w:jc w:val="center"/>
    </w:pPr>
    <w:r>
      <w:rPr>
        <w:b/>
      </w:rPr>
      <w:fldChar w:fldCharType="begin"/>
    </w:r>
    <w:r>
      <w:rPr>
        <w:b/>
      </w:rPr>
      <w:instrText xml:space="preserve">PAGE  \* Arabic  \* MERGEFORMAT</w:instrText>
    </w:r>
    <w:r>
      <w:rPr>
        <w:b/>
      </w:rPr>
      <w:fldChar w:fldCharType="separate"/>
    </w:r>
    <w:r>
      <w:rPr>
        <w:b/>
        <w:lang w:val="zh-CN"/>
      </w:rPr>
      <w:t>6</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2A8E4">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357F0FFC"/>
    <w:multiLevelType w:val="multilevel"/>
    <w:tmpl w:val="357F0FFC"/>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abstractNum w:abstractNumId="3">
    <w:nsid w:val="488014A8"/>
    <w:multiLevelType w:val="multilevel"/>
    <w:tmpl w:val="488014A8"/>
    <w:lvl w:ilvl="0" w:tentative="0">
      <w:start w:val="1"/>
      <w:numFmt w:val="upp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0EC20B9"/>
    <w:multiLevelType w:val="singleLevel"/>
    <w:tmpl w:val="60EC20B9"/>
    <w:lvl w:ilvl="0" w:tentative="0">
      <w:start w:val="3"/>
      <w:numFmt w:val="chineseCounting"/>
      <w:suff w:val="nothing"/>
      <w:lvlText w:val="（%1）"/>
      <w:lvlJc w:val="left"/>
      <w:rPr>
        <w:rFonts w:hint="eastAsia"/>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59A1"/>
    <w:rsid w:val="00046460"/>
    <w:rsid w:val="00047699"/>
    <w:rsid w:val="00050365"/>
    <w:rsid w:val="000518D4"/>
    <w:rsid w:val="00051AAA"/>
    <w:rsid w:val="00051C66"/>
    <w:rsid w:val="000520AC"/>
    <w:rsid w:val="0005244A"/>
    <w:rsid w:val="00055FEB"/>
    <w:rsid w:val="00056208"/>
    <w:rsid w:val="0005643C"/>
    <w:rsid w:val="00056948"/>
    <w:rsid w:val="00056EF3"/>
    <w:rsid w:val="00057E33"/>
    <w:rsid w:val="000607D4"/>
    <w:rsid w:val="0006104E"/>
    <w:rsid w:val="00065BDD"/>
    <w:rsid w:val="00066920"/>
    <w:rsid w:val="00066EEB"/>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4FEE"/>
    <w:rsid w:val="000A5651"/>
    <w:rsid w:val="000A5CEA"/>
    <w:rsid w:val="000A62E5"/>
    <w:rsid w:val="000B00DF"/>
    <w:rsid w:val="000B1CA7"/>
    <w:rsid w:val="000B2438"/>
    <w:rsid w:val="000B2975"/>
    <w:rsid w:val="000B35DC"/>
    <w:rsid w:val="000B4BF2"/>
    <w:rsid w:val="000B5A53"/>
    <w:rsid w:val="000C337F"/>
    <w:rsid w:val="000C395D"/>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077DC"/>
    <w:rsid w:val="0011077E"/>
    <w:rsid w:val="0011294F"/>
    <w:rsid w:val="00112C87"/>
    <w:rsid w:val="00113FF0"/>
    <w:rsid w:val="001156C6"/>
    <w:rsid w:val="001165C6"/>
    <w:rsid w:val="0011666B"/>
    <w:rsid w:val="001170E1"/>
    <w:rsid w:val="001173D9"/>
    <w:rsid w:val="00120ED1"/>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1994"/>
    <w:rsid w:val="00143B4D"/>
    <w:rsid w:val="0014712D"/>
    <w:rsid w:val="00150DE5"/>
    <w:rsid w:val="00150E0A"/>
    <w:rsid w:val="00151B51"/>
    <w:rsid w:val="00151DC8"/>
    <w:rsid w:val="001524A8"/>
    <w:rsid w:val="00153856"/>
    <w:rsid w:val="00154479"/>
    <w:rsid w:val="001544ED"/>
    <w:rsid w:val="00155128"/>
    <w:rsid w:val="00156564"/>
    <w:rsid w:val="00161A5D"/>
    <w:rsid w:val="001630A1"/>
    <w:rsid w:val="00163DC6"/>
    <w:rsid w:val="00164FD8"/>
    <w:rsid w:val="00165592"/>
    <w:rsid w:val="00165934"/>
    <w:rsid w:val="001659F0"/>
    <w:rsid w:val="00170289"/>
    <w:rsid w:val="001704C8"/>
    <w:rsid w:val="001707F2"/>
    <w:rsid w:val="001712BA"/>
    <w:rsid w:val="001725A9"/>
    <w:rsid w:val="00173561"/>
    <w:rsid w:val="00173A83"/>
    <w:rsid w:val="00174526"/>
    <w:rsid w:val="00175AC2"/>
    <w:rsid w:val="00177293"/>
    <w:rsid w:val="00181348"/>
    <w:rsid w:val="001817F6"/>
    <w:rsid w:val="00181ED5"/>
    <w:rsid w:val="001834DA"/>
    <w:rsid w:val="001837F4"/>
    <w:rsid w:val="0018551D"/>
    <w:rsid w:val="00185D85"/>
    <w:rsid w:val="00192EBE"/>
    <w:rsid w:val="00193BCD"/>
    <w:rsid w:val="00193DE8"/>
    <w:rsid w:val="0019431D"/>
    <w:rsid w:val="00194438"/>
    <w:rsid w:val="00194FBC"/>
    <w:rsid w:val="001956C9"/>
    <w:rsid w:val="00196A86"/>
    <w:rsid w:val="00196D6B"/>
    <w:rsid w:val="00196E07"/>
    <w:rsid w:val="001A142F"/>
    <w:rsid w:val="001A2919"/>
    <w:rsid w:val="001A3DE3"/>
    <w:rsid w:val="001A416F"/>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D6707"/>
    <w:rsid w:val="001E2BA2"/>
    <w:rsid w:val="001E3387"/>
    <w:rsid w:val="001E3CB7"/>
    <w:rsid w:val="001E58C0"/>
    <w:rsid w:val="001E60FC"/>
    <w:rsid w:val="001F10A7"/>
    <w:rsid w:val="001F1AB4"/>
    <w:rsid w:val="001F2B50"/>
    <w:rsid w:val="001F31DA"/>
    <w:rsid w:val="001F345B"/>
    <w:rsid w:val="001F4AD6"/>
    <w:rsid w:val="001F4FD8"/>
    <w:rsid w:val="001F65EF"/>
    <w:rsid w:val="001F6DCF"/>
    <w:rsid w:val="001F7904"/>
    <w:rsid w:val="0020203B"/>
    <w:rsid w:val="002027E3"/>
    <w:rsid w:val="00206328"/>
    <w:rsid w:val="002066F4"/>
    <w:rsid w:val="0021020C"/>
    <w:rsid w:val="002113A2"/>
    <w:rsid w:val="00212E26"/>
    <w:rsid w:val="00214D65"/>
    <w:rsid w:val="0021638D"/>
    <w:rsid w:val="00220883"/>
    <w:rsid w:val="002234B9"/>
    <w:rsid w:val="00225C8C"/>
    <w:rsid w:val="002263C6"/>
    <w:rsid w:val="00226A28"/>
    <w:rsid w:val="00226A32"/>
    <w:rsid w:val="00227031"/>
    <w:rsid w:val="00230077"/>
    <w:rsid w:val="0023092D"/>
    <w:rsid w:val="002320BD"/>
    <w:rsid w:val="0023232A"/>
    <w:rsid w:val="00233239"/>
    <w:rsid w:val="00233FBC"/>
    <w:rsid w:val="00234A05"/>
    <w:rsid w:val="00243389"/>
    <w:rsid w:val="00243C5D"/>
    <w:rsid w:val="00243DC1"/>
    <w:rsid w:val="00244482"/>
    <w:rsid w:val="0024688B"/>
    <w:rsid w:val="0024790F"/>
    <w:rsid w:val="00247A26"/>
    <w:rsid w:val="00247B56"/>
    <w:rsid w:val="00247C73"/>
    <w:rsid w:val="00250432"/>
    <w:rsid w:val="00250531"/>
    <w:rsid w:val="00250DD8"/>
    <w:rsid w:val="00251BFA"/>
    <w:rsid w:val="00251ED7"/>
    <w:rsid w:val="002524DA"/>
    <w:rsid w:val="00254718"/>
    <w:rsid w:val="00256397"/>
    <w:rsid w:val="0025669A"/>
    <w:rsid w:val="00256A4A"/>
    <w:rsid w:val="00256B14"/>
    <w:rsid w:val="002575F6"/>
    <w:rsid w:val="00260345"/>
    <w:rsid w:val="00260D64"/>
    <w:rsid w:val="0026154D"/>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81D20"/>
    <w:rsid w:val="002858E1"/>
    <w:rsid w:val="00292BE5"/>
    <w:rsid w:val="00293139"/>
    <w:rsid w:val="00293728"/>
    <w:rsid w:val="00293B4A"/>
    <w:rsid w:val="002948B5"/>
    <w:rsid w:val="00294986"/>
    <w:rsid w:val="00294EAF"/>
    <w:rsid w:val="00295416"/>
    <w:rsid w:val="0029570D"/>
    <w:rsid w:val="00295883"/>
    <w:rsid w:val="00295C13"/>
    <w:rsid w:val="0029610C"/>
    <w:rsid w:val="00296BBB"/>
    <w:rsid w:val="00297463"/>
    <w:rsid w:val="002976B0"/>
    <w:rsid w:val="00297EAE"/>
    <w:rsid w:val="002A1A78"/>
    <w:rsid w:val="002A1B60"/>
    <w:rsid w:val="002A237D"/>
    <w:rsid w:val="002A4B3C"/>
    <w:rsid w:val="002A4C0E"/>
    <w:rsid w:val="002A5235"/>
    <w:rsid w:val="002A5E55"/>
    <w:rsid w:val="002B24AD"/>
    <w:rsid w:val="002B3BB4"/>
    <w:rsid w:val="002B3BFC"/>
    <w:rsid w:val="002B538F"/>
    <w:rsid w:val="002B54A4"/>
    <w:rsid w:val="002C29E6"/>
    <w:rsid w:val="002C696D"/>
    <w:rsid w:val="002C7B48"/>
    <w:rsid w:val="002D006F"/>
    <w:rsid w:val="002D09CD"/>
    <w:rsid w:val="002D17E4"/>
    <w:rsid w:val="002D1D64"/>
    <w:rsid w:val="002D42CC"/>
    <w:rsid w:val="002D48F4"/>
    <w:rsid w:val="002D49A4"/>
    <w:rsid w:val="002D5B4E"/>
    <w:rsid w:val="002D6501"/>
    <w:rsid w:val="002D7A78"/>
    <w:rsid w:val="002D7F06"/>
    <w:rsid w:val="002E0B2E"/>
    <w:rsid w:val="002E0CCE"/>
    <w:rsid w:val="002E1053"/>
    <w:rsid w:val="002E4551"/>
    <w:rsid w:val="002E689A"/>
    <w:rsid w:val="002E6E16"/>
    <w:rsid w:val="002E789D"/>
    <w:rsid w:val="002F0E1A"/>
    <w:rsid w:val="002F1119"/>
    <w:rsid w:val="002F245E"/>
    <w:rsid w:val="002F3D09"/>
    <w:rsid w:val="002F4792"/>
    <w:rsid w:val="002F4F17"/>
    <w:rsid w:val="0030126F"/>
    <w:rsid w:val="003036EA"/>
    <w:rsid w:val="0030624D"/>
    <w:rsid w:val="00310819"/>
    <w:rsid w:val="0031086D"/>
    <w:rsid w:val="00311A89"/>
    <w:rsid w:val="00313073"/>
    <w:rsid w:val="0031461A"/>
    <w:rsid w:val="003159EF"/>
    <w:rsid w:val="00315FA2"/>
    <w:rsid w:val="003163A7"/>
    <w:rsid w:val="00316902"/>
    <w:rsid w:val="00316DDF"/>
    <w:rsid w:val="00320416"/>
    <w:rsid w:val="00321DA5"/>
    <w:rsid w:val="00321DB3"/>
    <w:rsid w:val="00322EA4"/>
    <w:rsid w:val="0032362D"/>
    <w:rsid w:val="00325832"/>
    <w:rsid w:val="00325E11"/>
    <w:rsid w:val="00326E2A"/>
    <w:rsid w:val="003305CE"/>
    <w:rsid w:val="0033138A"/>
    <w:rsid w:val="00332911"/>
    <w:rsid w:val="003332EC"/>
    <w:rsid w:val="003346D3"/>
    <w:rsid w:val="00335148"/>
    <w:rsid w:val="003353C7"/>
    <w:rsid w:val="00337301"/>
    <w:rsid w:val="00340281"/>
    <w:rsid w:val="00340C35"/>
    <w:rsid w:val="003420C7"/>
    <w:rsid w:val="003424AE"/>
    <w:rsid w:val="00343849"/>
    <w:rsid w:val="00343957"/>
    <w:rsid w:val="00343E7C"/>
    <w:rsid w:val="0034565D"/>
    <w:rsid w:val="00346F22"/>
    <w:rsid w:val="003473CD"/>
    <w:rsid w:val="00351538"/>
    <w:rsid w:val="0035257E"/>
    <w:rsid w:val="00355EEA"/>
    <w:rsid w:val="003562E3"/>
    <w:rsid w:val="0036142F"/>
    <w:rsid w:val="00362F33"/>
    <w:rsid w:val="00364119"/>
    <w:rsid w:val="00364265"/>
    <w:rsid w:val="0036751A"/>
    <w:rsid w:val="00367868"/>
    <w:rsid w:val="0037009C"/>
    <w:rsid w:val="0037085F"/>
    <w:rsid w:val="00373C07"/>
    <w:rsid w:val="003742C6"/>
    <w:rsid w:val="00374D2C"/>
    <w:rsid w:val="00374E0D"/>
    <w:rsid w:val="0037735D"/>
    <w:rsid w:val="00377777"/>
    <w:rsid w:val="00377781"/>
    <w:rsid w:val="003801D1"/>
    <w:rsid w:val="00381FFF"/>
    <w:rsid w:val="003839AE"/>
    <w:rsid w:val="00383A1B"/>
    <w:rsid w:val="00383A58"/>
    <w:rsid w:val="0038436A"/>
    <w:rsid w:val="00384A14"/>
    <w:rsid w:val="00384C68"/>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97BCC"/>
    <w:rsid w:val="003A4B1D"/>
    <w:rsid w:val="003A4EE6"/>
    <w:rsid w:val="003A55B5"/>
    <w:rsid w:val="003A64CB"/>
    <w:rsid w:val="003A7991"/>
    <w:rsid w:val="003A7FEB"/>
    <w:rsid w:val="003B0A56"/>
    <w:rsid w:val="003B4B8C"/>
    <w:rsid w:val="003B6D2D"/>
    <w:rsid w:val="003B78E0"/>
    <w:rsid w:val="003C189D"/>
    <w:rsid w:val="003C3220"/>
    <w:rsid w:val="003C37A9"/>
    <w:rsid w:val="003C6E34"/>
    <w:rsid w:val="003C6ECC"/>
    <w:rsid w:val="003C71A3"/>
    <w:rsid w:val="003C7A89"/>
    <w:rsid w:val="003D202D"/>
    <w:rsid w:val="003D2EF8"/>
    <w:rsid w:val="003D426A"/>
    <w:rsid w:val="003D73C3"/>
    <w:rsid w:val="003E0A55"/>
    <w:rsid w:val="003E2404"/>
    <w:rsid w:val="003E2BBE"/>
    <w:rsid w:val="003E32C2"/>
    <w:rsid w:val="003E4B1B"/>
    <w:rsid w:val="003E5355"/>
    <w:rsid w:val="003E5E39"/>
    <w:rsid w:val="003E6E8F"/>
    <w:rsid w:val="003E71CA"/>
    <w:rsid w:val="003F0204"/>
    <w:rsid w:val="003F021B"/>
    <w:rsid w:val="003F2FCC"/>
    <w:rsid w:val="003F5B56"/>
    <w:rsid w:val="003F68DF"/>
    <w:rsid w:val="003F6B18"/>
    <w:rsid w:val="003F7025"/>
    <w:rsid w:val="0040134A"/>
    <w:rsid w:val="004025F5"/>
    <w:rsid w:val="00402BE6"/>
    <w:rsid w:val="004038D6"/>
    <w:rsid w:val="004052B8"/>
    <w:rsid w:val="0040553A"/>
    <w:rsid w:val="004055D4"/>
    <w:rsid w:val="0040569C"/>
    <w:rsid w:val="004058FF"/>
    <w:rsid w:val="00410A95"/>
    <w:rsid w:val="00411416"/>
    <w:rsid w:val="00412082"/>
    <w:rsid w:val="00412894"/>
    <w:rsid w:val="00413972"/>
    <w:rsid w:val="00415210"/>
    <w:rsid w:val="004153D6"/>
    <w:rsid w:val="00415D1E"/>
    <w:rsid w:val="00415D39"/>
    <w:rsid w:val="00416AFE"/>
    <w:rsid w:val="004176FC"/>
    <w:rsid w:val="00421347"/>
    <w:rsid w:val="004231C6"/>
    <w:rsid w:val="004239F9"/>
    <w:rsid w:val="00424D37"/>
    <w:rsid w:val="00424F07"/>
    <w:rsid w:val="00425363"/>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2F2"/>
    <w:rsid w:val="004555B4"/>
    <w:rsid w:val="004559D5"/>
    <w:rsid w:val="00455F7E"/>
    <w:rsid w:val="004561DE"/>
    <w:rsid w:val="00457B84"/>
    <w:rsid w:val="004606F7"/>
    <w:rsid w:val="00460809"/>
    <w:rsid w:val="00461849"/>
    <w:rsid w:val="00461A5D"/>
    <w:rsid w:val="00463D4B"/>
    <w:rsid w:val="00467902"/>
    <w:rsid w:val="00467BBC"/>
    <w:rsid w:val="0047030D"/>
    <w:rsid w:val="00470CBB"/>
    <w:rsid w:val="00471BA8"/>
    <w:rsid w:val="00472C82"/>
    <w:rsid w:val="004739E8"/>
    <w:rsid w:val="00473D87"/>
    <w:rsid w:val="004740E4"/>
    <w:rsid w:val="004754B0"/>
    <w:rsid w:val="00475A03"/>
    <w:rsid w:val="00477597"/>
    <w:rsid w:val="00477E16"/>
    <w:rsid w:val="00480BCD"/>
    <w:rsid w:val="004826E0"/>
    <w:rsid w:val="004829AC"/>
    <w:rsid w:val="00482C50"/>
    <w:rsid w:val="00484FCD"/>
    <w:rsid w:val="00485AF3"/>
    <w:rsid w:val="004905CC"/>
    <w:rsid w:val="004905F4"/>
    <w:rsid w:val="00490AE5"/>
    <w:rsid w:val="00490F32"/>
    <w:rsid w:val="00494D20"/>
    <w:rsid w:val="00495CBB"/>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0268"/>
    <w:rsid w:val="004C2455"/>
    <w:rsid w:val="004C39E7"/>
    <w:rsid w:val="004C6569"/>
    <w:rsid w:val="004C7111"/>
    <w:rsid w:val="004D1715"/>
    <w:rsid w:val="004D5F22"/>
    <w:rsid w:val="004D6293"/>
    <w:rsid w:val="004D6546"/>
    <w:rsid w:val="004E0B40"/>
    <w:rsid w:val="004E38E3"/>
    <w:rsid w:val="004E44D4"/>
    <w:rsid w:val="004E69C8"/>
    <w:rsid w:val="004F0D3F"/>
    <w:rsid w:val="004F2476"/>
    <w:rsid w:val="004F27FD"/>
    <w:rsid w:val="004F2F7D"/>
    <w:rsid w:val="004F2FEF"/>
    <w:rsid w:val="004F55DE"/>
    <w:rsid w:val="004F5DAF"/>
    <w:rsid w:val="004F7B5C"/>
    <w:rsid w:val="0050024B"/>
    <w:rsid w:val="00501F79"/>
    <w:rsid w:val="00502349"/>
    <w:rsid w:val="00502D44"/>
    <w:rsid w:val="005049CC"/>
    <w:rsid w:val="00505178"/>
    <w:rsid w:val="00506C8E"/>
    <w:rsid w:val="00506CD1"/>
    <w:rsid w:val="00506CFF"/>
    <w:rsid w:val="00512ABA"/>
    <w:rsid w:val="005131C3"/>
    <w:rsid w:val="00513A4E"/>
    <w:rsid w:val="00513B9E"/>
    <w:rsid w:val="00514D6B"/>
    <w:rsid w:val="005175A0"/>
    <w:rsid w:val="005201BE"/>
    <w:rsid w:val="00523636"/>
    <w:rsid w:val="00524604"/>
    <w:rsid w:val="00524852"/>
    <w:rsid w:val="0052485F"/>
    <w:rsid w:val="00525EE9"/>
    <w:rsid w:val="00526035"/>
    <w:rsid w:val="005265F9"/>
    <w:rsid w:val="00526D86"/>
    <w:rsid w:val="0053021A"/>
    <w:rsid w:val="00530B5B"/>
    <w:rsid w:val="00530D50"/>
    <w:rsid w:val="00531017"/>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8FD"/>
    <w:rsid w:val="00572BEE"/>
    <w:rsid w:val="00572E0A"/>
    <w:rsid w:val="005737C6"/>
    <w:rsid w:val="00574771"/>
    <w:rsid w:val="00575042"/>
    <w:rsid w:val="00575DF4"/>
    <w:rsid w:val="005765B0"/>
    <w:rsid w:val="00577F0C"/>
    <w:rsid w:val="00580546"/>
    <w:rsid w:val="00580B9C"/>
    <w:rsid w:val="00580CB3"/>
    <w:rsid w:val="005831FA"/>
    <w:rsid w:val="005842A0"/>
    <w:rsid w:val="0058472E"/>
    <w:rsid w:val="00584D37"/>
    <w:rsid w:val="00585991"/>
    <w:rsid w:val="005863C9"/>
    <w:rsid w:val="0058701B"/>
    <w:rsid w:val="0059473B"/>
    <w:rsid w:val="005953CA"/>
    <w:rsid w:val="005960BA"/>
    <w:rsid w:val="005960DE"/>
    <w:rsid w:val="00596744"/>
    <w:rsid w:val="00597F7E"/>
    <w:rsid w:val="005A213B"/>
    <w:rsid w:val="005A4012"/>
    <w:rsid w:val="005A4121"/>
    <w:rsid w:val="005A6731"/>
    <w:rsid w:val="005A76F1"/>
    <w:rsid w:val="005B1221"/>
    <w:rsid w:val="005B352D"/>
    <w:rsid w:val="005B631B"/>
    <w:rsid w:val="005B6420"/>
    <w:rsid w:val="005B7E9E"/>
    <w:rsid w:val="005C061E"/>
    <w:rsid w:val="005C32FC"/>
    <w:rsid w:val="005C463B"/>
    <w:rsid w:val="005C5EB1"/>
    <w:rsid w:val="005C7DC3"/>
    <w:rsid w:val="005D06F7"/>
    <w:rsid w:val="005D0E4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768"/>
    <w:rsid w:val="005F3BAE"/>
    <w:rsid w:val="005F3EB2"/>
    <w:rsid w:val="005F495F"/>
    <w:rsid w:val="005F6E0D"/>
    <w:rsid w:val="006001B2"/>
    <w:rsid w:val="006009CC"/>
    <w:rsid w:val="006014DA"/>
    <w:rsid w:val="00601FB5"/>
    <w:rsid w:val="006038D0"/>
    <w:rsid w:val="00611A86"/>
    <w:rsid w:val="00612BD3"/>
    <w:rsid w:val="00612F42"/>
    <w:rsid w:val="00613AFF"/>
    <w:rsid w:val="00614271"/>
    <w:rsid w:val="00614E81"/>
    <w:rsid w:val="00616B13"/>
    <w:rsid w:val="00616C15"/>
    <w:rsid w:val="00620130"/>
    <w:rsid w:val="00622893"/>
    <w:rsid w:val="00625361"/>
    <w:rsid w:val="006253AB"/>
    <w:rsid w:val="0062548D"/>
    <w:rsid w:val="00625B28"/>
    <w:rsid w:val="00626103"/>
    <w:rsid w:val="00627079"/>
    <w:rsid w:val="00627EED"/>
    <w:rsid w:val="00630655"/>
    <w:rsid w:val="00630B07"/>
    <w:rsid w:val="00630DB5"/>
    <w:rsid w:val="00631029"/>
    <w:rsid w:val="0063189E"/>
    <w:rsid w:val="00632268"/>
    <w:rsid w:val="00633921"/>
    <w:rsid w:val="00634087"/>
    <w:rsid w:val="00635552"/>
    <w:rsid w:val="0063555E"/>
    <w:rsid w:val="00635DAE"/>
    <w:rsid w:val="0063715A"/>
    <w:rsid w:val="00637E05"/>
    <w:rsid w:val="00641801"/>
    <w:rsid w:val="00642138"/>
    <w:rsid w:val="006437B9"/>
    <w:rsid w:val="00643D14"/>
    <w:rsid w:val="00644C09"/>
    <w:rsid w:val="006478CA"/>
    <w:rsid w:val="00653F68"/>
    <w:rsid w:val="0066099D"/>
    <w:rsid w:val="006631C0"/>
    <w:rsid w:val="00665F3D"/>
    <w:rsid w:val="0066772F"/>
    <w:rsid w:val="00670BE5"/>
    <w:rsid w:val="006713E4"/>
    <w:rsid w:val="0067226C"/>
    <w:rsid w:val="006741E5"/>
    <w:rsid w:val="00676FF2"/>
    <w:rsid w:val="00677AF1"/>
    <w:rsid w:val="00677DED"/>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6B61"/>
    <w:rsid w:val="006B7DBE"/>
    <w:rsid w:val="006C0461"/>
    <w:rsid w:val="006C22FD"/>
    <w:rsid w:val="006C23C2"/>
    <w:rsid w:val="006C3543"/>
    <w:rsid w:val="006C59A5"/>
    <w:rsid w:val="006C5A3D"/>
    <w:rsid w:val="006C751A"/>
    <w:rsid w:val="006C7624"/>
    <w:rsid w:val="006C7A95"/>
    <w:rsid w:val="006C7FB3"/>
    <w:rsid w:val="006D2F31"/>
    <w:rsid w:val="006D6564"/>
    <w:rsid w:val="006D7DB6"/>
    <w:rsid w:val="006E004C"/>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126C"/>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8C4"/>
    <w:rsid w:val="00731AB7"/>
    <w:rsid w:val="00732018"/>
    <w:rsid w:val="00734FF9"/>
    <w:rsid w:val="0074180F"/>
    <w:rsid w:val="0074307F"/>
    <w:rsid w:val="007446DE"/>
    <w:rsid w:val="0074558E"/>
    <w:rsid w:val="00746019"/>
    <w:rsid w:val="00746D3F"/>
    <w:rsid w:val="00747E7C"/>
    <w:rsid w:val="00750AB2"/>
    <w:rsid w:val="007532A0"/>
    <w:rsid w:val="0075499D"/>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8BC"/>
    <w:rsid w:val="00784C33"/>
    <w:rsid w:val="00786873"/>
    <w:rsid w:val="00787C14"/>
    <w:rsid w:val="00790453"/>
    <w:rsid w:val="00791601"/>
    <w:rsid w:val="0079363C"/>
    <w:rsid w:val="00793B6E"/>
    <w:rsid w:val="0079785B"/>
    <w:rsid w:val="007A2AF5"/>
    <w:rsid w:val="007A4BB5"/>
    <w:rsid w:val="007A4FB6"/>
    <w:rsid w:val="007A5AEB"/>
    <w:rsid w:val="007A6AA6"/>
    <w:rsid w:val="007A74FE"/>
    <w:rsid w:val="007A7509"/>
    <w:rsid w:val="007B1550"/>
    <w:rsid w:val="007B17D6"/>
    <w:rsid w:val="007B1B3A"/>
    <w:rsid w:val="007B1CC3"/>
    <w:rsid w:val="007B4E82"/>
    <w:rsid w:val="007B5D7F"/>
    <w:rsid w:val="007B6992"/>
    <w:rsid w:val="007B7C1E"/>
    <w:rsid w:val="007B7E26"/>
    <w:rsid w:val="007C1944"/>
    <w:rsid w:val="007C1D1B"/>
    <w:rsid w:val="007C1F44"/>
    <w:rsid w:val="007C6783"/>
    <w:rsid w:val="007D3A84"/>
    <w:rsid w:val="007D67E0"/>
    <w:rsid w:val="007D6EC1"/>
    <w:rsid w:val="007D6FD7"/>
    <w:rsid w:val="007D70E9"/>
    <w:rsid w:val="007E1B82"/>
    <w:rsid w:val="007E4CD6"/>
    <w:rsid w:val="007E73D8"/>
    <w:rsid w:val="007F0803"/>
    <w:rsid w:val="007F1D75"/>
    <w:rsid w:val="007F1F0C"/>
    <w:rsid w:val="007F223F"/>
    <w:rsid w:val="007F25F8"/>
    <w:rsid w:val="007F34C7"/>
    <w:rsid w:val="007F374A"/>
    <w:rsid w:val="007F5589"/>
    <w:rsid w:val="007F55DE"/>
    <w:rsid w:val="007F5E90"/>
    <w:rsid w:val="007F79A8"/>
    <w:rsid w:val="00800009"/>
    <w:rsid w:val="008005A8"/>
    <w:rsid w:val="00800C04"/>
    <w:rsid w:val="0080286C"/>
    <w:rsid w:val="00802CE5"/>
    <w:rsid w:val="00804A39"/>
    <w:rsid w:val="00805098"/>
    <w:rsid w:val="0080625E"/>
    <w:rsid w:val="00807A77"/>
    <w:rsid w:val="00810B35"/>
    <w:rsid w:val="0081120F"/>
    <w:rsid w:val="00813916"/>
    <w:rsid w:val="00814C9A"/>
    <w:rsid w:val="008152F1"/>
    <w:rsid w:val="008178BA"/>
    <w:rsid w:val="008205F6"/>
    <w:rsid w:val="00821FCA"/>
    <w:rsid w:val="00822A78"/>
    <w:rsid w:val="008233A0"/>
    <w:rsid w:val="0082417D"/>
    <w:rsid w:val="008259FC"/>
    <w:rsid w:val="008272F7"/>
    <w:rsid w:val="00832534"/>
    <w:rsid w:val="008343D0"/>
    <w:rsid w:val="00834EDE"/>
    <w:rsid w:val="00837228"/>
    <w:rsid w:val="00837495"/>
    <w:rsid w:val="00837E84"/>
    <w:rsid w:val="00837F06"/>
    <w:rsid w:val="008432C0"/>
    <w:rsid w:val="0084340D"/>
    <w:rsid w:val="008444AE"/>
    <w:rsid w:val="00844EE4"/>
    <w:rsid w:val="008465BF"/>
    <w:rsid w:val="0084680C"/>
    <w:rsid w:val="008473BE"/>
    <w:rsid w:val="00847AE8"/>
    <w:rsid w:val="00847DBA"/>
    <w:rsid w:val="008517B6"/>
    <w:rsid w:val="008527D8"/>
    <w:rsid w:val="00852DD8"/>
    <w:rsid w:val="00852EBB"/>
    <w:rsid w:val="0085585F"/>
    <w:rsid w:val="00855D29"/>
    <w:rsid w:val="00855FFB"/>
    <w:rsid w:val="008563E3"/>
    <w:rsid w:val="00856C7F"/>
    <w:rsid w:val="00857E49"/>
    <w:rsid w:val="0086039E"/>
    <w:rsid w:val="00861293"/>
    <w:rsid w:val="0086630A"/>
    <w:rsid w:val="00870148"/>
    <w:rsid w:val="00871352"/>
    <w:rsid w:val="00871418"/>
    <w:rsid w:val="00872A7C"/>
    <w:rsid w:val="00874016"/>
    <w:rsid w:val="0087475F"/>
    <w:rsid w:val="00877294"/>
    <w:rsid w:val="008823B4"/>
    <w:rsid w:val="00883479"/>
    <w:rsid w:val="00884730"/>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2B83"/>
    <w:rsid w:val="008A57E5"/>
    <w:rsid w:val="008A74A9"/>
    <w:rsid w:val="008A7D42"/>
    <w:rsid w:val="008B0E8C"/>
    <w:rsid w:val="008B1700"/>
    <w:rsid w:val="008B1F33"/>
    <w:rsid w:val="008B202B"/>
    <w:rsid w:val="008B2749"/>
    <w:rsid w:val="008B3001"/>
    <w:rsid w:val="008B3CFE"/>
    <w:rsid w:val="008B54B4"/>
    <w:rsid w:val="008B5DBC"/>
    <w:rsid w:val="008B5F6A"/>
    <w:rsid w:val="008B696E"/>
    <w:rsid w:val="008B7734"/>
    <w:rsid w:val="008C05C3"/>
    <w:rsid w:val="008C1461"/>
    <w:rsid w:val="008C3676"/>
    <w:rsid w:val="008C3C92"/>
    <w:rsid w:val="008C4E8A"/>
    <w:rsid w:val="008C6B3D"/>
    <w:rsid w:val="008D0DB5"/>
    <w:rsid w:val="008D252E"/>
    <w:rsid w:val="008D2B13"/>
    <w:rsid w:val="008D394D"/>
    <w:rsid w:val="008D4422"/>
    <w:rsid w:val="008D45D9"/>
    <w:rsid w:val="008D640B"/>
    <w:rsid w:val="008E2762"/>
    <w:rsid w:val="008E2AF9"/>
    <w:rsid w:val="008E3B38"/>
    <w:rsid w:val="008E3C04"/>
    <w:rsid w:val="008E56E2"/>
    <w:rsid w:val="008E57F5"/>
    <w:rsid w:val="008E626A"/>
    <w:rsid w:val="008E68B5"/>
    <w:rsid w:val="008F3266"/>
    <w:rsid w:val="008F35A8"/>
    <w:rsid w:val="008F4B74"/>
    <w:rsid w:val="0090049C"/>
    <w:rsid w:val="009016E3"/>
    <w:rsid w:val="00902527"/>
    <w:rsid w:val="00902FCD"/>
    <w:rsid w:val="0090408E"/>
    <w:rsid w:val="009059CD"/>
    <w:rsid w:val="00905F5D"/>
    <w:rsid w:val="0090766A"/>
    <w:rsid w:val="009111AD"/>
    <w:rsid w:val="00913750"/>
    <w:rsid w:val="00913E41"/>
    <w:rsid w:val="00913F09"/>
    <w:rsid w:val="00917496"/>
    <w:rsid w:val="00920B17"/>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56F6B"/>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1A80"/>
    <w:rsid w:val="00993ADA"/>
    <w:rsid w:val="00994363"/>
    <w:rsid w:val="00994D53"/>
    <w:rsid w:val="0099688A"/>
    <w:rsid w:val="00997408"/>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0CEC"/>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0BB5"/>
    <w:rsid w:val="009F2269"/>
    <w:rsid w:val="009F2B77"/>
    <w:rsid w:val="009F3382"/>
    <w:rsid w:val="009F598A"/>
    <w:rsid w:val="009F5AC3"/>
    <w:rsid w:val="009F60C9"/>
    <w:rsid w:val="009F74B2"/>
    <w:rsid w:val="00A002FE"/>
    <w:rsid w:val="00A02228"/>
    <w:rsid w:val="00A033CC"/>
    <w:rsid w:val="00A03C90"/>
    <w:rsid w:val="00A03EDD"/>
    <w:rsid w:val="00A04AAC"/>
    <w:rsid w:val="00A051B1"/>
    <w:rsid w:val="00A0696D"/>
    <w:rsid w:val="00A071FC"/>
    <w:rsid w:val="00A07304"/>
    <w:rsid w:val="00A07548"/>
    <w:rsid w:val="00A11FFD"/>
    <w:rsid w:val="00A12C8D"/>
    <w:rsid w:val="00A148A6"/>
    <w:rsid w:val="00A14B33"/>
    <w:rsid w:val="00A21AF8"/>
    <w:rsid w:val="00A2223B"/>
    <w:rsid w:val="00A2293F"/>
    <w:rsid w:val="00A22A0A"/>
    <w:rsid w:val="00A251A6"/>
    <w:rsid w:val="00A252F0"/>
    <w:rsid w:val="00A25A4B"/>
    <w:rsid w:val="00A264A9"/>
    <w:rsid w:val="00A26C90"/>
    <w:rsid w:val="00A32FF5"/>
    <w:rsid w:val="00A33163"/>
    <w:rsid w:val="00A33B39"/>
    <w:rsid w:val="00A3561D"/>
    <w:rsid w:val="00A359D3"/>
    <w:rsid w:val="00A35BC5"/>
    <w:rsid w:val="00A36386"/>
    <w:rsid w:val="00A425B4"/>
    <w:rsid w:val="00A440E2"/>
    <w:rsid w:val="00A447A8"/>
    <w:rsid w:val="00A45815"/>
    <w:rsid w:val="00A45FEB"/>
    <w:rsid w:val="00A50A00"/>
    <w:rsid w:val="00A5132F"/>
    <w:rsid w:val="00A51858"/>
    <w:rsid w:val="00A5241A"/>
    <w:rsid w:val="00A52EEA"/>
    <w:rsid w:val="00A53C66"/>
    <w:rsid w:val="00A53D49"/>
    <w:rsid w:val="00A55A0E"/>
    <w:rsid w:val="00A55CB3"/>
    <w:rsid w:val="00A5615D"/>
    <w:rsid w:val="00A57696"/>
    <w:rsid w:val="00A60795"/>
    <w:rsid w:val="00A60AF2"/>
    <w:rsid w:val="00A62455"/>
    <w:rsid w:val="00A63263"/>
    <w:rsid w:val="00A63A66"/>
    <w:rsid w:val="00A64A0D"/>
    <w:rsid w:val="00A64F8F"/>
    <w:rsid w:val="00A65418"/>
    <w:rsid w:val="00A65AD1"/>
    <w:rsid w:val="00A670F6"/>
    <w:rsid w:val="00A711EB"/>
    <w:rsid w:val="00A72313"/>
    <w:rsid w:val="00A758FC"/>
    <w:rsid w:val="00A76AD8"/>
    <w:rsid w:val="00A8009D"/>
    <w:rsid w:val="00A80583"/>
    <w:rsid w:val="00A80AAB"/>
    <w:rsid w:val="00A82D2B"/>
    <w:rsid w:val="00A846A8"/>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A78E5"/>
    <w:rsid w:val="00AB029C"/>
    <w:rsid w:val="00AB0F96"/>
    <w:rsid w:val="00AB1AAB"/>
    <w:rsid w:val="00AB1AB2"/>
    <w:rsid w:val="00AB472B"/>
    <w:rsid w:val="00AB6969"/>
    <w:rsid w:val="00AB7376"/>
    <w:rsid w:val="00AC04F7"/>
    <w:rsid w:val="00AC0B2F"/>
    <w:rsid w:val="00AC1739"/>
    <w:rsid w:val="00AC1B14"/>
    <w:rsid w:val="00AC22A6"/>
    <w:rsid w:val="00AC5CDF"/>
    <w:rsid w:val="00AC6628"/>
    <w:rsid w:val="00AC664D"/>
    <w:rsid w:val="00AC6CC6"/>
    <w:rsid w:val="00AC74ED"/>
    <w:rsid w:val="00AC7CD8"/>
    <w:rsid w:val="00AC7D12"/>
    <w:rsid w:val="00AD10DB"/>
    <w:rsid w:val="00AD3464"/>
    <w:rsid w:val="00AD4123"/>
    <w:rsid w:val="00AD422E"/>
    <w:rsid w:val="00AD63A6"/>
    <w:rsid w:val="00AD750A"/>
    <w:rsid w:val="00AE15EA"/>
    <w:rsid w:val="00AE1773"/>
    <w:rsid w:val="00AE2ECF"/>
    <w:rsid w:val="00AE4505"/>
    <w:rsid w:val="00AE509D"/>
    <w:rsid w:val="00AE5C1F"/>
    <w:rsid w:val="00AE7B06"/>
    <w:rsid w:val="00AE7F80"/>
    <w:rsid w:val="00AF06D9"/>
    <w:rsid w:val="00AF3689"/>
    <w:rsid w:val="00AF3DA6"/>
    <w:rsid w:val="00AF3DCF"/>
    <w:rsid w:val="00AF4909"/>
    <w:rsid w:val="00AF4C34"/>
    <w:rsid w:val="00AF50C2"/>
    <w:rsid w:val="00B00486"/>
    <w:rsid w:val="00B012DE"/>
    <w:rsid w:val="00B03A0E"/>
    <w:rsid w:val="00B03A3F"/>
    <w:rsid w:val="00B03D2C"/>
    <w:rsid w:val="00B03DFC"/>
    <w:rsid w:val="00B04E35"/>
    <w:rsid w:val="00B05458"/>
    <w:rsid w:val="00B05625"/>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2D57"/>
    <w:rsid w:val="00B743B8"/>
    <w:rsid w:val="00B753EA"/>
    <w:rsid w:val="00B8038D"/>
    <w:rsid w:val="00B8141F"/>
    <w:rsid w:val="00B824E1"/>
    <w:rsid w:val="00B83C68"/>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49AD"/>
    <w:rsid w:val="00BC510D"/>
    <w:rsid w:val="00BC5201"/>
    <w:rsid w:val="00BC5D73"/>
    <w:rsid w:val="00BC6742"/>
    <w:rsid w:val="00BC74D7"/>
    <w:rsid w:val="00BC78CE"/>
    <w:rsid w:val="00BC7AE4"/>
    <w:rsid w:val="00BD0EA1"/>
    <w:rsid w:val="00BD11D6"/>
    <w:rsid w:val="00BD125F"/>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BF6EC7"/>
    <w:rsid w:val="00C00AE9"/>
    <w:rsid w:val="00C01AD0"/>
    <w:rsid w:val="00C030CD"/>
    <w:rsid w:val="00C04312"/>
    <w:rsid w:val="00C043E5"/>
    <w:rsid w:val="00C0504F"/>
    <w:rsid w:val="00C054A8"/>
    <w:rsid w:val="00C0765F"/>
    <w:rsid w:val="00C07C56"/>
    <w:rsid w:val="00C12B7B"/>
    <w:rsid w:val="00C12ED3"/>
    <w:rsid w:val="00C137F2"/>
    <w:rsid w:val="00C1421A"/>
    <w:rsid w:val="00C15609"/>
    <w:rsid w:val="00C15BAE"/>
    <w:rsid w:val="00C2018D"/>
    <w:rsid w:val="00C21471"/>
    <w:rsid w:val="00C21C0D"/>
    <w:rsid w:val="00C22FC8"/>
    <w:rsid w:val="00C23D41"/>
    <w:rsid w:val="00C24369"/>
    <w:rsid w:val="00C24668"/>
    <w:rsid w:val="00C258AC"/>
    <w:rsid w:val="00C2600B"/>
    <w:rsid w:val="00C26AB0"/>
    <w:rsid w:val="00C27942"/>
    <w:rsid w:val="00C30EA0"/>
    <w:rsid w:val="00C31116"/>
    <w:rsid w:val="00C32AA8"/>
    <w:rsid w:val="00C337B7"/>
    <w:rsid w:val="00C352E4"/>
    <w:rsid w:val="00C37976"/>
    <w:rsid w:val="00C37D1F"/>
    <w:rsid w:val="00C42C17"/>
    <w:rsid w:val="00C4539B"/>
    <w:rsid w:val="00C4698B"/>
    <w:rsid w:val="00C476FB"/>
    <w:rsid w:val="00C50F43"/>
    <w:rsid w:val="00C528CC"/>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2BF"/>
    <w:rsid w:val="00C7230E"/>
    <w:rsid w:val="00C72A5F"/>
    <w:rsid w:val="00C752C5"/>
    <w:rsid w:val="00C76B3F"/>
    <w:rsid w:val="00C77FFA"/>
    <w:rsid w:val="00C81ECB"/>
    <w:rsid w:val="00C842AF"/>
    <w:rsid w:val="00C8474B"/>
    <w:rsid w:val="00C84AD6"/>
    <w:rsid w:val="00C84D0E"/>
    <w:rsid w:val="00C90170"/>
    <w:rsid w:val="00C906E5"/>
    <w:rsid w:val="00C90F08"/>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347C"/>
    <w:rsid w:val="00CB439E"/>
    <w:rsid w:val="00CB70B6"/>
    <w:rsid w:val="00CC1D1F"/>
    <w:rsid w:val="00CC2060"/>
    <w:rsid w:val="00CC3174"/>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E4D87"/>
    <w:rsid w:val="00CF0A02"/>
    <w:rsid w:val="00CF1098"/>
    <w:rsid w:val="00CF1AAC"/>
    <w:rsid w:val="00CF2FD8"/>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A50"/>
    <w:rsid w:val="00D10C04"/>
    <w:rsid w:val="00D12CAF"/>
    <w:rsid w:val="00D13280"/>
    <w:rsid w:val="00D14159"/>
    <w:rsid w:val="00D14A9D"/>
    <w:rsid w:val="00D20DB7"/>
    <w:rsid w:val="00D2261A"/>
    <w:rsid w:val="00D22B72"/>
    <w:rsid w:val="00D237EA"/>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B8B"/>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502"/>
    <w:rsid w:val="00D8166A"/>
    <w:rsid w:val="00D8307B"/>
    <w:rsid w:val="00D8458A"/>
    <w:rsid w:val="00D85E94"/>
    <w:rsid w:val="00D872E5"/>
    <w:rsid w:val="00D873D6"/>
    <w:rsid w:val="00D87A4B"/>
    <w:rsid w:val="00D87A82"/>
    <w:rsid w:val="00D9102E"/>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B7440"/>
    <w:rsid w:val="00DC1E27"/>
    <w:rsid w:val="00DC1FCD"/>
    <w:rsid w:val="00DC35DE"/>
    <w:rsid w:val="00DC3931"/>
    <w:rsid w:val="00DC51F6"/>
    <w:rsid w:val="00DC5888"/>
    <w:rsid w:val="00DD1FB1"/>
    <w:rsid w:val="00DD250D"/>
    <w:rsid w:val="00DD2A60"/>
    <w:rsid w:val="00DD42C9"/>
    <w:rsid w:val="00DD4907"/>
    <w:rsid w:val="00DD4A57"/>
    <w:rsid w:val="00DD4D01"/>
    <w:rsid w:val="00DD7985"/>
    <w:rsid w:val="00DE3C7D"/>
    <w:rsid w:val="00DE45AA"/>
    <w:rsid w:val="00DE4901"/>
    <w:rsid w:val="00DE5B26"/>
    <w:rsid w:val="00DE662C"/>
    <w:rsid w:val="00DE78D0"/>
    <w:rsid w:val="00DF03C2"/>
    <w:rsid w:val="00DF12BE"/>
    <w:rsid w:val="00DF2A97"/>
    <w:rsid w:val="00DF460E"/>
    <w:rsid w:val="00E00B45"/>
    <w:rsid w:val="00E03E6D"/>
    <w:rsid w:val="00E0438B"/>
    <w:rsid w:val="00E070DF"/>
    <w:rsid w:val="00E07B01"/>
    <w:rsid w:val="00E10441"/>
    <w:rsid w:val="00E12BA1"/>
    <w:rsid w:val="00E12E28"/>
    <w:rsid w:val="00E1349B"/>
    <w:rsid w:val="00E15291"/>
    <w:rsid w:val="00E152B8"/>
    <w:rsid w:val="00E15D14"/>
    <w:rsid w:val="00E17FA9"/>
    <w:rsid w:val="00E20F2B"/>
    <w:rsid w:val="00E21C9B"/>
    <w:rsid w:val="00E227FF"/>
    <w:rsid w:val="00E22993"/>
    <w:rsid w:val="00E2347A"/>
    <w:rsid w:val="00E23C82"/>
    <w:rsid w:val="00E24C09"/>
    <w:rsid w:val="00E260AA"/>
    <w:rsid w:val="00E26969"/>
    <w:rsid w:val="00E269BA"/>
    <w:rsid w:val="00E3028F"/>
    <w:rsid w:val="00E3103F"/>
    <w:rsid w:val="00E3184A"/>
    <w:rsid w:val="00E3293C"/>
    <w:rsid w:val="00E337A0"/>
    <w:rsid w:val="00E34F78"/>
    <w:rsid w:val="00E3578B"/>
    <w:rsid w:val="00E3596D"/>
    <w:rsid w:val="00E36A3F"/>
    <w:rsid w:val="00E40D53"/>
    <w:rsid w:val="00E40F5D"/>
    <w:rsid w:val="00E41D23"/>
    <w:rsid w:val="00E42474"/>
    <w:rsid w:val="00E43E9E"/>
    <w:rsid w:val="00E44D4E"/>
    <w:rsid w:val="00E455E0"/>
    <w:rsid w:val="00E47800"/>
    <w:rsid w:val="00E51066"/>
    <w:rsid w:val="00E51FAA"/>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467A"/>
    <w:rsid w:val="00E753DF"/>
    <w:rsid w:val="00E768C3"/>
    <w:rsid w:val="00E77325"/>
    <w:rsid w:val="00E77B96"/>
    <w:rsid w:val="00E81292"/>
    <w:rsid w:val="00E81B33"/>
    <w:rsid w:val="00E81BCC"/>
    <w:rsid w:val="00E81D71"/>
    <w:rsid w:val="00E839EF"/>
    <w:rsid w:val="00E83A99"/>
    <w:rsid w:val="00E84A27"/>
    <w:rsid w:val="00E85C37"/>
    <w:rsid w:val="00E87964"/>
    <w:rsid w:val="00E90232"/>
    <w:rsid w:val="00E902A9"/>
    <w:rsid w:val="00E90485"/>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B7F81"/>
    <w:rsid w:val="00EC07CF"/>
    <w:rsid w:val="00EC0FB5"/>
    <w:rsid w:val="00EC29FA"/>
    <w:rsid w:val="00EC2FAA"/>
    <w:rsid w:val="00EC3023"/>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698E"/>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87E"/>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6F47"/>
    <w:rsid w:val="00F471A3"/>
    <w:rsid w:val="00F50A2C"/>
    <w:rsid w:val="00F51AD2"/>
    <w:rsid w:val="00F545AC"/>
    <w:rsid w:val="00F57097"/>
    <w:rsid w:val="00F57232"/>
    <w:rsid w:val="00F61CAD"/>
    <w:rsid w:val="00F65E31"/>
    <w:rsid w:val="00F66DD2"/>
    <w:rsid w:val="00F67526"/>
    <w:rsid w:val="00F67C9D"/>
    <w:rsid w:val="00F70820"/>
    <w:rsid w:val="00F75EE9"/>
    <w:rsid w:val="00F82AF0"/>
    <w:rsid w:val="00F82D25"/>
    <w:rsid w:val="00F83355"/>
    <w:rsid w:val="00F86DB5"/>
    <w:rsid w:val="00F86E3C"/>
    <w:rsid w:val="00F86E7B"/>
    <w:rsid w:val="00F87409"/>
    <w:rsid w:val="00F9117A"/>
    <w:rsid w:val="00F918EF"/>
    <w:rsid w:val="00F92891"/>
    <w:rsid w:val="00F97162"/>
    <w:rsid w:val="00FA16EF"/>
    <w:rsid w:val="00FA250E"/>
    <w:rsid w:val="00FA27D5"/>
    <w:rsid w:val="00FA4865"/>
    <w:rsid w:val="00FA56C5"/>
    <w:rsid w:val="00FA5C9E"/>
    <w:rsid w:val="00FB0A47"/>
    <w:rsid w:val="00FB109B"/>
    <w:rsid w:val="00FB3025"/>
    <w:rsid w:val="00FB40BC"/>
    <w:rsid w:val="00FB56AE"/>
    <w:rsid w:val="00FB5E5B"/>
    <w:rsid w:val="00FB7D50"/>
    <w:rsid w:val="00FC1887"/>
    <w:rsid w:val="00FC2F18"/>
    <w:rsid w:val="00FC2F2A"/>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E7733"/>
    <w:rsid w:val="00FF2723"/>
    <w:rsid w:val="00FF536E"/>
    <w:rsid w:val="00FF5536"/>
    <w:rsid w:val="00FF5906"/>
    <w:rsid w:val="00FF5A35"/>
    <w:rsid w:val="06B46418"/>
    <w:rsid w:val="10117719"/>
    <w:rsid w:val="241F200E"/>
    <w:rsid w:val="247F2309"/>
    <w:rsid w:val="256F616C"/>
    <w:rsid w:val="37655266"/>
    <w:rsid w:val="4AC607DB"/>
    <w:rsid w:val="52A96AA2"/>
    <w:rsid w:val="5C6623BE"/>
    <w:rsid w:val="7F7B9DCD"/>
    <w:rsid w:val="B7FF843E"/>
    <w:rsid w:val="FFEFB2D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36"/>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50"/>
    <w:unhideWhenUsed/>
    <w:qFormat/>
    <w:uiPriority w:val="99"/>
    <w:pPr>
      <w:jc w:val="left"/>
    </w:pPr>
  </w:style>
  <w:style w:type="paragraph" w:styleId="6">
    <w:name w:val="Body Text"/>
    <w:basedOn w:val="1"/>
    <w:link w:val="53"/>
    <w:semiHidden/>
    <w:unhideWhenUsed/>
    <w:qFormat/>
    <w:uiPriority w:val="99"/>
    <w:pPr>
      <w:spacing w:after="120"/>
    </w:pPr>
  </w:style>
  <w:style w:type="paragraph" w:styleId="7">
    <w:name w:val="Body Text Indent"/>
    <w:basedOn w:val="1"/>
    <w:link w:val="28"/>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0"/>
    <w:qFormat/>
    <w:uiPriority w:val="0"/>
    <w:rPr>
      <w:rFonts w:ascii="宋体" w:hAnsi="Courier New"/>
      <w:lang w:val="zh-CN"/>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3"/>
    <w:qFormat/>
    <w:uiPriority w:val="0"/>
    <w:pPr>
      <w:adjustRightInd w:val="0"/>
      <w:spacing w:line="360" w:lineRule="atLeast"/>
      <w:textAlignment w:val="baseline"/>
    </w:pPr>
    <w:rPr>
      <w:sz w:val="32"/>
    </w:rPr>
  </w:style>
  <w:style w:type="paragraph" w:styleId="12">
    <w:name w:val="Body Text Indent 2"/>
    <w:basedOn w:val="1"/>
    <w:link w:val="35"/>
    <w:semiHidden/>
    <w:unhideWhenUsed/>
    <w:qFormat/>
    <w:uiPriority w:val="99"/>
    <w:pPr>
      <w:spacing w:after="120" w:line="480" w:lineRule="auto"/>
      <w:ind w:left="420" w:leftChars="200"/>
    </w:pPr>
  </w:style>
  <w:style w:type="paragraph" w:styleId="13">
    <w:name w:val="Balloon Text"/>
    <w:basedOn w:val="1"/>
    <w:link w:val="52"/>
    <w:semiHidden/>
    <w:unhideWhenUsed/>
    <w:qFormat/>
    <w:uiPriority w:val="99"/>
    <w:rPr>
      <w:sz w:val="18"/>
      <w:szCs w:val="18"/>
    </w:rPr>
  </w:style>
  <w:style w:type="paragraph" w:styleId="14">
    <w:name w:val="footer"/>
    <w:basedOn w:val="1"/>
    <w:link w:val="32"/>
    <w:unhideWhenUsed/>
    <w:qFormat/>
    <w:uiPriority w:val="99"/>
    <w:pPr>
      <w:tabs>
        <w:tab w:val="center" w:pos="4153"/>
        <w:tab w:val="right" w:pos="8306"/>
      </w:tabs>
      <w:snapToGrid w:val="0"/>
      <w:jc w:val="left"/>
    </w:pPr>
    <w:rPr>
      <w:sz w:val="18"/>
      <w:szCs w:val="18"/>
    </w:rPr>
  </w:style>
  <w:style w:type="paragraph" w:styleId="15">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0"/>
    <w:qFormat/>
    <w:uiPriority w:val="11"/>
    <w:pPr>
      <w:spacing w:before="240" w:after="60" w:line="312" w:lineRule="auto"/>
      <w:jc w:val="center"/>
      <w:outlineLvl w:val="1"/>
    </w:pPr>
    <w:rPr>
      <w:rFonts w:ascii="Cambria" w:hAnsi="Cambria"/>
      <w:b/>
      <w:bCs/>
      <w:kern w:val="28"/>
      <w:sz w:val="32"/>
      <w:szCs w:val="32"/>
      <w:lang w:val="zh-CN"/>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1"/>
    <w:semiHidden/>
    <w:unhideWhenUsed/>
    <w:qFormat/>
    <w:uiPriority w:val="99"/>
    <w:pPr>
      <w:spacing w:after="120"/>
      <w:ind w:left="420" w:leftChars="200"/>
    </w:pPr>
    <w:rPr>
      <w:sz w:val="16"/>
      <w:szCs w:val="16"/>
    </w:rPr>
  </w:style>
  <w:style w:type="paragraph" w:styleId="19">
    <w:name w:val="Body Text 2"/>
    <w:basedOn w:val="1"/>
    <w:link w:val="37"/>
    <w:semiHidden/>
    <w:unhideWhenUsed/>
    <w:qFormat/>
    <w:uiPriority w:val="99"/>
    <w:pPr>
      <w:spacing w:after="120" w:line="480" w:lineRule="auto"/>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5"/>
    <w:next w:val="5"/>
    <w:link w:val="51"/>
    <w:semiHidden/>
    <w:unhideWhenUsed/>
    <w:qFormat/>
    <w:uiPriority w:val="99"/>
    <w:rPr>
      <w:b/>
      <w:bCs/>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qFormat/>
    <w:uiPriority w:val="22"/>
    <w:rPr>
      <w:b/>
      <w:bCs/>
    </w:rPr>
  </w:style>
  <w:style w:type="character" w:styleId="26">
    <w:name w:val="Hyperlink"/>
    <w:basedOn w:val="24"/>
    <w:unhideWhenUsed/>
    <w:qFormat/>
    <w:uiPriority w:val="99"/>
    <w:rPr>
      <w:color w:val="0000FF" w:themeColor="hyperlink"/>
      <w:u w:val="single"/>
      <w14:textFill>
        <w14:solidFill>
          <w14:schemeClr w14:val="hlink"/>
        </w14:solidFill>
      </w14:textFill>
    </w:rPr>
  </w:style>
  <w:style w:type="character" w:styleId="27">
    <w:name w:val="annotation reference"/>
    <w:basedOn w:val="24"/>
    <w:unhideWhenUsed/>
    <w:qFormat/>
    <w:uiPriority w:val="99"/>
    <w:rPr>
      <w:sz w:val="21"/>
      <w:szCs w:val="21"/>
    </w:rPr>
  </w:style>
  <w:style w:type="character" w:customStyle="1" w:styleId="28">
    <w:name w:val="正文文本缩进 Char"/>
    <w:basedOn w:val="24"/>
    <w:link w:val="7"/>
    <w:qFormat/>
    <w:uiPriority w:val="0"/>
    <w:rPr>
      <w:rFonts w:ascii="宋体" w:hAnsi="宋体" w:eastAsia="宋体" w:cs="Times New Roman"/>
      <w:sz w:val="24"/>
      <w:szCs w:val="20"/>
    </w:rPr>
  </w:style>
  <w:style w:type="paragraph" w:customStyle="1" w:styleId="29">
    <w:name w:val="Default"/>
    <w:link w:val="48"/>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30">
    <w:name w:val="副标题 Char"/>
    <w:basedOn w:val="24"/>
    <w:link w:val="16"/>
    <w:qFormat/>
    <w:uiPriority w:val="11"/>
    <w:rPr>
      <w:rFonts w:ascii="Cambria" w:hAnsi="Cambria" w:eastAsia="宋体" w:cs="Times New Roman"/>
      <w:b/>
      <w:bCs/>
      <w:kern w:val="28"/>
      <w:sz w:val="32"/>
      <w:szCs w:val="32"/>
      <w:lang w:val="zh-CN" w:eastAsia="zh-CN"/>
    </w:rPr>
  </w:style>
  <w:style w:type="character" w:customStyle="1" w:styleId="31">
    <w:name w:val="页眉 Char"/>
    <w:basedOn w:val="24"/>
    <w:link w:val="15"/>
    <w:qFormat/>
    <w:uiPriority w:val="99"/>
    <w:rPr>
      <w:rFonts w:ascii="Times New Roman" w:hAnsi="Times New Roman" w:eastAsia="宋体" w:cs="Times New Roman"/>
      <w:sz w:val="18"/>
      <w:szCs w:val="18"/>
    </w:rPr>
  </w:style>
  <w:style w:type="character" w:customStyle="1" w:styleId="32">
    <w:name w:val="页脚 Char"/>
    <w:basedOn w:val="24"/>
    <w:link w:val="14"/>
    <w:qFormat/>
    <w:uiPriority w:val="99"/>
    <w:rPr>
      <w:rFonts w:ascii="Times New Roman" w:hAnsi="Times New Roman" w:eastAsia="宋体" w:cs="Times New Roman"/>
      <w:sz w:val="18"/>
      <w:szCs w:val="18"/>
    </w:rPr>
  </w:style>
  <w:style w:type="character" w:customStyle="1" w:styleId="33">
    <w:name w:val="日期 Char"/>
    <w:basedOn w:val="24"/>
    <w:link w:val="11"/>
    <w:qFormat/>
    <w:uiPriority w:val="0"/>
    <w:rPr>
      <w:rFonts w:ascii="Times New Roman" w:hAnsi="Times New Roman" w:eastAsia="宋体" w:cs="Times New Roman"/>
      <w:sz w:val="32"/>
      <w:szCs w:val="20"/>
    </w:rPr>
  </w:style>
  <w:style w:type="paragraph" w:styleId="34">
    <w:name w:val="List Paragraph"/>
    <w:basedOn w:val="1"/>
    <w:link w:val="49"/>
    <w:qFormat/>
    <w:uiPriority w:val="34"/>
    <w:pPr>
      <w:ind w:firstLine="420" w:firstLineChars="200"/>
    </w:pPr>
  </w:style>
  <w:style w:type="character" w:customStyle="1" w:styleId="35">
    <w:name w:val="正文文本缩进 2 Char"/>
    <w:basedOn w:val="24"/>
    <w:link w:val="12"/>
    <w:semiHidden/>
    <w:qFormat/>
    <w:uiPriority w:val="99"/>
    <w:rPr>
      <w:rFonts w:ascii="Times New Roman" w:hAnsi="Times New Roman" w:eastAsia="宋体" w:cs="Times New Roman"/>
      <w:szCs w:val="20"/>
    </w:rPr>
  </w:style>
  <w:style w:type="character" w:customStyle="1" w:styleId="36">
    <w:name w:val="标题 3 Char"/>
    <w:basedOn w:val="24"/>
    <w:link w:val="2"/>
    <w:qFormat/>
    <w:uiPriority w:val="0"/>
    <w:rPr>
      <w:rFonts w:ascii="Times New Roman" w:hAnsi="Times New Roman" w:eastAsia="宋体" w:cs="Times New Roman"/>
      <w:b/>
      <w:bCs/>
      <w:sz w:val="32"/>
      <w:szCs w:val="32"/>
    </w:rPr>
  </w:style>
  <w:style w:type="character" w:customStyle="1" w:styleId="37">
    <w:name w:val="正文文本 2 Char"/>
    <w:basedOn w:val="24"/>
    <w:link w:val="19"/>
    <w:semiHidden/>
    <w:qFormat/>
    <w:uiPriority w:val="99"/>
    <w:rPr>
      <w:rFonts w:ascii="Times New Roman" w:hAnsi="Times New Roman" w:eastAsia="宋体" w:cs="Times New Roman"/>
      <w:szCs w:val="20"/>
    </w:rPr>
  </w:style>
  <w:style w:type="paragraph" w:customStyle="1" w:styleId="38">
    <w:name w:val="Char"/>
    <w:basedOn w:val="1"/>
    <w:autoRedefine/>
    <w:qFormat/>
    <w:uiPriority w:val="0"/>
    <w:pPr>
      <w:tabs>
        <w:tab w:val="left" w:pos="360"/>
      </w:tabs>
    </w:pPr>
    <w:rPr>
      <w:sz w:val="24"/>
      <w:szCs w:val="24"/>
    </w:rPr>
  </w:style>
  <w:style w:type="character" w:customStyle="1" w:styleId="39">
    <w:name w:val="纯文本 Char"/>
    <w:basedOn w:val="24"/>
    <w:semiHidden/>
    <w:qFormat/>
    <w:uiPriority w:val="99"/>
    <w:rPr>
      <w:rFonts w:ascii="宋体" w:hAnsi="Courier New" w:eastAsia="宋体" w:cs="Courier New"/>
      <w:szCs w:val="21"/>
    </w:rPr>
  </w:style>
  <w:style w:type="character" w:customStyle="1" w:styleId="40">
    <w:name w:val="纯文本 Char1"/>
    <w:link w:val="9"/>
    <w:qFormat/>
    <w:locked/>
    <w:uiPriority w:val="0"/>
    <w:rPr>
      <w:rFonts w:ascii="宋体" w:hAnsi="Courier New" w:eastAsia="宋体" w:cs="Times New Roman"/>
      <w:szCs w:val="20"/>
      <w:lang w:val="zh-CN" w:eastAsia="zh-CN"/>
    </w:rPr>
  </w:style>
  <w:style w:type="character" w:customStyle="1" w:styleId="41">
    <w:name w:val="正文文本缩进 3 Char"/>
    <w:basedOn w:val="24"/>
    <w:link w:val="18"/>
    <w:semiHidden/>
    <w:qFormat/>
    <w:uiPriority w:val="99"/>
    <w:rPr>
      <w:rFonts w:ascii="Times New Roman" w:hAnsi="Times New Roman" w:eastAsia="宋体" w:cs="Times New Roman"/>
      <w:sz w:val="16"/>
      <w:szCs w:val="16"/>
    </w:rPr>
  </w:style>
  <w:style w:type="paragraph" w:customStyle="1" w:styleId="42">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Char2"/>
    <w:basedOn w:val="1"/>
    <w:autoRedefine/>
    <w:qFormat/>
    <w:uiPriority w:val="0"/>
    <w:pPr>
      <w:tabs>
        <w:tab w:val="left" w:pos="360"/>
      </w:tabs>
    </w:pPr>
    <w:rPr>
      <w:sz w:val="24"/>
      <w:szCs w:val="24"/>
    </w:rPr>
  </w:style>
  <w:style w:type="paragraph" w:customStyle="1" w:styleId="47">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8">
    <w:name w:val="Default Char"/>
    <w:link w:val="29"/>
    <w:qFormat/>
    <w:locked/>
    <w:uiPriority w:val="0"/>
    <w:rPr>
      <w:rFonts w:ascii="......." w:hAnsi="Calibri" w:eastAsia="......." w:cs="......."/>
      <w:color w:val="000000"/>
      <w:kern w:val="0"/>
      <w:sz w:val="24"/>
      <w:szCs w:val="24"/>
    </w:rPr>
  </w:style>
  <w:style w:type="character" w:customStyle="1" w:styleId="49">
    <w:name w:val="列出段落 Char"/>
    <w:link w:val="34"/>
    <w:qFormat/>
    <w:uiPriority w:val="34"/>
    <w:rPr>
      <w:rFonts w:ascii="Times New Roman" w:hAnsi="Times New Roman" w:eastAsia="宋体" w:cs="Times New Roman"/>
      <w:szCs w:val="20"/>
    </w:rPr>
  </w:style>
  <w:style w:type="character" w:customStyle="1" w:styleId="50">
    <w:name w:val="批注文字 Char"/>
    <w:basedOn w:val="24"/>
    <w:link w:val="5"/>
    <w:qFormat/>
    <w:uiPriority w:val="99"/>
    <w:rPr>
      <w:rFonts w:ascii="Times New Roman" w:hAnsi="Times New Roman" w:eastAsia="宋体" w:cs="Times New Roman"/>
      <w:szCs w:val="20"/>
    </w:rPr>
  </w:style>
  <w:style w:type="character" w:customStyle="1" w:styleId="51">
    <w:name w:val="批注主题 Char"/>
    <w:basedOn w:val="50"/>
    <w:link w:val="21"/>
    <w:semiHidden/>
    <w:qFormat/>
    <w:uiPriority w:val="99"/>
    <w:rPr>
      <w:rFonts w:ascii="Times New Roman" w:hAnsi="Times New Roman" w:eastAsia="宋体" w:cs="Times New Roman"/>
      <w:b/>
      <w:bCs/>
      <w:szCs w:val="20"/>
    </w:rPr>
  </w:style>
  <w:style w:type="character" w:customStyle="1" w:styleId="52">
    <w:name w:val="批注框文本 Char"/>
    <w:basedOn w:val="24"/>
    <w:link w:val="13"/>
    <w:semiHidden/>
    <w:qFormat/>
    <w:uiPriority w:val="99"/>
    <w:rPr>
      <w:rFonts w:ascii="Times New Roman" w:hAnsi="Times New Roman" w:eastAsia="宋体" w:cs="Times New Roman"/>
      <w:sz w:val="18"/>
      <w:szCs w:val="18"/>
    </w:rPr>
  </w:style>
  <w:style w:type="character" w:customStyle="1" w:styleId="53">
    <w:name w:val="正文文本 Char"/>
    <w:basedOn w:val="24"/>
    <w:link w:val="6"/>
    <w:semiHidden/>
    <w:qFormat/>
    <w:uiPriority w:val="99"/>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92B288-FE23-4FE4-930B-F9EE8D09EFD6}">
  <ds:schemaRefs/>
</ds:datastoreItem>
</file>

<file path=docProps/app.xml><?xml version="1.0" encoding="utf-8"?>
<Properties xmlns="http://schemas.openxmlformats.org/officeDocument/2006/extended-properties" xmlns:vt="http://schemas.openxmlformats.org/officeDocument/2006/docPropsVTypes">
  <Company>MS</Company>
  <Pages>10</Pages>
  <Words>4592</Words>
  <Characters>26179</Characters>
  <Lines>218</Lines>
  <Paragraphs>61</Paragraphs>
  <TotalTime>436</TotalTime>
  <ScaleCrop>false</ScaleCrop>
  <LinksUpToDate>false</LinksUpToDate>
  <CharactersWithSpaces>30710</CharactersWithSpaces>
  <Application>WPS Office WWO_wpscloud_20250116195353-13c312bd48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2026-01-24T00:58:00Z</dcterms:created>
  <dc:creator>未定义</dc:creator>
  <cp:lastModifiedBy>未定义</cp:lastModifiedBy>
  <dcterms:modified xsi:type="dcterms:W3CDTF">2026-10-12T15:36:53Z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2052-0.0.0.0</vt:lpwstr>
  </property>
  <property fmtid="{D5CDD505-2E9C-101B-9397-08002B2CF9AE}" pid="4" name="ICV">
    <vt:lpwstr>6427BFD0B0215591158ECC6AEEA065AB_43</vt:lpwstr>
  </property>
</Properties>
</file>