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A4D965">
      <w:pPr>
        <w:spacing w:line="560" w:lineRule="exact"/>
        <w:ind w:firstLine="640" w:firstLineChars="200"/>
        <w:jc w:val="left"/>
        <w:rPr>
          <w:rFonts w:hint="eastAsia" w:ascii="楷体" w:hAnsi="楷体" w:eastAsia="楷体"/>
          <w:sz w:val="32"/>
          <w:szCs w:val="32"/>
          <w:highlight w:val="none"/>
        </w:rPr>
      </w:pPr>
      <w:bookmarkStart w:id="0" w:name="_Toc20384570"/>
      <w:r>
        <w:rPr>
          <w:rFonts w:hint="eastAsia" w:ascii="楷体" w:hAnsi="楷体" w:eastAsia="楷体"/>
          <w:sz w:val="32"/>
          <w:szCs w:val="32"/>
          <w:highlight w:val="none"/>
        </w:rPr>
        <w:t>（四）技术商务要求</w:t>
      </w:r>
    </w:p>
    <w:p w14:paraId="3A34DCB2">
      <w:pPr>
        <w:spacing w:line="560" w:lineRule="exact"/>
        <w:ind w:firstLine="640" w:firstLineChars="200"/>
        <w:jc w:val="left"/>
        <w:outlineLvl w:val="2"/>
        <w:rPr>
          <w:rFonts w:hint="eastAsia" w:ascii="仿宋" w:hAnsi="仿宋" w:eastAsia="仿宋"/>
          <w:sz w:val="32"/>
          <w:szCs w:val="32"/>
          <w:highlight w:val="none"/>
        </w:rPr>
      </w:pPr>
      <w:r>
        <w:rPr>
          <w:rFonts w:hint="eastAsia" w:ascii="仿宋" w:hAnsi="仿宋" w:eastAsia="仿宋"/>
          <w:sz w:val="32"/>
          <w:szCs w:val="32"/>
          <w:highlight w:val="none"/>
        </w:rPr>
        <w:t>1.包1</w:t>
      </w:r>
    </w:p>
    <w:p w14:paraId="3294403D">
      <w:pPr>
        <w:spacing w:line="560" w:lineRule="exact"/>
        <w:ind w:firstLine="0"/>
        <w:outlineLvl w:val="3"/>
        <w:rPr>
          <w:rFonts w:hint="eastAsia" w:ascii="仿宋" w:hAnsi="仿宋" w:eastAsia="仿宋" w:cs="仿宋"/>
          <w:sz w:val="32"/>
          <w:szCs w:val="32"/>
          <w:highlight w:val="none"/>
        </w:rPr>
      </w:pPr>
      <w:r>
        <w:rPr>
          <w:rFonts w:hint="eastAsia" w:ascii="仿宋" w:hAnsi="仿宋" w:eastAsia="仿宋" w:cs="宋体"/>
          <w:sz w:val="32"/>
          <w:szCs w:val="32"/>
          <w:highlight w:val="none"/>
          <w:u w:val="single"/>
        </w:rPr>
        <w:t>（</w:t>
      </w:r>
      <w:r>
        <w:rPr>
          <w:rFonts w:hint="eastAsia" w:ascii="仿宋" w:hAnsi="仿宋" w:eastAsia="仿宋" w:cs="宋体"/>
          <w:sz w:val="32"/>
          <w:szCs w:val="32"/>
          <w:highlight w:val="none"/>
          <w:u w:val="single"/>
          <w:lang w:val="en-US" w:eastAsia="zh-CN"/>
        </w:rPr>
        <w:t>1</w:t>
      </w:r>
      <w:r>
        <w:rPr>
          <w:rFonts w:hint="eastAsia" w:ascii="仿宋" w:hAnsi="仿宋" w:eastAsia="仿宋" w:cs="宋体"/>
          <w:sz w:val="32"/>
          <w:szCs w:val="32"/>
          <w:highlight w:val="none"/>
          <w:u w:val="single"/>
        </w:rPr>
        <w:t>）</w:t>
      </w:r>
      <w:r>
        <w:rPr>
          <w:rFonts w:hint="eastAsia" w:ascii="仿宋" w:hAnsi="仿宋" w:eastAsia="仿宋" w:cs="宋体"/>
          <w:sz w:val="32"/>
          <w:szCs w:val="32"/>
          <w:highlight w:val="none"/>
          <w:u w:val="single"/>
          <w:lang w:val="en-US" w:eastAsia="zh-CN"/>
        </w:rPr>
        <w:t>技术</w:t>
      </w:r>
      <w:r>
        <w:rPr>
          <w:rFonts w:hint="eastAsia" w:ascii="仿宋" w:hAnsi="仿宋" w:eastAsia="仿宋" w:cs="宋体"/>
          <w:sz w:val="32"/>
          <w:szCs w:val="32"/>
          <w:highlight w:val="none"/>
          <w:u w:val="single"/>
        </w:rPr>
        <w:t>要求</w:t>
      </w:r>
    </w:p>
    <w:p w14:paraId="19036CD0">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本项目旨在建设一套完备的天津市教育数据管理平台，通过网络专线采集汇聚各级教育行政单位以及各级各类学校的基础数据与业务数据，进行天津教育领域内的数据集成、治理、共享、运维、指标管理、可视化报表及</w:t>
      </w:r>
      <w:r>
        <w:rPr>
          <w:rFonts w:ascii="仿宋" w:hAnsi="仿宋" w:eastAsia="仿宋" w:cs="仿宋"/>
          <w:sz w:val="32"/>
          <w:szCs w:val="32"/>
          <w:highlight w:val="none"/>
        </w:rPr>
        <w:t>GIS</w:t>
      </w:r>
      <w:r>
        <w:rPr>
          <w:rFonts w:hint="eastAsia" w:ascii="仿宋" w:hAnsi="仿宋" w:eastAsia="仿宋" w:cs="仿宋"/>
          <w:sz w:val="32"/>
          <w:szCs w:val="32"/>
          <w:highlight w:val="none"/>
        </w:rPr>
        <w:t>地图数据服务，并将治理好的敏感数据通过专线转存于市教委的专属存储区。同时，依托</w:t>
      </w:r>
      <w:r>
        <w:rPr>
          <w:rFonts w:ascii="仿宋" w:hAnsi="仿宋" w:eastAsia="仿宋" w:cs="仿宋"/>
          <w:sz w:val="32"/>
          <w:szCs w:val="32"/>
          <w:highlight w:val="none"/>
        </w:rPr>
        <w:t>AI</w:t>
      </w:r>
      <w:r>
        <w:rPr>
          <w:rFonts w:hint="eastAsia" w:ascii="仿宋" w:hAnsi="仿宋" w:eastAsia="仿宋" w:cs="仿宋"/>
          <w:sz w:val="32"/>
          <w:szCs w:val="32"/>
          <w:highlight w:val="none"/>
        </w:rPr>
        <w:t>大模型技术，构建数据智察、业务智办、智能问答等场景应用的教育智能体，提升教育数据的管理效率和应用水平，为教育决策和优化提供有力支持。</w:t>
      </w:r>
    </w:p>
    <w:p w14:paraId="33721A5D">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所提供平台应支持统一汇聚高等院校、高职院校、基础教育单位及市教委业务处室的教育业务数据，进行相关主</w:t>
      </w:r>
      <w:r>
        <w:rPr>
          <w:rFonts w:ascii="仿宋" w:hAnsi="仿宋" w:eastAsia="仿宋" w:cs="仿宋"/>
          <w:sz w:val="32"/>
          <w:szCs w:val="32"/>
          <w:highlight w:val="none"/>
        </w:rPr>
        <w:t>/</w:t>
      </w:r>
      <w:r>
        <w:rPr>
          <w:rFonts w:hint="eastAsia" w:ascii="仿宋" w:hAnsi="仿宋" w:eastAsia="仿宋" w:cs="仿宋"/>
          <w:sz w:val="32"/>
          <w:szCs w:val="32"/>
          <w:highlight w:val="none"/>
        </w:rPr>
        <w:t>专题的数据治理与应用。采集汇聚天津市职业院校的教育业务数据，按照国家职业教育智慧大脑院校中台数据上报要求，统一由天津市教育数据平台上报至国家职业教育智慧大脑院校中台。（投标人须提供承诺函并加盖公章）</w:t>
      </w:r>
    </w:p>
    <w:p w14:paraId="2A86F64B">
      <w:pPr>
        <w:ind w:firstLine="446"/>
        <w:rPr>
          <w:rFonts w:hint="eastAsia" w:ascii="仿宋" w:hAnsi="仿宋" w:eastAsia="仿宋" w:cs="仿宋"/>
          <w:sz w:val="32"/>
          <w:szCs w:val="32"/>
          <w:highlight w:val="none"/>
        </w:rPr>
      </w:pPr>
      <w:r>
        <w:rPr>
          <w:rFonts w:hint="eastAsia" w:ascii="仿宋" w:hAnsi="仿宋" w:eastAsia="仿宋"/>
          <w:color w:val="000000"/>
          <w:sz w:val="32"/>
          <w:szCs w:val="32"/>
          <w:highlight w:val="none"/>
          <w:u w:val="none"/>
          <w:lang w:val="en-US" w:eastAsia="zh-CN"/>
        </w:rPr>
        <w:t>此外，为</w:t>
      </w:r>
      <w:r>
        <w:rPr>
          <w:rFonts w:hint="eastAsia" w:ascii="仿宋" w:hAnsi="仿宋" w:eastAsia="仿宋"/>
          <w:color w:val="000000"/>
          <w:sz w:val="32"/>
          <w:szCs w:val="32"/>
          <w:highlight w:val="none"/>
          <w:u w:val="none"/>
        </w:rPr>
        <w:t>满足本项目数据采集、治理、存储、扩展应用开发所需的服务器、云资源等基础软硬件设施环境</w:t>
      </w:r>
      <w:r>
        <w:rPr>
          <w:rFonts w:hint="eastAsia" w:ascii="仿宋" w:hAnsi="仿宋" w:eastAsia="仿宋"/>
          <w:color w:val="000000"/>
          <w:sz w:val="32"/>
          <w:szCs w:val="32"/>
          <w:highlight w:val="none"/>
          <w:u w:val="none"/>
          <w:lang w:eastAsia="zh-CN"/>
        </w:rPr>
        <w:t>，</w:t>
      </w:r>
      <w:r>
        <w:rPr>
          <w:rFonts w:hint="eastAsia" w:ascii="仿宋" w:hAnsi="仿宋" w:eastAsia="仿宋"/>
          <w:color w:val="000000"/>
          <w:sz w:val="32"/>
          <w:szCs w:val="32"/>
          <w:highlight w:val="none"/>
          <w:u w:val="none"/>
          <w:lang w:val="en-US" w:eastAsia="zh-CN"/>
        </w:rPr>
        <w:t>因此本项目将</w:t>
      </w:r>
      <w:r>
        <w:rPr>
          <w:rFonts w:hint="eastAsia" w:ascii="仿宋" w:hAnsi="仿宋" w:eastAsia="仿宋"/>
          <w:color w:val="000000"/>
          <w:sz w:val="32"/>
          <w:szCs w:val="32"/>
          <w:highlight w:val="none"/>
          <w:u w:val="none"/>
        </w:rPr>
        <w:t>租用政务云</w:t>
      </w:r>
      <w:r>
        <w:rPr>
          <w:rFonts w:hint="eastAsia" w:ascii="仿宋" w:hAnsi="仿宋" w:eastAsia="仿宋"/>
          <w:color w:val="000000"/>
          <w:sz w:val="32"/>
          <w:szCs w:val="32"/>
          <w:highlight w:val="none"/>
          <w:u w:val="none"/>
          <w:lang w:val="en-US" w:eastAsia="zh-CN"/>
        </w:rPr>
        <w:t>并</w:t>
      </w:r>
      <w:r>
        <w:rPr>
          <w:rFonts w:hint="eastAsia" w:ascii="仿宋" w:hAnsi="仿宋" w:eastAsia="仿宋"/>
          <w:color w:val="000000"/>
          <w:sz w:val="32"/>
          <w:szCs w:val="32"/>
          <w:highlight w:val="none"/>
          <w:u w:val="none"/>
        </w:rPr>
        <w:t>利旧市教委机房</w:t>
      </w:r>
      <w:r>
        <w:rPr>
          <w:rFonts w:hint="eastAsia" w:ascii="仿宋" w:hAnsi="仿宋" w:eastAsia="仿宋"/>
          <w:color w:val="000000"/>
          <w:sz w:val="32"/>
          <w:szCs w:val="32"/>
          <w:highlight w:val="none"/>
          <w:u w:val="none"/>
          <w:lang w:val="en-US" w:eastAsia="zh-CN"/>
        </w:rPr>
        <w:t>基础环境</w:t>
      </w:r>
      <w:r>
        <w:rPr>
          <w:rFonts w:hint="eastAsia" w:ascii="仿宋" w:hAnsi="仿宋" w:eastAsia="仿宋"/>
          <w:color w:val="000000"/>
          <w:sz w:val="32"/>
          <w:szCs w:val="32"/>
          <w:highlight w:val="none"/>
          <w:u w:val="none"/>
        </w:rPr>
        <w:t>，包括配电、防雷接地、消防、UPS、空调、门禁、环境监控系统，并租用</w:t>
      </w:r>
      <w:r>
        <w:rPr>
          <w:rFonts w:hint="eastAsia" w:ascii="仿宋" w:hAnsi="仿宋" w:eastAsia="仿宋"/>
          <w:color w:val="000000"/>
          <w:sz w:val="32"/>
          <w:szCs w:val="32"/>
          <w:highlight w:val="none"/>
          <w:u w:val="none"/>
          <w:lang w:val="en-US" w:eastAsia="zh-CN"/>
        </w:rPr>
        <w:t>和</w:t>
      </w:r>
      <w:r>
        <w:rPr>
          <w:rFonts w:hint="eastAsia" w:ascii="仿宋" w:hAnsi="仿宋" w:eastAsia="仿宋"/>
          <w:color w:val="000000"/>
          <w:sz w:val="32"/>
          <w:szCs w:val="32"/>
          <w:highlight w:val="none"/>
          <w:u w:val="none"/>
        </w:rPr>
        <w:t>新增国产服务器资源、操作系统、数据库以及备份和网络系统为天津市教育数据平台构建底层基础环境。</w:t>
      </w:r>
    </w:p>
    <w:p w14:paraId="3B6A4178">
      <w:pPr>
        <w:pStyle w:val="3"/>
        <w:ind w:firstLine="448"/>
        <w:rPr>
          <w:rFonts w:hint="eastAsia" w:ascii="仿宋" w:hAnsi="仿宋" w:eastAsia="仿宋" w:cs="仿宋"/>
          <w:sz w:val="32"/>
          <w:highlight w:val="none"/>
        </w:rPr>
      </w:pPr>
      <w:r>
        <w:rPr>
          <w:rFonts w:ascii="仿宋" w:hAnsi="仿宋" w:eastAsia="仿宋" w:cs="仿宋"/>
          <w:sz w:val="32"/>
          <w:highlight w:val="none"/>
        </w:rPr>
        <w:t>1</w:t>
      </w:r>
      <w:r>
        <w:rPr>
          <w:rFonts w:hint="eastAsia" w:ascii="仿宋" w:hAnsi="仿宋" w:eastAsia="仿宋" w:cs="仿宋"/>
          <w:sz w:val="32"/>
          <w:highlight w:val="none"/>
        </w:rPr>
        <w:t>、数据采集需求</w:t>
      </w:r>
    </w:p>
    <w:p w14:paraId="765E70B5">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1</w:t>
      </w:r>
      <w:r>
        <w:rPr>
          <w:rFonts w:hint="eastAsia" w:ascii="仿宋" w:hAnsi="仿宋" w:eastAsia="仿宋" w:cs="仿宋"/>
          <w:sz w:val="32"/>
          <w:szCs w:val="32"/>
          <w:highlight w:val="none"/>
        </w:rPr>
        <w:t>）通过网络专线通路采集部建系统、市级系统的业务数据，包括全国学生资助管理信息系统、全国学前教育管理信息系统、国家智慧教育公共服务平台、全国中小学校舍信息管理系统、全国教师管理信息系统、全国中小学生学籍信息管理系统、全国中等职业学校学生管理信息系统、国家教育事业统计年报系统、天津市中学生综合素质评价信息管理平台、天津市普通高中综合素质评价信息管理平台、天津市中小学数字图书馆、天津语言文字网、天津市中小学教师继续教育网、天津终身学习网、天津市基础教育资源公共服务平台、幼儿园三级监控系统、天津市高校校园安全监控系统等系统数据。</w:t>
      </w:r>
    </w:p>
    <w:p w14:paraId="2016C0F9">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2</w:t>
      </w:r>
      <w:r>
        <w:rPr>
          <w:rFonts w:hint="eastAsia" w:ascii="仿宋" w:hAnsi="仿宋" w:eastAsia="仿宋" w:cs="仿宋"/>
          <w:sz w:val="32"/>
          <w:szCs w:val="32"/>
          <w:highlight w:val="none"/>
        </w:rPr>
        <w:t>）采集天津市</w:t>
      </w:r>
      <w:r>
        <w:rPr>
          <w:rFonts w:ascii="仿宋" w:hAnsi="仿宋" w:eastAsia="仿宋" w:cs="仿宋"/>
          <w:sz w:val="32"/>
          <w:szCs w:val="32"/>
          <w:highlight w:val="none"/>
        </w:rPr>
        <w:t>30</w:t>
      </w:r>
      <w:r>
        <w:rPr>
          <w:rFonts w:hint="eastAsia" w:ascii="仿宋" w:hAnsi="仿宋" w:eastAsia="仿宋" w:cs="仿宋"/>
          <w:sz w:val="32"/>
          <w:szCs w:val="32"/>
          <w:highlight w:val="none"/>
        </w:rPr>
        <w:t>所普通本科院校、</w:t>
      </w:r>
      <w:r>
        <w:rPr>
          <w:rFonts w:ascii="仿宋" w:hAnsi="仿宋" w:eastAsia="仿宋" w:cs="仿宋"/>
          <w:sz w:val="32"/>
          <w:szCs w:val="32"/>
          <w:highlight w:val="none"/>
        </w:rPr>
        <w:t>26</w:t>
      </w:r>
      <w:r>
        <w:rPr>
          <w:rFonts w:hint="eastAsia" w:ascii="仿宋" w:hAnsi="仿宋" w:eastAsia="仿宋" w:cs="仿宋"/>
          <w:sz w:val="32"/>
          <w:szCs w:val="32"/>
          <w:highlight w:val="none"/>
        </w:rPr>
        <w:t>所高等职业院校、学校基本数据、课程基本数据、课程建设数据、专业建设情况数据、专业设置数据等不少于</w:t>
      </w:r>
      <w:r>
        <w:rPr>
          <w:rFonts w:ascii="仿宋" w:hAnsi="仿宋" w:eastAsia="仿宋" w:cs="仿宋"/>
          <w:sz w:val="32"/>
          <w:szCs w:val="32"/>
          <w:highlight w:val="none"/>
        </w:rPr>
        <w:t>9000</w:t>
      </w:r>
      <w:r>
        <w:rPr>
          <w:rFonts w:hint="eastAsia" w:ascii="仿宋" w:hAnsi="仿宋" w:eastAsia="仿宋" w:cs="仿宋"/>
          <w:sz w:val="32"/>
          <w:szCs w:val="32"/>
          <w:highlight w:val="none"/>
        </w:rPr>
        <w:t>张数据表单信息。开发不少于</w:t>
      </w:r>
      <w:r>
        <w:rPr>
          <w:rFonts w:ascii="仿宋" w:hAnsi="仿宋" w:eastAsia="仿宋" w:cs="仿宋"/>
          <w:sz w:val="32"/>
          <w:szCs w:val="32"/>
          <w:highlight w:val="none"/>
        </w:rPr>
        <w:t>200</w:t>
      </w:r>
      <w:r>
        <w:rPr>
          <w:rFonts w:hint="eastAsia" w:ascii="仿宋" w:hAnsi="仿宋" w:eastAsia="仿宋" w:cs="仿宋"/>
          <w:sz w:val="32"/>
          <w:szCs w:val="32"/>
          <w:highlight w:val="none"/>
        </w:rPr>
        <w:t>个数据接口。</w:t>
      </w:r>
    </w:p>
    <w:p w14:paraId="23F5D59E">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3</w:t>
      </w:r>
      <w:r>
        <w:rPr>
          <w:rFonts w:hint="eastAsia" w:ascii="仿宋" w:hAnsi="仿宋" w:eastAsia="仿宋" w:cs="仿宋"/>
          <w:sz w:val="32"/>
          <w:szCs w:val="32"/>
          <w:highlight w:val="none"/>
        </w:rPr>
        <w:t>）采集全市</w:t>
      </w:r>
      <w:r>
        <w:rPr>
          <w:rFonts w:ascii="仿宋" w:hAnsi="仿宋" w:eastAsia="仿宋" w:cs="仿宋"/>
          <w:sz w:val="32"/>
          <w:szCs w:val="32"/>
          <w:highlight w:val="none"/>
        </w:rPr>
        <w:t>16</w:t>
      </w:r>
      <w:r>
        <w:rPr>
          <w:rFonts w:hint="eastAsia" w:ascii="仿宋" w:hAnsi="仿宋" w:eastAsia="仿宋" w:cs="仿宋"/>
          <w:sz w:val="32"/>
          <w:szCs w:val="32"/>
          <w:highlight w:val="none"/>
        </w:rPr>
        <w:t>个区教育局、中小学、特殊教育学校、老年大学学校各级各类学校的学生信息、德育信息、课程信息、成绩信息、身体健康信息、美育教育信息、劳动教育信息等不少于</w:t>
      </w:r>
      <w:r>
        <w:rPr>
          <w:rFonts w:ascii="仿宋" w:hAnsi="仿宋" w:eastAsia="仿宋" w:cs="仿宋"/>
          <w:sz w:val="32"/>
          <w:szCs w:val="32"/>
          <w:highlight w:val="none"/>
        </w:rPr>
        <w:t>3500</w:t>
      </w:r>
      <w:r>
        <w:rPr>
          <w:rFonts w:hint="eastAsia" w:ascii="仿宋" w:hAnsi="仿宋" w:eastAsia="仿宋" w:cs="仿宋"/>
          <w:sz w:val="32"/>
          <w:szCs w:val="32"/>
          <w:highlight w:val="none"/>
        </w:rPr>
        <w:t>张数据表单信息，开发不少于</w:t>
      </w:r>
      <w:r>
        <w:rPr>
          <w:rFonts w:ascii="仿宋" w:hAnsi="仿宋" w:eastAsia="仿宋" w:cs="仿宋"/>
          <w:sz w:val="32"/>
          <w:szCs w:val="32"/>
          <w:highlight w:val="none"/>
        </w:rPr>
        <w:t>80</w:t>
      </w:r>
      <w:r>
        <w:rPr>
          <w:rFonts w:hint="eastAsia" w:ascii="仿宋" w:hAnsi="仿宋" w:eastAsia="仿宋" w:cs="仿宋"/>
          <w:sz w:val="32"/>
          <w:szCs w:val="32"/>
          <w:highlight w:val="none"/>
        </w:rPr>
        <w:t>个数据接口。</w:t>
      </w:r>
    </w:p>
    <w:p w14:paraId="2910DAFA">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4</w:t>
      </w:r>
      <w:r>
        <w:rPr>
          <w:rFonts w:hint="eastAsia" w:ascii="仿宋" w:hAnsi="仿宋" w:eastAsia="仿宋" w:cs="仿宋"/>
          <w:sz w:val="32"/>
          <w:szCs w:val="32"/>
          <w:highlight w:val="none"/>
        </w:rPr>
        <w:t>）采集每年国家招生政策信息、天津市招生入学信息、采购公告信息数据、项目采购结果公告等。</w:t>
      </w:r>
    </w:p>
    <w:p w14:paraId="06AD74BA">
      <w:pPr>
        <w:pStyle w:val="3"/>
        <w:ind w:firstLine="448"/>
        <w:rPr>
          <w:rFonts w:hint="eastAsia" w:ascii="仿宋" w:hAnsi="仿宋" w:eastAsia="仿宋" w:cs="仿宋"/>
          <w:sz w:val="32"/>
          <w:highlight w:val="none"/>
        </w:rPr>
      </w:pPr>
      <w:r>
        <w:rPr>
          <w:rFonts w:ascii="仿宋" w:hAnsi="仿宋" w:eastAsia="仿宋" w:cs="仿宋"/>
          <w:sz w:val="32"/>
          <w:highlight w:val="none"/>
        </w:rPr>
        <w:t>2、数据平台功能需求</w:t>
      </w:r>
    </w:p>
    <w:p w14:paraId="4763B71F">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1</w:t>
      </w:r>
      <w:r>
        <w:rPr>
          <w:rFonts w:hint="eastAsia" w:ascii="仿宋" w:hAnsi="仿宋" w:eastAsia="仿宋" w:cs="仿宋"/>
          <w:sz w:val="32"/>
          <w:szCs w:val="32"/>
          <w:highlight w:val="none"/>
        </w:rPr>
        <w:t>）建设数据仓库，包括教育原始库、教育标准库、教育主题库。其中，教育原始库存储市级系统、部建系统（全国学生资助管理信息系统等</w:t>
      </w:r>
      <w:r>
        <w:rPr>
          <w:rFonts w:ascii="仿宋" w:hAnsi="仿宋" w:eastAsia="仿宋" w:cs="仿宋"/>
          <w:sz w:val="32"/>
          <w:szCs w:val="32"/>
          <w:highlight w:val="none"/>
        </w:rPr>
        <w:t>20+</w:t>
      </w:r>
      <w:r>
        <w:rPr>
          <w:rFonts w:hint="eastAsia" w:ascii="仿宋" w:hAnsi="仿宋" w:eastAsia="仿宋" w:cs="仿宋"/>
          <w:sz w:val="32"/>
          <w:szCs w:val="32"/>
          <w:highlight w:val="none"/>
        </w:rPr>
        <w:t>系统）及</w:t>
      </w:r>
      <w:r>
        <w:rPr>
          <w:rFonts w:ascii="仿宋" w:hAnsi="仿宋" w:eastAsia="仿宋" w:cs="仿宋"/>
          <w:sz w:val="32"/>
          <w:szCs w:val="32"/>
          <w:highlight w:val="none"/>
        </w:rPr>
        <w:t>30</w:t>
      </w:r>
      <w:r>
        <w:rPr>
          <w:rFonts w:hint="eastAsia" w:ascii="仿宋" w:hAnsi="仿宋" w:eastAsia="仿宋" w:cs="仿宋"/>
          <w:sz w:val="32"/>
          <w:szCs w:val="32"/>
          <w:highlight w:val="none"/>
        </w:rPr>
        <w:t>所本科院校、</w:t>
      </w:r>
      <w:r>
        <w:rPr>
          <w:rFonts w:ascii="仿宋" w:hAnsi="仿宋" w:eastAsia="仿宋" w:cs="仿宋"/>
          <w:sz w:val="32"/>
          <w:szCs w:val="32"/>
          <w:highlight w:val="none"/>
        </w:rPr>
        <w:t>26</w:t>
      </w:r>
      <w:r>
        <w:rPr>
          <w:rFonts w:hint="eastAsia" w:ascii="仿宋" w:hAnsi="仿宋" w:eastAsia="仿宋" w:cs="仿宋"/>
          <w:sz w:val="32"/>
          <w:szCs w:val="32"/>
          <w:highlight w:val="none"/>
        </w:rPr>
        <w:t>所高职院校、</w:t>
      </w:r>
      <w:r>
        <w:rPr>
          <w:rFonts w:ascii="仿宋" w:hAnsi="仿宋" w:eastAsia="仿宋" w:cs="仿宋"/>
          <w:sz w:val="32"/>
          <w:szCs w:val="32"/>
          <w:highlight w:val="none"/>
        </w:rPr>
        <w:t>16</w:t>
      </w:r>
      <w:r>
        <w:rPr>
          <w:rFonts w:hint="eastAsia" w:ascii="仿宋" w:hAnsi="仿宋" w:eastAsia="仿宋" w:cs="仿宋"/>
          <w:sz w:val="32"/>
          <w:szCs w:val="32"/>
          <w:highlight w:val="none"/>
        </w:rPr>
        <w:t>个区教育局等多源异构数据，涵盖</w:t>
      </w:r>
      <w:r>
        <w:rPr>
          <w:rFonts w:ascii="仿宋" w:hAnsi="仿宋" w:eastAsia="仿宋" w:cs="仿宋"/>
          <w:sz w:val="32"/>
          <w:szCs w:val="32"/>
          <w:highlight w:val="none"/>
        </w:rPr>
        <w:t>9000+</w:t>
      </w:r>
      <w:r>
        <w:rPr>
          <w:rFonts w:hint="eastAsia" w:ascii="仿宋" w:hAnsi="仿宋" w:eastAsia="仿宋" w:cs="仿宋"/>
          <w:sz w:val="32"/>
          <w:szCs w:val="32"/>
          <w:highlight w:val="none"/>
        </w:rPr>
        <w:t>张表单、</w:t>
      </w:r>
      <w:r>
        <w:rPr>
          <w:rFonts w:ascii="仿宋" w:hAnsi="仿宋" w:eastAsia="仿宋" w:cs="仿宋"/>
          <w:sz w:val="32"/>
          <w:szCs w:val="32"/>
          <w:highlight w:val="none"/>
        </w:rPr>
        <w:t>3500+</w:t>
      </w:r>
      <w:r>
        <w:rPr>
          <w:rFonts w:hint="eastAsia" w:ascii="仿宋" w:hAnsi="仿宋" w:eastAsia="仿宋" w:cs="仿宋"/>
          <w:sz w:val="32"/>
          <w:szCs w:val="32"/>
          <w:highlight w:val="none"/>
        </w:rPr>
        <w:t>张教育基础数据表单及</w:t>
      </w:r>
      <w:r>
        <w:rPr>
          <w:rFonts w:ascii="仿宋" w:hAnsi="仿宋" w:eastAsia="仿宋" w:cs="仿宋"/>
          <w:sz w:val="32"/>
          <w:szCs w:val="32"/>
          <w:highlight w:val="none"/>
        </w:rPr>
        <w:t>200+</w:t>
      </w:r>
      <w:r>
        <w:rPr>
          <w:rFonts w:hint="eastAsia" w:ascii="仿宋" w:hAnsi="仿宋" w:eastAsia="仿宋" w:cs="仿宋"/>
          <w:sz w:val="32"/>
          <w:szCs w:val="32"/>
          <w:highlight w:val="none"/>
        </w:rPr>
        <w:t>招生政策文件。基于《教育基础信息数据规范》（</w:t>
      </w:r>
      <w:r>
        <w:rPr>
          <w:rFonts w:ascii="仿宋" w:hAnsi="仿宋" w:eastAsia="仿宋" w:cs="仿宋"/>
          <w:sz w:val="32"/>
          <w:szCs w:val="32"/>
          <w:highlight w:val="none"/>
        </w:rPr>
        <w:t>GB/T 36342-2018</w:t>
      </w:r>
      <w:r>
        <w:rPr>
          <w:rFonts w:hint="eastAsia" w:ascii="仿宋" w:hAnsi="仿宋" w:eastAsia="仿宋" w:cs="仿宋"/>
          <w:sz w:val="32"/>
          <w:szCs w:val="32"/>
          <w:highlight w:val="none"/>
        </w:rPr>
        <w:t>）、《教育基础数据》（</w:t>
      </w:r>
      <w:r>
        <w:rPr>
          <w:rFonts w:ascii="仿宋" w:hAnsi="仿宋" w:eastAsia="仿宋" w:cs="仿宋"/>
          <w:sz w:val="32"/>
          <w:szCs w:val="32"/>
          <w:highlight w:val="none"/>
        </w:rPr>
        <w:t>JY/T 0633—2022</w:t>
      </w:r>
      <w:r>
        <w:rPr>
          <w:rFonts w:hint="eastAsia" w:ascii="仿宋" w:hAnsi="仿宋" w:eastAsia="仿宋" w:cs="仿宋"/>
          <w:sz w:val="32"/>
          <w:szCs w:val="32"/>
          <w:highlight w:val="none"/>
        </w:rPr>
        <w:t>）、《天津市高等教育数据标准（试行）》《天津市职业教育数据标准（试行）》《天津市基础教育数据标准（试行）》等相关文件，建成单位基本数据子类、学校基本数据子类、人员基本数据子类、学生基本数据子类、教职工基本数据子类、教学数据子类、办学条件数据子类、设施设备数据子类、图书期刊基本数据子类等</w:t>
      </w:r>
      <w:r>
        <w:rPr>
          <w:rFonts w:ascii="仿宋" w:hAnsi="仿宋" w:eastAsia="仿宋" w:cs="仿宋"/>
          <w:sz w:val="32"/>
          <w:szCs w:val="32"/>
          <w:highlight w:val="none"/>
        </w:rPr>
        <w:t>700+</w:t>
      </w:r>
      <w:r>
        <w:rPr>
          <w:rFonts w:hint="eastAsia" w:ascii="仿宋" w:hAnsi="仿宋" w:eastAsia="仿宋" w:cs="仿宋"/>
          <w:sz w:val="32"/>
          <w:szCs w:val="32"/>
          <w:highlight w:val="none"/>
        </w:rPr>
        <w:t>张表。通过数据清洗规则，实现原始数据到标准数据的自动转换。</w:t>
      </w:r>
    </w:p>
    <w:p w14:paraId="5774F8E7">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2</w:t>
      </w:r>
      <w:r>
        <w:rPr>
          <w:rFonts w:hint="eastAsia" w:ascii="仿宋" w:hAnsi="仿宋" w:eastAsia="仿宋" w:cs="仿宋"/>
          <w:sz w:val="32"/>
          <w:szCs w:val="32"/>
          <w:highlight w:val="none"/>
        </w:rPr>
        <w:t>）建设平台功能包括教育数据集成、教育数据治理、教育数据共享、教育数据运维管理、教育数据指标管理、数据可视化报表、教育数据</w:t>
      </w:r>
      <w:r>
        <w:rPr>
          <w:rFonts w:ascii="仿宋" w:hAnsi="仿宋" w:eastAsia="仿宋" w:cs="仿宋"/>
          <w:sz w:val="32"/>
          <w:szCs w:val="32"/>
          <w:highlight w:val="none"/>
        </w:rPr>
        <w:t xml:space="preserve"> GIS</w:t>
      </w:r>
      <w:r>
        <w:rPr>
          <w:rFonts w:hint="eastAsia" w:ascii="仿宋" w:hAnsi="仿宋" w:eastAsia="仿宋" w:cs="仿宋"/>
          <w:sz w:val="32"/>
          <w:szCs w:val="32"/>
          <w:highlight w:val="none"/>
        </w:rPr>
        <w:t>地图、教育智能填报等八大模块。其中，数据集成模块包括数据源管理、结构化采集、半结构化采集、非结构化采集、离线数据导入、采购日志等</w:t>
      </w:r>
      <w:r>
        <w:rPr>
          <w:rFonts w:ascii="仿宋" w:hAnsi="仿宋" w:eastAsia="仿宋" w:cs="仿宋"/>
          <w:sz w:val="32"/>
          <w:szCs w:val="32"/>
          <w:highlight w:val="none"/>
        </w:rPr>
        <w:t>6</w:t>
      </w:r>
      <w:r>
        <w:rPr>
          <w:rFonts w:hint="eastAsia" w:ascii="仿宋" w:hAnsi="仿宋" w:eastAsia="仿宋" w:cs="仿宋"/>
          <w:sz w:val="32"/>
          <w:szCs w:val="32"/>
          <w:highlight w:val="none"/>
        </w:rPr>
        <w:t>个子模块功能，数据治理模块包括数据标准化、主数据管理、元数据管理、数据质量检核等</w:t>
      </w:r>
      <w:r>
        <w:rPr>
          <w:rFonts w:ascii="仿宋" w:hAnsi="仿宋" w:eastAsia="仿宋" w:cs="仿宋"/>
          <w:sz w:val="32"/>
          <w:szCs w:val="32"/>
          <w:highlight w:val="none"/>
        </w:rPr>
        <w:t>4</w:t>
      </w:r>
      <w:r>
        <w:rPr>
          <w:rFonts w:hint="eastAsia" w:ascii="仿宋" w:hAnsi="仿宋" w:eastAsia="仿宋" w:cs="仿宋"/>
          <w:sz w:val="32"/>
          <w:szCs w:val="32"/>
          <w:highlight w:val="none"/>
        </w:rPr>
        <w:t>个子模块功能，数据共享模块包括数据集市、交换概览、资源维护、业务审核、交换明细等</w:t>
      </w:r>
      <w:r>
        <w:rPr>
          <w:rFonts w:ascii="仿宋" w:hAnsi="仿宋" w:eastAsia="仿宋" w:cs="仿宋"/>
          <w:sz w:val="32"/>
          <w:szCs w:val="32"/>
          <w:highlight w:val="none"/>
        </w:rPr>
        <w:t>5</w:t>
      </w:r>
      <w:r>
        <w:rPr>
          <w:rFonts w:hint="eastAsia" w:ascii="仿宋" w:hAnsi="仿宋" w:eastAsia="仿宋" w:cs="仿宋"/>
          <w:sz w:val="32"/>
          <w:szCs w:val="32"/>
          <w:highlight w:val="none"/>
        </w:rPr>
        <w:t>个子模块功能，数据运维模块包括运行概览、任务监控、调度监控、工作流实例、任务实例、算法实验日志等</w:t>
      </w:r>
      <w:r>
        <w:rPr>
          <w:rFonts w:ascii="仿宋" w:hAnsi="仿宋" w:eastAsia="仿宋" w:cs="仿宋"/>
          <w:sz w:val="32"/>
          <w:szCs w:val="32"/>
          <w:highlight w:val="none"/>
        </w:rPr>
        <w:t>6</w:t>
      </w:r>
      <w:r>
        <w:rPr>
          <w:rFonts w:hint="eastAsia" w:ascii="仿宋" w:hAnsi="仿宋" w:eastAsia="仿宋" w:cs="仿宋"/>
          <w:sz w:val="32"/>
          <w:szCs w:val="32"/>
          <w:highlight w:val="none"/>
        </w:rPr>
        <w:t>个子模块功能，数据指标管理模块包括指标创建、指标库管理、血缘分析、监控预警、权限控制、应用支持等</w:t>
      </w:r>
      <w:r>
        <w:rPr>
          <w:rFonts w:ascii="仿宋" w:hAnsi="仿宋" w:eastAsia="仿宋" w:cs="仿宋"/>
          <w:sz w:val="32"/>
          <w:szCs w:val="32"/>
          <w:highlight w:val="none"/>
        </w:rPr>
        <w:t>6</w:t>
      </w:r>
      <w:r>
        <w:rPr>
          <w:rFonts w:hint="eastAsia" w:ascii="仿宋" w:hAnsi="仿宋" w:eastAsia="仿宋" w:cs="仿宋"/>
          <w:sz w:val="32"/>
          <w:szCs w:val="32"/>
          <w:highlight w:val="none"/>
        </w:rPr>
        <w:t>个子模块功能，数据可视化模块包括可视化设计、数据分析、交互管理、版本管理、数据展示、报表生成、实时监控等</w:t>
      </w:r>
      <w:r>
        <w:rPr>
          <w:rFonts w:ascii="仿宋" w:hAnsi="仿宋" w:eastAsia="仿宋" w:cs="仿宋"/>
          <w:sz w:val="32"/>
          <w:szCs w:val="32"/>
          <w:highlight w:val="none"/>
        </w:rPr>
        <w:t>7</w:t>
      </w:r>
      <w:r>
        <w:rPr>
          <w:rFonts w:hint="eastAsia" w:ascii="仿宋" w:hAnsi="仿宋" w:eastAsia="仿宋" w:cs="仿宋"/>
          <w:sz w:val="32"/>
          <w:szCs w:val="32"/>
          <w:highlight w:val="none"/>
        </w:rPr>
        <w:t>个子模块功能，数据</w:t>
      </w:r>
      <w:r>
        <w:rPr>
          <w:rFonts w:ascii="仿宋" w:hAnsi="仿宋" w:eastAsia="仿宋" w:cs="仿宋"/>
          <w:sz w:val="32"/>
          <w:szCs w:val="32"/>
          <w:highlight w:val="none"/>
        </w:rPr>
        <w:t>GIS</w:t>
      </w:r>
      <w:r>
        <w:rPr>
          <w:rFonts w:hint="eastAsia" w:ascii="仿宋" w:hAnsi="仿宋" w:eastAsia="仿宋" w:cs="仿宋"/>
          <w:sz w:val="32"/>
          <w:szCs w:val="32"/>
          <w:highlight w:val="none"/>
        </w:rPr>
        <w:t>地图模块包括地图数据采集、地图数据可视化、空间分析、地图服务引擎、地图标注编辑、地图操作控制、接口服务管理等</w:t>
      </w:r>
      <w:r>
        <w:rPr>
          <w:rFonts w:ascii="仿宋" w:hAnsi="仿宋" w:eastAsia="仿宋" w:cs="仿宋"/>
          <w:sz w:val="32"/>
          <w:szCs w:val="32"/>
          <w:highlight w:val="none"/>
        </w:rPr>
        <w:t>8</w:t>
      </w:r>
      <w:r>
        <w:rPr>
          <w:rFonts w:hint="eastAsia" w:ascii="仿宋" w:hAnsi="仿宋" w:eastAsia="仿宋" w:cs="仿宋"/>
          <w:sz w:val="32"/>
          <w:szCs w:val="32"/>
          <w:highlight w:val="none"/>
        </w:rPr>
        <w:t>个子模块功能，数据智能填报模块包括表单配置、填报中心、职能中心、统计分析、运管中心等</w:t>
      </w:r>
      <w:r>
        <w:rPr>
          <w:rFonts w:ascii="仿宋" w:hAnsi="仿宋" w:eastAsia="仿宋" w:cs="仿宋"/>
          <w:sz w:val="32"/>
          <w:szCs w:val="32"/>
          <w:highlight w:val="none"/>
        </w:rPr>
        <w:t>5</w:t>
      </w:r>
      <w:r>
        <w:rPr>
          <w:rFonts w:hint="eastAsia" w:ascii="仿宋" w:hAnsi="仿宋" w:eastAsia="仿宋" w:cs="仿宋"/>
          <w:sz w:val="32"/>
          <w:szCs w:val="32"/>
          <w:highlight w:val="none"/>
        </w:rPr>
        <w:t>个子模块功能。平台通过开发数据接口、配置数据采集任务等手段，涵盖</w:t>
      </w:r>
      <w:r>
        <w:rPr>
          <w:rFonts w:ascii="仿宋" w:hAnsi="仿宋" w:eastAsia="仿宋" w:cs="仿宋"/>
          <w:sz w:val="32"/>
          <w:szCs w:val="32"/>
          <w:highlight w:val="none"/>
        </w:rPr>
        <w:t>API</w:t>
      </w:r>
      <w:r>
        <w:rPr>
          <w:rFonts w:hint="eastAsia" w:ascii="仿宋" w:hAnsi="仿宋" w:eastAsia="仿宋" w:cs="仿宋"/>
          <w:sz w:val="32"/>
          <w:szCs w:val="32"/>
          <w:highlight w:val="none"/>
        </w:rPr>
        <w:t>接口、文件传输、数据库直连等方式，与不少于</w:t>
      </w:r>
      <w:r>
        <w:rPr>
          <w:rFonts w:ascii="仿宋" w:hAnsi="仿宋" w:eastAsia="仿宋" w:cs="仿宋"/>
          <w:sz w:val="32"/>
          <w:szCs w:val="32"/>
          <w:highlight w:val="none"/>
        </w:rPr>
        <w:t>20</w:t>
      </w:r>
      <w:r>
        <w:rPr>
          <w:rFonts w:hint="eastAsia" w:ascii="仿宋" w:hAnsi="仿宋" w:eastAsia="仿宋" w:cs="仿宋"/>
          <w:sz w:val="32"/>
          <w:szCs w:val="32"/>
          <w:highlight w:val="none"/>
        </w:rPr>
        <w:t>国家</w:t>
      </w:r>
      <w:r>
        <w:rPr>
          <w:rFonts w:ascii="仿宋" w:hAnsi="仿宋" w:eastAsia="仿宋" w:cs="仿宋"/>
          <w:sz w:val="32"/>
          <w:szCs w:val="32"/>
          <w:highlight w:val="none"/>
        </w:rPr>
        <w:t>/</w:t>
      </w:r>
      <w:r>
        <w:rPr>
          <w:rFonts w:hint="eastAsia" w:ascii="仿宋" w:hAnsi="仿宋" w:eastAsia="仿宋" w:cs="仿宋"/>
          <w:sz w:val="32"/>
          <w:szCs w:val="32"/>
          <w:highlight w:val="none"/>
        </w:rPr>
        <w:t>市级系统进行实时数据同步，自定义按月、按天、按小时、按分钟级进行更新。进行元数据管理、数据血缘分析、数据生命周期管理等一系列数据治理，建立分级数据共享机制，建成不少于</w:t>
      </w:r>
      <w:r>
        <w:rPr>
          <w:rFonts w:ascii="仿宋" w:hAnsi="仿宋" w:eastAsia="仿宋" w:cs="仿宋"/>
          <w:sz w:val="32"/>
          <w:szCs w:val="32"/>
          <w:highlight w:val="none"/>
        </w:rPr>
        <w:t>30</w:t>
      </w:r>
      <w:r>
        <w:rPr>
          <w:rFonts w:hint="eastAsia" w:ascii="仿宋" w:hAnsi="仿宋" w:eastAsia="仿宋" w:cs="仿宋"/>
          <w:sz w:val="32"/>
          <w:szCs w:val="32"/>
          <w:highlight w:val="none"/>
        </w:rPr>
        <w:t>个类别的数据集市，向天津市政务云、学校管理平台等平台系统按需开放数据服务；分别配置各级教育行政单位及各级各类学校的分级授权，</w:t>
      </w:r>
      <w:r>
        <w:rPr>
          <w:rFonts w:ascii="仿宋" w:hAnsi="仿宋" w:eastAsia="仿宋" w:cs="仿宋"/>
          <w:sz w:val="32"/>
          <w:szCs w:val="32"/>
          <w:highlight w:val="none"/>
        </w:rPr>
        <w:t>7</w:t>
      </w:r>
      <w:r>
        <w:rPr>
          <w:rFonts w:hint="eastAsia" w:ascii="仿宋" w:hAnsi="仿宋" w:eastAsia="仿宋" w:cs="仿宋"/>
          <w:sz w:val="32"/>
          <w:szCs w:val="32"/>
          <w:highlight w:val="none"/>
        </w:rPr>
        <w:t>×</w:t>
      </w:r>
      <w:r>
        <w:rPr>
          <w:rFonts w:ascii="仿宋" w:hAnsi="仿宋" w:eastAsia="仿宋" w:cs="仿宋"/>
          <w:sz w:val="32"/>
          <w:szCs w:val="32"/>
          <w:highlight w:val="none"/>
        </w:rPr>
        <w:t xml:space="preserve">24 </w:t>
      </w:r>
      <w:r>
        <w:rPr>
          <w:rFonts w:hint="eastAsia" w:ascii="仿宋" w:hAnsi="仿宋" w:eastAsia="仿宋" w:cs="仿宋"/>
          <w:sz w:val="32"/>
          <w:szCs w:val="32"/>
          <w:highlight w:val="none"/>
        </w:rPr>
        <w:t>小时实时监测数据采集状态、接口调用量（</w:t>
      </w:r>
      <w:r>
        <w:rPr>
          <w:rFonts w:ascii="仿宋" w:hAnsi="仿宋" w:eastAsia="仿宋" w:cs="仿宋"/>
          <w:sz w:val="32"/>
          <w:szCs w:val="32"/>
          <w:highlight w:val="none"/>
        </w:rPr>
        <w:t>QPS</w:t>
      </w:r>
      <w:r>
        <w:rPr>
          <w:rFonts w:hint="eastAsia" w:ascii="仿宋" w:hAnsi="仿宋" w:eastAsia="仿宋" w:cs="仿宋"/>
          <w:sz w:val="32"/>
          <w:szCs w:val="32"/>
          <w:highlight w:val="none"/>
        </w:rPr>
        <w:t>）、资源使用率（</w:t>
      </w:r>
      <w:r>
        <w:rPr>
          <w:rFonts w:ascii="仿宋" w:hAnsi="仿宋" w:eastAsia="仿宋" w:cs="仿宋"/>
          <w:sz w:val="32"/>
          <w:szCs w:val="32"/>
          <w:highlight w:val="none"/>
        </w:rPr>
        <w:t>CPU/</w:t>
      </w:r>
      <w:r>
        <w:rPr>
          <w:rFonts w:hint="eastAsia" w:ascii="仿宋" w:hAnsi="仿宋" w:eastAsia="仿宋" w:cs="仿宋"/>
          <w:sz w:val="32"/>
          <w:szCs w:val="32"/>
          <w:highlight w:val="none"/>
        </w:rPr>
        <w:t>内存）。建立包含</w:t>
      </w:r>
      <w:r>
        <w:rPr>
          <w:rFonts w:ascii="仿宋" w:hAnsi="仿宋" w:eastAsia="仿宋" w:cs="仿宋"/>
          <w:sz w:val="32"/>
          <w:szCs w:val="32"/>
          <w:highlight w:val="none"/>
        </w:rPr>
        <w:t>120+</w:t>
      </w:r>
      <w:r>
        <w:rPr>
          <w:rFonts w:hint="eastAsia" w:ascii="仿宋" w:hAnsi="仿宋" w:eastAsia="仿宋" w:cs="仿宋"/>
          <w:sz w:val="32"/>
          <w:szCs w:val="32"/>
          <w:highlight w:val="none"/>
        </w:rPr>
        <w:t>核心指标的教育指标体系，包括区域均衡发展、学生综合素质评价、教师专业发展等，整合学校分布、教育资源密度、安全监控点位、产教融合、校企合作、学术科研、国际交流等数据，基于</w:t>
      </w:r>
      <w:r>
        <w:rPr>
          <w:rFonts w:ascii="仿宋" w:hAnsi="仿宋" w:eastAsia="仿宋" w:cs="仿宋"/>
          <w:sz w:val="32"/>
          <w:szCs w:val="32"/>
          <w:highlight w:val="none"/>
        </w:rPr>
        <w:t>GIS</w:t>
      </w:r>
      <w:r>
        <w:rPr>
          <w:rFonts w:hint="eastAsia" w:ascii="仿宋" w:hAnsi="仿宋" w:eastAsia="仿宋" w:cs="仿宋"/>
          <w:sz w:val="32"/>
          <w:szCs w:val="32"/>
          <w:highlight w:val="none"/>
        </w:rPr>
        <w:t>构建教育资源分布热力图。提供</w:t>
      </w:r>
      <w:r>
        <w:rPr>
          <w:rFonts w:ascii="仿宋" w:hAnsi="仿宋" w:eastAsia="仿宋" w:cs="仿宋"/>
          <w:sz w:val="32"/>
          <w:szCs w:val="32"/>
          <w:highlight w:val="none"/>
        </w:rPr>
        <w:t>AI</w:t>
      </w:r>
      <w:r>
        <w:rPr>
          <w:rFonts w:hint="eastAsia" w:ascii="仿宋" w:hAnsi="仿宋" w:eastAsia="仿宋" w:cs="仿宋"/>
          <w:sz w:val="32"/>
          <w:szCs w:val="32"/>
          <w:highlight w:val="none"/>
        </w:rPr>
        <w:t>辅助填报功能，自动填充已知信息。</w:t>
      </w:r>
    </w:p>
    <w:p w14:paraId="14517F0A">
      <w:pPr>
        <w:pStyle w:val="3"/>
        <w:ind w:firstLine="448"/>
        <w:rPr>
          <w:rFonts w:hint="eastAsia" w:ascii="仿宋" w:hAnsi="仿宋" w:eastAsia="仿宋" w:cs="仿宋"/>
          <w:sz w:val="32"/>
          <w:highlight w:val="none"/>
        </w:rPr>
      </w:pPr>
      <w:r>
        <w:rPr>
          <w:rFonts w:ascii="仿宋" w:hAnsi="仿宋" w:eastAsia="仿宋" w:cs="仿宋"/>
          <w:sz w:val="32"/>
          <w:highlight w:val="none"/>
        </w:rPr>
        <w:t>3、数据治理需求</w:t>
      </w:r>
    </w:p>
    <w:p w14:paraId="15836ADE">
      <w:pPr>
        <w:ind w:firstLine="446"/>
        <w:rPr>
          <w:rFonts w:hint="eastAsia" w:ascii="仿宋" w:hAnsi="仿宋" w:eastAsia="仿宋" w:cs="仿宋"/>
          <w:b/>
          <w:sz w:val="32"/>
          <w:szCs w:val="32"/>
          <w:highlight w:val="none"/>
        </w:rPr>
      </w:pPr>
      <w:r>
        <w:rPr>
          <w:rFonts w:hint="eastAsia" w:ascii="仿宋" w:hAnsi="仿宋" w:eastAsia="仿宋" w:cs="仿宋"/>
          <w:sz w:val="32"/>
          <w:szCs w:val="32"/>
          <w:highlight w:val="none"/>
        </w:rPr>
        <w:t>对系统采集的全量数据进行过滤、清洗和标准化治理，按照周次、月次、年次形成数据质量报告和动态跟踪分析展示大屏。设定合理的过滤规则，自动识别和过滤不符合要求的数据，剔除重复、无效或异常数据；设立不少于</w:t>
      </w:r>
      <w:r>
        <w:rPr>
          <w:rFonts w:ascii="仿宋" w:hAnsi="仿宋" w:eastAsia="仿宋" w:cs="仿宋"/>
          <w:sz w:val="32"/>
          <w:szCs w:val="32"/>
          <w:highlight w:val="none"/>
        </w:rPr>
        <w:t>500</w:t>
      </w:r>
      <w:r>
        <w:rPr>
          <w:rFonts w:hint="eastAsia" w:ascii="仿宋" w:hAnsi="仿宋" w:eastAsia="仿宋" w:cs="仿宋"/>
          <w:sz w:val="32"/>
          <w:szCs w:val="32"/>
          <w:highlight w:val="none"/>
        </w:rPr>
        <w:t>个数据清洗规则，采用专业的数据清洗工具和技术，对过滤后的数据进行深度清洗，处理缺失值、修正错误值、去除冗余信息等。制定统一的数据标准和规范，包括数据格式、编码规则、命名约定等，对清洗后的数据进行数据格式转换、数据编码映射等标准化处理。建立分级质量规则库，构建数据血缘图谱，按照单个业务系统生成不少于</w:t>
      </w:r>
      <w:r>
        <w:rPr>
          <w:rFonts w:ascii="仿宋" w:hAnsi="仿宋" w:eastAsia="仿宋" w:cs="仿宋"/>
          <w:sz w:val="32"/>
          <w:szCs w:val="32"/>
          <w:highlight w:val="none"/>
        </w:rPr>
        <w:t>20</w:t>
      </w:r>
      <w:r>
        <w:rPr>
          <w:rFonts w:hint="eastAsia" w:ascii="仿宋" w:hAnsi="仿宋" w:eastAsia="仿宋" w:cs="仿宋"/>
          <w:sz w:val="32"/>
          <w:szCs w:val="32"/>
          <w:highlight w:val="none"/>
        </w:rPr>
        <w:t>份数据质量报告，实现正向追踪与反向溯源，呈现数据质量趋势分析以及数据质量改进建议，进行数据完整性、一致性、及时性、准确性等多维度质量评估。通过可视化技术和数据挖掘算法，对数据进行深入分析和挖掘，展示数据接入总量、实时清洗成功率、接口健康状态等关键指标，通过</w:t>
      </w:r>
      <w:r>
        <w:rPr>
          <w:rFonts w:ascii="仿宋" w:hAnsi="仿宋" w:eastAsia="仿宋" w:cs="仿宋"/>
          <w:sz w:val="32"/>
          <w:szCs w:val="32"/>
          <w:highlight w:val="none"/>
        </w:rPr>
        <w:t>GIS</w:t>
      </w:r>
      <w:r>
        <w:rPr>
          <w:rFonts w:hint="eastAsia" w:ascii="仿宋" w:hAnsi="仿宋" w:eastAsia="仿宋" w:cs="仿宋"/>
          <w:sz w:val="32"/>
          <w:szCs w:val="32"/>
          <w:highlight w:val="none"/>
        </w:rPr>
        <w:t>地图等多种展示方式呈现各级教育行政单位、各级各类学校等维度的数据质量差异。</w:t>
      </w:r>
    </w:p>
    <w:p w14:paraId="6DA77E05">
      <w:pPr>
        <w:pStyle w:val="3"/>
        <w:ind w:firstLine="448"/>
        <w:rPr>
          <w:rFonts w:hint="eastAsia" w:ascii="仿宋" w:hAnsi="仿宋" w:eastAsia="仿宋" w:cs="仿宋"/>
          <w:sz w:val="32"/>
          <w:highlight w:val="none"/>
        </w:rPr>
      </w:pPr>
      <w:r>
        <w:rPr>
          <w:rFonts w:ascii="仿宋" w:hAnsi="仿宋" w:eastAsia="仿宋" w:cs="仿宋"/>
          <w:sz w:val="32"/>
          <w:highlight w:val="none"/>
        </w:rPr>
        <w:t>4、数据分析需求</w:t>
      </w:r>
    </w:p>
    <w:p w14:paraId="4D9A6892">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建设教育管理业务平台、教育服务业务平台、教育资源业务平台、全息画像业务平台、分析决策业务平台等五大教育业务平台，对教育数据进行挖掘分析，发挥数据价值，辅助领导决策，构建天津市</w:t>
      </w:r>
      <w:r>
        <w:rPr>
          <w:rFonts w:ascii="仿宋" w:hAnsi="仿宋" w:eastAsia="仿宋" w:cs="仿宋"/>
          <w:sz w:val="32"/>
          <w:szCs w:val="32"/>
          <w:highlight w:val="none"/>
        </w:rPr>
        <w:t>GIS</w:t>
      </w:r>
      <w:r>
        <w:rPr>
          <w:rFonts w:hint="eastAsia" w:ascii="仿宋" w:hAnsi="仿宋" w:eastAsia="仿宋" w:cs="仿宋"/>
          <w:sz w:val="32"/>
          <w:szCs w:val="32"/>
          <w:highlight w:val="none"/>
        </w:rPr>
        <w:t>学情分布、学术资源统计、</w:t>
      </w:r>
      <w:r>
        <w:rPr>
          <w:rFonts w:ascii="仿宋" w:hAnsi="仿宋" w:eastAsia="仿宋" w:cs="仿宋"/>
          <w:sz w:val="32"/>
          <w:szCs w:val="32"/>
          <w:highlight w:val="none"/>
        </w:rPr>
        <w:t>AI</w:t>
      </w:r>
      <w:r>
        <w:rPr>
          <w:rFonts w:hint="eastAsia" w:ascii="仿宋" w:hAnsi="仿宋" w:eastAsia="仿宋" w:cs="仿宋"/>
          <w:sz w:val="32"/>
          <w:szCs w:val="32"/>
          <w:highlight w:val="none"/>
        </w:rPr>
        <w:t>教育政策问答、师生画像和财务资产统计分析五个数据应用场景，及不少于</w:t>
      </w:r>
      <w:r>
        <w:rPr>
          <w:rFonts w:ascii="仿宋" w:hAnsi="仿宋" w:eastAsia="仿宋" w:cs="仿宋"/>
          <w:sz w:val="32"/>
          <w:szCs w:val="32"/>
          <w:highlight w:val="none"/>
        </w:rPr>
        <w:t>100</w:t>
      </w:r>
      <w:r>
        <w:rPr>
          <w:rFonts w:hint="eastAsia" w:ascii="仿宋" w:hAnsi="仿宋" w:eastAsia="仿宋" w:cs="仿宋"/>
          <w:sz w:val="32"/>
          <w:szCs w:val="32"/>
          <w:highlight w:val="none"/>
        </w:rPr>
        <w:t>个领导驾驶舱展示大屏。直观呈现数据分析结果，将数据分析结果与天津市教育领域的实际需求相结合，提出不少于</w:t>
      </w:r>
      <w:r>
        <w:rPr>
          <w:rFonts w:ascii="仿宋" w:hAnsi="仿宋" w:eastAsia="仿宋" w:cs="仿宋"/>
          <w:sz w:val="32"/>
          <w:szCs w:val="32"/>
          <w:highlight w:val="none"/>
        </w:rPr>
        <w:t>20</w:t>
      </w:r>
      <w:r>
        <w:rPr>
          <w:rFonts w:hint="eastAsia" w:ascii="仿宋" w:hAnsi="仿宋" w:eastAsia="仿宋" w:cs="仿宋"/>
          <w:sz w:val="32"/>
          <w:szCs w:val="32"/>
          <w:highlight w:val="none"/>
        </w:rPr>
        <w:t>项具有可操作性的建议和措施。基于</w:t>
      </w:r>
      <w:r>
        <w:rPr>
          <w:rFonts w:ascii="仿宋" w:hAnsi="仿宋" w:eastAsia="仿宋" w:cs="仿宋"/>
          <w:sz w:val="32"/>
          <w:szCs w:val="32"/>
          <w:highlight w:val="none"/>
        </w:rPr>
        <w:t>16</w:t>
      </w:r>
      <w:r>
        <w:rPr>
          <w:rFonts w:hint="eastAsia" w:ascii="仿宋" w:hAnsi="仿宋" w:eastAsia="仿宋" w:cs="仿宋"/>
          <w:sz w:val="32"/>
          <w:szCs w:val="32"/>
          <w:highlight w:val="none"/>
        </w:rPr>
        <w:t>个区教育局、</w:t>
      </w:r>
      <w:r>
        <w:rPr>
          <w:rFonts w:ascii="仿宋" w:hAnsi="仿宋" w:eastAsia="仿宋" w:cs="仿宋"/>
          <w:sz w:val="32"/>
          <w:szCs w:val="32"/>
          <w:highlight w:val="none"/>
        </w:rPr>
        <w:t>30</w:t>
      </w:r>
      <w:r>
        <w:rPr>
          <w:rFonts w:hint="eastAsia" w:ascii="仿宋" w:hAnsi="仿宋" w:eastAsia="仿宋" w:cs="仿宋"/>
          <w:sz w:val="32"/>
          <w:szCs w:val="32"/>
          <w:highlight w:val="none"/>
        </w:rPr>
        <w:t>所本科院校、</w:t>
      </w:r>
      <w:r>
        <w:rPr>
          <w:rFonts w:ascii="仿宋" w:hAnsi="仿宋" w:eastAsia="仿宋" w:cs="仿宋"/>
          <w:sz w:val="32"/>
          <w:szCs w:val="32"/>
          <w:highlight w:val="none"/>
        </w:rPr>
        <w:t>26</w:t>
      </w:r>
      <w:r>
        <w:rPr>
          <w:rFonts w:hint="eastAsia" w:ascii="仿宋" w:hAnsi="仿宋" w:eastAsia="仿宋" w:cs="仿宋"/>
          <w:sz w:val="32"/>
          <w:szCs w:val="32"/>
          <w:highlight w:val="none"/>
        </w:rPr>
        <w:t>所高职院校及中小学数据，构建不少于</w:t>
      </w:r>
      <w:r>
        <w:rPr>
          <w:rFonts w:ascii="仿宋" w:hAnsi="仿宋" w:eastAsia="仿宋" w:cs="仿宋"/>
          <w:sz w:val="32"/>
          <w:szCs w:val="32"/>
          <w:highlight w:val="none"/>
        </w:rPr>
        <w:t>17</w:t>
      </w:r>
      <w:r>
        <w:rPr>
          <w:rFonts w:hint="eastAsia" w:ascii="仿宋" w:hAnsi="仿宋" w:eastAsia="仿宋" w:cs="仿宋"/>
          <w:sz w:val="32"/>
          <w:szCs w:val="32"/>
          <w:highlight w:val="none"/>
        </w:rPr>
        <w:t>张全市学生分布热力图，叠加交通、医疗等外部数据，分析学位缺口区域；对不少于</w:t>
      </w:r>
      <w:r>
        <w:rPr>
          <w:rFonts w:ascii="仿宋" w:hAnsi="仿宋" w:eastAsia="仿宋" w:cs="仿宋"/>
          <w:sz w:val="32"/>
          <w:szCs w:val="32"/>
          <w:highlight w:val="none"/>
        </w:rPr>
        <w:t>9000</w:t>
      </w:r>
      <w:r>
        <w:rPr>
          <w:rFonts w:hint="eastAsia" w:ascii="仿宋" w:hAnsi="仿宋" w:eastAsia="仿宋" w:cs="仿宋"/>
          <w:sz w:val="32"/>
          <w:szCs w:val="32"/>
          <w:highlight w:val="none"/>
        </w:rPr>
        <w:t>张院校表单数据进行挖掘，评估课程建设质量，构建专业竞争力指数、综合就业率、企业满意度、科研成果等不少于</w:t>
      </w:r>
      <w:r>
        <w:rPr>
          <w:rFonts w:ascii="仿宋" w:hAnsi="仿宋" w:eastAsia="仿宋" w:cs="仿宋"/>
          <w:sz w:val="32"/>
          <w:szCs w:val="32"/>
          <w:highlight w:val="none"/>
        </w:rPr>
        <w:t>70</w:t>
      </w:r>
      <w:r>
        <w:rPr>
          <w:rFonts w:hint="eastAsia" w:ascii="仿宋" w:hAnsi="仿宋" w:eastAsia="仿宋" w:cs="仿宋"/>
          <w:sz w:val="32"/>
          <w:szCs w:val="32"/>
          <w:highlight w:val="none"/>
        </w:rPr>
        <w:t>项三级指标体系，利用知识图谱技术关联课程、专业、师资等数据。整合国家及天津市招生政策、资助政策等不少于</w:t>
      </w:r>
      <w:r>
        <w:rPr>
          <w:rFonts w:ascii="仿宋" w:hAnsi="仿宋" w:eastAsia="仿宋" w:cs="仿宋"/>
          <w:sz w:val="32"/>
          <w:szCs w:val="32"/>
          <w:highlight w:val="none"/>
        </w:rPr>
        <w:t>200</w:t>
      </w:r>
      <w:r>
        <w:rPr>
          <w:rFonts w:hint="eastAsia" w:ascii="仿宋" w:hAnsi="仿宋" w:eastAsia="仿宋" w:cs="仿宋"/>
          <w:sz w:val="32"/>
          <w:szCs w:val="32"/>
          <w:highlight w:val="none"/>
        </w:rPr>
        <w:t>个文件，构建政策知识库，自动生成不少于</w:t>
      </w:r>
      <w:r>
        <w:rPr>
          <w:rFonts w:ascii="仿宋" w:hAnsi="仿宋" w:eastAsia="仿宋" w:cs="仿宋"/>
          <w:sz w:val="32"/>
          <w:szCs w:val="32"/>
          <w:highlight w:val="none"/>
        </w:rPr>
        <w:t>20</w:t>
      </w:r>
      <w:r>
        <w:rPr>
          <w:rFonts w:hint="eastAsia" w:ascii="仿宋" w:hAnsi="仿宋" w:eastAsia="仿宋" w:cs="仿宋"/>
          <w:sz w:val="32"/>
          <w:szCs w:val="32"/>
          <w:highlight w:val="none"/>
        </w:rPr>
        <w:t>份政策影响分析报告，进行政策文本语义分析，实体识别准确率≥</w:t>
      </w:r>
      <w:r>
        <w:rPr>
          <w:rFonts w:ascii="仿宋" w:hAnsi="仿宋" w:eastAsia="仿宋" w:cs="仿宋"/>
          <w:sz w:val="32"/>
          <w:szCs w:val="32"/>
          <w:highlight w:val="none"/>
        </w:rPr>
        <w:t>95%</w:t>
      </w:r>
      <w:r>
        <w:rPr>
          <w:rFonts w:hint="eastAsia" w:ascii="仿宋" w:hAnsi="仿宋" w:eastAsia="仿宋" w:cs="仿宋"/>
          <w:sz w:val="32"/>
          <w:szCs w:val="32"/>
          <w:highlight w:val="none"/>
        </w:rPr>
        <w:t>。</w:t>
      </w:r>
    </w:p>
    <w:p w14:paraId="37AA9277">
      <w:pPr>
        <w:pStyle w:val="3"/>
        <w:ind w:firstLine="448"/>
        <w:rPr>
          <w:rFonts w:hint="eastAsia" w:ascii="仿宋" w:hAnsi="仿宋" w:eastAsia="仿宋" w:cs="仿宋"/>
          <w:sz w:val="32"/>
          <w:highlight w:val="none"/>
        </w:rPr>
      </w:pPr>
      <w:r>
        <w:rPr>
          <w:rFonts w:ascii="仿宋" w:hAnsi="仿宋" w:eastAsia="仿宋" w:cs="仿宋"/>
          <w:sz w:val="32"/>
          <w:highlight w:val="none"/>
        </w:rPr>
        <w:t>5、AI+应用场景需求</w:t>
      </w:r>
    </w:p>
    <w:p w14:paraId="43095366">
      <w:pPr>
        <w:ind w:firstLine="446"/>
        <w:rPr>
          <w:rStyle w:val="38"/>
          <w:rFonts w:hint="eastAsia" w:ascii="仿宋" w:hAnsi="仿宋" w:eastAsia="仿宋" w:cs="仿宋"/>
          <w:highlight w:val="none"/>
        </w:rPr>
      </w:pPr>
      <w:r>
        <w:rPr>
          <w:rFonts w:hint="eastAsia" w:ascii="仿宋" w:hAnsi="仿宋" w:eastAsia="仿宋" w:cs="仿宋"/>
          <w:sz w:val="32"/>
          <w:szCs w:val="32"/>
          <w:highlight w:val="none"/>
        </w:rPr>
        <w:t>将</w:t>
      </w:r>
      <w:r>
        <w:rPr>
          <w:rFonts w:ascii="仿宋" w:hAnsi="仿宋" w:eastAsia="仿宋" w:cs="仿宋"/>
          <w:sz w:val="32"/>
          <w:szCs w:val="32"/>
          <w:highlight w:val="none"/>
        </w:rPr>
        <w:t>Deepseek</w:t>
      </w:r>
      <w:r>
        <w:rPr>
          <w:rFonts w:hint="eastAsia" w:ascii="仿宋" w:hAnsi="仿宋" w:eastAsia="仿宋" w:cs="仿宋"/>
          <w:sz w:val="32"/>
          <w:szCs w:val="32"/>
          <w:highlight w:val="none"/>
        </w:rPr>
        <w:t>、盘古大模型、通义千问等前沿大模型能力融入平台底层，</w:t>
      </w:r>
      <w:bookmarkStart w:id="1" w:name="_Hlk193312240"/>
      <w:r>
        <w:rPr>
          <w:rFonts w:hint="eastAsia" w:ascii="仿宋" w:hAnsi="仿宋" w:eastAsia="仿宋" w:cs="仿宋"/>
          <w:sz w:val="32"/>
          <w:szCs w:val="32"/>
          <w:highlight w:val="none"/>
        </w:rPr>
        <w:t>构建教育专用大型模型、知识图谱、智能算法等核心组件，基于模型层的输出结果，构建数据智察、业务智办、智能问答等人工智能服务，采用灵活的部署方式，构建覆盖“监测</w:t>
      </w:r>
      <w:r>
        <w:rPr>
          <w:rFonts w:ascii="仿宋" w:hAnsi="仿宋" w:eastAsia="仿宋" w:cs="仿宋"/>
          <w:sz w:val="32"/>
          <w:szCs w:val="32"/>
          <w:highlight w:val="none"/>
        </w:rPr>
        <w:t>-</w:t>
      </w:r>
      <w:r>
        <w:rPr>
          <w:rFonts w:hint="eastAsia" w:ascii="仿宋" w:hAnsi="仿宋" w:eastAsia="仿宋" w:cs="仿宋"/>
          <w:sz w:val="32"/>
          <w:szCs w:val="32"/>
          <w:highlight w:val="none"/>
        </w:rPr>
        <w:t>执行</w:t>
      </w:r>
      <w:r>
        <w:rPr>
          <w:rFonts w:ascii="仿宋" w:hAnsi="仿宋" w:eastAsia="仿宋" w:cs="仿宋"/>
          <w:sz w:val="32"/>
          <w:szCs w:val="32"/>
          <w:highlight w:val="none"/>
        </w:rPr>
        <w:t>-</w:t>
      </w:r>
      <w:r>
        <w:rPr>
          <w:rFonts w:hint="eastAsia" w:ascii="仿宋" w:hAnsi="仿宋" w:eastAsia="仿宋" w:cs="仿宋"/>
          <w:sz w:val="32"/>
          <w:szCs w:val="32"/>
          <w:highlight w:val="none"/>
        </w:rPr>
        <w:t>服务”全链路的</w:t>
      </w:r>
      <w:r>
        <w:rPr>
          <w:rFonts w:ascii="仿宋" w:hAnsi="仿宋" w:eastAsia="仿宋" w:cs="仿宋"/>
          <w:sz w:val="32"/>
          <w:szCs w:val="32"/>
          <w:highlight w:val="none"/>
        </w:rPr>
        <w:t>50</w:t>
      </w:r>
      <w:r>
        <w:rPr>
          <w:rFonts w:hint="eastAsia" w:ascii="仿宋" w:hAnsi="仿宋" w:eastAsia="仿宋" w:cs="仿宋"/>
          <w:sz w:val="32"/>
          <w:szCs w:val="32"/>
          <w:highlight w:val="none"/>
        </w:rPr>
        <w:t>个教育智能体，</w:t>
      </w:r>
      <w:bookmarkEnd w:id="1"/>
      <w:r>
        <w:rPr>
          <w:rFonts w:hint="eastAsia" w:ascii="仿宋" w:hAnsi="仿宋" w:eastAsia="仿宋" w:cs="仿宋"/>
          <w:sz w:val="32"/>
          <w:szCs w:val="32"/>
          <w:highlight w:val="none"/>
        </w:rPr>
        <w:t>与教育数据平台无缝对接，直接调用数据仓库</w:t>
      </w:r>
      <w:r>
        <w:rPr>
          <w:rFonts w:ascii="仿宋" w:hAnsi="仿宋" w:eastAsia="仿宋" w:cs="仿宋"/>
          <w:sz w:val="32"/>
          <w:szCs w:val="32"/>
          <w:highlight w:val="none"/>
        </w:rPr>
        <w:t>API</w:t>
      </w:r>
      <w:r>
        <w:rPr>
          <w:rFonts w:hint="eastAsia" w:ascii="仿宋" w:hAnsi="仿宋" w:eastAsia="仿宋" w:cs="仿宋"/>
          <w:sz w:val="32"/>
          <w:szCs w:val="32"/>
          <w:highlight w:val="none"/>
        </w:rPr>
        <w:t>获取实时数据。对采集到的海量教育数据进行深度挖掘与分析，构建不少于</w:t>
      </w:r>
      <w:r>
        <w:rPr>
          <w:rFonts w:ascii="仿宋" w:hAnsi="仿宋" w:eastAsia="仿宋" w:cs="仿宋"/>
          <w:sz w:val="32"/>
          <w:szCs w:val="32"/>
          <w:highlight w:val="none"/>
        </w:rPr>
        <w:t>20</w:t>
      </w:r>
      <w:r>
        <w:rPr>
          <w:rFonts w:hint="eastAsia" w:ascii="仿宋" w:hAnsi="仿宋" w:eastAsia="仿宋" w:cs="仿宋"/>
          <w:sz w:val="32"/>
          <w:szCs w:val="32"/>
          <w:highlight w:val="none"/>
        </w:rPr>
        <w:t>项数据智察服务，自动识别数据中的关键信息、异常值及潜在趋势，开发智能预警功能，对可能出现的教育问题进行提前预警。结合教育领域的业务流程特点，自动化处理教育管理中的常规事务，通过分析历史数据与当前情况，提供多套的最优业务处理方案与建议。通过语音或文字形式提问，迅速理解并给出准确回答；根据用户的历史查询记录与偏好，通过智能问答服务为用户提供个性化的服务定制，如政策解读与业务指导、学习建议与资源推荐等。智能体将涵盖数据分析、预警预测、自动化流程管理、辅助决策、自然语言交互等多个方面，并以运行看板嵌入教育场景应用，展示服务调用量、响应速度、问题解决率等不少于</w:t>
      </w:r>
      <w:r>
        <w:rPr>
          <w:rFonts w:ascii="仿宋" w:hAnsi="仿宋" w:eastAsia="仿宋" w:cs="仿宋"/>
          <w:sz w:val="32"/>
          <w:szCs w:val="32"/>
          <w:highlight w:val="none"/>
        </w:rPr>
        <w:t>20</w:t>
      </w:r>
      <w:r>
        <w:rPr>
          <w:rFonts w:hint="eastAsia" w:ascii="仿宋" w:hAnsi="仿宋" w:eastAsia="仿宋" w:cs="仿宋"/>
          <w:sz w:val="32"/>
          <w:szCs w:val="32"/>
          <w:highlight w:val="none"/>
        </w:rPr>
        <w:t>个核心指标，形成完整的人工智能服务体系。</w:t>
      </w:r>
    </w:p>
    <w:p w14:paraId="3C35BC2C">
      <w:pPr>
        <w:pStyle w:val="3"/>
        <w:ind w:firstLine="448"/>
        <w:rPr>
          <w:rFonts w:hint="eastAsia" w:ascii="仿宋" w:hAnsi="仿宋" w:eastAsia="仿宋" w:cs="仿宋"/>
          <w:sz w:val="32"/>
          <w:highlight w:val="none"/>
        </w:rPr>
      </w:pPr>
      <w:r>
        <w:rPr>
          <w:rFonts w:ascii="仿宋" w:hAnsi="仿宋" w:eastAsia="仿宋" w:cs="仿宋"/>
          <w:sz w:val="32"/>
          <w:highlight w:val="none"/>
        </w:rPr>
        <w:t>6、制定数据标准规范体系要求</w:t>
      </w:r>
    </w:p>
    <w:p w14:paraId="7480AC23">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建立一套数据管理的标准化工作机制，实现天津市教育数据资源的标准制定、统筹规划和协调管理；提高数据的质量（准确性和完整性），保证数据的安全性（保密性、完整性及可用性），实现数据资源的安全共享；推进信息资源的整合、对接和共享，从而提升天津市智慧教育的整体信息化水平，充分发挥信息化作用。需交付如下规范文件</w:t>
      </w:r>
      <w:r>
        <w:rPr>
          <w:rFonts w:ascii="仿宋" w:hAnsi="仿宋" w:eastAsia="仿宋" w:cs="仿宋"/>
          <w:sz w:val="32"/>
          <w:szCs w:val="32"/>
          <w:highlight w:val="none"/>
        </w:rPr>
        <w:t>:</w:t>
      </w:r>
      <w:r>
        <w:rPr>
          <w:rFonts w:hint="eastAsia" w:ascii="仿宋" w:hAnsi="仿宋" w:eastAsia="仿宋" w:cs="仿宋"/>
          <w:sz w:val="32"/>
          <w:szCs w:val="32"/>
          <w:highlight w:val="none"/>
        </w:rPr>
        <w:t>《天津市教育数据标准规范》《天津市教育数据代码标准规范》《天津市教育数据接口标准规范》《天津市教育数据交换标准规范》《天津市教育数据安全管理办法》《天津市教育数据治理平台管理办法》《天津市教育数据资源目录》《天津市教育数据分级分类管理目录》。（投标人须提供承诺函并加盖公章）</w:t>
      </w:r>
    </w:p>
    <w:p w14:paraId="0758B7D9">
      <w:pPr>
        <w:pStyle w:val="3"/>
        <w:ind w:firstLine="448"/>
        <w:rPr>
          <w:rFonts w:hint="eastAsia" w:ascii="仿宋" w:hAnsi="仿宋" w:eastAsia="仿宋" w:cs="仿宋"/>
          <w:sz w:val="32"/>
          <w:highlight w:val="none"/>
        </w:rPr>
      </w:pPr>
      <w:r>
        <w:rPr>
          <w:rFonts w:ascii="仿宋" w:hAnsi="仿宋" w:eastAsia="仿宋" w:cs="仿宋"/>
          <w:sz w:val="32"/>
          <w:highlight w:val="none"/>
        </w:rPr>
        <w:t>7、数据采集要求</w:t>
      </w:r>
    </w:p>
    <w:tbl>
      <w:tblPr>
        <w:tblStyle w:val="17"/>
        <w:tblW w:w="5000" w:type="pct"/>
        <w:tblInd w:w="0" w:type="dxa"/>
        <w:tblLayout w:type="autofit"/>
        <w:tblCellMar>
          <w:top w:w="0" w:type="dxa"/>
          <w:left w:w="108" w:type="dxa"/>
          <w:bottom w:w="0" w:type="dxa"/>
          <w:right w:w="108" w:type="dxa"/>
        </w:tblCellMar>
      </w:tblPr>
      <w:tblGrid>
        <w:gridCol w:w="667"/>
        <w:gridCol w:w="1114"/>
        <w:gridCol w:w="7279"/>
      </w:tblGrid>
      <w:tr w14:paraId="24B557A6">
        <w:tblPrEx>
          <w:tblCellMar>
            <w:top w:w="0" w:type="dxa"/>
            <w:left w:w="108" w:type="dxa"/>
            <w:bottom w:w="0" w:type="dxa"/>
            <w:right w:w="108" w:type="dxa"/>
          </w:tblCellMar>
        </w:tblPrEx>
        <w:trPr>
          <w:trHeight w:val="285" w:hRule="atLeast"/>
        </w:trPr>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91C07E">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序号</w:t>
            </w:r>
          </w:p>
        </w:tc>
        <w:tc>
          <w:tcPr>
            <w:tcW w:w="61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92989B">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分类</w:t>
            </w:r>
          </w:p>
        </w:tc>
        <w:tc>
          <w:tcPr>
            <w:tcW w:w="4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F575CF">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sz w:val="32"/>
                <w:szCs w:val="32"/>
                <w:highlight w:val="none"/>
              </w:rPr>
              <w:t>技术要求详情</w:t>
            </w:r>
          </w:p>
        </w:tc>
      </w:tr>
      <w:tr w14:paraId="21ED8389">
        <w:tblPrEx>
          <w:tblCellMar>
            <w:top w:w="0" w:type="dxa"/>
            <w:left w:w="108" w:type="dxa"/>
            <w:bottom w:w="0" w:type="dxa"/>
            <w:right w:w="108" w:type="dxa"/>
          </w:tblCellMar>
        </w:tblPrEx>
        <w:trPr>
          <w:trHeight w:val="1350" w:hRule="atLeast"/>
        </w:trPr>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F03FCA">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615" w:type="pct"/>
            <w:tcBorders>
              <w:top w:val="single" w:color="000000" w:sz="4" w:space="0"/>
              <w:left w:val="single" w:color="000000" w:sz="4" w:space="0"/>
              <w:bottom w:val="single" w:color="000000" w:sz="4" w:space="0"/>
              <w:right w:val="single" w:color="000000" w:sz="4" w:space="0"/>
            </w:tcBorders>
            <w:vAlign w:val="center"/>
          </w:tcPr>
          <w:p w14:paraId="2ACC02F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市级教育系统数据采集</w:t>
            </w:r>
          </w:p>
        </w:tc>
        <w:tc>
          <w:tcPr>
            <w:tcW w:w="4017" w:type="pct"/>
            <w:tcBorders>
              <w:top w:val="single" w:color="000000" w:sz="4" w:space="0"/>
              <w:left w:val="single" w:color="000000" w:sz="4" w:space="0"/>
              <w:bottom w:val="single" w:color="000000" w:sz="4" w:space="0"/>
              <w:right w:val="single" w:color="000000" w:sz="4" w:space="0"/>
            </w:tcBorders>
            <w:vAlign w:val="center"/>
          </w:tcPr>
          <w:p w14:paraId="6F9AD515">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采集市级教育系统不少于20个（包括全国学生资助管理信息系统、全国学前教育管理信息系统、国家智慧教育公共服务平台、全国中小学校舍信息管理系统、全国教师管理信息系统、全国中小学生学籍信息管理系统、全国中等职业学校学生管理信息系统、国家教育事业统计年报系统、天津市中学生综合素质评价信息管理平台、天津市普通高中综合素质评价信息管理平台、天津市中小学数字图书馆、天津语言文字网、天津市中小学教师继续教育网、天津终身学习网天津市基础教育资源公共服务平台、幼儿园三级监控系统、天津市高校校园安全监控系统等系统数据），应支持以库表对学校基本信息、办学条件建筑信息、教育机构办学条件、学生基本信息、家庭成员信息等基础教育信息进行采集。</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2.需支持通过接口形式采集区域信息、资源信息、组织信息等相关教育信息。</w:t>
            </w:r>
          </w:p>
        </w:tc>
      </w:tr>
      <w:tr w14:paraId="01466190">
        <w:tblPrEx>
          <w:tblCellMar>
            <w:top w:w="0" w:type="dxa"/>
            <w:left w:w="108" w:type="dxa"/>
            <w:bottom w:w="0" w:type="dxa"/>
            <w:right w:w="108" w:type="dxa"/>
          </w:tblCellMar>
        </w:tblPrEx>
        <w:trPr>
          <w:trHeight w:val="1114" w:hRule="atLeast"/>
        </w:trPr>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DBF0D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w:t>
            </w:r>
          </w:p>
        </w:tc>
        <w:tc>
          <w:tcPr>
            <w:tcW w:w="615" w:type="pct"/>
            <w:tcBorders>
              <w:top w:val="single" w:color="000000" w:sz="4" w:space="0"/>
              <w:left w:val="single" w:color="000000" w:sz="4" w:space="0"/>
              <w:bottom w:val="single" w:color="000000" w:sz="4" w:space="0"/>
              <w:right w:val="single" w:color="000000" w:sz="4" w:space="0"/>
            </w:tcBorders>
            <w:vAlign w:val="center"/>
          </w:tcPr>
          <w:p w14:paraId="23B257C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普通本科院校数据采集</w:t>
            </w:r>
          </w:p>
        </w:tc>
        <w:tc>
          <w:tcPr>
            <w:tcW w:w="4017" w:type="pct"/>
            <w:tcBorders>
              <w:top w:val="single" w:color="000000" w:sz="4" w:space="0"/>
              <w:left w:val="single" w:color="000000" w:sz="4" w:space="0"/>
              <w:bottom w:val="single" w:color="000000" w:sz="4" w:space="0"/>
              <w:right w:val="single" w:color="000000" w:sz="4" w:space="0"/>
            </w:tcBorders>
            <w:vAlign w:val="center"/>
          </w:tcPr>
          <w:p w14:paraId="0BDEE6BC">
            <w:pPr>
              <w:widowControl/>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3.需支持接口对接采</w:t>
            </w:r>
            <w:r>
              <w:rPr>
                <w:rFonts w:hint="eastAsia" w:ascii="仿宋" w:hAnsi="仿宋" w:eastAsia="仿宋" w:cs="仿宋"/>
                <w:kern w:val="0"/>
                <w:sz w:val="32"/>
                <w:szCs w:val="32"/>
                <w:highlight w:val="none"/>
                <w:lang w:bidi="ar"/>
              </w:rPr>
              <w:t>集天津市</w:t>
            </w:r>
            <w:r>
              <w:rPr>
                <w:rFonts w:ascii="仿宋" w:hAnsi="仿宋" w:eastAsia="仿宋" w:cs="仿宋"/>
                <w:kern w:val="0"/>
                <w:sz w:val="32"/>
                <w:szCs w:val="32"/>
                <w:highlight w:val="none"/>
                <w:lang w:bidi="ar"/>
              </w:rPr>
              <w:t>30所</w:t>
            </w:r>
            <w:r>
              <w:rPr>
                <w:rFonts w:hint="eastAsia" w:ascii="仿宋" w:hAnsi="仿宋" w:eastAsia="仿宋" w:cs="仿宋"/>
                <w:kern w:val="0"/>
                <w:sz w:val="32"/>
                <w:szCs w:val="32"/>
                <w:highlight w:val="none"/>
                <w:lang w:bidi="ar"/>
              </w:rPr>
              <w:t>普通本科院校的学校基本数据、学籍数据、专业设置数据、专业建设数据、课程建设数据、教务数据、科研数据、学工数据、产教融合数据、招生就业数据、财务数据、人事数据等相关信息。</w:t>
            </w:r>
          </w:p>
        </w:tc>
      </w:tr>
      <w:tr w14:paraId="760E8461">
        <w:tblPrEx>
          <w:tblCellMar>
            <w:top w:w="0" w:type="dxa"/>
            <w:left w:w="108" w:type="dxa"/>
            <w:bottom w:w="0" w:type="dxa"/>
            <w:right w:w="108" w:type="dxa"/>
          </w:tblCellMar>
        </w:tblPrEx>
        <w:trPr>
          <w:trHeight w:val="825" w:hRule="atLeast"/>
        </w:trPr>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198BB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w:t>
            </w:r>
          </w:p>
        </w:tc>
        <w:tc>
          <w:tcPr>
            <w:tcW w:w="615" w:type="pct"/>
            <w:tcBorders>
              <w:top w:val="single" w:color="000000" w:sz="4" w:space="0"/>
              <w:left w:val="single" w:color="000000" w:sz="4" w:space="0"/>
              <w:bottom w:val="single" w:color="000000" w:sz="4" w:space="0"/>
              <w:right w:val="single" w:color="000000" w:sz="4" w:space="0"/>
            </w:tcBorders>
            <w:vAlign w:val="center"/>
          </w:tcPr>
          <w:p w14:paraId="63107F2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职业教育数据采集</w:t>
            </w:r>
          </w:p>
        </w:tc>
        <w:tc>
          <w:tcPr>
            <w:tcW w:w="4017" w:type="pct"/>
            <w:tcBorders>
              <w:top w:val="single" w:color="000000" w:sz="4" w:space="0"/>
              <w:left w:val="single" w:color="000000" w:sz="4" w:space="0"/>
              <w:bottom w:val="single" w:color="000000" w:sz="4" w:space="0"/>
              <w:right w:val="single" w:color="000000" w:sz="4" w:space="0"/>
            </w:tcBorders>
            <w:vAlign w:val="center"/>
          </w:tcPr>
          <w:p w14:paraId="0AEB0AEB">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4.需支持接口对接采集天津</w:t>
            </w:r>
            <w:r>
              <w:rPr>
                <w:rFonts w:hint="eastAsia" w:ascii="仿宋" w:hAnsi="仿宋" w:eastAsia="仿宋" w:cs="仿宋"/>
                <w:kern w:val="0"/>
                <w:sz w:val="32"/>
                <w:szCs w:val="32"/>
                <w:highlight w:val="none"/>
                <w:lang w:bidi="ar"/>
              </w:rPr>
              <w:t>市</w:t>
            </w:r>
            <w:r>
              <w:rPr>
                <w:rFonts w:ascii="仿宋" w:hAnsi="仿宋" w:eastAsia="仿宋" w:cs="仿宋"/>
                <w:kern w:val="0"/>
                <w:sz w:val="32"/>
                <w:szCs w:val="32"/>
                <w:highlight w:val="none"/>
                <w:lang w:bidi="ar"/>
              </w:rPr>
              <w:t>26所</w:t>
            </w:r>
            <w:r>
              <w:rPr>
                <w:rFonts w:hint="eastAsia" w:ascii="仿宋" w:hAnsi="仿宋" w:eastAsia="仿宋" w:cs="仿宋"/>
                <w:kern w:val="0"/>
                <w:sz w:val="32"/>
                <w:szCs w:val="32"/>
                <w:highlight w:val="none"/>
                <w:lang w:bidi="ar"/>
              </w:rPr>
              <w:t>高等职业院校的学校基本数据、学籍数据、专业设置数据、专业建设数据、课程建设数据、教务数据、科研数据、学工数据、实习实训数据、校企合作数据、产教融合数据、招生就业数据、财务数据、人事数据等相关信息。</w:t>
            </w:r>
          </w:p>
        </w:tc>
      </w:tr>
      <w:tr w14:paraId="3DC7F40D">
        <w:tblPrEx>
          <w:tblCellMar>
            <w:top w:w="0" w:type="dxa"/>
            <w:left w:w="108" w:type="dxa"/>
            <w:bottom w:w="0" w:type="dxa"/>
            <w:right w:w="108" w:type="dxa"/>
          </w:tblCellMar>
        </w:tblPrEx>
        <w:trPr>
          <w:trHeight w:val="540" w:hRule="atLeast"/>
        </w:trPr>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F9611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4</w:t>
            </w:r>
          </w:p>
        </w:tc>
        <w:tc>
          <w:tcPr>
            <w:tcW w:w="615" w:type="pct"/>
            <w:tcBorders>
              <w:top w:val="single" w:color="000000" w:sz="4" w:space="0"/>
              <w:left w:val="single" w:color="000000" w:sz="4" w:space="0"/>
              <w:bottom w:val="single" w:color="000000" w:sz="4" w:space="0"/>
              <w:right w:val="single" w:color="000000" w:sz="4" w:space="0"/>
            </w:tcBorders>
            <w:vAlign w:val="center"/>
          </w:tcPr>
          <w:p w14:paraId="6B0F9AA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基础教育数据采集</w:t>
            </w:r>
          </w:p>
        </w:tc>
        <w:tc>
          <w:tcPr>
            <w:tcW w:w="4017" w:type="pct"/>
            <w:tcBorders>
              <w:top w:val="single" w:color="000000" w:sz="4" w:space="0"/>
              <w:left w:val="single" w:color="000000" w:sz="4" w:space="0"/>
              <w:bottom w:val="single" w:color="000000" w:sz="4" w:space="0"/>
              <w:right w:val="single" w:color="000000" w:sz="4" w:space="0"/>
            </w:tcBorders>
            <w:vAlign w:val="center"/>
          </w:tcPr>
          <w:p w14:paraId="50ADFCCC">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5.需支持以系统对接、数据上报、智能填报等形式采集全市16个区教育局、中小学、特殊教育学校、老年大学等各级各类学校的学生信息、德育信息、课程信息、成绩信息、身体健康信息、美育教育信息、劳动教育信息等相关数据。</w:t>
            </w:r>
          </w:p>
        </w:tc>
      </w:tr>
      <w:tr w14:paraId="6C8CC1E5">
        <w:tblPrEx>
          <w:tblCellMar>
            <w:top w:w="0" w:type="dxa"/>
            <w:left w:w="108" w:type="dxa"/>
            <w:bottom w:w="0" w:type="dxa"/>
            <w:right w:w="108" w:type="dxa"/>
          </w:tblCellMar>
        </w:tblPrEx>
        <w:trPr>
          <w:trHeight w:val="540" w:hRule="atLeast"/>
        </w:trPr>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EA7DA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5</w:t>
            </w:r>
          </w:p>
        </w:tc>
        <w:tc>
          <w:tcPr>
            <w:tcW w:w="615" w:type="pct"/>
            <w:vMerge w:val="restart"/>
            <w:tcBorders>
              <w:top w:val="single" w:color="000000" w:sz="4" w:space="0"/>
              <w:left w:val="single" w:color="000000" w:sz="4" w:space="0"/>
              <w:bottom w:val="single" w:color="000000" w:sz="4" w:space="0"/>
              <w:right w:val="single" w:color="000000" w:sz="4" w:space="0"/>
            </w:tcBorders>
            <w:vAlign w:val="center"/>
          </w:tcPr>
          <w:p w14:paraId="50E41F5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其它教育数据采集</w:t>
            </w:r>
          </w:p>
        </w:tc>
        <w:tc>
          <w:tcPr>
            <w:tcW w:w="4017" w:type="pct"/>
            <w:tcBorders>
              <w:top w:val="single" w:color="000000" w:sz="4" w:space="0"/>
              <w:left w:val="single" w:color="000000" w:sz="4" w:space="0"/>
              <w:bottom w:val="single" w:color="000000" w:sz="4" w:space="0"/>
              <w:right w:val="single" w:color="000000" w:sz="4" w:space="0"/>
            </w:tcBorders>
            <w:vAlign w:val="center"/>
          </w:tcPr>
          <w:p w14:paraId="5A93A0CD">
            <w:pPr>
              <w:widowControl/>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6.需支持接口对接采集采购公告信息数据、项目采购结果公告数据等相关数据。</w:t>
            </w:r>
          </w:p>
        </w:tc>
      </w:tr>
      <w:tr w14:paraId="0C2EC26B">
        <w:tblPrEx>
          <w:tblCellMar>
            <w:top w:w="0" w:type="dxa"/>
            <w:left w:w="108" w:type="dxa"/>
            <w:bottom w:w="0" w:type="dxa"/>
            <w:right w:w="108" w:type="dxa"/>
          </w:tblCellMar>
        </w:tblPrEx>
        <w:trPr>
          <w:trHeight w:val="540" w:hRule="atLeast"/>
        </w:trPr>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F75DD5">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w:t>
            </w:r>
          </w:p>
        </w:tc>
        <w:tc>
          <w:tcPr>
            <w:tcW w:w="615" w:type="pct"/>
            <w:vMerge w:val="continue"/>
            <w:tcBorders>
              <w:top w:val="single" w:color="000000" w:sz="4" w:space="0"/>
              <w:left w:val="single" w:color="000000" w:sz="4" w:space="0"/>
              <w:bottom w:val="single" w:color="000000" w:sz="4" w:space="0"/>
              <w:right w:val="single" w:color="000000" w:sz="4" w:space="0"/>
            </w:tcBorders>
            <w:vAlign w:val="center"/>
          </w:tcPr>
          <w:p w14:paraId="22D7A719">
            <w:pPr>
              <w:jc w:val="center"/>
              <w:rPr>
                <w:rFonts w:hint="eastAsia" w:ascii="仿宋" w:hAnsi="仿宋" w:eastAsia="仿宋" w:cs="仿宋"/>
                <w:sz w:val="32"/>
                <w:szCs w:val="32"/>
                <w:highlight w:val="none"/>
              </w:rPr>
            </w:pPr>
          </w:p>
        </w:tc>
        <w:tc>
          <w:tcPr>
            <w:tcW w:w="4017" w:type="pct"/>
            <w:tcBorders>
              <w:top w:val="single" w:color="000000" w:sz="4" w:space="0"/>
              <w:left w:val="single" w:color="000000" w:sz="4" w:space="0"/>
              <w:bottom w:val="single" w:color="000000" w:sz="4" w:space="0"/>
              <w:right w:val="single" w:color="000000" w:sz="4" w:space="0"/>
            </w:tcBorders>
            <w:vAlign w:val="center"/>
          </w:tcPr>
          <w:p w14:paraId="46322127">
            <w:pPr>
              <w:widowControl/>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 xml:space="preserve">7.需支持以库表采集的形式对国家招生政策信息、天津市义务教育阶段学校招生入学信息等相关数据进行相关采集。 </w:t>
            </w:r>
          </w:p>
        </w:tc>
      </w:tr>
      <w:tr w14:paraId="38AB5B28">
        <w:tblPrEx>
          <w:tblCellMar>
            <w:top w:w="0" w:type="dxa"/>
            <w:left w:w="108" w:type="dxa"/>
            <w:bottom w:w="0" w:type="dxa"/>
            <w:right w:w="108" w:type="dxa"/>
          </w:tblCellMar>
        </w:tblPrEx>
        <w:trPr>
          <w:trHeight w:val="540" w:hRule="atLeast"/>
        </w:trPr>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E52FE6">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7</w:t>
            </w:r>
          </w:p>
        </w:tc>
        <w:tc>
          <w:tcPr>
            <w:tcW w:w="4632" w:type="pct"/>
            <w:gridSpan w:val="2"/>
            <w:tcBorders>
              <w:top w:val="single" w:color="000000" w:sz="4" w:space="0"/>
              <w:left w:val="single" w:color="000000" w:sz="4" w:space="0"/>
              <w:bottom w:val="single" w:color="000000" w:sz="4" w:space="0"/>
              <w:right w:val="single" w:color="000000" w:sz="4" w:space="0"/>
            </w:tcBorders>
            <w:vAlign w:val="center"/>
          </w:tcPr>
          <w:p w14:paraId="0B6B9121">
            <w:pPr>
              <w:widowControl/>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8.需在合同签订之日起45个自然日内完成：天津市80%普通本科院校和职业院校的数据采集接口的开发，获取最少5000张表单的采集，验收前完成所有数据对接。（投标人须提供承诺函并加盖公章）</w:t>
            </w:r>
          </w:p>
        </w:tc>
      </w:tr>
      <w:tr w14:paraId="549C2772">
        <w:tblPrEx>
          <w:tblCellMar>
            <w:top w:w="0" w:type="dxa"/>
            <w:left w:w="108" w:type="dxa"/>
            <w:bottom w:w="0" w:type="dxa"/>
            <w:right w:w="108" w:type="dxa"/>
          </w:tblCellMar>
        </w:tblPrEx>
        <w:trPr>
          <w:trHeight w:val="540" w:hRule="atLeast"/>
        </w:trPr>
        <w:tc>
          <w:tcPr>
            <w:tcW w:w="36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D4E1E7">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8</w:t>
            </w:r>
          </w:p>
        </w:tc>
        <w:tc>
          <w:tcPr>
            <w:tcW w:w="4632" w:type="pct"/>
            <w:gridSpan w:val="2"/>
            <w:tcBorders>
              <w:top w:val="single" w:color="000000" w:sz="4" w:space="0"/>
              <w:left w:val="single" w:color="000000" w:sz="4" w:space="0"/>
              <w:bottom w:val="single" w:color="000000" w:sz="4" w:space="0"/>
              <w:right w:val="single" w:color="000000" w:sz="4" w:space="0"/>
            </w:tcBorders>
            <w:vAlign w:val="center"/>
          </w:tcPr>
          <w:p w14:paraId="21EB22A0">
            <w:pPr>
              <w:widowControl/>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9.需在合同签订之日起45个自然日内完成：市级教育系统27个数据采集接口的开发和75个库表的采集任务，获取最少480表单的采集，验收前完成所有数据对接。（投标人须提供承诺函并加盖公章）</w:t>
            </w:r>
          </w:p>
        </w:tc>
      </w:tr>
    </w:tbl>
    <w:p w14:paraId="05A219A8">
      <w:pPr>
        <w:ind w:firstLine="446"/>
        <w:rPr>
          <w:rFonts w:hint="eastAsia" w:ascii="仿宋" w:hAnsi="仿宋" w:eastAsia="仿宋" w:cs="仿宋"/>
          <w:sz w:val="32"/>
          <w:szCs w:val="32"/>
          <w:highlight w:val="none"/>
        </w:rPr>
      </w:pPr>
    </w:p>
    <w:p w14:paraId="36BF0252">
      <w:pPr>
        <w:pStyle w:val="3"/>
        <w:ind w:firstLine="448"/>
        <w:rPr>
          <w:rFonts w:hint="eastAsia" w:ascii="仿宋" w:hAnsi="仿宋" w:eastAsia="仿宋" w:cs="仿宋"/>
          <w:sz w:val="32"/>
          <w:highlight w:val="none"/>
        </w:rPr>
      </w:pPr>
      <w:r>
        <w:rPr>
          <w:rFonts w:ascii="仿宋" w:hAnsi="仿宋" w:eastAsia="仿宋" w:cs="仿宋"/>
          <w:sz w:val="32"/>
          <w:highlight w:val="none"/>
        </w:rPr>
        <w:t>8、教育数据实施服务要求</w:t>
      </w:r>
    </w:p>
    <w:tbl>
      <w:tblPr>
        <w:tblStyle w:val="17"/>
        <w:tblW w:w="0" w:type="auto"/>
        <w:tblInd w:w="93" w:type="dxa"/>
        <w:tblLayout w:type="autofit"/>
        <w:tblCellMar>
          <w:top w:w="0" w:type="dxa"/>
          <w:left w:w="108" w:type="dxa"/>
          <w:bottom w:w="0" w:type="dxa"/>
          <w:right w:w="108" w:type="dxa"/>
        </w:tblCellMar>
      </w:tblPr>
      <w:tblGrid>
        <w:gridCol w:w="573"/>
        <w:gridCol w:w="892"/>
        <w:gridCol w:w="1814"/>
        <w:gridCol w:w="5688"/>
      </w:tblGrid>
      <w:tr w14:paraId="051B675D">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8C8D7C8">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C0B0540">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分类</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DD529D0">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sz w:val="32"/>
                <w:szCs w:val="32"/>
                <w:highlight w:val="none"/>
              </w:rPr>
              <w:t>技术要求</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5B1E7EE">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sz w:val="32"/>
                <w:szCs w:val="32"/>
                <w:highlight w:val="none"/>
              </w:rPr>
              <w:t>技术要求详情</w:t>
            </w:r>
          </w:p>
        </w:tc>
      </w:tr>
      <w:tr w14:paraId="768296F2">
        <w:tblPrEx>
          <w:tblCellMar>
            <w:top w:w="0" w:type="dxa"/>
            <w:left w:w="108" w:type="dxa"/>
            <w:bottom w:w="0" w:type="dxa"/>
            <w:right w:w="108" w:type="dxa"/>
          </w:tblCellMar>
        </w:tblPrEx>
        <w:trPr>
          <w:trHeight w:val="335"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0758FC5B">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14:paraId="7BD5F0EB">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教育数据调研服务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885A9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业务调研</w:t>
            </w:r>
          </w:p>
        </w:tc>
        <w:tc>
          <w:tcPr>
            <w:tcW w:w="0" w:type="auto"/>
            <w:tcBorders>
              <w:top w:val="single" w:color="000000" w:sz="4" w:space="0"/>
              <w:left w:val="single" w:color="000000" w:sz="4" w:space="0"/>
              <w:bottom w:val="single" w:color="000000" w:sz="4" w:space="0"/>
              <w:right w:val="single" w:color="000000" w:sz="4" w:space="0"/>
            </w:tcBorders>
            <w:vAlign w:val="center"/>
          </w:tcPr>
          <w:p w14:paraId="5F08FA99">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1.需调研天津市所辖30所普通本科教育院校、26所高等职业院校、16个区教育局及下属单位的的业务信息，包括数据来源、所属应用系统、业务含义等信息。</w:t>
            </w:r>
          </w:p>
        </w:tc>
      </w:tr>
      <w:tr w14:paraId="5E74FE47">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0AE5BA2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A24185B">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45C723E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接入方式调研</w:t>
            </w:r>
          </w:p>
        </w:tc>
        <w:tc>
          <w:tcPr>
            <w:tcW w:w="0" w:type="auto"/>
            <w:tcBorders>
              <w:top w:val="single" w:color="000000" w:sz="4" w:space="0"/>
              <w:left w:val="single" w:color="000000" w:sz="4" w:space="0"/>
              <w:bottom w:val="single" w:color="000000" w:sz="4" w:space="0"/>
              <w:right w:val="single" w:color="000000" w:sz="4" w:space="0"/>
            </w:tcBorders>
            <w:vAlign w:val="center"/>
          </w:tcPr>
          <w:p w14:paraId="03B8AA96">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2.需调研数据库存储等各类接入方式信息。</w:t>
            </w:r>
          </w:p>
        </w:tc>
      </w:tr>
      <w:tr w14:paraId="46B70899">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494BD61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D600FB5">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6947822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字段调研</w:t>
            </w:r>
          </w:p>
        </w:tc>
        <w:tc>
          <w:tcPr>
            <w:tcW w:w="0" w:type="auto"/>
            <w:tcBorders>
              <w:top w:val="single" w:color="000000" w:sz="4" w:space="0"/>
              <w:left w:val="single" w:color="000000" w:sz="4" w:space="0"/>
              <w:bottom w:val="single" w:color="000000" w:sz="4" w:space="0"/>
              <w:right w:val="single" w:color="000000" w:sz="4" w:space="0"/>
            </w:tcBorders>
            <w:vAlign w:val="center"/>
          </w:tcPr>
          <w:p w14:paraId="7759AFB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3.需调研来源数据的空值率、值域、数据分布情况、主题类型、数据长度等字段信息。</w:t>
            </w:r>
          </w:p>
        </w:tc>
      </w:tr>
      <w:tr w14:paraId="01D4CA68">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76D1BF0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4</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7997901">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05C40E1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数据集调研</w:t>
            </w:r>
          </w:p>
        </w:tc>
        <w:tc>
          <w:tcPr>
            <w:tcW w:w="0" w:type="auto"/>
            <w:tcBorders>
              <w:top w:val="single" w:color="000000" w:sz="4" w:space="0"/>
              <w:left w:val="single" w:color="000000" w:sz="4" w:space="0"/>
              <w:bottom w:val="single" w:color="000000" w:sz="4" w:space="0"/>
              <w:right w:val="single" w:color="000000" w:sz="4" w:space="0"/>
            </w:tcBorders>
            <w:vAlign w:val="center"/>
          </w:tcPr>
          <w:p w14:paraId="4D5CF2A0">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4.需调研数据总量、增量、更新频度等情况，调研结果包括数据集名称、数据总量、数据总存储量、平均增量等信息。</w:t>
            </w:r>
          </w:p>
        </w:tc>
      </w:tr>
      <w:tr w14:paraId="5073959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5B65A8E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5</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60EB8A8">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5DCF021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问题数据调研</w:t>
            </w:r>
          </w:p>
        </w:tc>
        <w:tc>
          <w:tcPr>
            <w:tcW w:w="0" w:type="auto"/>
            <w:tcBorders>
              <w:top w:val="single" w:color="000000" w:sz="4" w:space="0"/>
              <w:left w:val="single" w:color="000000" w:sz="4" w:space="0"/>
              <w:bottom w:val="single" w:color="000000" w:sz="4" w:space="0"/>
              <w:right w:val="single" w:color="000000" w:sz="4" w:space="0"/>
            </w:tcBorders>
            <w:vAlign w:val="center"/>
          </w:tcPr>
          <w:p w14:paraId="698FE5E6">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5.需调研代码字典表问题、主题库型问题等信息。</w:t>
            </w:r>
          </w:p>
        </w:tc>
      </w:tr>
      <w:tr w14:paraId="463D2A73">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7D3E0D4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08F632F">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27DCE38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元数据符合程度调研</w:t>
            </w:r>
          </w:p>
        </w:tc>
        <w:tc>
          <w:tcPr>
            <w:tcW w:w="0" w:type="auto"/>
            <w:tcBorders>
              <w:top w:val="single" w:color="000000" w:sz="4" w:space="0"/>
              <w:left w:val="single" w:color="000000" w:sz="4" w:space="0"/>
              <w:bottom w:val="single" w:color="000000" w:sz="4" w:space="0"/>
              <w:right w:val="single" w:color="000000" w:sz="4" w:space="0"/>
            </w:tcBorders>
            <w:vAlign w:val="center"/>
          </w:tcPr>
          <w:p w14:paraId="6012A47D">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6.实施人员需要对采集系统的数据元进行属性完整性检核和值域及格式有效性检核。</w:t>
            </w:r>
          </w:p>
        </w:tc>
      </w:tr>
      <w:tr w14:paraId="58DC11F7">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33924BDB">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7</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14:paraId="0E74CE61">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教育数据盘点</w:t>
            </w:r>
          </w:p>
          <w:p w14:paraId="321E0D1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服务</w:t>
            </w:r>
          </w:p>
        </w:tc>
        <w:tc>
          <w:tcPr>
            <w:tcW w:w="0" w:type="auto"/>
            <w:tcBorders>
              <w:top w:val="single" w:color="000000" w:sz="4" w:space="0"/>
              <w:left w:val="single" w:color="000000" w:sz="4" w:space="0"/>
              <w:bottom w:val="single" w:color="000000" w:sz="4" w:space="0"/>
              <w:right w:val="single" w:color="000000" w:sz="4" w:space="0"/>
            </w:tcBorders>
            <w:vAlign w:val="center"/>
          </w:tcPr>
          <w:p w14:paraId="45E931D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数据盘点</w:t>
            </w:r>
          </w:p>
        </w:tc>
        <w:tc>
          <w:tcPr>
            <w:tcW w:w="0" w:type="auto"/>
            <w:tcBorders>
              <w:top w:val="single" w:color="000000" w:sz="4" w:space="0"/>
              <w:left w:val="single" w:color="000000" w:sz="4" w:space="0"/>
              <w:bottom w:val="single" w:color="000000" w:sz="4" w:space="0"/>
              <w:right w:val="single" w:color="000000" w:sz="4" w:space="0"/>
            </w:tcBorders>
            <w:vAlign w:val="center"/>
          </w:tcPr>
          <w:p w14:paraId="1E2A53C3">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7.需支持数据提供方和数据接入方在某一时间节点数据的完整性、一致性、正确性进行核对和检验。</w:t>
            </w:r>
          </w:p>
        </w:tc>
      </w:tr>
      <w:tr w14:paraId="5A269EC0">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0DAA1E6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8</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25E1270">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7DF64087">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盘点分析</w:t>
            </w:r>
          </w:p>
        </w:tc>
        <w:tc>
          <w:tcPr>
            <w:tcW w:w="0" w:type="auto"/>
            <w:tcBorders>
              <w:top w:val="single" w:color="000000" w:sz="4" w:space="0"/>
              <w:left w:val="single" w:color="000000" w:sz="4" w:space="0"/>
              <w:bottom w:val="single" w:color="000000" w:sz="4" w:space="0"/>
              <w:right w:val="single" w:color="000000" w:sz="4" w:space="0"/>
            </w:tcBorders>
            <w:vAlign w:val="center"/>
          </w:tcPr>
          <w:p w14:paraId="6B16862F">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8.需支持配置不同盘点策略，策略中配置目标资源，支持批量配置多个资源。</w:t>
            </w:r>
          </w:p>
        </w:tc>
      </w:tr>
      <w:tr w14:paraId="21BFF23A">
        <w:tblPrEx>
          <w:tblCellMar>
            <w:top w:w="0" w:type="dxa"/>
            <w:left w:w="108" w:type="dxa"/>
            <w:bottom w:w="0" w:type="dxa"/>
            <w:right w:w="108" w:type="dxa"/>
          </w:tblCellMar>
        </w:tblPrEx>
        <w:trPr>
          <w:trHeight w:val="135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16A51853">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9</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6A2E332">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41F2D41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数据接入盘点服务</w:t>
            </w:r>
          </w:p>
        </w:tc>
        <w:tc>
          <w:tcPr>
            <w:tcW w:w="0" w:type="auto"/>
            <w:tcBorders>
              <w:top w:val="single" w:color="000000" w:sz="4" w:space="0"/>
              <w:left w:val="single" w:color="000000" w:sz="4" w:space="0"/>
              <w:bottom w:val="single" w:color="000000" w:sz="4" w:space="0"/>
              <w:right w:val="single" w:color="000000" w:sz="4" w:space="0"/>
            </w:tcBorders>
            <w:vAlign w:val="center"/>
          </w:tcPr>
          <w:p w14:paraId="1BBFA23E">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9.需支持根据数据盘点条件和要求，采取接入时盘点和接入后盘点。</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10.需支持接入时，完成数据清单和接入数据的对比工作。</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11.需支持接入后，对数据的完整性、正确性进行盘点。</w:t>
            </w:r>
          </w:p>
        </w:tc>
      </w:tr>
      <w:tr w14:paraId="4A666642">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5BBC5C68">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10</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14:paraId="6431EA9B">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教育数据治理服务</w:t>
            </w:r>
          </w:p>
        </w:tc>
        <w:tc>
          <w:tcPr>
            <w:tcW w:w="0" w:type="auto"/>
            <w:tcBorders>
              <w:top w:val="single" w:color="000000" w:sz="4" w:space="0"/>
              <w:left w:val="single" w:color="000000" w:sz="4" w:space="0"/>
              <w:bottom w:val="single" w:color="000000" w:sz="4" w:space="0"/>
              <w:right w:val="single" w:color="000000" w:sz="4" w:space="0"/>
            </w:tcBorders>
            <w:vAlign w:val="center"/>
          </w:tcPr>
          <w:p w14:paraId="6A021A91">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数据治理机制制定</w:t>
            </w:r>
          </w:p>
        </w:tc>
        <w:tc>
          <w:tcPr>
            <w:tcW w:w="0" w:type="auto"/>
            <w:tcBorders>
              <w:top w:val="single" w:color="000000" w:sz="4" w:space="0"/>
              <w:left w:val="single" w:color="000000" w:sz="4" w:space="0"/>
              <w:bottom w:val="single" w:color="000000" w:sz="4" w:space="0"/>
              <w:right w:val="single" w:color="000000" w:sz="4" w:space="0"/>
            </w:tcBorders>
            <w:vAlign w:val="center"/>
          </w:tcPr>
          <w:p w14:paraId="6DC219D8">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12.需支持对采集数据进行清洗任务的管理能力，并可对清洗规则、数据标准进行相应的定义和配置，建立一套相应的数据治理机制，形成数据治理机制文档。</w:t>
            </w:r>
          </w:p>
        </w:tc>
      </w:tr>
      <w:tr w14:paraId="269172EF">
        <w:tblPrEx>
          <w:tblCellMar>
            <w:top w:w="0" w:type="dxa"/>
            <w:left w:w="108" w:type="dxa"/>
            <w:bottom w:w="0" w:type="dxa"/>
            <w:right w:w="108" w:type="dxa"/>
          </w:tblCellMar>
        </w:tblPrEx>
        <w:trPr>
          <w:trHeight w:val="297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556DD64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11</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1C3507D">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6CF3C9A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治理任务管理</w:t>
            </w:r>
          </w:p>
        </w:tc>
        <w:tc>
          <w:tcPr>
            <w:tcW w:w="0" w:type="auto"/>
            <w:tcBorders>
              <w:top w:val="single" w:color="000000" w:sz="4" w:space="0"/>
              <w:left w:val="single" w:color="000000" w:sz="4" w:space="0"/>
              <w:bottom w:val="single" w:color="000000" w:sz="4" w:space="0"/>
              <w:right w:val="single" w:color="000000" w:sz="4" w:space="0"/>
            </w:tcBorders>
            <w:vAlign w:val="center"/>
          </w:tcPr>
          <w:p w14:paraId="5F8C5B25">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13.需通过教育数据治理，以表和字段为维度进行数据治理时的规则配置，并对治理的任务进行统一的管理。</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14.需支持元数据管理，主要对原始库采集到的数据源、数据表和数据字段进行管理。</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15.需支持数据标准管理，对存量数据进行后向管理，映射至已有元数据上。</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16.需支持表单规则配置，表单规则配置主要是对各数据表的清洗规则进行配置，并可对各数据表的规则配置情况进行展示查看。</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17.需支持清洗任务管理，管理人员可以对平台清洗任务进行管理。</w:t>
            </w:r>
          </w:p>
        </w:tc>
      </w:tr>
      <w:tr w14:paraId="1D28C759">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34F30228">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12</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9A68F5F">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35D71D5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治理规则配置</w:t>
            </w:r>
          </w:p>
        </w:tc>
        <w:tc>
          <w:tcPr>
            <w:tcW w:w="0" w:type="auto"/>
            <w:tcBorders>
              <w:top w:val="single" w:color="000000" w:sz="4" w:space="0"/>
              <w:left w:val="single" w:color="000000" w:sz="4" w:space="0"/>
              <w:bottom w:val="single" w:color="000000" w:sz="4" w:space="0"/>
              <w:right w:val="single" w:color="000000" w:sz="4" w:space="0"/>
            </w:tcBorders>
            <w:vAlign w:val="center"/>
          </w:tcPr>
          <w:p w14:paraId="188E10D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18.需支持治理规则配置，需实现页面将以列表的形式，展示各数据表的清洗规则配置情况，根据规则生成的类型有预制规则和自定义规则。</w:t>
            </w:r>
          </w:p>
        </w:tc>
      </w:tr>
      <w:tr w14:paraId="00D01243">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4074607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13</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BA6C6B2">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58217D5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问题数据反馈</w:t>
            </w:r>
          </w:p>
        </w:tc>
        <w:tc>
          <w:tcPr>
            <w:tcW w:w="0" w:type="auto"/>
            <w:tcBorders>
              <w:top w:val="single" w:color="000000" w:sz="4" w:space="0"/>
              <w:left w:val="single" w:color="000000" w:sz="4" w:space="0"/>
              <w:bottom w:val="single" w:color="000000" w:sz="4" w:space="0"/>
              <w:right w:val="single" w:color="000000" w:sz="4" w:space="0"/>
            </w:tcBorders>
            <w:vAlign w:val="center"/>
          </w:tcPr>
          <w:p w14:paraId="17D27B4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19.需支持跟踪数据质量情况，根据数据治理结果，将问题数据通过表格形式反馈给数源单位，督促数源单位进行整改，实现问题数据在各单位之间有序流转。</w:t>
            </w:r>
          </w:p>
        </w:tc>
      </w:tr>
      <w:tr w14:paraId="52719792">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4959420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14</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14:paraId="0047989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教育数据共享服务</w:t>
            </w:r>
          </w:p>
        </w:tc>
        <w:tc>
          <w:tcPr>
            <w:tcW w:w="0" w:type="auto"/>
            <w:tcBorders>
              <w:top w:val="single" w:color="000000" w:sz="4" w:space="0"/>
              <w:left w:val="single" w:color="000000" w:sz="4" w:space="0"/>
              <w:bottom w:val="single" w:color="000000" w:sz="4" w:space="0"/>
              <w:right w:val="single" w:color="000000" w:sz="4" w:space="0"/>
            </w:tcBorders>
            <w:vAlign w:val="center"/>
          </w:tcPr>
          <w:p w14:paraId="55B46ED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共享申请服务</w:t>
            </w:r>
          </w:p>
        </w:tc>
        <w:tc>
          <w:tcPr>
            <w:tcW w:w="0" w:type="auto"/>
            <w:tcBorders>
              <w:top w:val="single" w:color="000000" w:sz="4" w:space="0"/>
              <w:left w:val="single" w:color="000000" w:sz="4" w:space="0"/>
              <w:bottom w:val="single" w:color="000000" w:sz="4" w:space="0"/>
              <w:right w:val="single" w:color="000000" w:sz="4" w:space="0"/>
            </w:tcBorders>
            <w:vAlign w:val="center"/>
          </w:tcPr>
          <w:p w14:paraId="060D974A">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20.需支持对数据资源申请管理，工作人员申请之后提交到后台进行审核，数据共享交换提供实时API、批量共享等多种方式。</w:t>
            </w:r>
          </w:p>
        </w:tc>
      </w:tr>
      <w:tr w14:paraId="4B4FEE48">
        <w:tblPrEx>
          <w:tblCellMar>
            <w:top w:w="0" w:type="dxa"/>
            <w:left w:w="108" w:type="dxa"/>
            <w:bottom w:w="0" w:type="dxa"/>
            <w:right w:w="108" w:type="dxa"/>
          </w:tblCellMar>
        </w:tblPrEx>
        <w:trPr>
          <w:trHeight w:val="489"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6AD0A3E3">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15</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12C3239">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8FB129">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API共享</w:t>
            </w:r>
          </w:p>
        </w:tc>
        <w:tc>
          <w:tcPr>
            <w:tcW w:w="0" w:type="auto"/>
            <w:tcBorders>
              <w:top w:val="single" w:color="000000" w:sz="4" w:space="0"/>
              <w:left w:val="single" w:color="000000" w:sz="4" w:space="0"/>
              <w:bottom w:val="single" w:color="000000" w:sz="4" w:space="0"/>
              <w:right w:val="single" w:color="000000" w:sz="4" w:space="0"/>
            </w:tcBorders>
            <w:vAlign w:val="center"/>
          </w:tcPr>
          <w:p w14:paraId="5E8C66C8">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21.需支持以API方式实现数据共享。通过文档快速导入或API共享接口服务实现数据交互，满足各单位和各学校协同工作的需求。</w:t>
            </w:r>
          </w:p>
        </w:tc>
      </w:tr>
      <w:tr w14:paraId="1DFE255E">
        <w:tblPrEx>
          <w:tblCellMar>
            <w:top w:w="0" w:type="dxa"/>
            <w:left w:w="108" w:type="dxa"/>
            <w:bottom w:w="0" w:type="dxa"/>
            <w:right w:w="108" w:type="dxa"/>
          </w:tblCellMar>
        </w:tblPrEx>
        <w:trPr>
          <w:trHeight w:val="108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54752203">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16</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CA6AF79">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11A67B6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批量共享</w:t>
            </w:r>
          </w:p>
        </w:tc>
        <w:tc>
          <w:tcPr>
            <w:tcW w:w="0" w:type="auto"/>
            <w:tcBorders>
              <w:top w:val="single" w:color="000000" w:sz="4" w:space="0"/>
              <w:left w:val="single" w:color="000000" w:sz="4" w:space="0"/>
              <w:bottom w:val="single" w:color="000000" w:sz="4" w:space="0"/>
              <w:right w:val="single" w:color="000000" w:sz="4" w:space="0"/>
            </w:tcBorders>
            <w:vAlign w:val="center"/>
          </w:tcPr>
          <w:p w14:paraId="3AD87B4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22.需具备数据批量共享的能力，通过库表授权与库表交换方式，实现批量数据共享。</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23、需具备批量共享功能，支持采用前置机中转的库表交换方式，支持建立批量数据共享管理制度。</w:t>
            </w:r>
          </w:p>
        </w:tc>
      </w:tr>
      <w:tr w14:paraId="53CEE50E">
        <w:tblPrEx>
          <w:tblCellMar>
            <w:top w:w="0" w:type="dxa"/>
            <w:left w:w="108" w:type="dxa"/>
            <w:bottom w:w="0" w:type="dxa"/>
            <w:right w:w="108" w:type="dxa"/>
          </w:tblCellMar>
        </w:tblPrEx>
        <w:trPr>
          <w:trHeight w:val="108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39EC411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17</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78912AD">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209E471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接口开发服务</w:t>
            </w:r>
          </w:p>
        </w:tc>
        <w:tc>
          <w:tcPr>
            <w:tcW w:w="0" w:type="auto"/>
            <w:tcBorders>
              <w:top w:val="single" w:color="000000" w:sz="4" w:space="0"/>
              <w:left w:val="single" w:color="000000" w:sz="4" w:space="0"/>
              <w:bottom w:val="single" w:color="000000" w:sz="4" w:space="0"/>
              <w:right w:val="single" w:color="000000" w:sz="4" w:space="0"/>
            </w:tcBorders>
            <w:vAlign w:val="center"/>
          </w:tcPr>
          <w:p w14:paraId="731A5229">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24.本次项目需根据实际情况，对接各部门和各学校数据需求，本地数据共享接口要求符合教育部及天津市教委相关对外服务接口规范，接口调用响应时间应低于1500毫秒，高频调用接口可支撑每秒3000次并发量。</w:t>
            </w:r>
            <w:r>
              <w:rPr>
                <w:rStyle w:val="35"/>
                <w:rFonts w:hint="default" w:ascii="仿宋" w:hAnsi="仿宋" w:eastAsia="仿宋" w:cs="仿宋"/>
                <w:color w:val="auto"/>
                <w:sz w:val="32"/>
                <w:szCs w:val="32"/>
                <w:highlight w:val="none"/>
                <w:lang w:bidi="ar"/>
              </w:rPr>
              <w:t>（投标人须提供承诺函并加盖公章）</w:t>
            </w:r>
          </w:p>
        </w:tc>
      </w:tr>
      <w:tr w14:paraId="6E0C9F3C">
        <w:tblPrEx>
          <w:tblCellMar>
            <w:top w:w="0" w:type="dxa"/>
            <w:left w:w="108" w:type="dxa"/>
            <w:bottom w:w="0" w:type="dxa"/>
            <w:right w:w="108" w:type="dxa"/>
          </w:tblCellMar>
        </w:tblPrEx>
        <w:trPr>
          <w:trHeight w:val="108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43363529">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18</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1A22F07">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15F2DDD0">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接口规范</w:t>
            </w:r>
          </w:p>
        </w:tc>
        <w:tc>
          <w:tcPr>
            <w:tcW w:w="0" w:type="auto"/>
            <w:tcBorders>
              <w:top w:val="single" w:color="000000" w:sz="4" w:space="0"/>
              <w:left w:val="single" w:color="000000" w:sz="4" w:space="0"/>
              <w:bottom w:val="single" w:color="000000" w:sz="4" w:space="0"/>
              <w:right w:val="single" w:color="000000" w:sz="4" w:space="0"/>
            </w:tcBorders>
            <w:vAlign w:val="center"/>
          </w:tcPr>
          <w:p w14:paraId="213425DE">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25.必须遵循教育部《教育管理信息系统互操作规范》（GB/T 36344-2018）。</w:t>
            </w:r>
          </w:p>
          <w:p w14:paraId="689D7D0E">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26.采用 HTTPS1.3协议进行数据传输，支持OAuth 2.0认证机制。</w:t>
            </w:r>
          </w:p>
          <w:p w14:paraId="7CD35FE5">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27.主数据交换格式须符合教育部《教育数据元》标准（JY/T 10001-2020）。</w:t>
            </w:r>
          </w:p>
          <w:p w14:paraId="5412BDEA">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28.附件传输支持 EBXML2.1规范，支持数字水印和哈希校验。</w:t>
            </w:r>
          </w:p>
        </w:tc>
      </w:tr>
      <w:tr w14:paraId="03A8F4FA">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7545A9D8">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19</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C91B6C9">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4D1E057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业务系统对接服务</w:t>
            </w:r>
          </w:p>
        </w:tc>
        <w:tc>
          <w:tcPr>
            <w:tcW w:w="0" w:type="auto"/>
            <w:tcBorders>
              <w:top w:val="single" w:color="000000" w:sz="4" w:space="0"/>
              <w:left w:val="single" w:color="000000" w:sz="4" w:space="0"/>
              <w:bottom w:val="single" w:color="000000" w:sz="4" w:space="0"/>
              <w:right w:val="single" w:color="000000" w:sz="4" w:space="0"/>
            </w:tcBorders>
            <w:vAlign w:val="center"/>
          </w:tcPr>
          <w:p w14:paraId="13C4E59A">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29.数据共享需求部门和学校提出共享服务申请时，安排专人提供技术支撑服务，对接入过程、数据规范等提供咨询服务，保障相关数据需求。</w:t>
            </w:r>
          </w:p>
        </w:tc>
      </w:tr>
      <w:tr w14:paraId="1A413B4C">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03CADED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20</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14:paraId="18D44EB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驻场人员及团队服务人员</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14:paraId="23DC0C62">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驻场服务需求及团队人员需求</w:t>
            </w:r>
          </w:p>
        </w:tc>
        <w:tc>
          <w:tcPr>
            <w:tcW w:w="0" w:type="auto"/>
            <w:tcBorders>
              <w:top w:val="single" w:color="000000" w:sz="4" w:space="0"/>
              <w:left w:val="single" w:color="000000" w:sz="4" w:space="0"/>
              <w:bottom w:val="single" w:color="000000" w:sz="4" w:space="0"/>
              <w:right w:val="single" w:color="000000" w:sz="4" w:space="0"/>
            </w:tcBorders>
            <w:vAlign w:val="center"/>
          </w:tcPr>
          <w:p w14:paraId="4BD3DFE5">
            <w:pPr>
              <w:widowControl/>
              <w:jc w:val="left"/>
              <w:textAlignment w:val="center"/>
              <w:rPr>
                <w:rFonts w:hint="eastAsia" w:ascii="仿宋" w:hAnsi="仿宋" w:eastAsia="仿宋" w:cs="仿宋"/>
                <w:sz w:val="32"/>
                <w:szCs w:val="32"/>
                <w:highlight w:val="none"/>
              </w:rPr>
            </w:pPr>
            <w:bookmarkStart w:id="2" w:name="_Hlk193821040"/>
            <w:r>
              <w:rPr>
                <w:rFonts w:ascii="仿宋" w:hAnsi="仿宋" w:eastAsia="仿宋" w:cs="仿宋"/>
                <w:kern w:val="0"/>
                <w:sz w:val="32"/>
                <w:szCs w:val="32"/>
                <w:highlight w:val="none"/>
                <w:lang w:bidi="ar"/>
              </w:rPr>
              <w:t>30.投标人需向采购人派出不少于</w:t>
            </w:r>
            <w:r>
              <w:rPr>
                <w:rFonts w:hint="eastAsia" w:ascii="仿宋" w:hAnsi="仿宋" w:eastAsia="仿宋" w:cs="仿宋"/>
                <w:kern w:val="0"/>
                <w:sz w:val="32"/>
                <w:szCs w:val="32"/>
                <w:highlight w:val="none"/>
                <w:lang w:val="en-US" w:eastAsia="zh-CN" w:bidi="ar"/>
              </w:rPr>
              <w:t>5</w:t>
            </w:r>
            <w:r>
              <w:rPr>
                <w:rFonts w:ascii="仿宋" w:hAnsi="仿宋" w:eastAsia="仿宋" w:cs="仿宋"/>
                <w:kern w:val="0"/>
                <w:sz w:val="32"/>
                <w:szCs w:val="32"/>
                <w:highlight w:val="none"/>
                <w:lang w:bidi="ar"/>
              </w:rPr>
              <w:t>人的项目设计驻场工程师团队，负责项目设计技术工作，详细要求见评分办法。</w:t>
            </w:r>
            <w:r>
              <w:rPr>
                <w:rStyle w:val="35"/>
                <w:rFonts w:hint="default" w:ascii="仿宋" w:hAnsi="仿宋" w:eastAsia="仿宋" w:cs="仿宋"/>
                <w:color w:val="auto"/>
                <w:sz w:val="32"/>
                <w:szCs w:val="32"/>
                <w:highlight w:val="none"/>
                <w:lang w:bidi="ar"/>
              </w:rPr>
              <w:t>（投标人须提供承诺函并加盖公章）</w:t>
            </w:r>
            <w:bookmarkEnd w:id="2"/>
          </w:p>
        </w:tc>
      </w:tr>
      <w:tr w14:paraId="69A5B4D9">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538C83B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21</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0A4CFCD">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DC4D5A5">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6345038A">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31.投标人需向采购人派出不少于70人的项目开发工程师团队，负责项目开发工作，详细需求见评分办法。</w:t>
            </w:r>
            <w:r>
              <w:rPr>
                <w:rStyle w:val="35"/>
                <w:rFonts w:hint="default" w:ascii="仿宋" w:hAnsi="仿宋" w:eastAsia="仿宋" w:cs="仿宋"/>
                <w:color w:val="auto"/>
                <w:sz w:val="32"/>
                <w:szCs w:val="32"/>
                <w:highlight w:val="none"/>
                <w:lang w:bidi="ar"/>
              </w:rPr>
              <w:t>（投标人须提供承诺函并加盖公章）</w:t>
            </w:r>
          </w:p>
        </w:tc>
      </w:tr>
      <w:tr w14:paraId="27514E35">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1517E25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22</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053FB73">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0E259AC">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4696EEBB">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32.投标人需向采购人派出不少于10人的测试服务工程师团队，负责平台测试工作，详细需求见评分办法。</w:t>
            </w:r>
            <w:r>
              <w:rPr>
                <w:rStyle w:val="35"/>
                <w:rFonts w:hint="default" w:ascii="仿宋" w:hAnsi="仿宋" w:eastAsia="仿宋" w:cs="仿宋"/>
                <w:color w:val="auto"/>
                <w:sz w:val="32"/>
                <w:szCs w:val="32"/>
                <w:highlight w:val="none"/>
                <w:lang w:bidi="ar"/>
              </w:rPr>
              <w:t>（投标人须提供承诺函并加盖公章）</w:t>
            </w:r>
          </w:p>
        </w:tc>
      </w:tr>
      <w:tr w14:paraId="00E15FC3">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vAlign w:val="center"/>
          </w:tcPr>
          <w:p w14:paraId="75320BA9">
            <w:pPr>
              <w:widowControl/>
              <w:jc w:val="center"/>
              <w:textAlignment w:val="center"/>
              <w:rPr>
                <w:rFonts w:hint="eastAsia" w:ascii="仿宋" w:hAnsi="仿宋" w:eastAsia="仿宋" w:cs="仿宋"/>
                <w:sz w:val="32"/>
                <w:szCs w:val="32"/>
                <w:highlight w:val="none"/>
              </w:rPr>
            </w:pPr>
            <w:r>
              <w:rPr>
                <w:rFonts w:ascii="仿宋" w:hAnsi="仿宋" w:eastAsia="仿宋" w:cs="仿宋"/>
                <w:sz w:val="32"/>
                <w:szCs w:val="32"/>
                <w:highlight w:val="none"/>
              </w:rPr>
              <w:t>23</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BF64C61">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2DCF3FD">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vAlign w:val="center"/>
          </w:tcPr>
          <w:p w14:paraId="01890715">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33.投标人需向采购人派出不少于10人的信创支撑工程师团队，负责信创支撑，详细需求见评分办法。</w:t>
            </w:r>
            <w:r>
              <w:rPr>
                <w:rFonts w:hint="eastAsia" w:ascii="仿宋" w:hAnsi="仿宋" w:eastAsia="仿宋" w:cs="仿宋"/>
                <w:b/>
                <w:bCs/>
                <w:kern w:val="0"/>
                <w:sz w:val="32"/>
                <w:szCs w:val="32"/>
                <w:highlight w:val="none"/>
                <w:lang w:bidi="ar"/>
              </w:rPr>
              <w:t>（投标人须提供承诺函并加盖公章）</w:t>
            </w:r>
          </w:p>
        </w:tc>
      </w:tr>
    </w:tbl>
    <w:p w14:paraId="612378FB">
      <w:pPr>
        <w:pStyle w:val="3"/>
        <w:ind w:firstLine="448"/>
        <w:rPr>
          <w:rFonts w:hint="eastAsia" w:ascii="仿宋" w:hAnsi="仿宋" w:eastAsia="仿宋" w:cs="仿宋"/>
          <w:sz w:val="32"/>
          <w:highlight w:val="none"/>
        </w:rPr>
      </w:pPr>
      <w:r>
        <w:rPr>
          <w:rFonts w:ascii="仿宋" w:hAnsi="仿宋" w:eastAsia="仿宋" w:cs="仿宋"/>
          <w:sz w:val="32"/>
          <w:highlight w:val="none"/>
        </w:rPr>
        <w:t>9、网络专线技术要求</w:t>
      </w:r>
    </w:p>
    <w:p w14:paraId="28E522EA">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网络架构设计如图所示。天津市教育数据平台部署于天津市</w:t>
      </w:r>
      <w:bookmarkStart w:id="3" w:name="OLE_LINK8"/>
      <w:bookmarkStart w:id="4" w:name="OLE_LINK9"/>
      <w:r>
        <w:rPr>
          <w:rFonts w:hint="eastAsia" w:ascii="仿宋" w:hAnsi="仿宋" w:eastAsia="仿宋" w:cs="仿宋"/>
          <w:sz w:val="32"/>
          <w:szCs w:val="32"/>
          <w:highlight w:val="none"/>
        </w:rPr>
        <w:t>政务云</w:t>
      </w:r>
      <w:bookmarkEnd w:id="3"/>
      <w:bookmarkEnd w:id="4"/>
      <w:r>
        <w:rPr>
          <w:rFonts w:hint="eastAsia" w:ascii="仿宋" w:hAnsi="仿宋" w:eastAsia="仿宋" w:cs="仿宋"/>
          <w:sz w:val="32"/>
          <w:szCs w:val="32"/>
          <w:highlight w:val="none"/>
        </w:rPr>
        <w:t>，市教委等各级教育行政部门通过政务外网与政务云连接；各级各类学校通过教育科研网与教委机房的前置机连接，前置机通过双向网闸，经过</w:t>
      </w:r>
      <w:r>
        <w:rPr>
          <w:rFonts w:ascii="仿宋" w:hAnsi="仿宋" w:eastAsia="仿宋" w:cs="仿宋"/>
          <w:sz w:val="32"/>
          <w:szCs w:val="32"/>
          <w:highlight w:val="none"/>
        </w:rPr>
        <w:t>8</w:t>
      </w:r>
      <w:r>
        <w:rPr>
          <w:rFonts w:hint="eastAsia" w:ascii="仿宋" w:hAnsi="仿宋" w:eastAsia="仿宋" w:cs="仿宋"/>
          <w:sz w:val="32"/>
          <w:szCs w:val="32"/>
          <w:highlight w:val="none"/>
        </w:rPr>
        <w:t>芯裸线与政务云进行数据交换和通信，确保数据传输的安全性和保密性。个人信息等敏感教育数据存放在市教委本地部署的服务器上，通过专线与天津市教育数据平台互联。通过政务外网实现天津市信息资源统一共享平台与其他委办局进行数据共享，天津市教育数据平台通过公网向教育部相关平台进行数据上报。</w:t>
      </w:r>
    </w:p>
    <w:p w14:paraId="7979418C">
      <w:pPr>
        <w:ind w:firstLine="446"/>
        <w:rPr>
          <w:highlight w:val="none"/>
        </w:rPr>
      </w:pPr>
      <w:r>
        <w:rPr>
          <w:rFonts w:hint="eastAsia" w:ascii="仿宋" w:hAnsi="仿宋" w:eastAsia="仿宋" w:cs="仿宋"/>
          <w:sz w:val="32"/>
          <w:szCs w:val="32"/>
          <w:highlight w:val="none"/>
        </w:rPr>
        <w:t>投标商需提供</w:t>
      </w:r>
      <w:r>
        <w:rPr>
          <w:rFonts w:ascii="仿宋" w:hAnsi="仿宋" w:eastAsia="仿宋" w:cs="仿宋"/>
          <w:sz w:val="32"/>
          <w:szCs w:val="32"/>
          <w:highlight w:val="none"/>
        </w:rPr>
        <w:t>8</w:t>
      </w:r>
      <w:r>
        <w:rPr>
          <w:rFonts w:hint="eastAsia" w:ascii="仿宋" w:hAnsi="仿宋" w:eastAsia="仿宋" w:cs="仿宋"/>
          <w:sz w:val="32"/>
          <w:szCs w:val="32"/>
          <w:highlight w:val="none"/>
        </w:rPr>
        <w:t>芯裸光纤网络专线链路，使用期限大于</w:t>
      </w:r>
      <w:r>
        <w:rPr>
          <w:rFonts w:ascii="仿宋" w:hAnsi="仿宋" w:eastAsia="仿宋" w:cs="仿宋"/>
          <w:sz w:val="32"/>
          <w:szCs w:val="32"/>
          <w:highlight w:val="none"/>
        </w:rPr>
        <w:t>10</w:t>
      </w:r>
      <w:r>
        <w:rPr>
          <w:rFonts w:hint="eastAsia" w:ascii="仿宋" w:hAnsi="仿宋" w:eastAsia="仿宋" w:cs="仿宋"/>
          <w:sz w:val="32"/>
          <w:szCs w:val="32"/>
          <w:highlight w:val="none"/>
        </w:rPr>
        <w:t>年，并应用</w:t>
      </w:r>
      <w:r>
        <w:rPr>
          <w:rFonts w:ascii="仿宋" w:hAnsi="仿宋" w:eastAsia="仿宋" w:cs="仿宋"/>
          <w:sz w:val="32"/>
          <w:szCs w:val="32"/>
          <w:highlight w:val="none"/>
        </w:rPr>
        <w:t>16</w:t>
      </w:r>
      <w:r>
        <w:rPr>
          <w:rFonts w:hint="eastAsia" w:ascii="仿宋" w:hAnsi="仿宋" w:eastAsia="仿宋" w:cs="仿宋"/>
          <w:sz w:val="32"/>
          <w:szCs w:val="32"/>
          <w:highlight w:val="none"/>
        </w:rPr>
        <w:t>个</w:t>
      </w:r>
      <w:r>
        <w:rPr>
          <w:rFonts w:ascii="仿宋" w:hAnsi="仿宋" w:eastAsia="仿宋" w:cs="仿宋"/>
          <w:sz w:val="32"/>
          <w:szCs w:val="32"/>
          <w:highlight w:val="none"/>
        </w:rPr>
        <w:t>IP</w:t>
      </w:r>
      <w:r>
        <w:rPr>
          <w:rFonts w:hint="eastAsia" w:ascii="仿宋" w:hAnsi="仿宋" w:eastAsia="仿宋" w:cs="仿宋"/>
          <w:sz w:val="32"/>
          <w:szCs w:val="32"/>
          <w:highlight w:val="none"/>
        </w:rPr>
        <w:t>地址实现链路对接，并提供安全设计方案。</w:t>
      </w:r>
      <w:r>
        <w:rPr>
          <w:rFonts w:ascii="仿宋" w:hAnsi="仿宋" w:eastAsia="仿宋" w:cs="仿宋"/>
          <w:sz w:val="32"/>
          <w:szCs w:val="32"/>
          <w:highlight w:val="none"/>
        </w:rPr>
        <w:t xml:space="preserve"> </w:t>
      </w:r>
      <w:r>
        <w:rPr>
          <w:rFonts w:ascii="仿宋" w:hAnsi="仿宋" w:eastAsia="仿宋" w:cs="仿宋"/>
          <w:sz w:val="32"/>
          <w:szCs w:val="32"/>
          <w:highlight w:val="none"/>
        </w:rPr>
        <w:br w:type="textWrapping"/>
      </w:r>
      <w:r>
        <w:rPr>
          <w:highlight w:val="none"/>
        </w:rPr>
        <w:drawing>
          <wp:inline distT="0" distB="0" distL="0" distR="0">
            <wp:extent cx="5086350" cy="2886075"/>
            <wp:effectExtent l="0" t="0" r="0" b="9525"/>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5086350" cy="2886075"/>
                    </a:xfrm>
                    <a:prstGeom prst="rect">
                      <a:avLst/>
                    </a:prstGeom>
                    <a:noFill/>
                    <a:ln>
                      <a:noFill/>
                    </a:ln>
                  </pic:spPr>
                </pic:pic>
              </a:graphicData>
            </a:graphic>
          </wp:inline>
        </w:drawing>
      </w:r>
    </w:p>
    <w:p w14:paraId="68C4340B">
      <w:pPr>
        <w:pStyle w:val="3"/>
        <w:ind w:firstLine="448"/>
        <w:rPr>
          <w:rFonts w:hint="eastAsia" w:ascii="仿宋" w:hAnsi="仿宋" w:eastAsia="仿宋" w:cs="仿宋"/>
          <w:sz w:val="32"/>
          <w:highlight w:val="none"/>
        </w:rPr>
      </w:pPr>
      <w:r>
        <w:rPr>
          <w:rFonts w:hint="eastAsia" w:ascii="仿宋" w:hAnsi="仿宋" w:eastAsia="仿宋" w:cs="仿宋"/>
          <w:sz w:val="32"/>
          <w:highlight w:val="none"/>
          <w:lang w:val="en-US" w:eastAsia="zh-CN"/>
        </w:rPr>
        <w:t>10</w:t>
      </w:r>
      <w:r>
        <w:rPr>
          <w:rFonts w:ascii="仿宋" w:hAnsi="仿宋" w:eastAsia="仿宋" w:cs="仿宋"/>
          <w:sz w:val="32"/>
          <w:highlight w:val="none"/>
        </w:rPr>
        <w:t>、</w:t>
      </w:r>
      <w:r>
        <w:rPr>
          <w:rFonts w:hint="eastAsia" w:ascii="仿宋" w:hAnsi="仿宋" w:eastAsia="仿宋" w:cs="仿宋"/>
          <w:sz w:val="32"/>
          <w:highlight w:val="none"/>
          <w:lang w:val="en-US" w:eastAsia="zh-CN"/>
        </w:rPr>
        <w:t>政务云</w:t>
      </w:r>
      <w:r>
        <w:rPr>
          <w:rFonts w:ascii="仿宋" w:hAnsi="仿宋" w:eastAsia="仿宋" w:cs="仿宋"/>
          <w:sz w:val="32"/>
          <w:highlight w:val="none"/>
        </w:rPr>
        <w:t>要求</w:t>
      </w:r>
    </w:p>
    <w:p w14:paraId="3297B93C">
      <w:pPr>
        <w:ind w:firstLine="420" w:firstLineChars="0"/>
        <w:rPr>
          <w:rFonts w:hint="eastAsia" w:ascii="仿宋" w:hAnsi="仿宋" w:eastAsia="仿宋" w:cs="仿宋"/>
          <w:b/>
          <w:bCs/>
          <w:sz w:val="32"/>
          <w:szCs w:val="32"/>
          <w:highlight w:val="none"/>
        </w:rPr>
      </w:pPr>
      <w:r>
        <w:rPr>
          <w:rFonts w:hint="eastAsia" w:ascii="仿宋" w:hAnsi="仿宋" w:eastAsia="仿宋" w:cs="仿宋"/>
          <w:b/>
          <w:bCs/>
          <w:sz w:val="32"/>
          <w:szCs w:val="32"/>
          <w:highlight w:val="none"/>
        </w:rPr>
        <w:t>基础要求</w:t>
      </w:r>
    </w:p>
    <w:p w14:paraId="47A52B7B">
      <w:pPr>
        <w:numPr>
          <w:ilvl w:val="0"/>
          <w:numId w:val="1"/>
        </w:numPr>
        <w:ind w:firstLine="420" w:firstLineChars="0"/>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项目提供云资源须为天津市市级政务云资源。</w:t>
      </w:r>
    </w:p>
    <w:p w14:paraId="3A0A8AF1">
      <w:pPr>
        <w:ind w:firstLine="420" w:firstLineChars="0"/>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rPr>
        <w:t>云主机之间须可做到隔离保护，其中任何一个云主机发生故障都不应影响同一个宿主机上的其他云主机的正常运行，每个云主机上的用户权限只限于本机之内；云主机须可实现物理机的全部功能，如具有内存、CPU、网卡、存储等资源，可以指定单独的IP地址、MAC地址等；当云主机操作系统出现故障时，支持自动重启或者迁移该云主机，保障业务连续性；多台宿主机可以组成虚拟化集群，集群内的物理机数量可以按需扩展。</w:t>
      </w:r>
    </w:p>
    <w:p w14:paraId="0E0A336E">
      <w:pPr>
        <w:ind w:firstLine="420" w:firstLineChars="0"/>
        <w:rPr>
          <w:rFonts w:hint="default"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计算资源要求</w:t>
      </w:r>
    </w:p>
    <w:p w14:paraId="5A0EFD63">
      <w:pPr>
        <w:ind w:firstLine="420" w:firstLineChars="0"/>
        <w:rPr>
          <w:rFonts w:hint="eastAsia" w:ascii="仿宋" w:hAnsi="仿宋" w:eastAsia="仿宋" w:cs="仿宋"/>
          <w:sz w:val="32"/>
          <w:szCs w:val="32"/>
          <w:highlight w:val="none"/>
        </w:rPr>
      </w:pPr>
      <w:r>
        <w:rPr>
          <w:rFonts w:hint="eastAsia" w:ascii="仿宋" w:hAnsi="仿宋" w:eastAsia="仿宋" w:cs="仿宋"/>
          <w:sz w:val="32"/>
          <w:szCs w:val="32"/>
          <w:highlight w:val="none"/>
        </w:rPr>
        <w:t>须提供灵活的云服务器配置规格，用户可根据业务需要，随时创建并使用云服务器，可实现分钟级按需交付；创建时可选择实例规格、操作系统、系统盘、数据盘、专有网络VPC、安全组、弹性公网IP，可设置云服务器的实例名称、登录密码；支持手动设置私网IP；支持使用自定义私有镜像、公共镜像、共享镜像或市场镜像；支持多台云服务器创建在不同的宿主机上；用户可以根据自身业务需求进行升配及降配；支持用户对单台、多台云服务器进行开机、关机、重启、重置密码等操作；支持对云服务器克隆；提供网卡管理功能；提供安全组管理功能；提供镜像管理功能；支持查看云服务器的CPU使用率、内存使用率、内存使用量、磁盘使用率、磁盘使用量、磁盘读/写带宽、磁盘读/写IOPS、读写等待时间、流入/流出速率监控信息、丢包率、丢包数、TCP连接数等信息。</w:t>
      </w:r>
    </w:p>
    <w:p w14:paraId="07189290">
      <w:pPr>
        <w:ind w:firstLine="420" w:firstLineChars="0"/>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存储资源要求</w:t>
      </w:r>
    </w:p>
    <w:p w14:paraId="75B2CD81">
      <w:pPr>
        <w:ind w:firstLine="420" w:firstLineChars="0"/>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用户可以将单独创建的数据盘挂载到云主机上；用户可以将数据盘从云主机上卸载下来；当云盘容量不满足业务需要时，用户可进行弹性扩容；用户可以创建快照进行数据保护；用户可查看读写IOPS、吞吐量、时延等基本性能监控信息；用户可查看操作日志，包括操作类型、操作人、操作结果、操作时间；支持创建备份策略，创建时可以选择备份周期、备份时间点和备份副本保留规则；备份策略创建完成后可以修改；支持删除备份策略。</w:t>
      </w:r>
    </w:p>
    <w:p w14:paraId="1B740537">
      <w:pPr>
        <w:ind w:firstLine="420" w:firstLineChars="0"/>
        <w:rPr>
          <w:rFonts w:hint="default"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网络资源要求</w:t>
      </w:r>
    </w:p>
    <w:p w14:paraId="02FE24CC">
      <w:pPr>
        <w:numPr>
          <w:ilvl w:val="0"/>
          <w:numId w:val="2"/>
        </w:numPr>
        <w:ind w:firstLine="420" w:firstLineChars="0"/>
        <w:rPr>
          <w:rFonts w:hint="default"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须提供专有网络VPC，支持在线创建、删除专有网络VPC，支持对创建的专有网络进行查看、重命名操作；支持通过专有网络VPC的对基本云资源和网络资源进行划分隔离；支持添加自定义路由条目；支持已创建单栈子网开启IPv6双栈；支持网络ACL；支持虚拟IP；每个VPC可创建一个路由器，对应一个路由表。</w:t>
      </w:r>
    </w:p>
    <w:p w14:paraId="60596B26">
      <w:pPr>
        <w:numPr>
          <w:ilvl w:val="0"/>
          <w:numId w:val="2"/>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须提供弹性公网IP，支持弹性公网IP的创建、退订、查询；支持弹性公网IP绑定以及解绑云服务器、裸金属服务器以及负载均衡；支持IPv4、IPv6，支持最大带宽值不小于1Gbps；支持对弹性公网IP公网流入速率以及流出速率的监控。</w:t>
      </w:r>
    </w:p>
    <w:p w14:paraId="442825F0">
      <w:pPr>
        <w:numPr>
          <w:ilvl w:val="0"/>
          <w:numId w:val="0"/>
        </w:numPr>
        <w:ind w:firstLine="420" w:firstLineChars="0"/>
        <w:rPr>
          <w:rFonts w:hint="default"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安全资源要求</w:t>
      </w:r>
    </w:p>
    <w:p w14:paraId="00A71071">
      <w:pPr>
        <w:numPr>
          <w:ilvl w:val="0"/>
          <w:numId w:val="3"/>
        </w:numPr>
        <w:ind w:firstLine="420" w:firstLineChars="0"/>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提供云防火墙，包括精细化访问控制、高效威胁防护和高级威胁检测等功能。</w:t>
      </w:r>
    </w:p>
    <w:p w14:paraId="1C5B6B82">
      <w:pPr>
        <w:numPr>
          <w:ilvl w:val="0"/>
          <w:numId w:val="3"/>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提供云Web应用防火墙，包括注入攻击防护，跨站脚本攻击（钓鱼攻击）防护，网页木马防护，信息泄露防护，网络/应用层DOS攻击防护等功能。</w:t>
      </w:r>
    </w:p>
    <w:p w14:paraId="7A77E521">
      <w:pPr>
        <w:numPr>
          <w:ilvl w:val="0"/>
          <w:numId w:val="3"/>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提供云防篡改，可对Web站点目录提供全方位的保护，防止黑客、病毒等对目录中的网页、电子文档、图片等任何类型的文件进行非法篡改和破坏产品。</w:t>
      </w:r>
    </w:p>
    <w:p w14:paraId="11607633">
      <w:pPr>
        <w:numPr>
          <w:ilvl w:val="0"/>
          <w:numId w:val="3"/>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提供云主机安全，包括病毒防御、APT攻击防御、webshell 防御、安全基线核查、防暴力破解、防火墙等功能保护云服务器免遭黑客、病毒的攻击的产品。</w:t>
      </w:r>
    </w:p>
    <w:p w14:paraId="5BC197F7">
      <w:pPr>
        <w:numPr>
          <w:ilvl w:val="0"/>
          <w:numId w:val="3"/>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提供云VPN网关，支持建立IPSec VPN、SSL VPN通道。</w:t>
      </w:r>
    </w:p>
    <w:p w14:paraId="51CDD987">
      <w:pPr>
        <w:numPr>
          <w:ilvl w:val="0"/>
          <w:numId w:val="3"/>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提供云堡垒机，包括资产账号管理、运维操作审计等功能。</w:t>
      </w:r>
    </w:p>
    <w:p w14:paraId="5FF5184A">
      <w:pPr>
        <w:numPr>
          <w:ilvl w:val="0"/>
          <w:numId w:val="3"/>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提供日志审计服务，通过接入用户各节点产生的日志信息，为用户提供日志的安全存储、检索、监测、告警等能力。</w:t>
      </w:r>
    </w:p>
    <w:p w14:paraId="482F000D">
      <w:pPr>
        <w:numPr>
          <w:ilvl w:val="0"/>
          <w:numId w:val="3"/>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提供云数据库审计，可对来自应用系统客户端和DBA对数据库的访问行为进行全面审计，对SQL注入、危险操作进行记录和实时预警。</w:t>
      </w:r>
    </w:p>
    <w:p w14:paraId="5A0155F9">
      <w:pPr>
        <w:numPr>
          <w:ilvl w:val="0"/>
          <w:numId w:val="3"/>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提供漏洞扫描，包括资产管理、系统漏扫、网站漏扫、数据库漏扫、弱口令扫描、实时在线的网站监控预警、等级保护检查评估等功能。</w:t>
      </w:r>
    </w:p>
    <w:p w14:paraId="135B0691">
      <w:pPr>
        <w:numPr>
          <w:ilvl w:val="0"/>
          <w:numId w:val="3"/>
        </w:numPr>
        <w:ind w:firstLine="420" w:firstLineChars="0"/>
        <w:rPr>
          <w:rFonts w:hint="default" w:ascii="仿宋" w:hAnsi="仿宋" w:eastAsia="仿宋" w:cs="仿宋"/>
          <w:b w:val="0"/>
          <w:bCs w:val="0"/>
          <w:sz w:val="32"/>
          <w:szCs w:val="32"/>
          <w:highlight w:val="none"/>
          <w:lang w:val="en-US" w:eastAsia="zh-CN"/>
        </w:rPr>
      </w:pPr>
      <w:r>
        <w:rPr>
          <w:rFonts w:hint="default" w:ascii="仿宋" w:hAnsi="仿宋" w:eastAsia="仿宋" w:cs="仿宋"/>
          <w:b w:val="0"/>
          <w:bCs w:val="0"/>
          <w:sz w:val="32"/>
          <w:szCs w:val="32"/>
          <w:highlight w:val="none"/>
          <w:lang w:val="en-US" w:eastAsia="zh-CN"/>
        </w:rPr>
        <w:t>提供基于国产密码标准体系和密码管理体系密码服务套餐，</w:t>
      </w:r>
      <w:r>
        <w:rPr>
          <w:rFonts w:hint="eastAsia" w:ascii="仿宋" w:hAnsi="仿宋" w:eastAsia="仿宋" w:cs="仿宋"/>
          <w:b w:val="0"/>
          <w:bCs w:val="0"/>
          <w:sz w:val="32"/>
          <w:szCs w:val="32"/>
          <w:highlight w:val="none"/>
          <w:lang w:val="en-US" w:eastAsia="zh-CN"/>
        </w:rPr>
        <w:t>包括</w:t>
      </w:r>
      <w:r>
        <w:rPr>
          <w:rFonts w:hint="default" w:ascii="仿宋" w:hAnsi="仿宋" w:eastAsia="仿宋" w:cs="仿宋"/>
          <w:b w:val="0"/>
          <w:bCs w:val="0"/>
          <w:sz w:val="32"/>
          <w:szCs w:val="32"/>
          <w:highlight w:val="none"/>
          <w:lang w:val="en-US" w:eastAsia="zh-CN"/>
        </w:rPr>
        <w:t>云密码机、签名验签、时间戳、密钥管理、CA数字证书认证、移动端数据安全、国密VPN、数据库加密、隧道加密、电子签章等服务</w:t>
      </w:r>
      <w:r>
        <w:rPr>
          <w:rFonts w:hint="eastAsia" w:ascii="仿宋" w:hAnsi="仿宋" w:eastAsia="仿宋" w:cs="仿宋"/>
          <w:b w:val="0"/>
          <w:bCs w:val="0"/>
          <w:sz w:val="32"/>
          <w:szCs w:val="32"/>
          <w:highlight w:val="none"/>
          <w:lang w:val="en-US" w:eastAsia="zh-CN"/>
        </w:rPr>
        <w:t>。</w:t>
      </w:r>
    </w:p>
    <w:p w14:paraId="45098CE4">
      <w:pPr>
        <w:pStyle w:val="3"/>
        <w:numPr>
          <w:ilvl w:val="0"/>
          <w:numId w:val="4"/>
        </w:numPr>
        <w:ind w:firstLine="448"/>
        <w:rPr>
          <w:rFonts w:ascii="仿宋" w:hAnsi="仿宋" w:eastAsia="仿宋" w:cs="仿宋"/>
          <w:sz w:val="32"/>
          <w:highlight w:val="none"/>
        </w:rPr>
      </w:pPr>
      <w:r>
        <w:rPr>
          <w:rFonts w:hint="eastAsia" w:ascii="仿宋" w:hAnsi="仿宋" w:eastAsia="仿宋" w:cs="仿宋"/>
          <w:sz w:val="32"/>
          <w:highlight w:val="none"/>
          <w:lang w:val="en-US" w:eastAsia="zh-CN"/>
        </w:rPr>
        <w:t>敏感数据区服务</w:t>
      </w:r>
      <w:r>
        <w:rPr>
          <w:rFonts w:ascii="仿宋" w:hAnsi="仿宋" w:eastAsia="仿宋" w:cs="仿宋"/>
          <w:sz w:val="32"/>
          <w:highlight w:val="none"/>
        </w:rPr>
        <w:t>要求</w:t>
      </w:r>
    </w:p>
    <w:p w14:paraId="23AF7061">
      <w:pPr>
        <w:pStyle w:val="29"/>
        <w:keepNext w:val="0"/>
        <w:keepLines w:val="0"/>
        <w:pageBreakBefore w:val="0"/>
        <w:widowControl w:val="0"/>
        <w:numPr>
          <w:ilvl w:val="0"/>
          <w:numId w:val="0"/>
        </w:numPr>
        <w:kinsoku/>
        <w:wordWrap/>
        <w:overflowPunct/>
        <w:topLinePunct w:val="0"/>
        <w:autoSpaceDE/>
        <w:autoSpaceDN/>
        <w:bidi w:val="0"/>
        <w:adjustRightInd/>
        <w:snapToGrid/>
        <w:spacing w:before="120" w:after="60" w:line="360" w:lineRule="auto"/>
        <w:ind w:firstLine="420" w:firstLineChars="0"/>
        <w:jc w:val="both"/>
        <w:textAlignment w:val="auto"/>
        <w:rPr>
          <w:rFonts w:hint="default"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天津市教育数据平台中包含大量教育系统敏感数据，针对此类数据需要进行本地化存储部署。因此本项目需进行敏感数据区私有云服务采购，内容包含国产化服务器、基础软件、等保相关设备、密改相关设备、国产化数据库等，并针对相关内容在天津市教委机房中进行本地化部署，提供配套改造工作。</w:t>
      </w:r>
    </w:p>
    <w:p w14:paraId="2BE47674">
      <w:pPr>
        <w:ind w:firstLine="446"/>
        <w:rPr>
          <w:rFonts w:hint="default" w:eastAsia="宋体"/>
          <w:highlight w:val="none"/>
          <w:lang w:val="en-US" w:eastAsia="zh-CN"/>
        </w:rPr>
      </w:pPr>
    </w:p>
    <w:p w14:paraId="3BD49032">
      <w:pPr>
        <w:pStyle w:val="3"/>
        <w:ind w:firstLine="448"/>
        <w:rPr>
          <w:rFonts w:hint="eastAsia" w:ascii="仿宋" w:hAnsi="仿宋" w:eastAsia="仿宋" w:cs="仿宋"/>
          <w:sz w:val="32"/>
          <w:highlight w:val="none"/>
        </w:rPr>
      </w:pPr>
      <w:r>
        <w:rPr>
          <w:rFonts w:hint="eastAsia" w:ascii="仿宋" w:hAnsi="仿宋" w:eastAsia="仿宋" w:cs="仿宋"/>
          <w:sz w:val="32"/>
          <w:highlight w:val="none"/>
          <w:lang w:val="en-US" w:eastAsia="zh-CN"/>
        </w:rPr>
        <w:t>12</w:t>
      </w:r>
      <w:r>
        <w:rPr>
          <w:rFonts w:ascii="仿宋" w:hAnsi="仿宋" w:eastAsia="仿宋" w:cs="仿宋"/>
          <w:sz w:val="32"/>
          <w:highlight w:val="none"/>
        </w:rPr>
        <w:t>、采购清单</w:t>
      </w:r>
    </w:p>
    <w:p w14:paraId="64AC9D36">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本项目重点建设天津市教育数据平台，包含数据仓库、教育数据管理平台、教育数据应用等模块。其中，数据仓库包括教育数据原始库、标准库和主题库；教育数据管理平台包括教育数据集成、教育数据治理、教育数据共享、教育数据运维管理、教育数据指标管理、数据可视化报表、教育数据</w:t>
      </w:r>
      <w:r>
        <w:rPr>
          <w:rFonts w:ascii="仿宋" w:hAnsi="仿宋" w:eastAsia="仿宋" w:cs="仿宋"/>
          <w:sz w:val="32"/>
          <w:szCs w:val="32"/>
          <w:highlight w:val="none"/>
        </w:rPr>
        <w:t xml:space="preserve"> GIS</w:t>
      </w:r>
      <w:r>
        <w:rPr>
          <w:rFonts w:hint="eastAsia" w:ascii="仿宋" w:hAnsi="仿宋" w:eastAsia="仿宋" w:cs="仿宋"/>
          <w:sz w:val="32"/>
          <w:szCs w:val="32"/>
          <w:highlight w:val="none"/>
        </w:rPr>
        <w:t>地图、教育智能填报等</w:t>
      </w:r>
      <w:r>
        <w:rPr>
          <w:rFonts w:ascii="仿宋" w:hAnsi="仿宋" w:eastAsia="仿宋" w:cs="仿宋"/>
          <w:sz w:val="32"/>
          <w:szCs w:val="32"/>
          <w:highlight w:val="none"/>
        </w:rPr>
        <w:t>8</w:t>
      </w:r>
      <w:r>
        <w:rPr>
          <w:rFonts w:hint="eastAsia" w:ascii="仿宋" w:hAnsi="仿宋" w:eastAsia="仿宋" w:cs="仿宋"/>
          <w:sz w:val="32"/>
          <w:szCs w:val="32"/>
          <w:highlight w:val="none"/>
        </w:rPr>
        <w:t>个子模块；教育数据应用包括教育管理业务平台、教育服务业务平台、教育资源业务平台、全息画像业务平台、分析决策业务平台等</w:t>
      </w:r>
      <w:r>
        <w:rPr>
          <w:rFonts w:ascii="仿宋" w:hAnsi="仿宋" w:eastAsia="仿宋" w:cs="仿宋"/>
          <w:sz w:val="32"/>
          <w:szCs w:val="32"/>
          <w:highlight w:val="none"/>
        </w:rPr>
        <w:t>5</w:t>
      </w:r>
      <w:r>
        <w:rPr>
          <w:rFonts w:hint="eastAsia" w:ascii="仿宋" w:hAnsi="仿宋" w:eastAsia="仿宋" w:cs="仿宋"/>
          <w:sz w:val="32"/>
          <w:szCs w:val="32"/>
          <w:highlight w:val="none"/>
        </w:rPr>
        <w:t>个教育业务平台，以及天津市</w:t>
      </w:r>
      <w:r>
        <w:rPr>
          <w:rFonts w:ascii="仿宋" w:hAnsi="仿宋" w:eastAsia="仿宋" w:cs="仿宋"/>
          <w:sz w:val="32"/>
          <w:szCs w:val="32"/>
          <w:highlight w:val="none"/>
        </w:rPr>
        <w:t>GIS</w:t>
      </w:r>
      <w:r>
        <w:rPr>
          <w:rFonts w:hint="eastAsia" w:ascii="仿宋" w:hAnsi="仿宋" w:eastAsia="仿宋" w:cs="仿宋"/>
          <w:sz w:val="32"/>
          <w:szCs w:val="32"/>
          <w:highlight w:val="none"/>
        </w:rPr>
        <w:t>学情分布、学术资源统计、</w:t>
      </w:r>
      <w:r>
        <w:rPr>
          <w:rFonts w:ascii="仿宋" w:hAnsi="仿宋" w:eastAsia="仿宋" w:cs="仿宋"/>
          <w:sz w:val="32"/>
          <w:szCs w:val="32"/>
          <w:highlight w:val="none"/>
        </w:rPr>
        <w:t>AI</w:t>
      </w:r>
      <w:r>
        <w:rPr>
          <w:rFonts w:hint="eastAsia" w:ascii="仿宋" w:hAnsi="仿宋" w:eastAsia="仿宋" w:cs="仿宋"/>
          <w:sz w:val="32"/>
          <w:szCs w:val="32"/>
          <w:highlight w:val="none"/>
        </w:rPr>
        <w:t>教育政策问答、师生画像和财务资产统计分析等</w:t>
      </w:r>
      <w:r>
        <w:rPr>
          <w:rFonts w:ascii="仿宋" w:hAnsi="仿宋" w:eastAsia="仿宋" w:cs="仿宋"/>
          <w:sz w:val="32"/>
          <w:szCs w:val="32"/>
          <w:highlight w:val="none"/>
        </w:rPr>
        <w:t>5</w:t>
      </w:r>
      <w:r>
        <w:rPr>
          <w:rFonts w:hint="eastAsia" w:ascii="仿宋" w:hAnsi="仿宋" w:eastAsia="仿宋" w:cs="仿宋"/>
          <w:sz w:val="32"/>
          <w:szCs w:val="32"/>
          <w:highlight w:val="none"/>
        </w:rPr>
        <w:t>个数据应用场景。此外，本次建设的天津市教育数据平台在日常使用中涉及业务数据常态化采集、敏感教育数据传输以及市级数据共享交换，为了确保平台的正常运行与数据的安全保障，本项目将配套</w:t>
      </w:r>
      <w:r>
        <w:rPr>
          <w:rFonts w:hint="eastAsia" w:ascii="仿宋" w:hAnsi="仿宋" w:eastAsia="仿宋" w:cs="仿宋"/>
          <w:sz w:val="32"/>
          <w:szCs w:val="32"/>
          <w:highlight w:val="none"/>
          <w:lang w:val="en-US" w:eastAsia="zh-CN"/>
        </w:rPr>
        <w:t>租用政务云服务、采购本地敏感数据区服务并配套</w:t>
      </w:r>
      <w:r>
        <w:rPr>
          <w:rFonts w:hint="eastAsia" w:ascii="仿宋" w:hAnsi="仿宋" w:eastAsia="仿宋" w:cs="仿宋"/>
          <w:sz w:val="32"/>
          <w:szCs w:val="32"/>
          <w:highlight w:val="none"/>
        </w:rPr>
        <w:t>建设</w:t>
      </w:r>
      <w:r>
        <w:rPr>
          <w:rFonts w:ascii="仿宋" w:hAnsi="仿宋" w:eastAsia="仿宋" w:cs="仿宋"/>
          <w:sz w:val="32"/>
          <w:szCs w:val="32"/>
          <w:highlight w:val="none"/>
        </w:rPr>
        <w:t>3</w:t>
      </w:r>
      <w:r>
        <w:rPr>
          <w:rFonts w:hint="eastAsia" w:ascii="仿宋" w:hAnsi="仿宋" w:eastAsia="仿宋" w:cs="仿宋"/>
          <w:sz w:val="32"/>
          <w:szCs w:val="32"/>
          <w:highlight w:val="none"/>
        </w:rPr>
        <w:t>条网络专线，分别用于支撑上述的业务数据采集、敏感数据传输</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数据共享交换</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平台运行基础环境以及敏感数据存储</w:t>
      </w:r>
      <w:r>
        <w:rPr>
          <w:rFonts w:hint="eastAsia" w:ascii="仿宋" w:hAnsi="仿宋" w:eastAsia="仿宋" w:cs="仿宋"/>
          <w:sz w:val="32"/>
          <w:szCs w:val="32"/>
          <w:highlight w:val="none"/>
        </w:rPr>
        <w:t>。</w:t>
      </w:r>
    </w:p>
    <w:p w14:paraId="4D1812A8">
      <w:pPr>
        <w:pStyle w:val="4"/>
        <w:ind w:firstLine="446"/>
        <w:rPr>
          <w:rFonts w:hint="eastAsia" w:ascii="仿宋" w:hAnsi="仿宋" w:eastAsia="仿宋" w:cs="仿宋"/>
          <w:b w:val="0"/>
          <w:bCs/>
          <w:sz w:val="32"/>
          <w:szCs w:val="32"/>
          <w:highlight w:val="none"/>
        </w:rPr>
      </w:pPr>
      <w:r>
        <w:rPr>
          <w:rFonts w:ascii="仿宋" w:hAnsi="仿宋" w:eastAsia="仿宋" w:cs="仿宋"/>
          <w:b w:val="0"/>
          <w:bCs/>
          <w:sz w:val="32"/>
          <w:szCs w:val="32"/>
          <w:highlight w:val="none"/>
        </w:rPr>
        <w:t xml:space="preserve">10.1 </w:t>
      </w:r>
      <w:r>
        <w:rPr>
          <w:rFonts w:hint="eastAsia" w:ascii="仿宋" w:hAnsi="仿宋" w:eastAsia="仿宋" w:cs="仿宋"/>
          <w:b w:val="0"/>
          <w:bCs/>
          <w:sz w:val="32"/>
          <w:szCs w:val="32"/>
          <w:highlight w:val="none"/>
        </w:rPr>
        <w:t>建设数据仓库</w:t>
      </w:r>
    </w:p>
    <w:tbl>
      <w:tblPr>
        <w:tblStyle w:val="1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1"/>
        <w:gridCol w:w="571"/>
        <w:gridCol w:w="2953"/>
        <w:gridCol w:w="910"/>
        <w:gridCol w:w="2910"/>
        <w:gridCol w:w="652"/>
        <w:gridCol w:w="490"/>
      </w:tblGrid>
      <w:tr w14:paraId="2054F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315" w:type="pct"/>
            <w:shd w:val="clear" w:color="auto" w:fill="FFFFFF"/>
            <w:vAlign w:val="center"/>
          </w:tcPr>
          <w:p w14:paraId="2F90A268">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序号</w:t>
            </w:r>
          </w:p>
        </w:tc>
        <w:tc>
          <w:tcPr>
            <w:tcW w:w="315" w:type="pct"/>
            <w:shd w:val="clear" w:color="auto" w:fill="FFFFFF"/>
            <w:vAlign w:val="center"/>
          </w:tcPr>
          <w:p w14:paraId="5AB32E6C">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大类</w:t>
            </w:r>
          </w:p>
        </w:tc>
        <w:tc>
          <w:tcPr>
            <w:tcW w:w="1630" w:type="pct"/>
            <w:shd w:val="clear" w:color="auto" w:fill="FFFFFF"/>
            <w:vAlign w:val="center"/>
          </w:tcPr>
          <w:p w14:paraId="2708B961">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模块</w:t>
            </w:r>
          </w:p>
        </w:tc>
        <w:tc>
          <w:tcPr>
            <w:tcW w:w="502" w:type="pct"/>
            <w:shd w:val="clear" w:color="auto" w:fill="FFFFFF"/>
            <w:vAlign w:val="center"/>
          </w:tcPr>
          <w:p w14:paraId="14BC9768">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一级功能</w:t>
            </w:r>
          </w:p>
        </w:tc>
        <w:tc>
          <w:tcPr>
            <w:tcW w:w="1606" w:type="pct"/>
            <w:shd w:val="clear" w:color="auto" w:fill="FFFFFF"/>
            <w:vAlign w:val="center"/>
          </w:tcPr>
          <w:p w14:paraId="22092A1B">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技术参数</w:t>
            </w:r>
          </w:p>
        </w:tc>
        <w:tc>
          <w:tcPr>
            <w:tcW w:w="360" w:type="pct"/>
            <w:vAlign w:val="center"/>
          </w:tcPr>
          <w:p w14:paraId="54A0FF8F">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数量</w:t>
            </w:r>
          </w:p>
        </w:tc>
        <w:tc>
          <w:tcPr>
            <w:tcW w:w="271" w:type="pct"/>
            <w:vAlign w:val="center"/>
          </w:tcPr>
          <w:p w14:paraId="3F79022B">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单位</w:t>
            </w:r>
          </w:p>
        </w:tc>
      </w:tr>
      <w:tr w14:paraId="53A01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75A3155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15" w:type="pct"/>
            <w:vMerge w:val="restart"/>
            <w:shd w:val="clear" w:color="auto" w:fill="auto"/>
            <w:vAlign w:val="center"/>
          </w:tcPr>
          <w:p w14:paraId="0C7760D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建设数据仓库需求</w:t>
            </w:r>
          </w:p>
        </w:tc>
        <w:tc>
          <w:tcPr>
            <w:tcW w:w="1630" w:type="pct"/>
            <w:vMerge w:val="restart"/>
            <w:shd w:val="clear" w:color="auto" w:fill="FFFFFF"/>
            <w:vAlign w:val="center"/>
          </w:tcPr>
          <w:p w14:paraId="5AC9BEB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建立教育数据原始库</w:t>
            </w:r>
          </w:p>
        </w:tc>
        <w:tc>
          <w:tcPr>
            <w:tcW w:w="502" w:type="pct"/>
            <w:shd w:val="clear" w:color="auto" w:fill="FFFFFF"/>
            <w:vAlign w:val="center"/>
          </w:tcPr>
          <w:p w14:paraId="08A734D3">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建立原始库</w:t>
            </w:r>
          </w:p>
        </w:tc>
        <w:tc>
          <w:tcPr>
            <w:tcW w:w="1606" w:type="pct"/>
            <w:shd w:val="clear" w:color="auto" w:fill="FFFFFF"/>
            <w:vAlign w:val="center"/>
          </w:tcPr>
          <w:p w14:paraId="11A2462A">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1.需保持原始库数据结构与数据源的一致性，按照各类教育单位建设各类原始库。</w:t>
            </w:r>
          </w:p>
        </w:tc>
        <w:tc>
          <w:tcPr>
            <w:tcW w:w="360" w:type="pct"/>
            <w:vAlign w:val="center"/>
          </w:tcPr>
          <w:p w14:paraId="196A85F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26A2EE6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46E72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409DCF9B">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w:t>
            </w:r>
          </w:p>
        </w:tc>
        <w:tc>
          <w:tcPr>
            <w:tcW w:w="315" w:type="pct"/>
            <w:vMerge w:val="continue"/>
            <w:shd w:val="clear" w:color="auto" w:fill="auto"/>
            <w:vAlign w:val="center"/>
          </w:tcPr>
          <w:p w14:paraId="01323B8A">
            <w:pPr>
              <w:jc w:val="center"/>
              <w:rPr>
                <w:rFonts w:hint="eastAsia" w:ascii="仿宋" w:hAnsi="仿宋" w:eastAsia="仿宋" w:cs="仿宋"/>
                <w:sz w:val="32"/>
                <w:szCs w:val="32"/>
                <w:highlight w:val="none"/>
              </w:rPr>
            </w:pPr>
          </w:p>
        </w:tc>
        <w:tc>
          <w:tcPr>
            <w:tcW w:w="1630" w:type="pct"/>
            <w:vMerge w:val="continue"/>
            <w:shd w:val="clear" w:color="auto" w:fill="FFFFFF"/>
            <w:vAlign w:val="center"/>
          </w:tcPr>
          <w:p w14:paraId="7F22C285">
            <w:pPr>
              <w:jc w:val="center"/>
              <w:rPr>
                <w:rFonts w:hint="eastAsia" w:ascii="仿宋" w:hAnsi="仿宋" w:eastAsia="仿宋" w:cs="仿宋"/>
                <w:sz w:val="32"/>
                <w:szCs w:val="32"/>
                <w:highlight w:val="none"/>
              </w:rPr>
            </w:pPr>
          </w:p>
        </w:tc>
        <w:tc>
          <w:tcPr>
            <w:tcW w:w="502" w:type="pct"/>
            <w:shd w:val="clear" w:color="auto" w:fill="FFFFFF"/>
            <w:vAlign w:val="center"/>
          </w:tcPr>
          <w:p w14:paraId="738D5AA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基础教育</w:t>
            </w:r>
          </w:p>
        </w:tc>
        <w:tc>
          <w:tcPr>
            <w:tcW w:w="1606" w:type="pct"/>
            <w:shd w:val="clear" w:color="auto" w:fill="FFFFFF"/>
            <w:vAlign w:val="center"/>
          </w:tcPr>
          <w:p w14:paraId="10DBCB75">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2.需支持建立学校基本信息、办学条件建筑信息、学前教育机构办学条件等数据表。</w:t>
            </w:r>
          </w:p>
        </w:tc>
        <w:tc>
          <w:tcPr>
            <w:tcW w:w="360" w:type="pct"/>
            <w:vAlign w:val="center"/>
          </w:tcPr>
          <w:p w14:paraId="5B18F4A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676FCBB7">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54D4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2D94E979">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w:t>
            </w:r>
          </w:p>
        </w:tc>
        <w:tc>
          <w:tcPr>
            <w:tcW w:w="315" w:type="pct"/>
            <w:vMerge w:val="continue"/>
            <w:shd w:val="clear" w:color="auto" w:fill="auto"/>
            <w:vAlign w:val="center"/>
          </w:tcPr>
          <w:p w14:paraId="44CD879F">
            <w:pPr>
              <w:jc w:val="center"/>
              <w:rPr>
                <w:rFonts w:hint="eastAsia" w:ascii="仿宋" w:hAnsi="仿宋" w:eastAsia="仿宋" w:cs="仿宋"/>
                <w:sz w:val="32"/>
                <w:szCs w:val="32"/>
                <w:highlight w:val="none"/>
              </w:rPr>
            </w:pPr>
          </w:p>
        </w:tc>
        <w:tc>
          <w:tcPr>
            <w:tcW w:w="1630" w:type="pct"/>
            <w:vMerge w:val="continue"/>
            <w:shd w:val="clear" w:color="auto" w:fill="FFFFFF"/>
            <w:vAlign w:val="center"/>
          </w:tcPr>
          <w:p w14:paraId="1BD8AF3D">
            <w:pPr>
              <w:jc w:val="center"/>
              <w:rPr>
                <w:rFonts w:hint="eastAsia" w:ascii="仿宋" w:hAnsi="仿宋" w:eastAsia="仿宋" w:cs="仿宋"/>
                <w:sz w:val="32"/>
                <w:szCs w:val="32"/>
                <w:highlight w:val="none"/>
              </w:rPr>
            </w:pPr>
          </w:p>
        </w:tc>
        <w:tc>
          <w:tcPr>
            <w:tcW w:w="502" w:type="pct"/>
            <w:shd w:val="clear" w:color="auto" w:fill="FFFFFF"/>
            <w:vAlign w:val="center"/>
          </w:tcPr>
          <w:p w14:paraId="62C76DC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普通本科院校</w:t>
            </w:r>
          </w:p>
        </w:tc>
        <w:tc>
          <w:tcPr>
            <w:tcW w:w="1606" w:type="pct"/>
            <w:shd w:val="clear" w:color="auto" w:fill="FFFFFF"/>
            <w:vAlign w:val="center"/>
          </w:tcPr>
          <w:p w14:paraId="17CB7B75">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3.需支持建立学校基本数据、课程基本数据、课程建设数据等数据表。</w:t>
            </w:r>
          </w:p>
        </w:tc>
        <w:tc>
          <w:tcPr>
            <w:tcW w:w="360" w:type="pct"/>
            <w:vAlign w:val="center"/>
          </w:tcPr>
          <w:p w14:paraId="744BFD4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223FD14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A9CD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00E01BB9">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4</w:t>
            </w:r>
          </w:p>
        </w:tc>
        <w:tc>
          <w:tcPr>
            <w:tcW w:w="315" w:type="pct"/>
            <w:vMerge w:val="continue"/>
            <w:shd w:val="clear" w:color="auto" w:fill="auto"/>
            <w:vAlign w:val="center"/>
          </w:tcPr>
          <w:p w14:paraId="30943C6F">
            <w:pPr>
              <w:jc w:val="center"/>
              <w:rPr>
                <w:rFonts w:hint="eastAsia" w:ascii="仿宋" w:hAnsi="仿宋" w:eastAsia="仿宋" w:cs="仿宋"/>
                <w:sz w:val="32"/>
                <w:szCs w:val="32"/>
                <w:highlight w:val="none"/>
              </w:rPr>
            </w:pPr>
          </w:p>
        </w:tc>
        <w:tc>
          <w:tcPr>
            <w:tcW w:w="1630" w:type="pct"/>
            <w:vMerge w:val="continue"/>
            <w:shd w:val="clear" w:color="auto" w:fill="FFFFFF"/>
            <w:vAlign w:val="center"/>
          </w:tcPr>
          <w:p w14:paraId="41DF38F4">
            <w:pPr>
              <w:jc w:val="center"/>
              <w:rPr>
                <w:rFonts w:hint="eastAsia" w:ascii="仿宋" w:hAnsi="仿宋" w:eastAsia="仿宋" w:cs="仿宋"/>
                <w:sz w:val="32"/>
                <w:szCs w:val="32"/>
                <w:highlight w:val="none"/>
              </w:rPr>
            </w:pPr>
          </w:p>
        </w:tc>
        <w:tc>
          <w:tcPr>
            <w:tcW w:w="502" w:type="pct"/>
            <w:shd w:val="clear" w:color="auto" w:fill="FFFFFF"/>
            <w:vAlign w:val="center"/>
          </w:tcPr>
          <w:p w14:paraId="2B98CAB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职业院校</w:t>
            </w:r>
          </w:p>
        </w:tc>
        <w:tc>
          <w:tcPr>
            <w:tcW w:w="1606" w:type="pct"/>
            <w:shd w:val="clear" w:color="auto" w:fill="FFFFFF"/>
            <w:vAlign w:val="center"/>
          </w:tcPr>
          <w:p w14:paraId="1FA47C3C">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4.需支持建立学校基本数据、课程基本数据、课程建设数据等数据表。</w:t>
            </w:r>
          </w:p>
        </w:tc>
        <w:tc>
          <w:tcPr>
            <w:tcW w:w="360" w:type="pct"/>
            <w:vAlign w:val="center"/>
          </w:tcPr>
          <w:p w14:paraId="043EC96A">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77C1A32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108FA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4E425EE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5</w:t>
            </w:r>
          </w:p>
        </w:tc>
        <w:tc>
          <w:tcPr>
            <w:tcW w:w="315" w:type="pct"/>
            <w:vMerge w:val="continue"/>
            <w:shd w:val="clear" w:color="auto" w:fill="auto"/>
            <w:vAlign w:val="center"/>
          </w:tcPr>
          <w:p w14:paraId="633F287E">
            <w:pPr>
              <w:jc w:val="center"/>
              <w:rPr>
                <w:rFonts w:hint="eastAsia" w:ascii="仿宋" w:hAnsi="仿宋" w:eastAsia="仿宋" w:cs="仿宋"/>
                <w:sz w:val="32"/>
                <w:szCs w:val="32"/>
                <w:highlight w:val="none"/>
              </w:rPr>
            </w:pPr>
          </w:p>
        </w:tc>
        <w:tc>
          <w:tcPr>
            <w:tcW w:w="1630" w:type="pct"/>
            <w:vMerge w:val="continue"/>
            <w:shd w:val="clear" w:color="auto" w:fill="FFFFFF"/>
            <w:vAlign w:val="center"/>
          </w:tcPr>
          <w:p w14:paraId="0901578C">
            <w:pPr>
              <w:jc w:val="center"/>
              <w:rPr>
                <w:rFonts w:hint="eastAsia" w:ascii="仿宋" w:hAnsi="仿宋" w:eastAsia="仿宋" w:cs="仿宋"/>
                <w:sz w:val="32"/>
                <w:szCs w:val="32"/>
                <w:highlight w:val="none"/>
              </w:rPr>
            </w:pPr>
          </w:p>
        </w:tc>
        <w:tc>
          <w:tcPr>
            <w:tcW w:w="502" w:type="pct"/>
            <w:vAlign w:val="center"/>
          </w:tcPr>
          <w:p w14:paraId="13884D4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其他</w:t>
            </w:r>
          </w:p>
        </w:tc>
        <w:tc>
          <w:tcPr>
            <w:tcW w:w="1606" w:type="pct"/>
            <w:vAlign w:val="center"/>
          </w:tcPr>
          <w:p w14:paraId="6F0A930F">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5.需支持建立特殊教育学校情况、特殊教育班数、特殊教育学生数等数据表。</w:t>
            </w:r>
          </w:p>
          <w:p w14:paraId="03B88B9B">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6.提供原始库的数据条数变化趋势。</w:t>
            </w:r>
          </w:p>
        </w:tc>
        <w:tc>
          <w:tcPr>
            <w:tcW w:w="360" w:type="pct"/>
            <w:vAlign w:val="center"/>
          </w:tcPr>
          <w:p w14:paraId="59D0752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2D2C1E3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F97E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315" w:type="pct"/>
            <w:shd w:val="clear" w:color="auto" w:fill="FFFFFF"/>
            <w:vAlign w:val="center"/>
          </w:tcPr>
          <w:p w14:paraId="734A7A3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w:t>
            </w:r>
          </w:p>
        </w:tc>
        <w:tc>
          <w:tcPr>
            <w:tcW w:w="315" w:type="pct"/>
            <w:vMerge w:val="continue"/>
            <w:shd w:val="clear" w:color="auto" w:fill="auto"/>
            <w:vAlign w:val="center"/>
          </w:tcPr>
          <w:p w14:paraId="0B403720">
            <w:pPr>
              <w:jc w:val="center"/>
              <w:rPr>
                <w:rFonts w:hint="eastAsia" w:ascii="仿宋" w:hAnsi="仿宋" w:eastAsia="仿宋" w:cs="仿宋"/>
                <w:sz w:val="32"/>
                <w:szCs w:val="32"/>
                <w:highlight w:val="none"/>
              </w:rPr>
            </w:pPr>
          </w:p>
        </w:tc>
        <w:tc>
          <w:tcPr>
            <w:tcW w:w="1630" w:type="pct"/>
            <w:vMerge w:val="restart"/>
            <w:shd w:val="clear" w:color="auto" w:fill="auto"/>
            <w:vAlign w:val="center"/>
          </w:tcPr>
          <w:p w14:paraId="398F8CA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建立教育数据标准库</w:t>
            </w:r>
          </w:p>
        </w:tc>
        <w:tc>
          <w:tcPr>
            <w:tcW w:w="502" w:type="pct"/>
            <w:shd w:val="clear" w:color="auto" w:fill="FFFFFF"/>
            <w:vAlign w:val="center"/>
          </w:tcPr>
          <w:p w14:paraId="5314E90B">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建立标准库</w:t>
            </w:r>
          </w:p>
        </w:tc>
        <w:tc>
          <w:tcPr>
            <w:tcW w:w="1606" w:type="pct"/>
            <w:vAlign w:val="center"/>
          </w:tcPr>
          <w:p w14:paraId="643D322C">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7.需支持建立标准库，保持和原始库一样的数据粒度，在原始库的基础上对数据进行清洗、转换、标准化等处理过程后形成的标准数据库。</w:t>
            </w:r>
          </w:p>
        </w:tc>
        <w:tc>
          <w:tcPr>
            <w:tcW w:w="360" w:type="pct"/>
            <w:vAlign w:val="center"/>
          </w:tcPr>
          <w:p w14:paraId="1ABAA066">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04A8177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269AB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41A73B17">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7</w:t>
            </w:r>
          </w:p>
        </w:tc>
        <w:tc>
          <w:tcPr>
            <w:tcW w:w="315" w:type="pct"/>
            <w:vMerge w:val="continue"/>
            <w:vAlign w:val="center"/>
          </w:tcPr>
          <w:p w14:paraId="4792BC78">
            <w:pPr>
              <w:jc w:val="center"/>
              <w:rPr>
                <w:rFonts w:hint="eastAsia" w:ascii="仿宋" w:hAnsi="仿宋" w:eastAsia="仿宋" w:cs="仿宋"/>
                <w:sz w:val="32"/>
                <w:szCs w:val="32"/>
                <w:highlight w:val="none"/>
              </w:rPr>
            </w:pPr>
          </w:p>
        </w:tc>
        <w:tc>
          <w:tcPr>
            <w:tcW w:w="1630" w:type="pct"/>
            <w:vMerge w:val="continue"/>
            <w:vAlign w:val="center"/>
          </w:tcPr>
          <w:p w14:paraId="63551CA3">
            <w:pPr>
              <w:jc w:val="center"/>
              <w:rPr>
                <w:rFonts w:hint="eastAsia" w:ascii="仿宋" w:hAnsi="仿宋" w:eastAsia="仿宋" w:cs="仿宋"/>
                <w:sz w:val="32"/>
                <w:szCs w:val="32"/>
                <w:highlight w:val="none"/>
              </w:rPr>
            </w:pPr>
          </w:p>
        </w:tc>
        <w:tc>
          <w:tcPr>
            <w:tcW w:w="502" w:type="pct"/>
            <w:vAlign w:val="center"/>
          </w:tcPr>
          <w:p w14:paraId="5338794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基础教育</w:t>
            </w:r>
          </w:p>
        </w:tc>
        <w:tc>
          <w:tcPr>
            <w:tcW w:w="1606" w:type="pct"/>
            <w:vAlign w:val="center"/>
          </w:tcPr>
          <w:p w14:paraId="38914706">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8.需支持建立学校（机构）基础信息、教职工基础信息、学生基础信息等标准库。</w:t>
            </w:r>
          </w:p>
        </w:tc>
        <w:tc>
          <w:tcPr>
            <w:tcW w:w="360" w:type="pct"/>
            <w:vAlign w:val="center"/>
          </w:tcPr>
          <w:p w14:paraId="385E8DCB">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1E726BB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4F19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17C8723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8</w:t>
            </w:r>
          </w:p>
        </w:tc>
        <w:tc>
          <w:tcPr>
            <w:tcW w:w="315" w:type="pct"/>
            <w:vMerge w:val="continue"/>
            <w:vAlign w:val="center"/>
          </w:tcPr>
          <w:p w14:paraId="7FD1F16E">
            <w:pPr>
              <w:jc w:val="center"/>
              <w:rPr>
                <w:rFonts w:hint="eastAsia" w:ascii="仿宋" w:hAnsi="仿宋" w:eastAsia="仿宋" w:cs="仿宋"/>
                <w:sz w:val="32"/>
                <w:szCs w:val="32"/>
                <w:highlight w:val="none"/>
              </w:rPr>
            </w:pPr>
          </w:p>
        </w:tc>
        <w:tc>
          <w:tcPr>
            <w:tcW w:w="1630" w:type="pct"/>
            <w:vMerge w:val="continue"/>
            <w:vAlign w:val="center"/>
          </w:tcPr>
          <w:p w14:paraId="3428002C">
            <w:pPr>
              <w:jc w:val="center"/>
              <w:rPr>
                <w:rFonts w:hint="eastAsia" w:ascii="仿宋" w:hAnsi="仿宋" w:eastAsia="仿宋" w:cs="仿宋"/>
                <w:sz w:val="32"/>
                <w:szCs w:val="32"/>
                <w:highlight w:val="none"/>
              </w:rPr>
            </w:pPr>
          </w:p>
        </w:tc>
        <w:tc>
          <w:tcPr>
            <w:tcW w:w="502" w:type="pct"/>
            <w:vAlign w:val="center"/>
          </w:tcPr>
          <w:p w14:paraId="7D9B718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普通本科教育</w:t>
            </w:r>
          </w:p>
        </w:tc>
        <w:tc>
          <w:tcPr>
            <w:tcW w:w="1606" w:type="pct"/>
            <w:vAlign w:val="center"/>
          </w:tcPr>
          <w:p w14:paraId="4F5EFDD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9.需支持建立学校（机构）基础信息、教职工基础信息、学生基本信息等标准库。</w:t>
            </w:r>
          </w:p>
        </w:tc>
        <w:tc>
          <w:tcPr>
            <w:tcW w:w="360" w:type="pct"/>
            <w:vAlign w:val="center"/>
          </w:tcPr>
          <w:p w14:paraId="0A3D0B2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62E0CBA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2DD0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2344DE2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9</w:t>
            </w:r>
          </w:p>
        </w:tc>
        <w:tc>
          <w:tcPr>
            <w:tcW w:w="315" w:type="pct"/>
            <w:vMerge w:val="continue"/>
            <w:vAlign w:val="center"/>
          </w:tcPr>
          <w:p w14:paraId="240A43F9">
            <w:pPr>
              <w:jc w:val="center"/>
              <w:rPr>
                <w:rFonts w:hint="eastAsia" w:ascii="仿宋" w:hAnsi="仿宋" w:eastAsia="仿宋" w:cs="仿宋"/>
                <w:sz w:val="32"/>
                <w:szCs w:val="32"/>
                <w:highlight w:val="none"/>
              </w:rPr>
            </w:pPr>
          </w:p>
        </w:tc>
        <w:tc>
          <w:tcPr>
            <w:tcW w:w="1630" w:type="pct"/>
            <w:vMerge w:val="continue"/>
            <w:vAlign w:val="center"/>
          </w:tcPr>
          <w:p w14:paraId="38DE72D6">
            <w:pPr>
              <w:jc w:val="center"/>
              <w:rPr>
                <w:rFonts w:hint="eastAsia" w:ascii="仿宋" w:hAnsi="仿宋" w:eastAsia="仿宋" w:cs="仿宋"/>
                <w:sz w:val="32"/>
                <w:szCs w:val="32"/>
                <w:highlight w:val="none"/>
              </w:rPr>
            </w:pPr>
          </w:p>
        </w:tc>
        <w:tc>
          <w:tcPr>
            <w:tcW w:w="502" w:type="pct"/>
            <w:vAlign w:val="center"/>
          </w:tcPr>
          <w:p w14:paraId="48E84B3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职业教育</w:t>
            </w:r>
          </w:p>
        </w:tc>
        <w:tc>
          <w:tcPr>
            <w:tcW w:w="1606" w:type="pct"/>
            <w:vAlign w:val="center"/>
          </w:tcPr>
          <w:p w14:paraId="129B58A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10.需支持建立学校（机构）基础信息、教职工基础信息、学生基本信息等标准库。</w:t>
            </w:r>
          </w:p>
        </w:tc>
        <w:tc>
          <w:tcPr>
            <w:tcW w:w="360" w:type="pct"/>
            <w:vAlign w:val="center"/>
          </w:tcPr>
          <w:p w14:paraId="6CA4AAF3">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043F138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4B9C8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74784A98">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10</w:t>
            </w:r>
          </w:p>
        </w:tc>
        <w:tc>
          <w:tcPr>
            <w:tcW w:w="315" w:type="pct"/>
            <w:vMerge w:val="continue"/>
            <w:vAlign w:val="center"/>
          </w:tcPr>
          <w:p w14:paraId="45D2B244">
            <w:pPr>
              <w:jc w:val="center"/>
              <w:rPr>
                <w:rFonts w:hint="eastAsia" w:ascii="仿宋" w:hAnsi="仿宋" w:eastAsia="仿宋" w:cs="仿宋"/>
                <w:sz w:val="32"/>
                <w:szCs w:val="32"/>
                <w:highlight w:val="none"/>
              </w:rPr>
            </w:pPr>
          </w:p>
        </w:tc>
        <w:tc>
          <w:tcPr>
            <w:tcW w:w="1630" w:type="pct"/>
            <w:vMerge w:val="continue"/>
            <w:vAlign w:val="center"/>
          </w:tcPr>
          <w:p w14:paraId="3F0DADA6">
            <w:pPr>
              <w:jc w:val="center"/>
              <w:rPr>
                <w:rFonts w:hint="eastAsia" w:ascii="仿宋" w:hAnsi="仿宋" w:eastAsia="仿宋" w:cs="仿宋"/>
                <w:sz w:val="32"/>
                <w:szCs w:val="32"/>
                <w:highlight w:val="none"/>
              </w:rPr>
            </w:pPr>
          </w:p>
        </w:tc>
        <w:tc>
          <w:tcPr>
            <w:tcW w:w="502" w:type="pct"/>
            <w:vAlign w:val="center"/>
          </w:tcPr>
          <w:p w14:paraId="0ACB9612">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其他</w:t>
            </w:r>
          </w:p>
        </w:tc>
        <w:tc>
          <w:tcPr>
            <w:tcW w:w="1606" w:type="pct"/>
            <w:vAlign w:val="center"/>
          </w:tcPr>
          <w:p w14:paraId="3F48DF12">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11.需支持建立特殊学校基础信息、项目采购标准库、项目采购类型等标准库。</w:t>
            </w:r>
          </w:p>
          <w:p w14:paraId="69A287A9">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12.提供标准库的数据条数变化趋势。</w:t>
            </w:r>
          </w:p>
        </w:tc>
        <w:tc>
          <w:tcPr>
            <w:tcW w:w="360" w:type="pct"/>
            <w:vAlign w:val="center"/>
          </w:tcPr>
          <w:p w14:paraId="1B3B3B3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4A5C224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335E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4FA4BCE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11</w:t>
            </w:r>
          </w:p>
        </w:tc>
        <w:tc>
          <w:tcPr>
            <w:tcW w:w="315" w:type="pct"/>
            <w:vMerge w:val="continue"/>
            <w:shd w:val="clear" w:color="auto" w:fill="auto"/>
            <w:vAlign w:val="center"/>
          </w:tcPr>
          <w:p w14:paraId="7DEF0270">
            <w:pPr>
              <w:jc w:val="center"/>
              <w:rPr>
                <w:rFonts w:hint="eastAsia" w:ascii="仿宋" w:hAnsi="仿宋" w:eastAsia="仿宋" w:cs="仿宋"/>
                <w:sz w:val="32"/>
                <w:szCs w:val="32"/>
                <w:highlight w:val="none"/>
              </w:rPr>
            </w:pPr>
          </w:p>
        </w:tc>
        <w:tc>
          <w:tcPr>
            <w:tcW w:w="1630" w:type="pct"/>
            <w:vMerge w:val="restart"/>
            <w:shd w:val="clear" w:color="auto" w:fill="auto"/>
            <w:vAlign w:val="center"/>
          </w:tcPr>
          <w:p w14:paraId="553D88C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建立教育数据主题库</w:t>
            </w:r>
          </w:p>
        </w:tc>
        <w:tc>
          <w:tcPr>
            <w:tcW w:w="502" w:type="pct"/>
            <w:shd w:val="clear" w:color="auto" w:fill="FFFFFF"/>
            <w:vAlign w:val="center"/>
          </w:tcPr>
          <w:p w14:paraId="34B64C6F">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建立数据主题库</w:t>
            </w:r>
          </w:p>
        </w:tc>
        <w:tc>
          <w:tcPr>
            <w:tcW w:w="1606" w:type="pct"/>
            <w:vAlign w:val="center"/>
          </w:tcPr>
          <w:p w14:paraId="509F12FE">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13.需支持教育数据进一步组织和分类形成主题数据库。</w:t>
            </w:r>
          </w:p>
        </w:tc>
        <w:tc>
          <w:tcPr>
            <w:tcW w:w="360" w:type="pct"/>
            <w:vAlign w:val="center"/>
          </w:tcPr>
          <w:p w14:paraId="01A87DDB">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37F0FD6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83CD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35D5EDF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12</w:t>
            </w:r>
          </w:p>
        </w:tc>
        <w:tc>
          <w:tcPr>
            <w:tcW w:w="315" w:type="pct"/>
            <w:vMerge w:val="continue"/>
            <w:vAlign w:val="center"/>
          </w:tcPr>
          <w:p w14:paraId="6B17EF8E">
            <w:pPr>
              <w:jc w:val="center"/>
              <w:rPr>
                <w:rFonts w:hint="eastAsia" w:ascii="仿宋" w:hAnsi="仿宋" w:eastAsia="仿宋" w:cs="仿宋"/>
                <w:sz w:val="32"/>
                <w:szCs w:val="32"/>
                <w:highlight w:val="none"/>
              </w:rPr>
            </w:pPr>
          </w:p>
        </w:tc>
        <w:tc>
          <w:tcPr>
            <w:tcW w:w="1630" w:type="pct"/>
            <w:vMerge w:val="continue"/>
            <w:vAlign w:val="center"/>
          </w:tcPr>
          <w:p w14:paraId="104E02F7">
            <w:pPr>
              <w:jc w:val="center"/>
              <w:rPr>
                <w:rFonts w:hint="eastAsia" w:ascii="仿宋" w:hAnsi="仿宋" w:eastAsia="仿宋" w:cs="仿宋"/>
                <w:sz w:val="32"/>
                <w:szCs w:val="32"/>
                <w:highlight w:val="none"/>
              </w:rPr>
            </w:pPr>
          </w:p>
        </w:tc>
        <w:tc>
          <w:tcPr>
            <w:tcW w:w="502" w:type="pct"/>
            <w:vAlign w:val="center"/>
          </w:tcPr>
          <w:p w14:paraId="1BD47242">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基础教育</w:t>
            </w:r>
          </w:p>
        </w:tc>
        <w:tc>
          <w:tcPr>
            <w:tcW w:w="1606" w:type="pct"/>
            <w:vAlign w:val="center"/>
          </w:tcPr>
          <w:p w14:paraId="40300E1E">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14.需支持建立学校基本信息、集团校组织信息、学校年级信息等主题库。</w:t>
            </w:r>
          </w:p>
        </w:tc>
        <w:tc>
          <w:tcPr>
            <w:tcW w:w="360" w:type="pct"/>
            <w:vAlign w:val="center"/>
          </w:tcPr>
          <w:p w14:paraId="0E9A5AF6">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52A03C7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57D0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00C957C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13</w:t>
            </w:r>
          </w:p>
        </w:tc>
        <w:tc>
          <w:tcPr>
            <w:tcW w:w="315" w:type="pct"/>
            <w:vMerge w:val="continue"/>
            <w:shd w:val="clear" w:color="auto" w:fill="auto"/>
            <w:vAlign w:val="center"/>
          </w:tcPr>
          <w:p w14:paraId="4738A895">
            <w:pPr>
              <w:jc w:val="center"/>
              <w:rPr>
                <w:rFonts w:hint="eastAsia" w:ascii="仿宋" w:hAnsi="仿宋" w:eastAsia="仿宋" w:cs="仿宋"/>
                <w:sz w:val="32"/>
                <w:szCs w:val="32"/>
                <w:highlight w:val="none"/>
              </w:rPr>
            </w:pPr>
          </w:p>
        </w:tc>
        <w:tc>
          <w:tcPr>
            <w:tcW w:w="1630" w:type="pct"/>
            <w:vMerge w:val="continue"/>
            <w:shd w:val="clear" w:color="auto" w:fill="auto"/>
            <w:vAlign w:val="center"/>
          </w:tcPr>
          <w:p w14:paraId="63A846AD">
            <w:pPr>
              <w:jc w:val="center"/>
              <w:rPr>
                <w:rFonts w:hint="eastAsia" w:ascii="仿宋" w:hAnsi="仿宋" w:eastAsia="仿宋" w:cs="仿宋"/>
                <w:sz w:val="32"/>
                <w:szCs w:val="32"/>
                <w:highlight w:val="none"/>
              </w:rPr>
            </w:pPr>
          </w:p>
        </w:tc>
        <w:tc>
          <w:tcPr>
            <w:tcW w:w="502" w:type="pct"/>
            <w:shd w:val="clear" w:color="auto" w:fill="FFFFFF"/>
            <w:vAlign w:val="center"/>
          </w:tcPr>
          <w:p w14:paraId="49AC4B64">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普通本科教育</w:t>
            </w:r>
          </w:p>
        </w:tc>
        <w:tc>
          <w:tcPr>
            <w:tcW w:w="1606" w:type="pct"/>
            <w:vAlign w:val="center"/>
          </w:tcPr>
          <w:p w14:paraId="71D50E6C">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15.需支持建立学校基本信息、二级单位信息、学科点信息等主题库。</w:t>
            </w:r>
          </w:p>
        </w:tc>
        <w:tc>
          <w:tcPr>
            <w:tcW w:w="360" w:type="pct"/>
            <w:vAlign w:val="center"/>
          </w:tcPr>
          <w:p w14:paraId="15972FE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6416B07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26874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39232C98">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14</w:t>
            </w:r>
          </w:p>
        </w:tc>
        <w:tc>
          <w:tcPr>
            <w:tcW w:w="315" w:type="pct"/>
            <w:vMerge w:val="continue"/>
            <w:vAlign w:val="center"/>
          </w:tcPr>
          <w:p w14:paraId="15729C3D">
            <w:pPr>
              <w:jc w:val="center"/>
              <w:rPr>
                <w:rFonts w:hint="eastAsia" w:ascii="仿宋" w:hAnsi="仿宋" w:eastAsia="仿宋" w:cs="仿宋"/>
                <w:sz w:val="32"/>
                <w:szCs w:val="32"/>
                <w:highlight w:val="none"/>
              </w:rPr>
            </w:pPr>
          </w:p>
        </w:tc>
        <w:tc>
          <w:tcPr>
            <w:tcW w:w="1630" w:type="pct"/>
            <w:vMerge w:val="continue"/>
            <w:vAlign w:val="center"/>
          </w:tcPr>
          <w:p w14:paraId="68E07B8B">
            <w:pPr>
              <w:jc w:val="center"/>
              <w:rPr>
                <w:rFonts w:hint="eastAsia" w:ascii="仿宋" w:hAnsi="仿宋" w:eastAsia="仿宋" w:cs="仿宋"/>
                <w:sz w:val="32"/>
                <w:szCs w:val="32"/>
                <w:highlight w:val="none"/>
              </w:rPr>
            </w:pPr>
          </w:p>
        </w:tc>
        <w:tc>
          <w:tcPr>
            <w:tcW w:w="502" w:type="pct"/>
            <w:vAlign w:val="center"/>
          </w:tcPr>
          <w:p w14:paraId="06F063D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职业教育</w:t>
            </w:r>
          </w:p>
        </w:tc>
        <w:tc>
          <w:tcPr>
            <w:tcW w:w="1606" w:type="pct"/>
            <w:vAlign w:val="center"/>
          </w:tcPr>
          <w:p w14:paraId="4F3392A9">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16.需支持建立学校基本信息、二级单位信息、学科点信息等主题库。</w:t>
            </w:r>
          </w:p>
        </w:tc>
        <w:tc>
          <w:tcPr>
            <w:tcW w:w="360" w:type="pct"/>
            <w:vAlign w:val="center"/>
          </w:tcPr>
          <w:p w14:paraId="088E4FE3">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569B7FEB">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78C8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15" w:type="pct"/>
            <w:shd w:val="clear" w:color="auto" w:fill="FFFFFF"/>
            <w:vAlign w:val="center"/>
          </w:tcPr>
          <w:p w14:paraId="2FA2427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15</w:t>
            </w:r>
          </w:p>
        </w:tc>
        <w:tc>
          <w:tcPr>
            <w:tcW w:w="315" w:type="pct"/>
            <w:vMerge w:val="continue"/>
            <w:vAlign w:val="center"/>
          </w:tcPr>
          <w:p w14:paraId="7EDD5314">
            <w:pPr>
              <w:jc w:val="center"/>
              <w:rPr>
                <w:rFonts w:hint="eastAsia" w:ascii="仿宋" w:hAnsi="仿宋" w:eastAsia="仿宋" w:cs="仿宋"/>
                <w:sz w:val="32"/>
                <w:szCs w:val="32"/>
                <w:highlight w:val="none"/>
              </w:rPr>
            </w:pPr>
          </w:p>
        </w:tc>
        <w:tc>
          <w:tcPr>
            <w:tcW w:w="1630" w:type="pct"/>
            <w:vMerge w:val="continue"/>
            <w:vAlign w:val="center"/>
          </w:tcPr>
          <w:p w14:paraId="0BC923C6">
            <w:pPr>
              <w:jc w:val="center"/>
              <w:rPr>
                <w:rFonts w:hint="eastAsia" w:ascii="仿宋" w:hAnsi="仿宋" w:eastAsia="仿宋" w:cs="仿宋"/>
                <w:sz w:val="32"/>
                <w:szCs w:val="32"/>
                <w:highlight w:val="none"/>
              </w:rPr>
            </w:pPr>
          </w:p>
        </w:tc>
        <w:tc>
          <w:tcPr>
            <w:tcW w:w="502" w:type="pct"/>
            <w:noWrap/>
            <w:vAlign w:val="center"/>
          </w:tcPr>
          <w:p w14:paraId="3E6E1FF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其他</w:t>
            </w:r>
          </w:p>
        </w:tc>
        <w:tc>
          <w:tcPr>
            <w:tcW w:w="1606" w:type="pct"/>
            <w:vAlign w:val="center"/>
          </w:tcPr>
          <w:p w14:paraId="21CE54E7">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17.需支持建立特殊学校基础信息、项目预算信息、项目采购信息等主题库。</w:t>
            </w:r>
          </w:p>
          <w:p w14:paraId="039BDE8A">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18</w:t>
            </w:r>
            <w:r>
              <w:rPr>
                <w:rFonts w:ascii="仿宋" w:hAnsi="仿宋" w:eastAsia="仿宋" w:cs="仿宋"/>
                <w:sz w:val="32"/>
                <w:szCs w:val="32"/>
                <w:highlight w:val="none"/>
              </w:rPr>
              <w:t>.提供主题库的数据条数变化趋势。</w:t>
            </w:r>
          </w:p>
        </w:tc>
        <w:tc>
          <w:tcPr>
            <w:tcW w:w="360" w:type="pct"/>
            <w:vAlign w:val="center"/>
          </w:tcPr>
          <w:p w14:paraId="0DB50597">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271" w:type="pct"/>
            <w:vAlign w:val="center"/>
          </w:tcPr>
          <w:p w14:paraId="74A420D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bl>
    <w:p w14:paraId="3140285A">
      <w:pPr>
        <w:pStyle w:val="4"/>
        <w:ind w:firstLine="448"/>
        <w:rPr>
          <w:rFonts w:hint="eastAsia" w:ascii="仿宋" w:hAnsi="仿宋" w:eastAsia="仿宋" w:cs="仿宋"/>
          <w:sz w:val="32"/>
          <w:szCs w:val="32"/>
          <w:highlight w:val="none"/>
        </w:rPr>
      </w:pPr>
      <w:r>
        <w:rPr>
          <w:rFonts w:ascii="仿宋" w:hAnsi="仿宋" w:eastAsia="仿宋" w:cs="仿宋"/>
          <w:sz w:val="32"/>
          <w:szCs w:val="32"/>
          <w:highlight w:val="none"/>
        </w:rPr>
        <w:t xml:space="preserve">10.2 </w:t>
      </w:r>
      <w:r>
        <w:rPr>
          <w:rFonts w:hint="eastAsia" w:ascii="仿宋" w:hAnsi="仿宋" w:eastAsia="仿宋" w:cs="仿宋"/>
          <w:sz w:val="32"/>
          <w:szCs w:val="32"/>
          <w:highlight w:val="none"/>
        </w:rPr>
        <w:t>教育数据管理平台</w:t>
      </w:r>
    </w:p>
    <w:tbl>
      <w:tblPr>
        <w:tblStyle w:val="1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3"/>
        <w:gridCol w:w="587"/>
        <w:gridCol w:w="1701"/>
        <w:gridCol w:w="1868"/>
        <w:gridCol w:w="2683"/>
        <w:gridCol w:w="587"/>
        <w:gridCol w:w="587"/>
      </w:tblGrid>
      <w:tr w14:paraId="27291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576" w:type="pct"/>
            <w:shd w:val="clear" w:color="auto" w:fill="FFFFFF"/>
            <w:vAlign w:val="center"/>
          </w:tcPr>
          <w:p w14:paraId="0558DC4A">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序号</w:t>
            </w:r>
          </w:p>
        </w:tc>
        <w:tc>
          <w:tcPr>
            <w:tcW w:w="324" w:type="pct"/>
            <w:shd w:val="clear" w:color="auto" w:fill="FFFFFF"/>
            <w:vAlign w:val="center"/>
          </w:tcPr>
          <w:p w14:paraId="3D07C352">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大类</w:t>
            </w:r>
          </w:p>
        </w:tc>
        <w:tc>
          <w:tcPr>
            <w:tcW w:w="939" w:type="pct"/>
            <w:shd w:val="clear" w:color="auto" w:fill="FFFFFF"/>
            <w:vAlign w:val="center"/>
          </w:tcPr>
          <w:p w14:paraId="6DDD02B8">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模块</w:t>
            </w:r>
          </w:p>
        </w:tc>
        <w:tc>
          <w:tcPr>
            <w:tcW w:w="1031" w:type="pct"/>
            <w:shd w:val="clear" w:color="auto" w:fill="FFFFFF"/>
            <w:vAlign w:val="center"/>
          </w:tcPr>
          <w:p w14:paraId="52BE3631">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一级功能</w:t>
            </w:r>
          </w:p>
        </w:tc>
        <w:tc>
          <w:tcPr>
            <w:tcW w:w="1481" w:type="pct"/>
            <w:shd w:val="clear" w:color="auto" w:fill="FFFFFF"/>
            <w:vAlign w:val="center"/>
          </w:tcPr>
          <w:p w14:paraId="6631DEA0">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技术参数</w:t>
            </w:r>
          </w:p>
        </w:tc>
        <w:tc>
          <w:tcPr>
            <w:tcW w:w="324" w:type="pct"/>
            <w:vAlign w:val="center"/>
          </w:tcPr>
          <w:p w14:paraId="22367E63">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数量</w:t>
            </w:r>
          </w:p>
        </w:tc>
        <w:tc>
          <w:tcPr>
            <w:tcW w:w="324" w:type="pct"/>
            <w:vAlign w:val="center"/>
          </w:tcPr>
          <w:p w14:paraId="1F9B62C6">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单位</w:t>
            </w:r>
          </w:p>
        </w:tc>
      </w:tr>
      <w:tr w14:paraId="29C0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76" w:type="pct"/>
            <w:shd w:val="clear" w:color="auto" w:fill="auto"/>
            <w:vAlign w:val="center"/>
          </w:tcPr>
          <w:p w14:paraId="6DB21163">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restart"/>
            <w:shd w:val="clear" w:color="auto" w:fill="FFFFFF"/>
            <w:vAlign w:val="center"/>
          </w:tcPr>
          <w:p w14:paraId="6351E51E">
            <w:pPr>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教育数据管理平台需求</w:t>
            </w:r>
          </w:p>
        </w:tc>
        <w:tc>
          <w:tcPr>
            <w:tcW w:w="939" w:type="pct"/>
            <w:vMerge w:val="restart"/>
            <w:shd w:val="clear" w:color="auto" w:fill="FFFFFF"/>
            <w:vAlign w:val="center"/>
          </w:tcPr>
          <w:p w14:paraId="57CFAE4D">
            <w:pP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教育数据集成模块</w:t>
            </w:r>
          </w:p>
        </w:tc>
        <w:tc>
          <w:tcPr>
            <w:tcW w:w="1031" w:type="pct"/>
            <w:shd w:val="clear" w:color="auto" w:fill="FFFFFF"/>
            <w:vAlign w:val="center"/>
          </w:tcPr>
          <w:p w14:paraId="555EAA3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数据源管理子模块</w:t>
            </w:r>
          </w:p>
        </w:tc>
        <w:tc>
          <w:tcPr>
            <w:tcW w:w="1481" w:type="pct"/>
            <w:shd w:val="clear" w:color="auto" w:fill="FFFFFF"/>
            <w:vAlign w:val="center"/>
          </w:tcPr>
          <w:p w14:paraId="2BB515EA">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1.需具备数据源连接配置、连接状态监测、任务状态监测、开发/生产环境映射等数据源管理功能。</w:t>
            </w:r>
          </w:p>
          <w:p w14:paraId="5D16773D">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支持数据源的统一管理及在线连通测试，包括但不限于国产数据库GaussDB、SFTP、HDFS，满足不同数据源之间的数据集成与传输需求；（提供第三方检测机构出具的含CNAS和CMA标识的检测报告原件扫描件加盖投标人公章，提供产品功能截图并加盖投标人公章）</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3.需支持多种异构数据源之间的数据读写，如人大金仓、达梦、南大通用等。</w:t>
            </w:r>
          </w:p>
        </w:tc>
        <w:tc>
          <w:tcPr>
            <w:tcW w:w="324" w:type="pct"/>
            <w:shd w:val="clear" w:color="auto" w:fill="auto"/>
            <w:vAlign w:val="center"/>
          </w:tcPr>
          <w:p w14:paraId="41E9591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shd w:val="clear" w:color="auto" w:fill="auto"/>
            <w:vAlign w:val="center"/>
          </w:tcPr>
          <w:p w14:paraId="300ACF52">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204F6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6" w:hRule="atLeast"/>
        </w:trPr>
        <w:tc>
          <w:tcPr>
            <w:tcW w:w="576" w:type="pct"/>
            <w:shd w:val="clear" w:color="auto" w:fill="auto"/>
            <w:vAlign w:val="center"/>
          </w:tcPr>
          <w:p w14:paraId="52D96F62">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7A92E9A0">
            <w:pPr>
              <w:widowControl/>
              <w:jc w:val="center"/>
              <w:textAlignment w:val="center"/>
              <w:rPr>
                <w:rFonts w:hint="eastAsia" w:ascii="仿宋" w:hAnsi="仿宋" w:eastAsia="仿宋" w:cs="仿宋"/>
                <w:sz w:val="32"/>
                <w:szCs w:val="32"/>
                <w:highlight w:val="none"/>
              </w:rPr>
            </w:pPr>
          </w:p>
        </w:tc>
        <w:tc>
          <w:tcPr>
            <w:tcW w:w="939" w:type="pct"/>
            <w:vMerge w:val="continue"/>
            <w:shd w:val="clear" w:color="auto" w:fill="FFFFFF"/>
            <w:vAlign w:val="center"/>
          </w:tcPr>
          <w:p w14:paraId="711995F5">
            <w:pPr>
              <w:widowControl/>
              <w:jc w:val="center"/>
              <w:textAlignment w:val="center"/>
              <w:rPr>
                <w:rFonts w:hint="eastAsia" w:ascii="仿宋" w:hAnsi="仿宋" w:eastAsia="仿宋" w:cs="仿宋"/>
                <w:sz w:val="32"/>
                <w:szCs w:val="32"/>
                <w:highlight w:val="none"/>
              </w:rPr>
            </w:pPr>
          </w:p>
        </w:tc>
        <w:tc>
          <w:tcPr>
            <w:tcW w:w="1031" w:type="pct"/>
            <w:shd w:val="clear" w:color="auto" w:fill="FFFFFF"/>
            <w:vAlign w:val="center"/>
          </w:tcPr>
          <w:p w14:paraId="7D9ADB8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数据同步子模块（数据交换平台模块）</w:t>
            </w:r>
          </w:p>
        </w:tc>
        <w:tc>
          <w:tcPr>
            <w:tcW w:w="1481" w:type="pct"/>
            <w:shd w:val="clear" w:color="auto" w:fill="FFFFFF"/>
            <w:vAlign w:val="center"/>
          </w:tcPr>
          <w:p w14:paraId="38E3B550">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4.支持以可视化零代码的方式快速配置结构化数据采集任务，并提供自动建表方式创建原始表；提供流水数据追加采集、变化数据更新两种增量采集方式配置增量采集任务；支持配置API接口地址、请求参数、返回参数、分页属性等内容完成API接口数据采集；提供excel文本导入的方式完成线下数据采集，并支持配置数据导入权限，提供导入日志查看，包含但不限于导入人员、导入时间、导入数据条数等数据项。</w:t>
            </w:r>
          </w:p>
          <w:p w14:paraId="12AF82A0">
            <w:pPr>
              <w:widowControl/>
              <w:jc w:val="left"/>
              <w:textAlignment w:val="center"/>
              <w:rPr>
                <w:rFonts w:hint="eastAsia" w:ascii="仿宋" w:hAnsi="仿宋" w:eastAsia="仿宋" w:cs="仿宋"/>
                <w:b/>
                <w:bCs/>
                <w:kern w:val="0"/>
                <w:sz w:val="32"/>
                <w:szCs w:val="32"/>
                <w:highlight w:val="none"/>
                <w:lang w:bidi="ar"/>
              </w:rPr>
            </w:pPr>
            <w:r>
              <w:rPr>
                <w:rFonts w:ascii="仿宋" w:hAnsi="仿宋" w:eastAsia="仿宋" w:cs="仿宋"/>
                <w:kern w:val="0"/>
                <w:sz w:val="32"/>
                <w:szCs w:val="32"/>
                <w:highlight w:val="none"/>
                <w:lang w:bidi="ar"/>
              </w:rPr>
              <w:t>5.需具备向导模式、脚本模式、全量/增量同步、定点增量同步、整库同步、FTP同步、同步日志管理等数据交换管理功能。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6.需支持10种以上数据源的并发数据交换；支持200万条/s数据传输能力；数据传输延迟毫秒级别。</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7.需具备脏数据管理的功能，支持对脏数据是否需要记录进行配置，支持可配置当脏数据量超过一定数量或一定比例时任务置为失败，提示及时排查脏数据问题；支持脏数据的统计，包括每个同步任务的脏数据产生趋势，脏数据产生较多的任务。</w:t>
            </w:r>
          </w:p>
          <w:p w14:paraId="7232EF51">
            <w:pPr>
              <w:widowControl/>
              <w:jc w:val="left"/>
              <w:textAlignment w:val="center"/>
              <w:rPr>
                <w:rFonts w:hint="eastAsia" w:ascii="仿宋" w:hAnsi="仿宋" w:eastAsia="仿宋" w:cs="仿宋"/>
                <w:b/>
                <w:bCs/>
                <w:kern w:val="0"/>
                <w:sz w:val="32"/>
                <w:szCs w:val="32"/>
                <w:highlight w:val="none"/>
                <w:lang w:bidi="ar"/>
              </w:rPr>
            </w:pPr>
            <w:r>
              <w:rPr>
                <w:rFonts w:ascii="仿宋" w:hAnsi="仿宋" w:eastAsia="仿宋" w:cs="仿宋"/>
                <w:kern w:val="0"/>
                <w:sz w:val="32"/>
                <w:szCs w:val="32"/>
                <w:highlight w:val="none"/>
                <w:lang w:bidi="ar"/>
              </w:rPr>
              <w:t>8.▲非结构化资源需支持以SFTP交换形式根据设定的周期频次将文件同步至订阅文件服务器中、以API接口形式通过HTTP/S协议或WebService协议进行接口文件调用、以在线查询形式在数据门户中在线查询下载文件；</w:t>
            </w:r>
            <w:r>
              <w:rPr>
                <w:rFonts w:hint="eastAsia" w:ascii="仿宋" w:hAnsi="仿宋" w:eastAsia="仿宋" w:cs="仿宋"/>
                <w:b/>
                <w:bCs/>
                <w:kern w:val="0"/>
                <w:sz w:val="32"/>
                <w:szCs w:val="32"/>
                <w:highlight w:val="none"/>
                <w:lang w:bidi="ar"/>
              </w:rPr>
              <w:t>（提供产品功能截图并加盖投标人公章）</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9.需具备更具针对性的非结构化数据断点续传功能，即在同步任务失败后，任务下一次同步时可接着上次同步失败的标记点进行同步。</w:t>
            </w:r>
          </w:p>
          <w:p w14:paraId="2713E34C">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10.▲消息资源需支持以实时通讯形式，由资源发布系统推送消息，资源订阅系统在指定的消息区实时获取消息数据；</w:t>
            </w:r>
            <w:r>
              <w:rPr>
                <w:rFonts w:hint="eastAsia" w:ascii="仿宋" w:hAnsi="仿宋" w:eastAsia="仿宋" w:cs="仿宋"/>
                <w:b/>
                <w:bCs/>
                <w:sz w:val="32"/>
                <w:szCs w:val="32"/>
                <w:highlight w:val="none"/>
              </w:rPr>
              <w:t>（提供产品功能截图并加盖投标人公章）</w:t>
            </w:r>
          </w:p>
        </w:tc>
        <w:tc>
          <w:tcPr>
            <w:tcW w:w="324" w:type="pct"/>
            <w:shd w:val="clear" w:color="auto" w:fill="auto"/>
            <w:vAlign w:val="center"/>
          </w:tcPr>
          <w:p w14:paraId="4103B19A">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shd w:val="clear" w:color="auto" w:fill="auto"/>
            <w:vAlign w:val="center"/>
          </w:tcPr>
          <w:p w14:paraId="45C1365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131A4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576" w:type="pct"/>
            <w:shd w:val="clear" w:color="auto" w:fill="auto"/>
            <w:vAlign w:val="center"/>
          </w:tcPr>
          <w:p w14:paraId="21AEB225">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45F4ED90">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604A8906">
            <w:pPr>
              <w:jc w:val="center"/>
              <w:rPr>
                <w:rFonts w:hint="eastAsia" w:ascii="仿宋" w:hAnsi="仿宋" w:eastAsia="仿宋" w:cs="仿宋"/>
                <w:sz w:val="32"/>
                <w:szCs w:val="32"/>
                <w:highlight w:val="none"/>
              </w:rPr>
            </w:pPr>
          </w:p>
        </w:tc>
        <w:tc>
          <w:tcPr>
            <w:tcW w:w="1031" w:type="pct"/>
            <w:vAlign w:val="center"/>
          </w:tcPr>
          <w:p w14:paraId="2677919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监控中心子模块</w:t>
            </w:r>
          </w:p>
        </w:tc>
        <w:tc>
          <w:tcPr>
            <w:tcW w:w="1481" w:type="pct"/>
            <w:vAlign w:val="center"/>
          </w:tcPr>
          <w:p w14:paraId="5419CCC3">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11.需具备实例运行情况汇总、当日实例完成情况、执行耗时、实例执行状态等监控分析功能。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12.需具备任务管理、任务运行历史、周期实例管理、手动任务和实例管理、实例重跑、置为成功、手动启停等监控管理功能。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13.需具备任务监控总览功能，包含可视化指标展示需≥10种；支持并发批处理数据峰值达100GB；支持单节点任务并发最大可达80条/s。</w:t>
            </w:r>
          </w:p>
        </w:tc>
        <w:tc>
          <w:tcPr>
            <w:tcW w:w="324" w:type="pct"/>
            <w:vAlign w:val="center"/>
          </w:tcPr>
          <w:p w14:paraId="7CD12C6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7FA25EC2">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3546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576" w:type="pct"/>
            <w:shd w:val="clear" w:color="auto" w:fill="auto"/>
            <w:vAlign w:val="center"/>
          </w:tcPr>
          <w:p w14:paraId="7133AEFD">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66CD0F8D">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63DA86F0">
            <w:pPr>
              <w:jc w:val="center"/>
              <w:rPr>
                <w:rFonts w:hint="eastAsia" w:ascii="仿宋" w:hAnsi="仿宋" w:eastAsia="仿宋" w:cs="仿宋"/>
                <w:sz w:val="32"/>
                <w:szCs w:val="32"/>
                <w:highlight w:val="none"/>
              </w:rPr>
            </w:pPr>
          </w:p>
        </w:tc>
        <w:tc>
          <w:tcPr>
            <w:tcW w:w="1031" w:type="pct"/>
            <w:shd w:val="clear" w:color="auto" w:fill="auto"/>
            <w:vAlign w:val="center"/>
          </w:tcPr>
          <w:p w14:paraId="5177828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数据地图子模块</w:t>
            </w:r>
          </w:p>
        </w:tc>
        <w:tc>
          <w:tcPr>
            <w:tcW w:w="1481" w:type="pct"/>
            <w:shd w:val="clear" w:color="auto" w:fill="FFFFFF"/>
            <w:vAlign w:val="center"/>
          </w:tcPr>
          <w:p w14:paraId="70D81B22">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14.需具备数据资产目录展示、数据查找、数据表元数据管理、数据血缘解析、数据资产目录的构建与管理的功能。需具备资产目录、数据源、UDF资源等数据权限的管理，支持对开发项目进行授权管理，管理员可手动授权。</w:t>
            </w:r>
          </w:p>
          <w:p w14:paraId="2D95E53C">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15.提供数据集市资源清单检索，包括但不限于展示各部门发布资源类型、资源名称、资源主题、发布系统、责任部门、浏览量、关注数、订阅数、资源支持交换形式，支持根据资源责任部门、发布系统、资源类型、资源主题、交换形式、是否关注及资源名/资源备注/资源内容进行模糊匹配或精准搜索。</w:t>
            </w:r>
          </w:p>
          <w:p w14:paraId="6A87E844">
            <w:pPr>
              <w:widowControl/>
              <w:jc w:val="left"/>
              <w:textAlignment w:val="center"/>
              <w:rPr>
                <w:rFonts w:hint="eastAsia" w:ascii="仿宋" w:hAnsi="仿宋" w:eastAsia="仿宋" w:cs="仿宋"/>
                <w:b/>
                <w:bCs/>
                <w:kern w:val="0"/>
                <w:sz w:val="32"/>
                <w:szCs w:val="32"/>
                <w:highlight w:val="none"/>
                <w:lang w:bidi="ar"/>
              </w:rPr>
            </w:pPr>
            <w:r>
              <w:rPr>
                <w:rFonts w:ascii="仿宋" w:hAnsi="仿宋" w:eastAsia="仿宋" w:cs="仿宋"/>
                <w:kern w:val="0"/>
                <w:sz w:val="32"/>
                <w:szCs w:val="32"/>
                <w:highlight w:val="none"/>
                <w:lang w:bidi="ar"/>
              </w:rPr>
              <w:t>16.▲提供资源内容详细展示，包括但不限于资源基本信息、支持的交换形式、数据结构、资源样例，数据接口手册如功能说明、接口协议（HTTP/S和WebService）、请求参数、返回参数、请求示例、响应示例、状态码说明、接口在线测试等；支持资源的在线关注及在线申请，数据需求方可按需进行资源订阅申请，根据申请字段的安全等级及字段确权部门发起不同等级的审核流程，保障数据使用安全。</w:t>
            </w:r>
            <w:r>
              <w:rPr>
                <w:rFonts w:hint="eastAsia" w:ascii="仿宋" w:hAnsi="仿宋" w:eastAsia="仿宋" w:cs="仿宋"/>
                <w:b/>
                <w:bCs/>
                <w:kern w:val="0"/>
                <w:sz w:val="32"/>
                <w:szCs w:val="32"/>
                <w:highlight w:val="none"/>
                <w:lang w:bidi="ar"/>
              </w:rPr>
              <w:t>（提供产品功能截图并加盖投标人公章）</w:t>
            </w:r>
          </w:p>
          <w:p w14:paraId="7AE65EC1">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17.▲支持根据申请数据的安全等级及责任单位，发起数据多级审批流程，保证数据使用安全。</w:t>
            </w:r>
            <w:r>
              <w:rPr>
                <w:rFonts w:hint="eastAsia" w:ascii="仿宋" w:hAnsi="仿宋" w:eastAsia="仿宋" w:cs="仿宋"/>
                <w:b/>
                <w:bCs/>
                <w:kern w:val="0"/>
                <w:sz w:val="32"/>
                <w:szCs w:val="32"/>
                <w:highlight w:val="none"/>
                <w:lang w:bidi="ar"/>
              </w:rPr>
              <w:t>（提供产品功能截图并加盖投标人公章）</w:t>
            </w:r>
            <w:r>
              <w:rPr>
                <w:rFonts w:ascii="仿宋" w:hAnsi="仿宋" w:eastAsia="仿宋" w:cs="仿宋"/>
                <w:b/>
                <w:bCs/>
                <w:kern w:val="0"/>
                <w:sz w:val="32"/>
                <w:szCs w:val="32"/>
                <w:highlight w:val="none"/>
                <w:lang w:bidi="ar"/>
              </w:rPr>
              <w:br w:type="textWrapping"/>
            </w:r>
            <w:r>
              <w:rPr>
                <w:rFonts w:ascii="仿宋" w:hAnsi="仿宋" w:eastAsia="仿宋" w:cs="仿宋"/>
                <w:kern w:val="0"/>
                <w:sz w:val="32"/>
                <w:szCs w:val="32"/>
                <w:highlight w:val="none"/>
                <w:lang w:bidi="ar"/>
              </w:rPr>
              <w:t>18.需具备数据资产访问数据管理功能，支持申请权限访问数据资产目录的数据；支持授权后的数据访问。</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19.需支持教育管理人员查看脏数据表的基本信息，如数据量、表结构等，支持脏数据产生趋势的统计分析。</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20.需具备对表的生命周期管理功能，支持数据表创建、编辑、删除等操作的审核管理，支持查看每张表的审核历史记录。</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21.需具备数据脱敏配置功能，支持管理员指定某个字段进行脱敏，其他无权限用户即无法查询此字段的具体内容。</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22.需支持在脱敏管理模块中查看某个脱敏规则关联的表、字段信息。</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23.需支持多种数据脱敏模式，创建脱敏规则（支持字符覆盖）并进行字段脱敏。</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24.▲需支持对表的结构变更操作进行记录和审核，包括表结构变更类型、操作用户、操作时间。支持对表进行编辑，包括表名称、是否流水表等信息；支持数据类目的构建，并将表指定到类目中；支持根据类目进行表查询。</w:t>
            </w:r>
            <w:r>
              <w:rPr>
                <w:rFonts w:hint="eastAsia" w:ascii="仿宋" w:hAnsi="仿宋" w:eastAsia="仿宋" w:cs="仿宋"/>
                <w:b/>
                <w:bCs/>
                <w:kern w:val="0"/>
                <w:sz w:val="32"/>
                <w:szCs w:val="32"/>
                <w:highlight w:val="none"/>
                <w:lang w:bidi="ar"/>
              </w:rPr>
              <w:t>（需提供功能截图证明并加盖投标人公章）</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25.需支持内置数据仓库表小文件合并的自动化清理功能，支持教育管理人员通过灵活配置文件来定义合并的具体条件，如文件大小阈值、合并时间窗口等。</w:t>
            </w:r>
          </w:p>
        </w:tc>
        <w:tc>
          <w:tcPr>
            <w:tcW w:w="324" w:type="pct"/>
            <w:vAlign w:val="center"/>
          </w:tcPr>
          <w:p w14:paraId="72CDFB16">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6326674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19AE9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trPr>
        <w:tc>
          <w:tcPr>
            <w:tcW w:w="576" w:type="pct"/>
            <w:shd w:val="clear" w:color="auto" w:fill="auto"/>
            <w:vAlign w:val="center"/>
          </w:tcPr>
          <w:p w14:paraId="67260A15">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395DC788">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5DBC8891">
            <w:pPr>
              <w:jc w:val="center"/>
              <w:rPr>
                <w:rFonts w:hint="eastAsia" w:ascii="仿宋" w:hAnsi="仿宋" w:eastAsia="仿宋" w:cs="仿宋"/>
                <w:sz w:val="32"/>
                <w:szCs w:val="32"/>
                <w:highlight w:val="none"/>
              </w:rPr>
            </w:pPr>
          </w:p>
        </w:tc>
        <w:tc>
          <w:tcPr>
            <w:tcW w:w="1031" w:type="pct"/>
            <w:shd w:val="clear" w:color="auto" w:fill="auto"/>
            <w:vAlign w:val="center"/>
          </w:tcPr>
          <w:p w14:paraId="24D00C8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安全审计子模块</w:t>
            </w:r>
          </w:p>
        </w:tc>
        <w:tc>
          <w:tcPr>
            <w:tcW w:w="1481" w:type="pct"/>
            <w:shd w:val="clear" w:color="auto" w:fill="FFFFFF"/>
            <w:vAlign w:val="center"/>
          </w:tcPr>
          <w:p w14:paraId="5C7E49F3">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26.需具备用户各类行记录监控功能，支持用户访问记录、对用户登入登出、任务提交发布、任务修改、任务冻结、操作IP、操作状态、操作内容等操作进行审计监控，支持监控敏感数据的访问和相关记录，这些记录为后续分析和问题定位提供了原始数据。</w:t>
            </w:r>
          </w:p>
        </w:tc>
        <w:tc>
          <w:tcPr>
            <w:tcW w:w="324" w:type="pct"/>
            <w:vAlign w:val="center"/>
          </w:tcPr>
          <w:p w14:paraId="73E7C91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1E1B559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001E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576" w:type="pct"/>
            <w:shd w:val="clear" w:color="auto" w:fill="auto"/>
            <w:vAlign w:val="center"/>
          </w:tcPr>
          <w:p w14:paraId="5A9358ED">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61C765F8">
            <w:pPr>
              <w:jc w:val="center"/>
              <w:rPr>
                <w:rFonts w:hint="eastAsia" w:ascii="仿宋" w:hAnsi="仿宋" w:eastAsia="仿宋" w:cs="仿宋"/>
                <w:sz w:val="32"/>
                <w:szCs w:val="32"/>
                <w:highlight w:val="none"/>
              </w:rPr>
            </w:pPr>
          </w:p>
        </w:tc>
        <w:tc>
          <w:tcPr>
            <w:tcW w:w="939" w:type="pct"/>
            <w:vMerge w:val="restart"/>
            <w:shd w:val="clear" w:color="auto" w:fill="auto"/>
            <w:vAlign w:val="center"/>
          </w:tcPr>
          <w:p w14:paraId="399FCE2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教育数据治理模块</w:t>
            </w:r>
          </w:p>
        </w:tc>
        <w:tc>
          <w:tcPr>
            <w:tcW w:w="1031" w:type="pct"/>
            <w:shd w:val="clear" w:color="auto" w:fill="auto"/>
            <w:vAlign w:val="center"/>
          </w:tcPr>
          <w:p w14:paraId="42B5BAE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元数据管理子模块</w:t>
            </w:r>
          </w:p>
        </w:tc>
        <w:tc>
          <w:tcPr>
            <w:tcW w:w="1481" w:type="pct"/>
            <w:shd w:val="clear" w:color="auto" w:fill="FFFFFF"/>
            <w:vAlign w:val="center"/>
          </w:tcPr>
          <w:p w14:paraId="50D074AE">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27.元数据检索：支持基于元模型的元数据管理，提供表、视图、字段等元数据信息的查询检索、版本发布、版本变更比对等，以及历史版本追溯等操作。展示数据表来源于那些数据库，展示常用查询某些表的查询信息。</w:t>
            </w:r>
          </w:p>
          <w:p w14:paraId="68191099">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28.▲元数据管理：提供元数据血缘地图，支持表、字段的血缘溯源分析及影响分析，溯源分析需向上追溯至业务库，影响分析需向下追踪至数据共享交换；（提供产品功能截图并加盖投标人公章）</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29.元数据目录：提供描述元数据使用创建过程的UC矩阵，支持绘画系统内各系统表的U/C矩阵及表中字段的U/C矩阵，记录表及字段的使用与产生过程，进入数据表能够查看数据目录，以及元数据表的表结构、数据预览、血缘关系，可以展示元数据表的相关技术属性；需具备资产查询、资产详情查看及维护、血缘解析、数据周期同步、元数据采集的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30.需支持元数据同步速度不低于3张表/s。</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31.需具备元模型的属性、组合、被组合、依赖、被依赖等自定义功能。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32.需支持元模型规范、支持元数据的变更订阅、支持多维度自动统计元数据变更趋势；支持查看指定数据库中所有表的血缘数据。</w:t>
            </w:r>
          </w:p>
          <w:p w14:paraId="249EB22C">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33.需提供可视化的数据治理，支持通过系统页面展示数据治理概况，包含但不限于采集任务总数、采集对象总数、字段总数、数据总量、转换任务总数、转换标准对象总数、数据字段总数、数据集成任务总数、数据集成主题对象数、数据资产字段分布、内置数据标准总数、数据标准使用分布、元数据类型、元数据目录、元数据总数等信息，支持以漏斗图、环形图、饼图、柱状图、折线图等展示数据资产的各指标情况，以面积图展示数据资产字段分布。</w:t>
            </w:r>
          </w:p>
          <w:p w14:paraId="77260DB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①提供原始数据采集、数据转换关系、数据集成关系任务配置界面，提供任务的周期调度、立即执行、日志记录查询等功能；</w:t>
            </w:r>
          </w:p>
          <w:p w14:paraId="09E9D7A4">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②支持通过可视化的单表关系映射、多表关联关系映射等操作来创建原始数据到标准数据的转换关系；</w:t>
            </w:r>
          </w:p>
          <w:p w14:paraId="6B02693F">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③支持设置数据过滤条件，配置字段码值转换。</w:t>
            </w:r>
          </w:p>
        </w:tc>
        <w:tc>
          <w:tcPr>
            <w:tcW w:w="324" w:type="pct"/>
            <w:vAlign w:val="center"/>
          </w:tcPr>
          <w:p w14:paraId="568C7857">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65F1958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8D16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0" w:hRule="atLeast"/>
        </w:trPr>
        <w:tc>
          <w:tcPr>
            <w:tcW w:w="576" w:type="pct"/>
            <w:shd w:val="clear" w:color="auto" w:fill="auto"/>
            <w:vAlign w:val="center"/>
          </w:tcPr>
          <w:p w14:paraId="64579555">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0F08BB65">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5D09C70A">
            <w:pPr>
              <w:jc w:val="center"/>
              <w:rPr>
                <w:rFonts w:hint="eastAsia" w:ascii="仿宋" w:hAnsi="仿宋" w:eastAsia="仿宋" w:cs="仿宋"/>
                <w:sz w:val="32"/>
                <w:szCs w:val="32"/>
                <w:highlight w:val="none"/>
              </w:rPr>
            </w:pPr>
          </w:p>
        </w:tc>
        <w:tc>
          <w:tcPr>
            <w:tcW w:w="1031" w:type="pct"/>
            <w:shd w:val="clear" w:color="auto" w:fill="auto"/>
            <w:vAlign w:val="center"/>
          </w:tcPr>
          <w:p w14:paraId="5B25B10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数据标准子模块</w:t>
            </w:r>
          </w:p>
        </w:tc>
        <w:tc>
          <w:tcPr>
            <w:tcW w:w="1481" w:type="pct"/>
            <w:shd w:val="clear" w:color="auto" w:fill="FFFFFF"/>
            <w:vAlign w:val="center"/>
          </w:tcPr>
          <w:p w14:paraId="500671E7">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34.支持内置国家教育部教育数据项标准目录及清单，可取用及引用标准中已定义的数据项。</w:t>
            </w:r>
          </w:p>
          <w:p w14:paraId="224C8283">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35.▲支持通过数据项标准的多级体系建设，构建数据项多级目录体系、定制数据项子集及数据项子类、维护子类间数据项的取用、引用关系；（提供第三方检测机构出具的含CNAS和CMA标识的检测报告原件扫描件加盖投标人公章，提供产品功能截图并加盖投标人公章）</w:t>
            </w:r>
          </w:p>
          <w:p w14:paraId="6C379C07">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36.需具备数据标准统计、标准定义、标准映射、词根管理、码表管理、行业模板的功能。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37.▲提供代码标准、数据项标准的标准知识库，下级机构可按需同步获取上级机构已发布的标准，同时支持下级机构基于上级机构的代码标准、数据项标准进行信息调整，也支持下级机构通过代码知识库实时了解上级机构的标准更新情况，及时同步更新。（提供产品功能截图并加盖投标人公章）</w:t>
            </w:r>
          </w:p>
          <w:p w14:paraId="2C699A7A">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38.▲提供代码标准、数据项标准的使用映射情况统计及检索，支持查询映射版本及映射表的详细信息，支持导出数据项映射报告，报告中需对数据项标准的建设及使用映射情况进行分析；（提供产品功能截图并加盖投标人公章）</w:t>
            </w:r>
          </w:p>
          <w:p w14:paraId="6A57FD61">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39.▲需具备元数据字段智能拾取功能，支持利用平台已采集的教育字段元数据，智能识别其中的共性、标准信息。</w:t>
            </w:r>
            <w:r>
              <w:rPr>
                <w:rFonts w:hint="eastAsia" w:ascii="仿宋" w:hAnsi="仿宋" w:eastAsia="仿宋" w:cs="仿宋"/>
                <w:b/>
                <w:bCs/>
                <w:kern w:val="0"/>
                <w:sz w:val="32"/>
                <w:szCs w:val="32"/>
                <w:highlight w:val="none"/>
                <w:lang w:bidi="ar"/>
              </w:rPr>
              <w:t>（需提供功能截图证明并加盖投标人公章）</w:t>
            </w:r>
          </w:p>
        </w:tc>
        <w:tc>
          <w:tcPr>
            <w:tcW w:w="324" w:type="pct"/>
            <w:vAlign w:val="center"/>
          </w:tcPr>
          <w:p w14:paraId="4CA061E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3FD7E74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B5DD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576" w:type="pct"/>
            <w:shd w:val="clear" w:color="auto" w:fill="auto"/>
            <w:vAlign w:val="center"/>
          </w:tcPr>
          <w:p w14:paraId="74F982FE">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23234768">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1B772172">
            <w:pPr>
              <w:jc w:val="center"/>
              <w:rPr>
                <w:rFonts w:hint="eastAsia" w:ascii="仿宋" w:hAnsi="仿宋" w:eastAsia="仿宋" w:cs="仿宋"/>
                <w:sz w:val="32"/>
                <w:szCs w:val="32"/>
                <w:highlight w:val="none"/>
              </w:rPr>
            </w:pPr>
          </w:p>
        </w:tc>
        <w:tc>
          <w:tcPr>
            <w:tcW w:w="1031" w:type="pct"/>
            <w:shd w:val="clear" w:color="auto" w:fill="auto"/>
            <w:vAlign w:val="center"/>
          </w:tcPr>
          <w:p w14:paraId="444AE2E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数据开发子模块</w:t>
            </w:r>
          </w:p>
        </w:tc>
        <w:tc>
          <w:tcPr>
            <w:tcW w:w="1481" w:type="pct"/>
            <w:shd w:val="clear" w:color="auto" w:fill="FFFFFF"/>
            <w:vAlign w:val="center"/>
          </w:tcPr>
          <w:p w14:paraId="07EEFB74">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40.性能指标：需支持单节点平均处理数据量可达1.5亿条/h，单节</w:t>
            </w:r>
            <w:r>
              <w:rPr>
                <w:rFonts w:hint="eastAsia" w:ascii="仿宋" w:hAnsi="仿宋" w:eastAsia="仿宋" w:cs="仿宋"/>
                <w:kern w:val="0"/>
                <w:sz w:val="32"/>
                <w:szCs w:val="32"/>
                <w:highlight w:val="none"/>
                <w:lang w:bidi="ar"/>
              </w:rPr>
              <w:t>点平均数据处理流量可达</w:t>
            </w:r>
            <w:r>
              <w:rPr>
                <w:rFonts w:ascii="仿宋" w:hAnsi="仿宋" w:eastAsia="仿宋" w:cs="仿宋"/>
                <w:kern w:val="0"/>
                <w:sz w:val="32"/>
                <w:szCs w:val="32"/>
                <w:highlight w:val="none"/>
                <w:lang w:bidi="ar"/>
              </w:rPr>
              <w:t>40GB/h。</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41.需支持通过多种方式搜索任务、函数、临时查询及组件等对象。需具备任务开发功能、支持使用数据库操作任务、支持通过预定义的组件快速创建任务、支持任务代码及配置的完全复制功能、支持多个维度进行搜索。</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42.需支持使用数据库操作任务，支持在不同场景下的教育数据治理需求、支持教育管理人员通过简单的页面点击操作、支持实时显示任务运行的过程日志、支持高效管理各类资源、支持教育管理人员对于特定数据处理逻辑的需求引用。</w:t>
            </w:r>
          </w:p>
          <w:p w14:paraId="76315493">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43.需支持通过简单的拖拉拽、连线等操作，组合不同开发组件，创建完整的工作流；支持组件间依赖关系定义、条件分支设置及多级工作流嵌套。</w:t>
            </w:r>
          </w:p>
          <w:p w14:paraId="5D867786">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44.支持工作流过程管理，支持跨多个维度配置，支持工作流中不同任务在不同周期之间的自动依赖关联、支持基于任务计划时间、业务日期及运行时间等基准时间生成自定义参数的功能。支持自定义参数、支持将系统参数或用户自定义的参数智能地替换为对应的目标值、支持在SQL任务中设置前置SQL脚本和后置SQL脚本。</w:t>
            </w:r>
          </w:p>
          <w:p w14:paraId="0AA42DB8">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45.提供开发组件需包括但不限于DataX、Shell、Python、SQL、Procedure、Http。</w:t>
            </w:r>
          </w:p>
          <w:p w14:paraId="577A9DBF">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46.▲支持人工智能算法开发，包含算法模型及读数据表、写数据表、线性回归、随机森林回归、逻辑回归、决策树、DBSCAN聚类、K-means聚类等多种机器学习组件，通过可视化的拖/拉/拽操作完成模型训练及模型使用；可以在数据开发工作流中调用算法实验，进行数据同步、数据计算及数据挖掘。（提供第三方检测机构出具的含CNAS和CMA标识的检测报告原件扫描件加盖投标人公章，提供产品功能截图并加盖投标人公章）</w:t>
            </w:r>
          </w:p>
        </w:tc>
        <w:tc>
          <w:tcPr>
            <w:tcW w:w="324" w:type="pct"/>
            <w:vAlign w:val="center"/>
          </w:tcPr>
          <w:p w14:paraId="1602812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79227E8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F305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76" w:type="pct"/>
            <w:shd w:val="clear" w:color="auto" w:fill="auto"/>
            <w:vAlign w:val="center"/>
          </w:tcPr>
          <w:p w14:paraId="1998B3F9">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123D0EC2">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4B6BDDE6">
            <w:pPr>
              <w:jc w:val="center"/>
              <w:rPr>
                <w:rFonts w:hint="eastAsia" w:ascii="仿宋" w:hAnsi="仿宋" w:eastAsia="仿宋" w:cs="仿宋"/>
                <w:sz w:val="32"/>
                <w:szCs w:val="32"/>
                <w:highlight w:val="none"/>
              </w:rPr>
            </w:pPr>
          </w:p>
        </w:tc>
        <w:tc>
          <w:tcPr>
            <w:tcW w:w="1031" w:type="pct"/>
            <w:shd w:val="clear" w:color="auto" w:fill="auto"/>
            <w:vAlign w:val="center"/>
          </w:tcPr>
          <w:p w14:paraId="042CADF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数据质量管理子模块</w:t>
            </w:r>
          </w:p>
        </w:tc>
        <w:tc>
          <w:tcPr>
            <w:tcW w:w="1481" w:type="pct"/>
            <w:shd w:val="clear" w:color="auto" w:fill="FFFFFF"/>
            <w:vAlign w:val="center"/>
          </w:tcPr>
          <w:p w14:paraId="411A249C">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47.性能指标：需支持1000w数据量单表校验任务运行耗时不多于10min。</w:t>
            </w:r>
            <w:r>
              <w:rPr>
                <w:rFonts w:hint="eastAsia" w:ascii="仿宋" w:hAnsi="仿宋" w:eastAsia="仿宋" w:cs="仿宋"/>
                <w:kern w:val="0"/>
                <w:sz w:val="32"/>
                <w:szCs w:val="32"/>
                <w:highlight w:val="none"/>
                <w:lang w:bidi="ar"/>
              </w:rPr>
              <w:t>需支持</w:t>
            </w:r>
            <w:r>
              <w:rPr>
                <w:rFonts w:ascii="仿宋" w:hAnsi="仿宋" w:eastAsia="仿宋" w:cs="仿宋"/>
                <w:kern w:val="0"/>
                <w:sz w:val="32"/>
                <w:szCs w:val="32"/>
                <w:highlight w:val="none"/>
                <w:lang w:bidi="ar"/>
              </w:rPr>
              <w:t>1000w数据量多表比对任务运行耗时不多于15min，质量探查预设规则≥20个。</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48.</w:t>
            </w:r>
            <w:r>
              <w:rPr>
                <w:rFonts w:hint="eastAsia" w:ascii="仿宋" w:hAnsi="仿宋" w:eastAsia="仿宋" w:cs="仿宋"/>
                <w:sz w:val="32"/>
                <w:szCs w:val="32"/>
                <w:highlight w:val="none"/>
              </w:rPr>
              <w:t>▲提供</w:t>
            </w:r>
            <w:r>
              <w:rPr>
                <w:rFonts w:hint="eastAsia" w:ascii="仿宋" w:hAnsi="仿宋" w:eastAsia="仿宋" w:cs="仿宋"/>
                <w:kern w:val="0"/>
                <w:sz w:val="32"/>
                <w:szCs w:val="32"/>
                <w:highlight w:val="none"/>
                <w:lang w:bidi="ar"/>
              </w:rPr>
              <w:t>预置常用的规则模板，包括但不限于：空值检测、重复检测、手机、邮箱、证件号码格式检查、不在代码表检测、日期格式检测、数值范围检测、长度不合规检测等，并提供可扩展的自定义规则模板管理能力。</w:t>
            </w:r>
            <w:r>
              <w:rPr>
                <w:rFonts w:hint="eastAsia" w:ascii="仿宋" w:hAnsi="仿宋" w:eastAsia="仿宋" w:cs="仿宋"/>
                <w:b/>
                <w:bCs/>
                <w:kern w:val="0"/>
                <w:sz w:val="32"/>
                <w:szCs w:val="32"/>
                <w:highlight w:val="none"/>
                <w:lang w:bidi="ar"/>
              </w:rPr>
              <w:t>（需提供功能截图证明并加盖投标人公章）</w:t>
            </w:r>
          </w:p>
          <w:p w14:paraId="22FB4CA4">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49.需具备单表校验规则设置功能，支持教育管理人员自定义过滤条件、设置强弱规则以及配置规则调度周期，可关联离线开发任务，根据质量校验结果影响离线任务运行。</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50.▲提供将不同检核类别下的质检规则进行组合，构成一个完整的质检方案进行统一管理，支持方案的上下线、手动执行、周期调度、监控、告警等操作，并提供根据质检结果生成系统质检报告及详细分析，其中详细分析支持通过层层下钻分析系统、表层、字段层的问题率，变化趋势，数据质量对比等，并支持导出异常数据。</w:t>
            </w:r>
            <w:r>
              <w:rPr>
                <w:rFonts w:hint="eastAsia" w:ascii="仿宋" w:hAnsi="仿宋" w:eastAsia="仿宋" w:cs="仿宋"/>
                <w:b/>
                <w:bCs/>
                <w:kern w:val="0"/>
                <w:sz w:val="32"/>
                <w:szCs w:val="32"/>
                <w:highlight w:val="none"/>
                <w:lang w:bidi="ar"/>
              </w:rPr>
              <w:t>（需提供功能截图证明并加盖投标人公章）</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51.▲提供全面质检运行监控，支持针对不同的质检规则自定义配置告警级别、阈值类型、阈值关系、阈值、消息接收用户等，在规则运行超过设定的阈值时，给指定用户发送给告警信息。</w:t>
            </w:r>
            <w:r>
              <w:rPr>
                <w:rFonts w:ascii="仿宋" w:hAnsi="仿宋" w:eastAsia="仿宋" w:cs="仿宋"/>
                <w:b/>
                <w:bCs/>
                <w:kern w:val="0"/>
                <w:sz w:val="32"/>
                <w:szCs w:val="32"/>
                <w:highlight w:val="none"/>
                <w:lang w:bidi="ar"/>
              </w:rPr>
              <w:t>(</w:t>
            </w:r>
            <w:r>
              <w:rPr>
                <w:rFonts w:hint="eastAsia" w:ascii="仿宋" w:hAnsi="仿宋" w:eastAsia="仿宋" w:cs="仿宋"/>
                <w:b/>
                <w:bCs/>
                <w:kern w:val="0"/>
                <w:sz w:val="32"/>
                <w:szCs w:val="32"/>
                <w:highlight w:val="none"/>
                <w:lang w:bidi="ar"/>
              </w:rPr>
              <w:t>需提供功能截图证明并加盖投标人公章</w:t>
            </w:r>
            <w:r>
              <w:rPr>
                <w:rFonts w:ascii="仿宋" w:hAnsi="仿宋" w:eastAsia="仿宋" w:cs="仿宋"/>
                <w:b/>
                <w:bCs/>
                <w:kern w:val="0"/>
                <w:sz w:val="32"/>
                <w:szCs w:val="32"/>
                <w:highlight w:val="none"/>
                <w:lang w:bidi="ar"/>
              </w:rPr>
              <w:t>)</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52.需具备规则定义配置、数据质量报告、业务系统分析、表级分析、字段级分析等功能。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53.▲需具备规则集任务功能，支持根据规则集任务状态展示规则集中各个规则的运行情况。</w:t>
            </w:r>
            <w:r>
              <w:rPr>
                <w:rFonts w:hint="eastAsia" w:ascii="仿宋" w:hAnsi="仿宋" w:eastAsia="仿宋" w:cs="仿宋"/>
                <w:b/>
                <w:bCs/>
                <w:kern w:val="0"/>
                <w:sz w:val="32"/>
                <w:szCs w:val="32"/>
                <w:highlight w:val="none"/>
                <w:lang w:bidi="ar"/>
              </w:rPr>
              <w:t>（需提供功能截图证明并加盖投标人公章）</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54.需支持从多种维度统计教育数据质量情况，支持对于校验未通过的规则，存储记录不符合规则的明细数据。</w:t>
            </w:r>
          </w:p>
          <w:p w14:paraId="1DB7EC7F">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55.支持展示数据质量监控信息，</w:t>
            </w:r>
            <w:r>
              <w:rPr>
                <w:rFonts w:hint="eastAsia" w:ascii="仿宋" w:hAnsi="仿宋" w:eastAsia="仿宋" w:cs="仿宋"/>
                <w:sz w:val="32"/>
                <w:szCs w:val="32"/>
                <w:highlight w:val="none"/>
              </w:rPr>
              <w:t>包括但不限于</w:t>
            </w:r>
            <w:r>
              <w:rPr>
                <w:rFonts w:hint="eastAsia" w:ascii="仿宋" w:hAnsi="仿宋" w:eastAsia="仿宋" w:cs="仿宋"/>
                <w:kern w:val="0"/>
                <w:sz w:val="32"/>
                <w:szCs w:val="32"/>
                <w:highlight w:val="none"/>
                <w:lang w:bidi="ar"/>
              </w:rPr>
              <w:t>原始数据与标准数据的问题率、下次质检倒计时、质检规则、质检方案、质检次数、质检数据对象、质检数据字段、质检数据条数、覆盖部门、覆盖业务系统面、检核维度、各业务系统质检规则分布、各业务系统质检执行情况、质量最优的系统、质量问题最高的系统、质量问题最高的表信息、质量告警分析等，以便人员处理；支持设定每个检测规则的监测调度周期（小时、天、周、月、自定义），支持手动触发。</w:t>
            </w:r>
          </w:p>
          <w:p w14:paraId="33F89177">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56.质检报告包括但不限于查看指定日期下质检总表数、检核表数、检核字段数、检核数据量、问题率、问题表、问题字段、问题数据、已解决/未解决问题数据、重点字段数、重点字段问题率、检核规则数量、检核维度数、检核维度分布数据质量问题率趋势分析图、重点字段质检云图、汇总统计质检总字段数据、问题字段数据、问题率生成多维趋势图，辅助分析问题率趋势变化及问题数据解决效率，支持导出Word版质检报告。</w:t>
            </w:r>
          </w:p>
          <w:p w14:paraId="61F14716">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57.</w:t>
            </w:r>
            <w:r>
              <w:rPr>
                <w:rFonts w:hint="eastAsia" w:ascii="仿宋" w:hAnsi="仿宋" w:eastAsia="仿宋" w:cs="仿宋"/>
                <w:kern w:val="0"/>
                <w:sz w:val="32"/>
                <w:szCs w:val="32"/>
                <w:highlight w:val="none"/>
                <w:lang w:bidi="ar"/>
              </w:rPr>
              <w:t>▲</w:t>
            </w:r>
            <w:r>
              <w:rPr>
                <w:rFonts w:hint="eastAsia" w:ascii="仿宋" w:hAnsi="仿宋" w:eastAsia="仿宋" w:cs="仿宋"/>
                <w:sz w:val="32"/>
                <w:szCs w:val="32"/>
                <w:highlight w:val="none"/>
              </w:rPr>
              <w:t>质检分析支持颗粒度至字段级，支持通过层层下钻可查看指定业务系统、指定表、指定字段最近一次检核时间、检核表数、检核字段数、问题率，支持将具体表或具体字段问题导出</w:t>
            </w:r>
            <w:r>
              <w:rPr>
                <w:rFonts w:ascii="仿宋" w:hAnsi="仿宋" w:eastAsia="仿宋" w:cs="仿宋"/>
                <w:sz w:val="32"/>
                <w:szCs w:val="32"/>
                <w:highlight w:val="none"/>
              </w:rPr>
              <w:t>Excel文件。</w:t>
            </w:r>
            <w:r>
              <w:rPr>
                <w:rFonts w:hint="eastAsia" w:ascii="仿宋" w:hAnsi="仿宋" w:eastAsia="仿宋" w:cs="仿宋"/>
                <w:b/>
                <w:bCs/>
                <w:kern w:val="0"/>
                <w:sz w:val="32"/>
                <w:szCs w:val="32"/>
                <w:highlight w:val="none"/>
                <w:lang w:bidi="ar"/>
              </w:rPr>
              <w:t>（需提供功能截图证明并加盖投标人公章）</w:t>
            </w:r>
          </w:p>
        </w:tc>
        <w:tc>
          <w:tcPr>
            <w:tcW w:w="324" w:type="pct"/>
            <w:vAlign w:val="center"/>
          </w:tcPr>
          <w:p w14:paraId="0041146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5BB94F9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074D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76" w:type="pct"/>
            <w:shd w:val="clear" w:color="auto" w:fill="auto"/>
            <w:vAlign w:val="center"/>
          </w:tcPr>
          <w:p w14:paraId="2DC03676">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41F6231C">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1AADC5A3">
            <w:pPr>
              <w:jc w:val="center"/>
              <w:rPr>
                <w:rFonts w:hint="eastAsia" w:ascii="仿宋" w:hAnsi="仿宋" w:eastAsia="仿宋" w:cs="仿宋"/>
                <w:sz w:val="32"/>
                <w:szCs w:val="32"/>
                <w:highlight w:val="none"/>
              </w:rPr>
            </w:pPr>
          </w:p>
        </w:tc>
        <w:tc>
          <w:tcPr>
            <w:tcW w:w="1031" w:type="pct"/>
            <w:shd w:val="clear" w:color="auto" w:fill="auto"/>
            <w:vAlign w:val="center"/>
          </w:tcPr>
          <w:p w14:paraId="1783B73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数据安全子模块</w:t>
            </w:r>
          </w:p>
        </w:tc>
        <w:tc>
          <w:tcPr>
            <w:tcW w:w="1481" w:type="pct"/>
            <w:shd w:val="clear" w:color="auto" w:fill="FFFFFF"/>
            <w:vAlign w:val="center"/>
          </w:tcPr>
          <w:p w14:paraId="33195B67">
            <w:pPr>
              <w:widowControl/>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58.需具备对敏感数据配置、字段分类设置功能。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59.▲提供数据安全脱敏算法配置，内置常见的掩码（包括身份证号掩码、保留前n后m位字符、掩码前n后m位字符、保留自x至y位字符、掩码自x至y位字符、姓名掩码等）、哈希（包括MD5、SHA-1、SHA-256、HMAC）、截断（包括日期类型截断、数值类型截断、字符位移）、加密（包括DES加密、AES加密）等多种脱敏算法配置，同时支持自定义扩展数据脱敏算法。</w:t>
            </w:r>
            <w:r>
              <w:rPr>
                <w:rFonts w:ascii="仿宋" w:hAnsi="仿宋" w:eastAsia="仿宋" w:cs="仿宋"/>
                <w:b/>
                <w:bCs/>
                <w:kern w:val="0"/>
                <w:sz w:val="32"/>
                <w:szCs w:val="32"/>
                <w:highlight w:val="none"/>
                <w:lang w:bidi="ar"/>
              </w:rPr>
              <w:t>(</w:t>
            </w:r>
            <w:r>
              <w:rPr>
                <w:rFonts w:hint="eastAsia" w:ascii="仿宋" w:hAnsi="仿宋" w:eastAsia="仿宋" w:cs="仿宋"/>
                <w:b/>
                <w:bCs/>
                <w:kern w:val="0"/>
                <w:sz w:val="32"/>
                <w:szCs w:val="32"/>
                <w:highlight w:val="none"/>
                <w:lang w:bidi="ar"/>
              </w:rPr>
              <w:t>需提供功能截图证明并加盖投标人公章</w:t>
            </w:r>
            <w:r>
              <w:rPr>
                <w:rFonts w:ascii="仿宋" w:hAnsi="仿宋" w:eastAsia="仿宋" w:cs="仿宋"/>
                <w:b/>
                <w:bCs/>
                <w:kern w:val="0"/>
                <w:sz w:val="32"/>
                <w:szCs w:val="32"/>
                <w:highlight w:val="none"/>
                <w:lang w:bidi="ar"/>
              </w:rPr>
              <w:t>)</w:t>
            </w:r>
          </w:p>
        </w:tc>
        <w:tc>
          <w:tcPr>
            <w:tcW w:w="324" w:type="pct"/>
            <w:vAlign w:val="center"/>
          </w:tcPr>
          <w:p w14:paraId="6ED459C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63842B0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FD52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576" w:type="pct"/>
            <w:shd w:val="clear" w:color="auto" w:fill="auto"/>
            <w:vAlign w:val="center"/>
          </w:tcPr>
          <w:p w14:paraId="7DA888AF">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459091BE">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5633FCB7">
            <w:pPr>
              <w:jc w:val="center"/>
              <w:rPr>
                <w:rFonts w:hint="eastAsia" w:ascii="仿宋" w:hAnsi="仿宋" w:eastAsia="仿宋" w:cs="仿宋"/>
                <w:sz w:val="32"/>
                <w:szCs w:val="32"/>
                <w:highlight w:val="none"/>
              </w:rPr>
            </w:pPr>
          </w:p>
        </w:tc>
        <w:tc>
          <w:tcPr>
            <w:tcW w:w="1031" w:type="pct"/>
            <w:shd w:val="clear" w:color="auto" w:fill="auto"/>
            <w:vAlign w:val="center"/>
          </w:tcPr>
          <w:p w14:paraId="2372D86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资产盘点子模块</w:t>
            </w:r>
          </w:p>
        </w:tc>
        <w:tc>
          <w:tcPr>
            <w:tcW w:w="1481" w:type="pct"/>
            <w:shd w:val="clear" w:color="auto" w:fill="FFFFFF"/>
            <w:vAlign w:val="center"/>
          </w:tcPr>
          <w:p w14:paraId="07E43AFD">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60.需具备已接入平台的数据源统计、各个层级数据分布情况、各个数据资产血缘分析的功能。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61.▲需具备查看次数、查看使用次数、查看影响数量、统计并分析各个教育数据源类型中的存储使用情况、分析查询教育数据的类型、复杂度、执行效率等维度。</w:t>
            </w:r>
            <w:r>
              <w:rPr>
                <w:rFonts w:ascii="仿宋" w:hAnsi="仿宋" w:eastAsia="仿宋" w:cs="仿宋"/>
                <w:b/>
                <w:bCs/>
                <w:kern w:val="0"/>
                <w:sz w:val="32"/>
                <w:szCs w:val="32"/>
                <w:highlight w:val="none"/>
                <w:lang w:bidi="ar"/>
              </w:rPr>
              <w:t>(</w:t>
            </w:r>
            <w:r>
              <w:rPr>
                <w:rFonts w:hint="eastAsia" w:ascii="仿宋" w:hAnsi="仿宋" w:eastAsia="仿宋" w:cs="仿宋"/>
                <w:b/>
                <w:bCs/>
                <w:kern w:val="0"/>
                <w:sz w:val="32"/>
                <w:szCs w:val="32"/>
                <w:highlight w:val="none"/>
                <w:lang w:bidi="ar"/>
              </w:rPr>
              <w:t>需提供功能截图证明并加盖投标人公章</w:t>
            </w:r>
            <w:r>
              <w:rPr>
                <w:rFonts w:ascii="仿宋" w:hAnsi="仿宋" w:eastAsia="仿宋" w:cs="仿宋"/>
                <w:b/>
                <w:bCs/>
                <w:kern w:val="0"/>
                <w:sz w:val="32"/>
                <w:szCs w:val="32"/>
                <w:highlight w:val="none"/>
                <w:lang w:bidi="ar"/>
              </w:rPr>
              <w:t>)</w:t>
            </w:r>
          </w:p>
        </w:tc>
        <w:tc>
          <w:tcPr>
            <w:tcW w:w="324" w:type="pct"/>
            <w:vAlign w:val="center"/>
          </w:tcPr>
          <w:p w14:paraId="59B7BA66">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7876C79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70FB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76" w:type="pct"/>
            <w:shd w:val="clear" w:color="auto" w:fill="auto"/>
            <w:vAlign w:val="center"/>
          </w:tcPr>
          <w:p w14:paraId="2F340E57">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7B16FED6">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3C3B52C6">
            <w:pPr>
              <w:jc w:val="center"/>
              <w:rPr>
                <w:rFonts w:hint="eastAsia" w:ascii="仿宋" w:hAnsi="仿宋" w:eastAsia="仿宋" w:cs="仿宋"/>
                <w:sz w:val="32"/>
                <w:szCs w:val="32"/>
                <w:highlight w:val="none"/>
              </w:rPr>
            </w:pPr>
          </w:p>
        </w:tc>
        <w:tc>
          <w:tcPr>
            <w:tcW w:w="1031" w:type="pct"/>
            <w:shd w:val="clear" w:color="auto" w:fill="auto"/>
            <w:vAlign w:val="center"/>
          </w:tcPr>
          <w:p w14:paraId="4AE359A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平台管理子模块</w:t>
            </w:r>
          </w:p>
        </w:tc>
        <w:tc>
          <w:tcPr>
            <w:tcW w:w="1481" w:type="pct"/>
            <w:shd w:val="clear" w:color="auto" w:fill="FFFFFF"/>
            <w:vAlign w:val="center"/>
          </w:tcPr>
          <w:p w14:paraId="0EF3792C">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62.需具备各种数据源和用户角色管理，全面的数据源管理与用户角色机制管理功能。</w:t>
            </w:r>
          </w:p>
        </w:tc>
        <w:tc>
          <w:tcPr>
            <w:tcW w:w="324" w:type="pct"/>
            <w:vAlign w:val="center"/>
          </w:tcPr>
          <w:p w14:paraId="2D7C391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11A80D37">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A5B2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0" w:hRule="atLeast"/>
        </w:trPr>
        <w:tc>
          <w:tcPr>
            <w:tcW w:w="576" w:type="pct"/>
            <w:shd w:val="clear" w:color="auto" w:fill="auto"/>
            <w:vAlign w:val="center"/>
          </w:tcPr>
          <w:p w14:paraId="3201FA09">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10E1F706">
            <w:pPr>
              <w:jc w:val="center"/>
              <w:rPr>
                <w:rFonts w:hint="eastAsia" w:ascii="仿宋" w:hAnsi="仿宋" w:eastAsia="仿宋" w:cs="仿宋"/>
                <w:sz w:val="32"/>
                <w:szCs w:val="32"/>
                <w:highlight w:val="none"/>
              </w:rPr>
            </w:pPr>
          </w:p>
        </w:tc>
        <w:tc>
          <w:tcPr>
            <w:tcW w:w="939" w:type="pct"/>
            <w:vMerge w:val="restart"/>
            <w:vAlign w:val="center"/>
          </w:tcPr>
          <w:p w14:paraId="47CE6D2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教育数据共享模块</w:t>
            </w:r>
          </w:p>
        </w:tc>
        <w:tc>
          <w:tcPr>
            <w:tcW w:w="1031" w:type="pct"/>
            <w:vAlign w:val="center"/>
          </w:tcPr>
          <w:p w14:paraId="553E786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性能指标</w:t>
            </w:r>
          </w:p>
        </w:tc>
        <w:tc>
          <w:tcPr>
            <w:tcW w:w="1481" w:type="pct"/>
            <w:vAlign w:val="center"/>
          </w:tcPr>
          <w:p w14:paraId="589E4F0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63.单台服务器需求，API最大吞吐量不少于1400req/s；4台服务器API最大吞吐量不少于3000req/s。支持开启结果缓存后，API集群的最大吞吐量不少于8000req/s；需支持高并发低延迟，可达每秒3000并发条件下，&lt;500ms延迟；API接口响应速度：包含20个字段，</w:t>
            </w:r>
            <w:r>
              <w:rPr>
                <w:rFonts w:hint="eastAsia" w:ascii="仿宋" w:hAnsi="仿宋" w:eastAsia="仿宋" w:cs="仿宋"/>
                <w:kern w:val="0"/>
                <w:sz w:val="32"/>
                <w:szCs w:val="32"/>
                <w:highlight w:val="none"/>
                <w:lang w:bidi="ar"/>
              </w:rPr>
              <w:t>支持</w:t>
            </w:r>
            <w:r>
              <w:rPr>
                <w:rFonts w:ascii="仿宋" w:hAnsi="仿宋" w:eastAsia="仿宋" w:cs="仿宋"/>
                <w:kern w:val="0"/>
                <w:sz w:val="32"/>
                <w:szCs w:val="32"/>
                <w:highlight w:val="none"/>
                <w:lang w:bidi="ar"/>
              </w:rPr>
              <w:t>3000并发，平均响应时间</w:t>
            </w:r>
            <w:r>
              <w:rPr>
                <w:rFonts w:hint="eastAsia" w:ascii="仿宋" w:hAnsi="仿宋" w:eastAsia="仿宋" w:cs="仿宋"/>
                <w:kern w:val="0"/>
                <w:sz w:val="32"/>
                <w:szCs w:val="32"/>
                <w:highlight w:val="none"/>
                <w:lang w:bidi="ar"/>
              </w:rPr>
              <w:t>不高于</w:t>
            </w:r>
            <w:r>
              <w:rPr>
                <w:rFonts w:ascii="仿宋" w:hAnsi="仿宋" w:eastAsia="仿宋" w:cs="仿宋"/>
                <w:kern w:val="0"/>
                <w:sz w:val="32"/>
                <w:szCs w:val="32"/>
                <w:highlight w:val="none"/>
                <w:lang w:bidi="ar"/>
              </w:rPr>
              <w:t>7000ms：单节点支持创建共享API服务：≥500个</w:t>
            </w:r>
            <w:r>
              <w:rPr>
                <w:rFonts w:hint="eastAsia" w:ascii="仿宋" w:hAnsi="仿宋" w:eastAsia="仿宋" w:cs="仿宋"/>
                <w:kern w:val="0"/>
                <w:sz w:val="32"/>
                <w:szCs w:val="32"/>
                <w:highlight w:val="none"/>
                <w:lang w:bidi="ar"/>
              </w:rPr>
              <w:t>，单节点可支撑日均并发调用次数：≥</w:t>
            </w:r>
            <w:r>
              <w:rPr>
                <w:rFonts w:ascii="仿宋" w:hAnsi="仿宋" w:eastAsia="仿宋" w:cs="仿宋"/>
                <w:kern w:val="0"/>
                <w:sz w:val="32"/>
                <w:szCs w:val="32"/>
                <w:highlight w:val="none"/>
                <w:lang w:bidi="ar"/>
              </w:rPr>
              <w:t>70万次。</w:t>
            </w:r>
          </w:p>
        </w:tc>
        <w:tc>
          <w:tcPr>
            <w:tcW w:w="324" w:type="pct"/>
            <w:vAlign w:val="center"/>
          </w:tcPr>
          <w:p w14:paraId="4C4A953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644A1D8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3C8C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576" w:type="pct"/>
            <w:shd w:val="clear" w:color="auto" w:fill="auto"/>
            <w:vAlign w:val="center"/>
          </w:tcPr>
          <w:p w14:paraId="668B3F28">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0702D90C">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134D49F9">
            <w:pPr>
              <w:jc w:val="center"/>
              <w:rPr>
                <w:rFonts w:hint="eastAsia" w:ascii="仿宋" w:hAnsi="仿宋" w:eastAsia="仿宋" w:cs="仿宋"/>
                <w:sz w:val="32"/>
                <w:szCs w:val="32"/>
                <w:highlight w:val="none"/>
              </w:rPr>
            </w:pPr>
          </w:p>
        </w:tc>
        <w:tc>
          <w:tcPr>
            <w:tcW w:w="1031" w:type="pct"/>
            <w:shd w:val="clear" w:color="auto" w:fill="FFFFFF"/>
            <w:vAlign w:val="center"/>
          </w:tcPr>
          <w:p w14:paraId="171B9A2B">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数据源管理子模块</w:t>
            </w:r>
          </w:p>
        </w:tc>
        <w:tc>
          <w:tcPr>
            <w:tcW w:w="1481" w:type="pct"/>
            <w:shd w:val="clear" w:color="auto" w:fill="FFFFFF"/>
            <w:vAlign w:val="center"/>
          </w:tcPr>
          <w:p w14:paraId="18F62CC1">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64.需具备数据源管理子模块涉及数据源的接入和管理能力，支持对数据源进行新增、编辑与删除等功能。支持通过添加数据源，可快速从数据源中引用具体元数据，以提供给数据分析或业务处理系统。</w:t>
            </w:r>
          </w:p>
        </w:tc>
        <w:tc>
          <w:tcPr>
            <w:tcW w:w="324" w:type="pct"/>
            <w:vAlign w:val="center"/>
          </w:tcPr>
          <w:p w14:paraId="371FA66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543EAEE7">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9628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47BB5ABF">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79953B1B">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6D098653">
            <w:pPr>
              <w:jc w:val="center"/>
              <w:rPr>
                <w:rFonts w:hint="eastAsia" w:ascii="仿宋" w:hAnsi="仿宋" w:eastAsia="仿宋" w:cs="仿宋"/>
                <w:sz w:val="32"/>
                <w:szCs w:val="32"/>
                <w:highlight w:val="none"/>
              </w:rPr>
            </w:pPr>
          </w:p>
        </w:tc>
        <w:tc>
          <w:tcPr>
            <w:tcW w:w="1031" w:type="pct"/>
            <w:shd w:val="clear" w:color="auto" w:fill="FFFFFF"/>
            <w:vAlign w:val="center"/>
          </w:tcPr>
          <w:p w14:paraId="2173006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角色与权限子模块</w:t>
            </w:r>
          </w:p>
        </w:tc>
        <w:tc>
          <w:tcPr>
            <w:tcW w:w="1481" w:type="pct"/>
            <w:shd w:val="clear" w:color="auto" w:fill="FFFFFF"/>
            <w:vAlign w:val="center"/>
          </w:tcPr>
          <w:p w14:paraId="53E28E89">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65.需支持通过用户管理、角色定义、权限控制，确保系统内的资产数据能被不同的用户角色有限制地进行访问,能够有效地识别和管理每个用户，确保他们能够按照其职能需求访问适当的数据和工具。</w:t>
            </w:r>
          </w:p>
        </w:tc>
        <w:tc>
          <w:tcPr>
            <w:tcW w:w="324" w:type="pct"/>
            <w:vAlign w:val="center"/>
          </w:tcPr>
          <w:p w14:paraId="3582FCE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7D2E042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B23E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0" w:hRule="atLeast"/>
        </w:trPr>
        <w:tc>
          <w:tcPr>
            <w:tcW w:w="576" w:type="pct"/>
            <w:shd w:val="clear" w:color="auto" w:fill="auto"/>
            <w:vAlign w:val="center"/>
          </w:tcPr>
          <w:p w14:paraId="02EC300C">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39FBF442">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11D64ECA">
            <w:pPr>
              <w:jc w:val="center"/>
              <w:rPr>
                <w:rFonts w:hint="eastAsia" w:ascii="仿宋" w:hAnsi="仿宋" w:eastAsia="仿宋" w:cs="仿宋"/>
                <w:sz w:val="32"/>
                <w:szCs w:val="32"/>
                <w:highlight w:val="none"/>
              </w:rPr>
            </w:pPr>
          </w:p>
        </w:tc>
        <w:tc>
          <w:tcPr>
            <w:tcW w:w="1031" w:type="pct"/>
            <w:shd w:val="clear" w:color="auto" w:fill="auto"/>
            <w:vAlign w:val="center"/>
          </w:tcPr>
          <w:p w14:paraId="65995873">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API生成与注册子模块</w:t>
            </w:r>
          </w:p>
        </w:tc>
        <w:tc>
          <w:tcPr>
            <w:tcW w:w="1481" w:type="pct"/>
            <w:shd w:val="clear" w:color="auto" w:fill="FFFFFF"/>
            <w:vAlign w:val="center"/>
          </w:tcPr>
          <w:p w14:paraId="46E30F0A">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66.需支持向导模式生成API，提供自动解析脚本填写API配置参数；支持展示API返回的JSON样例、请求示例和异常示例。支持通过SQL语言和mybatis语法复杂查询逻辑的API生成。支持对API创建服务分组，通过配置不同API的流量管控策略实现应用访问限制。</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67.需具备脚本模式创建API、API分页配置、API超时时间配置、API调用测试、外部API注册、协议支持的功能。</w:t>
            </w:r>
          </w:p>
        </w:tc>
        <w:tc>
          <w:tcPr>
            <w:tcW w:w="324" w:type="pct"/>
            <w:vAlign w:val="center"/>
          </w:tcPr>
          <w:p w14:paraId="0FC4D59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0D43BFDB">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B2D9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0" w:hRule="atLeast"/>
        </w:trPr>
        <w:tc>
          <w:tcPr>
            <w:tcW w:w="576" w:type="pct"/>
            <w:shd w:val="clear" w:color="auto" w:fill="auto"/>
            <w:vAlign w:val="center"/>
          </w:tcPr>
          <w:p w14:paraId="2ADCFAB4">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7A8A8FA6">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30B5BF5A">
            <w:pPr>
              <w:jc w:val="center"/>
              <w:rPr>
                <w:rFonts w:hint="eastAsia" w:ascii="仿宋" w:hAnsi="仿宋" w:eastAsia="仿宋" w:cs="仿宋"/>
                <w:sz w:val="32"/>
                <w:szCs w:val="32"/>
                <w:highlight w:val="none"/>
              </w:rPr>
            </w:pPr>
          </w:p>
        </w:tc>
        <w:tc>
          <w:tcPr>
            <w:tcW w:w="1031" w:type="pct"/>
            <w:shd w:val="clear" w:color="auto" w:fill="auto"/>
            <w:vAlign w:val="center"/>
          </w:tcPr>
          <w:p w14:paraId="477AB6D6">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API提交与发布子模块</w:t>
            </w:r>
          </w:p>
        </w:tc>
        <w:tc>
          <w:tcPr>
            <w:tcW w:w="1481" w:type="pct"/>
            <w:shd w:val="clear" w:color="auto" w:fill="FFFFFF"/>
            <w:vAlign w:val="center"/>
          </w:tcPr>
          <w:p w14:paraId="49C51319">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68.需具备对API进行发布或导入导出的功能。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69.▲需支持API文档导出功能是整理和分享API信息的重要工具。在数据平台中，每个API都需要详细的文档来描述其功能、入参、出参以及请求响应示例。</w:t>
            </w:r>
            <w:r>
              <w:rPr>
                <w:rFonts w:hint="eastAsia" w:ascii="仿宋" w:hAnsi="仿宋" w:eastAsia="仿宋" w:cs="仿宋"/>
                <w:b/>
                <w:bCs/>
                <w:kern w:val="0"/>
                <w:sz w:val="32"/>
                <w:szCs w:val="32"/>
                <w:highlight w:val="none"/>
                <w:lang w:bidi="ar"/>
              </w:rPr>
              <w:t>（需提供功能截图证明并加盖投标人公章）</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70.▲需支持通过API文档导出功能，将相关信息导出为各种格式，如PDF或Word文档。</w:t>
            </w:r>
            <w:r>
              <w:rPr>
                <w:rFonts w:hint="eastAsia" w:ascii="仿宋" w:hAnsi="仿宋" w:eastAsia="仿宋" w:cs="仿宋"/>
                <w:b/>
                <w:bCs/>
                <w:kern w:val="0"/>
                <w:sz w:val="32"/>
                <w:szCs w:val="32"/>
                <w:highlight w:val="none"/>
                <w:lang w:bidi="ar"/>
              </w:rPr>
              <w:t>（需提供功能截图证明并加盖投标人公章）</w:t>
            </w:r>
          </w:p>
        </w:tc>
        <w:tc>
          <w:tcPr>
            <w:tcW w:w="324" w:type="pct"/>
            <w:vAlign w:val="center"/>
          </w:tcPr>
          <w:p w14:paraId="287A7A6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7DB59BF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317F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trPr>
        <w:tc>
          <w:tcPr>
            <w:tcW w:w="576" w:type="pct"/>
            <w:shd w:val="clear" w:color="auto" w:fill="auto"/>
            <w:vAlign w:val="center"/>
          </w:tcPr>
          <w:p w14:paraId="5FF6EC47">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1ED350F0">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2BD4C54E">
            <w:pPr>
              <w:jc w:val="center"/>
              <w:rPr>
                <w:rFonts w:hint="eastAsia" w:ascii="仿宋" w:hAnsi="仿宋" w:eastAsia="仿宋" w:cs="仿宋"/>
                <w:sz w:val="32"/>
                <w:szCs w:val="32"/>
                <w:highlight w:val="none"/>
              </w:rPr>
            </w:pPr>
          </w:p>
        </w:tc>
        <w:tc>
          <w:tcPr>
            <w:tcW w:w="1031" w:type="pct"/>
            <w:shd w:val="clear" w:color="auto" w:fill="auto"/>
            <w:vAlign w:val="center"/>
          </w:tcPr>
          <w:p w14:paraId="1CA20B1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API管理子模块</w:t>
            </w:r>
          </w:p>
        </w:tc>
        <w:tc>
          <w:tcPr>
            <w:tcW w:w="1481" w:type="pct"/>
            <w:shd w:val="clear" w:color="auto" w:fill="FFFFFF"/>
            <w:vAlign w:val="center"/>
          </w:tcPr>
          <w:p w14:paraId="0F8F5AD4">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71.需具备API授权、API流控策略配置、API调用、API授权记录查看的功能。</w:t>
            </w:r>
          </w:p>
          <w:p w14:paraId="099C2DB8">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72、需预留符合教育部及天津市教委相关对外服务规范的统一标准接口。</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73.▲需API状态变更功能，支持对API进行状态管理，包括上线和下线API接口服务，并提供业务审核流程。</w:t>
            </w:r>
            <w:r>
              <w:rPr>
                <w:rFonts w:hint="eastAsia" w:ascii="仿宋" w:hAnsi="仿宋" w:eastAsia="仿宋" w:cs="仿宋"/>
                <w:b/>
                <w:bCs/>
                <w:kern w:val="0"/>
                <w:sz w:val="32"/>
                <w:szCs w:val="32"/>
                <w:highlight w:val="none"/>
                <w:lang w:bidi="ar"/>
              </w:rPr>
              <w:t>（需提供功能截图证明并加盖投标人公章）</w:t>
            </w:r>
          </w:p>
        </w:tc>
        <w:tc>
          <w:tcPr>
            <w:tcW w:w="324" w:type="pct"/>
            <w:vAlign w:val="center"/>
          </w:tcPr>
          <w:p w14:paraId="47928FE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5CA6B91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9A2E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49AFDE6E">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7AF510A1">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268BEC32">
            <w:pPr>
              <w:jc w:val="center"/>
              <w:rPr>
                <w:rFonts w:hint="eastAsia" w:ascii="仿宋" w:hAnsi="仿宋" w:eastAsia="仿宋" w:cs="仿宋"/>
                <w:sz w:val="32"/>
                <w:szCs w:val="32"/>
                <w:highlight w:val="none"/>
              </w:rPr>
            </w:pPr>
          </w:p>
        </w:tc>
        <w:tc>
          <w:tcPr>
            <w:tcW w:w="1031" w:type="pct"/>
            <w:shd w:val="clear" w:color="auto" w:fill="auto"/>
            <w:vAlign w:val="center"/>
          </w:tcPr>
          <w:p w14:paraId="60F10FC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API申请与调用子模块</w:t>
            </w:r>
          </w:p>
        </w:tc>
        <w:tc>
          <w:tcPr>
            <w:tcW w:w="1481" w:type="pct"/>
            <w:shd w:val="clear" w:color="auto" w:fill="FFFFFF"/>
            <w:vAlign w:val="center"/>
          </w:tcPr>
          <w:p w14:paraId="1AF84348">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74.需具备API申请、API调用、API请求和返回内容查看的功能。</w:t>
            </w:r>
          </w:p>
        </w:tc>
        <w:tc>
          <w:tcPr>
            <w:tcW w:w="324" w:type="pct"/>
            <w:vAlign w:val="center"/>
          </w:tcPr>
          <w:p w14:paraId="4139D4C8">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62A4DC4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2144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576" w:type="pct"/>
            <w:shd w:val="clear" w:color="auto" w:fill="auto"/>
            <w:vAlign w:val="center"/>
          </w:tcPr>
          <w:p w14:paraId="2A8B932C">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4799C3B2">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70F54CCB">
            <w:pPr>
              <w:jc w:val="center"/>
              <w:rPr>
                <w:rFonts w:hint="eastAsia" w:ascii="仿宋" w:hAnsi="仿宋" w:eastAsia="仿宋" w:cs="仿宋"/>
                <w:sz w:val="32"/>
                <w:szCs w:val="32"/>
                <w:highlight w:val="none"/>
              </w:rPr>
            </w:pPr>
          </w:p>
        </w:tc>
        <w:tc>
          <w:tcPr>
            <w:tcW w:w="1031" w:type="pct"/>
            <w:shd w:val="clear" w:color="auto" w:fill="auto"/>
            <w:vAlign w:val="center"/>
          </w:tcPr>
          <w:p w14:paraId="0D8FEC6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API安全子模块</w:t>
            </w:r>
          </w:p>
        </w:tc>
        <w:tc>
          <w:tcPr>
            <w:tcW w:w="1481" w:type="pct"/>
            <w:shd w:val="clear" w:color="auto" w:fill="FFFFFF"/>
            <w:vAlign w:val="center"/>
          </w:tcPr>
          <w:p w14:paraId="656BF69D">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75.需具备API的申请审批、API调用限流、IP地址白名单限制的功能。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76.▲需具备多种API安全认证能力，适用于内部系统或测试环境的API调用。支持开发团队使用简单的令牌认证方式进行内部系统的测试，确保开发阶段的安全性和便利性。摘要签名认证：这种加密签名的认证方式适用于需要高安全性的应用场景。</w:t>
            </w:r>
            <w:r>
              <w:rPr>
                <w:rFonts w:ascii="仿宋" w:hAnsi="仿宋" w:eastAsia="仿宋" w:cs="仿宋"/>
                <w:b/>
                <w:bCs/>
                <w:kern w:val="0"/>
                <w:sz w:val="32"/>
                <w:szCs w:val="32"/>
                <w:highlight w:val="none"/>
                <w:lang w:bidi="ar"/>
              </w:rPr>
              <w:t>(</w:t>
            </w:r>
            <w:r>
              <w:rPr>
                <w:rFonts w:hint="eastAsia" w:ascii="仿宋" w:hAnsi="仿宋" w:eastAsia="仿宋" w:cs="仿宋"/>
                <w:b/>
                <w:bCs/>
                <w:kern w:val="0"/>
                <w:sz w:val="32"/>
                <w:szCs w:val="32"/>
                <w:highlight w:val="none"/>
                <w:lang w:bidi="ar"/>
              </w:rPr>
              <w:t>需提供功能截图证明并加盖投标人公章</w:t>
            </w:r>
            <w:r>
              <w:rPr>
                <w:rFonts w:ascii="仿宋" w:hAnsi="仿宋" w:eastAsia="仿宋" w:cs="仿宋"/>
                <w:b/>
                <w:bCs/>
                <w:kern w:val="0"/>
                <w:sz w:val="32"/>
                <w:szCs w:val="32"/>
                <w:highlight w:val="none"/>
                <w:lang w:bidi="ar"/>
              </w:rPr>
              <w:t>)</w:t>
            </w:r>
          </w:p>
        </w:tc>
        <w:tc>
          <w:tcPr>
            <w:tcW w:w="324" w:type="pct"/>
            <w:vAlign w:val="center"/>
          </w:tcPr>
          <w:p w14:paraId="79E0D9C5">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420F5A9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8941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76" w:type="pct"/>
            <w:shd w:val="clear" w:color="auto" w:fill="auto"/>
            <w:vAlign w:val="center"/>
          </w:tcPr>
          <w:p w14:paraId="2BDCC94C">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50232E5E">
            <w:pPr>
              <w:jc w:val="center"/>
              <w:rPr>
                <w:rFonts w:hint="eastAsia" w:ascii="仿宋" w:hAnsi="仿宋" w:eastAsia="仿宋" w:cs="仿宋"/>
                <w:sz w:val="32"/>
                <w:szCs w:val="32"/>
                <w:highlight w:val="none"/>
              </w:rPr>
            </w:pPr>
          </w:p>
        </w:tc>
        <w:tc>
          <w:tcPr>
            <w:tcW w:w="939" w:type="pct"/>
            <w:vMerge w:val="restart"/>
            <w:shd w:val="clear" w:color="auto" w:fill="auto"/>
            <w:vAlign w:val="center"/>
          </w:tcPr>
          <w:p w14:paraId="70B6AA1B">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教育数据运维管理模块</w:t>
            </w:r>
          </w:p>
        </w:tc>
        <w:tc>
          <w:tcPr>
            <w:tcW w:w="1031" w:type="pct"/>
            <w:shd w:val="clear" w:color="auto" w:fill="FFFFFF"/>
            <w:vAlign w:val="center"/>
          </w:tcPr>
          <w:p w14:paraId="2AA8C57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全局配置子模块</w:t>
            </w:r>
          </w:p>
        </w:tc>
        <w:tc>
          <w:tcPr>
            <w:tcW w:w="1481" w:type="pct"/>
            <w:shd w:val="clear" w:color="auto" w:fill="FFFFFF"/>
            <w:vAlign w:val="center"/>
          </w:tcPr>
          <w:p w14:paraId="27AC6995">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77</w:t>
            </w:r>
            <w:r>
              <w:rPr>
                <w:rFonts w:ascii="仿宋" w:hAnsi="仿宋" w:eastAsia="仿宋" w:cs="仿宋"/>
                <w:kern w:val="0"/>
                <w:sz w:val="32"/>
                <w:szCs w:val="32"/>
                <w:highlight w:val="none"/>
                <w:lang w:bidi="ar"/>
              </w:rPr>
              <w:t>.需具备单集群配置、资源管理、局参数、自定义调度日期管理的功能。</w:t>
            </w:r>
          </w:p>
        </w:tc>
        <w:tc>
          <w:tcPr>
            <w:tcW w:w="324" w:type="pct"/>
            <w:vAlign w:val="center"/>
          </w:tcPr>
          <w:p w14:paraId="1C5B3C9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732F4C6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157B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trPr>
        <w:tc>
          <w:tcPr>
            <w:tcW w:w="576" w:type="pct"/>
            <w:shd w:val="clear" w:color="auto" w:fill="auto"/>
            <w:vAlign w:val="center"/>
          </w:tcPr>
          <w:p w14:paraId="650DEDF7">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626F07A7">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58857339">
            <w:pPr>
              <w:jc w:val="center"/>
              <w:rPr>
                <w:rFonts w:hint="eastAsia" w:ascii="仿宋" w:hAnsi="仿宋" w:eastAsia="仿宋" w:cs="仿宋"/>
                <w:sz w:val="32"/>
                <w:szCs w:val="32"/>
                <w:highlight w:val="none"/>
              </w:rPr>
            </w:pPr>
          </w:p>
        </w:tc>
        <w:tc>
          <w:tcPr>
            <w:tcW w:w="1031" w:type="pct"/>
            <w:shd w:val="clear" w:color="auto" w:fill="FFFFFF"/>
            <w:vAlign w:val="center"/>
          </w:tcPr>
          <w:p w14:paraId="12A23E9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公共管理子模块</w:t>
            </w:r>
          </w:p>
        </w:tc>
        <w:tc>
          <w:tcPr>
            <w:tcW w:w="1481" w:type="pct"/>
            <w:shd w:val="clear" w:color="auto" w:fill="FFFFFF"/>
            <w:vAlign w:val="center"/>
          </w:tcPr>
          <w:p w14:paraId="75478AAE">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78</w:t>
            </w:r>
            <w:r>
              <w:rPr>
                <w:rFonts w:ascii="仿宋" w:hAnsi="仿宋" w:eastAsia="仿宋" w:cs="仿宋"/>
                <w:kern w:val="0"/>
                <w:sz w:val="32"/>
                <w:szCs w:val="32"/>
                <w:highlight w:val="none"/>
                <w:lang w:bidi="ar"/>
              </w:rPr>
              <w:t>.需具备数据源中心、审批中心、告警通道、页面配置的管理功能。</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79</w:t>
            </w:r>
            <w:r>
              <w:rPr>
                <w:rFonts w:ascii="仿宋" w:hAnsi="仿宋" w:eastAsia="仿宋" w:cs="仿宋"/>
                <w:kern w:val="0"/>
                <w:sz w:val="32"/>
                <w:szCs w:val="32"/>
                <w:highlight w:val="none"/>
                <w:lang w:bidi="ar"/>
              </w:rPr>
              <w:t>.▲需具备安全审计功能，支持记录教育管理人员的操作日志，如用户登录、用户新增/编辑/删除、角色、权限、操作时间、IP地址、操作结果等信息。</w:t>
            </w:r>
            <w:r>
              <w:rPr>
                <w:rFonts w:hint="eastAsia" w:ascii="仿宋" w:hAnsi="仿宋" w:eastAsia="仿宋" w:cs="仿宋"/>
                <w:b/>
                <w:bCs/>
                <w:kern w:val="0"/>
                <w:sz w:val="32"/>
                <w:szCs w:val="32"/>
                <w:highlight w:val="none"/>
                <w:lang w:bidi="ar"/>
              </w:rPr>
              <w:t>（需提供功能截图证明并加盖投标人公章）</w:t>
            </w:r>
          </w:p>
        </w:tc>
        <w:tc>
          <w:tcPr>
            <w:tcW w:w="324" w:type="pct"/>
            <w:vAlign w:val="center"/>
          </w:tcPr>
          <w:p w14:paraId="54A02A06">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1F7908E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2B04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576" w:type="pct"/>
            <w:shd w:val="clear" w:color="auto" w:fill="auto"/>
            <w:vAlign w:val="center"/>
          </w:tcPr>
          <w:p w14:paraId="1E5DE1BE">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12AA005B">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1EDC693B">
            <w:pPr>
              <w:jc w:val="center"/>
              <w:rPr>
                <w:rFonts w:hint="eastAsia" w:ascii="仿宋" w:hAnsi="仿宋" w:eastAsia="仿宋" w:cs="仿宋"/>
                <w:sz w:val="32"/>
                <w:szCs w:val="32"/>
                <w:highlight w:val="none"/>
              </w:rPr>
            </w:pPr>
          </w:p>
        </w:tc>
        <w:tc>
          <w:tcPr>
            <w:tcW w:w="1031" w:type="pct"/>
            <w:shd w:val="clear" w:color="auto" w:fill="FFFFFF"/>
            <w:vAlign w:val="center"/>
          </w:tcPr>
          <w:p w14:paraId="08BDC72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资源管理子模块</w:t>
            </w:r>
          </w:p>
        </w:tc>
        <w:tc>
          <w:tcPr>
            <w:tcW w:w="1481" w:type="pct"/>
            <w:shd w:val="clear" w:color="auto" w:fill="FFFFFF"/>
            <w:vAlign w:val="center"/>
          </w:tcPr>
          <w:p w14:paraId="738ED728">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80</w:t>
            </w:r>
            <w:r>
              <w:rPr>
                <w:rFonts w:ascii="仿宋" w:hAnsi="仿宋" w:eastAsia="仿宋" w:cs="仿宋"/>
                <w:kern w:val="0"/>
                <w:sz w:val="32"/>
                <w:szCs w:val="32"/>
                <w:highlight w:val="none"/>
                <w:lang w:bidi="ar"/>
              </w:rPr>
              <w:t>.需支持管理和配置数据平台中的数据计算资源，支持分组资源管理机制，确保系统能够同时为多个小组提供服务，而各小组之间的用户信息、业务数据保持完全隔离。</w:t>
            </w:r>
          </w:p>
          <w:p w14:paraId="49E11EDE">
            <w:pP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81</w:t>
            </w:r>
            <w:r>
              <w:rPr>
                <w:rFonts w:ascii="仿宋" w:hAnsi="仿宋" w:eastAsia="仿宋" w:cs="仿宋"/>
                <w:kern w:val="0"/>
                <w:sz w:val="32"/>
                <w:szCs w:val="32"/>
                <w:highlight w:val="none"/>
                <w:lang w:bidi="ar"/>
              </w:rPr>
              <w:t>.需通过有效管理和配置资源管理模块，支持每个分组在系统中拥有独立的用户管理体系和数据存储空间、互不干扰。</w:t>
            </w:r>
          </w:p>
        </w:tc>
        <w:tc>
          <w:tcPr>
            <w:tcW w:w="324" w:type="pct"/>
            <w:vAlign w:val="center"/>
          </w:tcPr>
          <w:p w14:paraId="5C69FA25">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68AE52E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AD47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576" w:type="pct"/>
            <w:shd w:val="clear" w:color="auto" w:fill="auto"/>
            <w:vAlign w:val="center"/>
          </w:tcPr>
          <w:p w14:paraId="3FA4BE0F">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2E1C2AD5">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09A3EEA5">
            <w:pPr>
              <w:jc w:val="center"/>
              <w:rPr>
                <w:rFonts w:hint="eastAsia" w:ascii="仿宋" w:hAnsi="仿宋" w:eastAsia="仿宋" w:cs="仿宋"/>
                <w:sz w:val="32"/>
                <w:szCs w:val="32"/>
                <w:highlight w:val="none"/>
              </w:rPr>
            </w:pPr>
          </w:p>
        </w:tc>
        <w:tc>
          <w:tcPr>
            <w:tcW w:w="1031" w:type="pct"/>
            <w:shd w:val="clear" w:color="auto" w:fill="FFFFFF"/>
            <w:vAlign w:val="center"/>
          </w:tcPr>
          <w:p w14:paraId="7106EB6F">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系统管理子模块</w:t>
            </w:r>
          </w:p>
        </w:tc>
        <w:tc>
          <w:tcPr>
            <w:tcW w:w="1481" w:type="pct"/>
            <w:shd w:val="clear" w:color="auto" w:fill="FFFFFF"/>
            <w:vAlign w:val="center"/>
          </w:tcPr>
          <w:p w14:paraId="3182E3B5">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82</w:t>
            </w:r>
            <w:r>
              <w:rPr>
                <w:rFonts w:ascii="仿宋" w:hAnsi="仿宋" w:eastAsia="仿宋" w:cs="仿宋"/>
                <w:kern w:val="0"/>
                <w:sz w:val="32"/>
                <w:szCs w:val="32"/>
                <w:highlight w:val="none"/>
                <w:lang w:bidi="ar"/>
              </w:rPr>
              <w:t>.▲提供自定义配置审核流程，任意设置单个/多个审核节点，支持配置部门负责人或指定用户或指定角色进行审核，可控制节点会签、或签；支持将审核流程与不同的审核场景、安全等级进行关联使用。（提供第三方检测机构出具的含CNAS和CMA标识的检测报告原件扫描件加盖投标人公章，提供产品功能截图并加盖投标人公章）</w:t>
            </w:r>
          </w:p>
        </w:tc>
        <w:tc>
          <w:tcPr>
            <w:tcW w:w="324" w:type="pct"/>
            <w:vAlign w:val="center"/>
          </w:tcPr>
          <w:p w14:paraId="05665D44">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4314AA42">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547A8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76" w:type="pct"/>
            <w:shd w:val="clear" w:color="auto" w:fill="auto"/>
            <w:vAlign w:val="center"/>
          </w:tcPr>
          <w:p w14:paraId="13835A42">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312A5598">
            <w:pPr>
              <w:jc w:val="center"/>
              <w:rPr>
                <w:rFonts w:hint="eastAsia" w:ascii="仿宋" w:hAnsi="仿宋" w:eastAsia="仿宋" w:cs="仿宋"/>
                <w:sz w:val="32"/>
                <w:szCs w:val="32"/>
                <w:highlight w:val="none"/>
              </w:rPr>
            </w:pPr>
          </w:p>
        </w:tc>
        <w:tc>
          <w:tcPr>
            <w:tcW w:w="939" w:type="pct"/>
            <w:vMerge w:val="restart"/>
            <w:shd w:val="clear" w:color="auto" w:fill="auto"/>
            <w:vAlign w:val="center"/>
          </w:tcPr>
          <w:p w14:paraId="402263D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教育数据指标管理模块</w:t>
            </w:r>
          </w:p>
        </w:tc>
        <w:tc>
          <w:tcPr>
            <w:tcW w:w="1031" w:type="pct"/>
            <w:shd w:val="clear" w:color="auto" w:fill="auto"/>
            <w:vAlign w:val="center"/>
          </w:tcPr>
          <w:p w14:paraId="025DDF3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指标中心子模块</w:t>
            </w:r>
          </w:p>
        </w:tc>
        <w:tc>
          <w:tcPr>
            <w:tcW w:w="1481" w:type="pct"/>
            <w:shd w:val="clear" w:color="auto" w:fill="FFFFFF"/>
            <w:vAlign w:val="center"/>
          </w:tcPr>
          <w:p w14:paraId="664A0BB6">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83</w:t>
            </w:r>
            <w:r>
              <w:rPr>
                <w:rFonts w:ascii="仿宋" w:hAnsi="仿宋" w:eastAsia="仿宋" w:cs="仿宋"/>
                <w:kern w:val="0"/>
                <w:sz w:val="32"/>
                <w:szCs w:val="32"/>
                <w:highlight w:val="none"/>
                <w:lang w:bidi="ar"/>
              </w:rPr>
              <w:t>.需具备原子指标、派生指标、复合指标、自定义指标、指标发布/下线、指标目录不同指标的管理功能。</w:t>
            </w:r>
          </w:p>
        </w:tc>
        <w:tc>
          <w:tcPr>
            <w:tcW w:w="324" w:type="pct"/>
            <w:vAlign w:val="center"/>
          </w:tcPr>
          <w:p w14:paraId="41B03C2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2101933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D9C2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7B6F69E5">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7C3E6FDF">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0256BD9E">
            <w:pPr>
              <w:jc w:val="center"/>
              <w:rPr>
                <w:rFonts w:hint="eastAsia" w:ascii="仿宋" w:hAnsi="仿宋" w:eastAsia="仿宋" w:cs="仿宋"/>
                <w:sz w:val="32"/>
                <w:szCs w:val="32"/>
                <w:highlight w:val="none"/>
              </w:rPr>
            </w:pPr>
          </w:p>
        </w:tc>
        <w:tc>
          <w:tcPr>
            <w:tcW w:w="1031" w:type="pct"/>
            <w:shd w:val="clear" w:color="auto" w:fill="FFFFFF"/>
            <w:vAlign w:val="center"/>
          </w:tcPr>
          <w:p w14:paraId="54B516C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指标应用子模块</w:t>
            </w:r>
          </w:p>
        </w:tc>
        <w:tc>
          <w:tcPr>
            <w:tcW w:w="1481" w:type="pct"/>
            <w:shd w:val="clear" w:color="auto" w:fill="FFFFFF"/>
            <w:vAlign w:val="center"/>
          </w:tcPr>
          <w:p w14:paraId="423711CE">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84</w:t>
            </w:r>
            <w:r>
              <w:rPr>
                <w:rFonts w:ascii="仿宋" w:hAnsi="仿宋" w:eastAsia="仿宋" w:cs="仿宋"/>
                <w:kern w:val="0"/>
                <w:sz w:val="32"/>
                <w:szCs w:val="32"/>
                <w:highlight w:val="none"/>
                <w:lang w:bidi="ar"/>
              </w:rPr>
              <w:t>.需具备教育数据指标应用进行统一管理能力，帮助管理者利用数据模型指标进行教育决策和优化。支持用户对指标数据接口进行发布、禁用、删除等操作；可灵活控制接口开放状态，设定访问权限。</w:t>
            </w:r>
          </w:p>
        </w:tc>
        <w:tc>
          <w:tcPr>
            <w:tcW w:w="324" w:type="pct"/>
            <w:vAlign w:val="center"/>
          </w:tcPr>
          <w:p w14:paraId="55B2E9F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4BC5C82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AA88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6BAFBB89">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4FBA600B">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3C0367C7">
            <w:pPr>
              <w:jc w:val="center"/>
              <w:rPr>
                <w:rFonts w:hint="eastAsia" w:ascii="仿宋" w:hAnsi="仿宋" w:eastAsia="仿宋" w:cs="仿宋"/>
                <w:sz w:val="32"/>
                <w:szCs w:val="32"/>
                <w:highlight w:val="none"/>
              </w:rPr>
            </w:pPr>
          </w:p>
        </w:tc>
        <w:tc>
          <w:tcPr>
            <w:tcW w:w="1031" w:type="pct"/>
            <w:shd w:val="clear" w:color="auto" w:fill="FFFFFF"/>
            <w:vAlign w:val="center"/>
          </w:tcPr>
          <w:p w14:paraId="69B118B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全局概览子模块</w:t>
            </w:r>
          </w:p>
        </w:tc>
        <w:tc>
          <w:tcPr>
            <w:tcW w:w="1481" w:type="pct"/>
            <w:shd w:val="clear" w:color="auto" w:fill="FFFFFF"/>
            <w:vAlign w:val="center"/>
          </w:tcPr>
          <w:p w14:paraId="4A0DA24F">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85</w:t>
            </w:r>
            <w:r>
              <w:rPr>
                <w:rFonts w:ascii="仿宋" w:hAnsi="仿宋" w:eastAsia="仿宋" w:cs="仿宋"/>
                <w:kern w:val="0"/>
                <w:sz w:val="32"/>
                <w:szCs w:val="32"/>
                <w:highlight w:val="none"/>
                <w:lang w:bidi="ar"/>
              </w:rPr>
              <w:t>.需提供一个全面的指标视图，汇总和展示教育系统中从各类数据采集内容（如学校基本信息、学籍基本信息、教职工信息、科研信息、资产信息及党建信息）中提取的关键指标。</w:t>
            </w:r>
          </w:p>
        </w:tc>
        <w:tc>
          <w:tcPr>
            <w:tcW w:w="324" w:type="pct"/>
            <w:vAlign w:val="center"/>
          </w:tcPr>
          <w:p w14:paraId="08188047">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2EFDD38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5F0E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0ECAD485">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1647ADD0">
            <w:pPr>
              <w:jc w:val="center"/>
              <w:rPr>
                <w:rFonts w:hint="eastAsia" w:ascii="仿宋" w:hAnsi="仿宋" w:eastAsia="仿宋" w:cs="仿宋"/>
                <w:sz w:val="32"/>
                <w:szCs w:val="32"/>
                <w:highlight w:val="none"/>
              </w:rPr>
            </w:pPr>
          </w:p>
        </w:tc>
        <w:tc>
          <w:tcPr>
            <w:tcW w:w="939" w:type="pct"/>
            <w:vMerge w:val="restart"/>
            <w:shd w:val="clear" w:color="auto" w:fill="auto"/>
            <w:vAlign w:val="center"/>
          </w:tcPr>
          <w:p w14:paraId="56E3C09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数据可视化报表模块</w:t>
            </w:r>
          </w:p>
        </w:tc>
        <w:tc>
          <w:tcPr>
            <w:tcW w:w="1031" w:type="pct"/>
            <w:shd w:val="clear" w:color="auto" w:fill="auto"/>
            <w:vAlign w:val="center"/>
          </w:tcPr>
          <w:p w14:paraId="7A5FDA8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大数据分析模块</w:t>
            </w:r>
          </w:p>
        </w:tc>
        <w:tc>
          <w:tcPr>
            <w:tcW w:w="1481" w:type="pct"/>
            <w:shd w:val="clear" w:color="auto" w:fill="FFFFFF"/>
            <w:vAlign w:val="center"/>
          </w:tcPr>
          <w:p w14:paraId="4A509643">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86</w:t>
            </w:r>
            <w:r>
              <w:rPr>
                <w:rFonts w:ascii="仿宋" w:hAnsi="仿宋" w:eastAsia="仿宋" w:cs="仿宋"/>
                <w:kern w:val="0"/>
                <w:sz w:val="32"/>
                <w:szCs w:val="32"/>
                <w:highlight w:val="none"/>
                <w:lang w:bidi="ar"/>
              </w:rPr>
              <w:t>.需具备教育管理人员查看所有生成的图表内容、多种的教育数据来源选择、数据拖拽、新建筛选器对图表添加标题、标题链接和副标题、数据拖拽功能、两表关联、新建筛选器的功能。</w:t>
            </w:r>
          </w:p>
        </w:tc>
        <w:tc>
          <w:tcPr>
            <w:tcW w:w="324" w:type="pct"/>
            <w:vAlign w:val="center"/>
          </w:tcPr>
          <w:p w14:paraId="10A15AF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192C5CC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914D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15540309">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530534D4">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09C88A93">
            <w:pPr>
              <w:jc w:val="center"/>
              <w:rPr>
                <w:rFonts w:hint="eastAsia" w:ascii="仿宋" w:hAnsi="仿宋" w:eastAsia="仿宋" w:cs="仿宋"/>
                <w:sz w:val="32"/>
                <w:szCs w:val="32"/>
                <w:highlight w:val="none"/>
              </w:rPr>
            </w:pPr>
          </w:p>
        </w:tc>
        <w:tc>
          <w:tcPr>
            <w:tcW w:w="1031" w:type="pct"/>
            <w:shd w:val="clear" w:color="auto" w:fill="FFFFFF"/>
            <w:vAlign w:val="center"/>
          </w:tcPr>
          <w:p w14:paraId="6D78EFE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主题类管理子模块</w:t>
            </w:r>
          </w:p>
        </w:tc>
        <w:tc>
          <w:tcPr>
            <w:tcW w:w="1481" w:type="pct"/>
            <w:shd w:val="clear" w:color="auto" w:fill="FFFFFF"/>
            <w:vAlign w:val="center"/>
          </w:tcPr>
          <w:p w14:paraId="5398948F">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87</w:t>
            </w:r>
            <w:r>
              <w:rPr>
                <w:rFonts w:ascii="仿宋" w:hAnsi="仿宋" w:eastAsia="仿宋" w:cs="仿宋"/>
                <w:kern w:val="0"/>
                <w:sz w:val="32"/>
                <w:szCs w:val="32"/>
                <w:highlight w:val="none"/>
                <w:lang w:bidi="ar"/>
              </w:rPr>
              <w:t>.需支持教育管理人员新建图表类并自定义名称、菜单类型及归属，实现个性化分类组织；支持新建与修改图表类相关信息；支持查看所有已创建的图表类。</w:t>
            </w:r>
          </w:p>
        </w:tc>
        <w:tc>
          <w:tcPr>
            <w:tcW w:w="324" w:type="pct"/>
            <w:vAlign w:val="center"/>
          </w:tcPr>
          <w:p w14:paraId="1F8826C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4543E77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4C60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4" w:hRule="atLeast"/>
        </w:trPr>
        <w:tc>
          <w:tcPr>
            <w:tcW w:w="576" w:type="pct"/>
            <w:shd w:val="clear" w:color="auto" w:fill="auto"/>
            <w:vAlign w:val="center"/>
          </w:tcPr>
          <w:p w14:paraId="0FDA0F8B">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3B931173">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14114D56">
            <w:pPr>
              <w:jc w:val="center"/>
              <w:rPr>
                <w:rFonts w:hint="eastAsia" w:ascii="仿宋" w:hAnsi="仿宋" w:eastAsia="仿宋" w:cs="仿宋"/>
                <w:sz w:val="32"/>
                <w:szCs w:val="32"/>
                <w:highlight w:val="none"/>
              </w:rPr>
            </w:pPr>
          </w:p>
        </w:tc>
        <w:tc>
          <w:tcPr>
            <w:tcW w:w="1031" w:type="pct"/>
            <w:shd w:val="clear" w:color="auto" w:fill="FFFFFF"/>
            <w:vAlign w:val="center"/>
          </w:tcPr>
          <w:p w14:paraId="76D0869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主题报告子模块</w:t>
            </w:r>
          </w:p>
        </w:tc>
        <w:tc>
          <w:tcPr>
            <w:tcW w:w="1481" w:type="pct"/>
            <w:shd w:val="clear" w:color="auto" w:fill="FFFFFF"/>
            <w:vAlign w:val="center"/>
          </w:tcPr>
          <w:p w14:paraId="38C7A74B">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88</w:t>
            </w:r>
            <w:r>
              <w:rPr>
                <w:rFonts w:ascii="仿宋" w:hAnsi="仿宋" w:eastAsia="仿宋" w:cs="仿宋"/>
                <w:kern w:val="0"/>
                <w:sz w:val="32"/>
                <w:szCs w:val="32"/>
                <w:highlight w:val="none"/>
                <w:lang w:bidi="ar"/>
              </w:rPr>
              <w:t>.需支持教育管理人员可以新增、复制、修改和删除主题，还能直观地查看所有主题内容的概览;支持自由调整主题布局，添加各类数据元素如图表、表格、数据指标、文本说明及图片等。</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89</w:t>
            </w:r>
            <w:r>
              <w:rPr>
                <w:rFonts w:ascii="仿宋" w:hAnsi="仿宋" w:eastAsia="仿宋" w:cs="仿宋"/>
                <w:kern w:val="0"/>
                <w:sz w:val="32"/>
                <w:szCs w:val="32"/>
                <w:highlight w:val="none"/>
                <w:lang w:bidi="ar"/>
              </w:rPr>
              <w:t>.需支持教育管理人员根据需求指定教育数据来源类型，如数据库、文件、API接口等。在接入过程中，支持预览数据源内容，特别是表格数据源;支持教育管理人员使用新的表格数据源上传并替换旧数据;对于不再需要的数据源，支持教育管理人员删除操作;支持可以根据时间、名称等维度进行升序或降序排序，以便快速找到所需数据源，支持导出。</w:t>
            </w:r>
          </w:p>
        </w:tc>
        <w:tc>
          <w:tcPr>
            <w:tcW w:w="324" w:type="pct"/>
            <w:vAlign w:val="center"/>
          </w:tcPr>
          <w:p w14:paraId="5E69C5A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1AD1917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DF62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576" w:type="pct"/>
            <w:shd w:val="clear" w:color="auto" w:fill="auto"/>
            <w:vAlign w:val="center"/>
          </w:tcPr>
          <w:p w14:paraId="6C503FC3">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5DAAFE5E">
            <w:pPr>
              <w:jc w:val="center"/>
              <w:rPr>
                <w:rFonts w:hint="eastAsia" w:ascii="仿宋" w:hAnsi="仿宋" w:eastAsia="仿宋" w:cs="仿宋"/>
                <w:sz w:val="32"/>
                <w:szCs w:val="32"/>
                <w:highlight w:val="none"/>
              </w:rPr>
            </w:pPr>
          </w:p>
        </w:tc>
        <w:tc>
          <w:tcPr>
            <w:tcW w:w="939" w:type="pct"/>
            <w:vMerge w:val="continue"/>
            <w:shd w:val="clear" w:color="auto" w:fill="auto"/>
            <w:vAlign w:val="center"/>
          </w:tcPr>
          <w:p w14:paraId="03ED56F6">
            <w:pPr>
              <w:jc w:val="center"/>
              <w:rPr>
                <w:rFonts w:hint="eastAsia" w:ascii="仿宋" w:hAnsi="仿宋" w:eastAsia="仿宋" w:cs="仿宋"/>
                <w:sz w:val="32"/>
                <w:szCs w:val="32"/>
                <w:highlight w:val="none"/>
              </w:rPr>
            </w:pPr>
          </w:p>
        </w:tc>
        <w:tc>
          <w:tcPr>
            <w:tcW w:w="1031" w:type="pct"/>
            <w:shd w:val="clear" w:color="auto" w:fill="FFFFFF"/>
            <w:vAlign w:val="center"/>
          </w:tcPr>
          <w:p w14:paraId="432DC3A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大屏可视化子模块</w:t>
            </w:r>
          </w:p>
        </w:tc>
        <w:tc>
          <w:tcPr>
            <w:tcW w:w="1481" w:type="pct"/>
            <w:shd w:val="clear" w:color="auto" w:fill="FFFFFF"/>
            <w:vAlign w:val="center"/>
          </w:tcPr>
          <w:p w14:paraId="42ADCAC2">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90</w:t>
            </w:r>
            <w:r>
              <w:rPr>
                <w:rFonts w:ascii="仿宋" w:hAnsi="仿宋" w:eastAsia="仿宋" w:cs="仿宋"/>
                <w:kern w:val="0"/>
                <w:sz w:val="32"/>
                <w:szCs w:val="32"/>
                <w:highlight w:val="none"/>
                <w:lang w:bidi="ar"/>
              </w:rPr>
              <w:t>.需支持多个内置的默认教育主题大屏模板，为教育管理人员提供了即插即用的可视化解决方案。</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91</w:t>
            </w:r>
            <w:r>
              <w:rPr>
                <w:rFonts w:ascii="仿宋" w:hAnsi="仿宋" w:eastAsia="仿宋" w:cs="仿宋"/>
                <w:kern w:val="0"/>
                <w:sz w:val="32"/>
                <w:szCs w:val="32"/>
                <w:highlight w:val="none"/>
                <w:lang w:bidi="ar"/>
              </w:rPr>
              <w:t>.需支持允许教育管理人员随时查看已经创建的数据大屏；支持新增大屏功能；内置的大屏模板为九宫格和中间突出两类，支持多种类型的内容添加，包括图表、表格、动态数据、文本和图片等。</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92</w:t>
            </w:r>
            <w:r>
              <w:rPr>
                <w:rFonts w:ascii="仿宋" w:hAnsi="仿宋" w:eastAsia="仿宋" w:cs="仿宋"/>
                <w:kern w:val="0"/>
                <w:sz w:val="32"/>
                <w:szCs w:val="32"/>
                <w:highlight w:val="none"/>
                <w:lang w:bidi="ar"/>
              </w:rPr>
              <w:t>.需支持允许教育管理人员自由新增图表，通过填写图表标题及选择相应类别；支持通过键入名称关键字进行图表搜索；支持按条件筛选图表；具备编辑器视图功能；具备选项视图功能；具备运行图表生成器功能；支持对表格和文字配置管理；支持新增和修改文字配置。</w:t>
            </w:r>
          </w:p>
        </w:tc>
        <w:tc>
          <w:tcPr>
            <w:tcW w:w="324" w:type="pct"/>
            <w:vAlign w:val="center"/>
          </w:tcPr>
          <w:p w14:paraId="2048579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1255BB1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45B91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trPr>
        <w:tc>
          <w:tcPr>
            <w:tcW w:w="576" w:type="pct"/>
            <w:shd w:val="clear" w:color="auto" w:fill="auto"/>
            <w:vAlign w:val="center"/>
          </w:tcPr>
          <w:p w14:paraId="39B12C5C">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5CFFA840">
            <w:pPr>
              <w:jc w:val="center"/>
              <w:rPr>
                <w:rFonts w:hint="eastAsia" w:ascii="仿宋" w:hAnsi="仿宋" w:eastAsia="仿宋" w:cs="仿宋"/>
                <w:sz w:val="32"/>
                <w:szCs w:val="32"/>
                <w:highlight w:val="none"/>
              </w:rPr>
            </w:pPr>
          </w:p>
        </w:tc>
        <w:tc>
          <w:tcPr>
            <w:tcW w:w="939" w:type="pct"/>
            <w:vMerge w:val="restart"/>
            <w:shd w:val="clear" w:color="auto" w:fill="FFFFFF"/>
            <w:vAlign w:val="center"/>
          </w:tcPr>
          <w:p w14:paraId="56E68F7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w:t>
            </w:r>
            <w:r>
              <w:rPr>
                <w:rFonts w:ascii="仿宋" w:hAnsi="仿宋" w:eastAsia="仿宋" w:cs="仿宋"/>
                <w:kern w:val="0"/>
                <w:sz w:val="32"/>
                <w:szCs w:val="32"/>
                <w:highlight w:val="none"/>
                <w:lang w:bidi="ar"/>
              </w:rPr>
              <w:t>GIS地图模块</w:t>
            </w:r>
          </w:p>
        </w:tc>
        <w:tc>
          <w:tcPr>
            <w:tcW w:w="1031" w:type="pct"/>
            <w:shd w:val="clear" w:color="auto" w:fill="FFFFFF"/>
            <w:vAlign w:val="center"/>
          </w:tcPr>
          <w:p w14:paraId="661BB25B">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地图控件</w:t>
            </w:r>
          </w:p>
        </w:tc>
        <w:tc>
          <w:tcPr>
            <w:tcW w:w="1481" w:type="pct"/>
            <w:shd w:val="clear" w:color="auto" w:fill="FFFFFF"/>
            <w:vAlign w:val="center"/>
          </w:tcPr>
          <w:p w14:paraId="4F96483D">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93</w:t>
            </w:r>
            <w:r>
              <w:rPr>
                <w:rFonts w:ascii="仿宋" w:hAnsi="仿宋" w:eastAsia="仿宋" w:cs="仿宋"/>
                <w:kern w:val="0"/>
                <w:sz w:val="32"/>
                <w:szCs w:val="32"/>
                <w:highlight w:val="none"/>
                <w:lang w:bidi="ar"/>
              </w:rPr>
              <w:t>.需直接接入人工智能大模型，提供一个地图控件，负责处理用户与地图的交互功能包括：比例尺、缩放工具、定位功能、城市选择列表、自定义控件、比例尺控件等，支持用户了解地图上距离的实际大小，在查看学校分布时，用户可以通过比例尺了解不同区域之间的距离。</w:t>
            </w:r>
          </w:p>
        </w:tc>
        <w:tc>
          <w:tcPr>
            <w:tcW w:w="324" w:type="pct"/>
            <w:vAlign w:val="center"/>
          </w:tcPr>
          <w:p w14:paraId="535E3DA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6170F6C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0211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68E6F9AC">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00052D4E">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61A7B970">
            <w:pPr>
              <w:jc w:val="center"/>
              <w:rPr>
                <w:rFonts w:hint="eastAsia" w:ascii="仿宋" w:hAnsi="仿宋" w:eastAsia="仿宋" w:cs="仿宋"/>
                <w:sz w:val="32"/>
                <w:szCs w:val="32"/>
                <w:highlight w:val="none"/>
              </w:rPr>
            </w:pPr>
          </w:p>
        </w:tc>
        <w:tc>
          <w:tcPr>
            <w:tcW w:w="1031" w:type="pct"/>
            <w:shd w:val="clear" w:color="auto" w:fill="FFFFFF"/>
            <w:vAlign w:val="center"/>
          </w:tcPr>
          <w:p w14:paraId="7A81EF0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绘制覆盖物</w:t>
            </w:r>
          </w:p>
        </w:tc>
        <w:tc>
          <w:tcPr>
            <w:tcW w:w="1481" w:type="pct"/>
            <w:shd w:val="clear" w:color="auto" w:fill="FFFFFF"/>
            <w:vAlign w:val="center"/>
          </w:tcPr>
          <w:p w14:paraId="65BCCCF7">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94</w:t>
            </w:r>
            <w:r>
              <w:rPr>
                <w:rFonts w:ascii="仿宋" w:hAnsi="仿宋" w:eastAsia="仿宋" w:cs="仿宋"/>
                <w:kern w:val="0"/>
                <w:sz w:val="32"/>
                <w:szCs w:val="32"/>
                <w:highlight w:val="none"/>
                <w:lang w:bidi="ar"/>
              </w:rPr>
              <w:t>.需具备所有叠加到地图上的内容功能，这些内容称为地图覆盖物。支持每个覆盖物都有自己的地理坐标，这意味着它们会随着地图的拖动或缩放而相应地移动。</w:t>
            </w:r>
          </w:p>
        </w:tc>
        <w:tc>
          <w:tcPr>
            <w:tcW w:w="324" w:type="pct"/>
            <w:vAlign w:val="center"/>
          </w:tcPr>
          <w:p w14:paraId="17101AB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5FDCAE8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4325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76" w:type="pct"/>
            <w:shd w:val="clear" w:color="auto" w:fill="auto"/>
            <w:vAlign w:val="center"/>
          </w:tcPr>
          <w:p w14:paraId="018FA514">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7EBCA5FC">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2638BDD2">
            <w:pPr>
              <w:jc w:val="center"/>
              <w:rPr>
                <w:rFonts w:hint="eastAsia" w:ascii="仿宋" w:hAnsi="仿宋" w:eastAsia="仿宋" w:cs="仿宋"/>
                <w:sz w:val="32"/>
                <w:szCs w:val="32"/>
                <w:highlight w:val="none"/>
              </w:rPr>
            </w:pPr>
          </w:p>
        </w:tc>
        <w:tc>
          <w:tcPr>
            <w:tcW w:w="1031" w:type="pct"/>
            <w:shd w:val="clear" w:color="auto" w:fill="FFFFFF"/>
            <w:vAlign w:val="center"/>
          </w:tcPr>
          <w:p w14:paraId="69D6D74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标注点</w:t>
            </w:r>
          </w:p>
        </w:tc>
        <w:tc>
          <w:tcPr>
            <w:tcW w:w="1481" w:type="pct"/>
            <w:shd w:val="clear" w:color="auto" w:fill="FFFFFF"/>
            <w:vAlign w:val="center"/>
          </w:tcPr>
          <w:p w14:paraId="720EF07A">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95</w:t>
            </w:r>
            <w:r>
              <w:rPr>
                <w:rFonts w:ascii="仿宋" w:hAnsi="仿宋" w:eastAsia="仿宋" w:cs="仿宋"/>
                <w:kern w:val="0"/>
                <w:sz w:val="32"/>
                <w:szCs w:val="32"/>
                <w:highlight w:val="none"/>
                <w:lang w:bidi="ar"/>
              </w:rPr>
              <w:t>.需支持在地图上添加点标记，这些标记可以是默认的图标样式，也可以通过Icon类来指定自定义图标。</w:t>
            </w:r>
          </w:p>
        </w:tc>
        <w:tc>
          <w:tcPr>
            <w:tcW w:w="324" w:type="pct"/>
            <w:vAlign w:val="center"/>
          </w:tcPr>
          <w:p w14:paraId="422C5F0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3B472A6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12C7E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576" w:type="pct"/>
            <w:shd w:val="clear" w:color="auto" w:fill="auto"/>
            <w:vAlign w:val="center"/>
          </w:tcPr>
          <w:p w14:paraId="0A922B2C">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248EE4D8">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18EDEC3E">
            <w:pPr>
              <w:jc w:val="center"/>
              <w:rPr>
                <w:rFonts w:hint="eastAsia" w:ascii="仿宋" w:hAnsi="仿宋" w:eastAsia="仿宋" w:cs="仿宋"/>
                <w:sz w:val="32"/>
                <w:szCs w:val="32"/>
                <w:highlight w:val="none"/>
              </w:rPr>
            </w:pPr>
          </w:p>
        </w:tc>
        <w:tc>
          <w:tcPr>
            <w:tcW w:w="1031" w:type="pct"/>
            <w:shd w:val="clear" w:color="auto" w:fill="FFFFFF"/>
            <w:vAlign w:val="center"/>
          </w:tcPr>
          <w:p w14:paraId="7A8CBBB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标注线</w:t>
            </w:r>
          </w:p>
        </w:tc>
        <w:tc>
          <w:tcPr>
            <w:tcW w:w="1481" w:type="pct"/>
            <w:shd w:val="clear" w:color="auto" w:fill="FFFFFF"/>
            <w:vAlign w:val="center"/>
          </w:tcPr>
          <w:p w14:paraId="040A80B4">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96</w:t>
            </w:r>
            <w:r>
              <w:rPr>
                <w:rFonts w:ascii="仿宋" w:hAnsi="仿宋" w:eastAsia="仿宋" w:cs="仿宋"/>
                <w:kern w:val="0"/>
                <w:sz w:val="32"/>
                <w:szCs w:val="32"/>
                <w:highlight w:val="none"/>
                <w:lang w:bidi="ar"/>
              </w:rPr>
              <w:t>.需支持在地图上绘制折线，将一组点连接起来形成路径。</w:t>
            </w:r>
          </w:p>
        </w:tc>
        <w:tc>
          <w:tcPr>
            <w:tcW w:w="324" w:type="pct"/>
            <w:vAlign w:val="center"/>
          </w:tcPr>
          <w:p w14:paraId="21F81A7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461AF222">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87CE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76" w:type="pct"/>
            <w:shd w:val="clear" w:color="auto" w:fill="auto"/>
            <w:vAlign w:val="center"/>
          </w:tcPr>
          <w:p w14:paraId="1AB87A0F">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322F4D2B">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5BB03B8B">
            <w:pPr>
              <w:jc w:val="center"/>
              <w:rPr>
                <w:rFonts w:hint="eastAsia" w:ascii="仿宋" w:hAnsi="仿宋" w:eastAsia="仿宋" w:cs="仿宋"/>
                <w:sz w:val="32"/>
                <w:szCs w:val="32"/>
                <w:highlight w:val="none"/>
              </w:rPr>
            </w:pPr>
          </w:p>
        </w:tc>
        <w:tc>
          <w:tcPr>
            <w:tcW w:w="1031" w:type="pct"/>
            <w:shd w:val="clear" w:color="auto" w:fill="FFFFFF"/>
            <w:vAlign w:val="center"/>
          </w:tcPr>
          <w:p w14:paraId="12E923E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标注面</w:t>
            </w:r>
          </w:p>
        </w:tc>
        <w:tc>
          <w:tcPr>
            <w:tcW w:w="1481" w:type="pct"/>
            <w:shd w:val="clear" w:color="auto" w:fill="FFFFFF"/>
            <w:vAlign w:val="center"/>
          </w:tcPr>
          <w:p w14:paraId="15143289">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97</w:t>
            </w:r>
            <w:r>
              <w:rPr>
                <w:rFonts w:ascii="仿宋" w:hAnsi="仿宋" w:eastAsia="仿宋" w:cs="仿宋"/>
                <w:kern w:val="0"/>
                <w:sz w:val="32"/>
                <w:szCs w:val="32"/>
                <w:highlight w:val="none"/>
                <w:lang w:bidi="ar"/>
              </w:rPr>
              <w:t>.需支持在地图上绘制多边形覆盖物，这些多边形是由一组点按顺序连接而成，最终围成一个封闭的区域。</w:t>
            </w:r>
          </w:p>
        </w:tc>
        <w:tc>
          <w:tcPr>
            <w:tcW w:w="324" w:type="pct"/>
            <w:vAlign w:val="center"/>
          </w:tcPr>
          <w:p w14:paraId="42E379C7">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2BC3902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CC92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76" w:type="pct"/>
            <w:shd w:val="clear" w:color="auto" w:fill="auto"/>
            <w:vAlign w:val="center"/>
          </w:tcPr>
          <w:p w14:paraId="3A524564">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013CD33E">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158090B2">
            <w:pPr>
              <w:jc w:val="center"/>
              <w:rPr>
                <w:rFonts w:hint="eastAsia" w:ascii="仿宋" w:hAnsi="仿宋" w:eastAsia="仿宋" w:cs="仿宋"/>
                <w:sz w:val="32"/>
                <w:szCs w:val="32"/>
                <w:highlight w:val="none"/>
              </w:rPr>
            </w:pPr>
          </w:p>
        </w:tc>
        <w:tc>
          <w:tcPr>
            <w:tcW w:w="1031" w:type="pct"/>
            <w:shd w:val="clear" w:color="auto" w:fill="FFFFFF"/>
            <w:vAlign w:val="center"/>
          </w:tcPr>
          <w:p w14:paraId="003BC5B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文本标注</w:t>
            </w:r>
          </w:p>
        </w:tc>
        <w:tc>
          <w:tcPr>
            <w:tcW w:w="1481" w:type="pct"/>
            <w:shd w:val="clear" w:color="auto" w:fill="FFFFFF"/>
            <w:vAlign w:val="center"/>
          </w:tcPr>
          <w:p w14:paraId="101D0D02">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98</w:t>
            </w:r>
            <w:r>
              <w:rPr>
                <w:rFonts w:ascii="仿宋" w:hAnsi="仿宋" w:eastAsia="仿宋" w:cs="仿宋"/>
                <w:kern w:val="0"/>
                <w:sz w:val="32"/>
                <w:szCs w:val="32"/>
                <w:highlight w:val="none"/>
                <w:lang w:bidi="ar"/>
              </w:rPr>
              <w:t>.需支持在地图上添加自定义的文本内容。这可以用于标记地点名称、添加说明性文字等。</w:t>
            </w:r>
          </w:p>
        </w:tc>
        <w:tc>
          <w:tcPr>
            <w:tcW w:w="324" w:type="pct"/>
            <w:vAlign w:val="center"/>
          </w:tcPr>
          <w:p w14:paraId="4588C9C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2BB2934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27A5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76" w:type="pct"/>
            <w:shd w:val="clear" w:color="auto" w:fill="auto"/>
            <w:vAlign w:val="center"/>
          </w:tcPr>
          <w:p w14:paraId="4C29F718">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00F93EF2">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74F07A9D">
            <w:pPr>
              <w:jc w:val="center"/>
              <w:rPr>
                <w:rFonts w:hint="eastAsia" w:ascii="仿宋" w:hAnsi="仿宋" w:eastAsia="仿宋" w:cs="仿宋"/>
                <w:sz w:val="32"/>
                <w:szCs w:val="32"/>
                <w:highlight w:val="none"/>
              </w:rPr>
            </w:pPr>
          </w:p>
        </w:tc>
        <w:tc>
          <w:tcPr>
            <w:tcW w:w="1031" w:type="pct"/>
            <w:shd w:val="clear" w:color="auto" w:fill="FFFFFF"/>
            <w:vAlign w:val="center"/>
          </w:tcPr>
          <w:p w14:paraId="489CDBC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线图层</w:t>
            </w:r>
          </w:p>
        </w:tc>
        <w:tc>
          <w:tcPr>
            <w:tcW w:w="1481" w:type="pct"/>
            <w:shd w:val="clear" w:color="auto" w:fill="FFFFFF"/>
            <w:vAlign w:val="center"/>
          </w:tcPr>
          <w:p w14:paraId="44A8920D">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99</w:t>
            </w:r>
            <w:r>
              <w:rPr>
                <w:rFonts w:ascii="仿宋" w:hAnsi="仿宋" w:eastAsia="仿宋" w:cs="仿宋"/>
                <w:kern w:val="0"/>
                <w:sz w:val="32"/>
                <w:szCs w:val="32"/>
                <w:highlight w:val="none"/>
                <w:lang w:bidi="ar"/>
              </w:rPr>
              <w:t>.需支持在地图上创建和展示各种线条样式，包括传统的实线、虚线、描边线、贴图纹理填充线和间隔图标填充线。</w:t>
            </w:r>
          </w:p>
        </w:tc>
        <w:tc>
          <w:tcPr>
            <w:tcW w:w="324" w:type="pct"/>
            <w:vAlign w:val="center"/>
          </w:tcPr>
          <w:p w14:paraId="11F7C30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6900E5B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A1B3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576" w:type="pct"/>
            <w:shd w:val="clear" w:color="auto" w:fill="auto"/>
            <w:vAlign w:val="center"/>
          </w:tcPr>
          <w:p w14:paraId="0B87277E">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5B02D6F3">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16FD21BD">
            <w:pPr>
              <w:jc w:val="center"/>
              <w:rPr>
                <w:rFonts w:hint="eastAsia" w:ascii="仿宋" w:hAnsi="仿宋" w:eastAsia="仿宋" w:cs="仿宋"/>
                <w:sz w:val="32"/>
                <w:szCs w:val="32"/>
                <w:highlight w:val="none"/>
              </w:rPr>
            </w:pPr>
          </w:p>
        </w:tc>
        <w:tc>
          <w:tcPr>
            <w:tcW w:w="1031" w:type="pct"/>
            <w:shd w:val="clear" w:color="auto" w:fill="FFFFFF"/>
            <w:vAlign w:val="center"/>
          </w:tcPr>
          <w:p w14:paraId="0804140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面图层</w:t>
            </w:r>
          </w:p>
        </w:tc>
        <w:tc>
          <w:tcPr>
            <w:tcW w:w="1481" w:type="pct"/>
            <w:shd w:val="clear" w:color="auto" w:fill="FFFFFF"/>
            <w:vAlign w:val="center"/>
          </w:tcPr>
          <w:p w14:paraId="1F7FEA4A">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100</w:t>
            </w:r>
            <w:r>
              <w:rPr>
                <w:rFonts w:ascii="仿宋" w:hAnsi="仿宋" w:eastAsia="仿宋" w:cs="仿宋"/>
                <w:kern w:val="0"/>
                <w:sz w:val="32"/>
                <w:szCs w:val="32"/>
                <w:highlight w:val="none"/>
                <w:lang w:bidi="ar"/>
              </w:rPr>
              <w:t>.需支持在地图上使用标准面颜色填充和图片纹理填充来展示区域数据。</w:t>
            </w:r>
          </w:p>
        </w:tc>
        <w:tc>
          <w:tcPr>
            <w:tcW w:w="324" w:type="pct"/>
            <w:vAlign w:val="center"/>
          </w:tcPr>
          <w:p w14:paraId="094BEBC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40A020E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3601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76" w:type="pct"/>
            <w:shd w:val="clear" w:color="auto" w:fill="auto"/>
            <w:vAlign w:val="center"/>
          </w:tcPr>
          <w:p w14:paraId="620B5E5B">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692FA96A">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648337F9">
            <w:pPr>
              <w:jc w:val="center"/>
              <w:rPr>
                <w:rFonts w:hint="eastAsia" w:ascii="仿宋" w:hAnsi="仿宋" w:eastAsia="仿宋" w:cs="仿宋"/>
                <w:sz w:val="32"/>
                <w:szCs w:val="32"/>
                <w:highlight w:val="none"/>
              </w:rPr>
            </w:pPr>
          </w:p>
        </w:tc>
        <w:tc>
          <w:tcPr>
            <w:tcW w:w="1031" w:type="pct"/>
            <w:shd w:val="clear" w:color="auto" w:fill="FFFFFF"/>
            <w:vAlign w:val="center"/>
          </w:tcPr>
          <w:p w14:paraId="19073DF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自定义</w:t>
            </w:r>
            <w:r>
              <w:rPr>
                <w:rFonts w:ascii="仿宋" w:hAnsi="仿宋" w:eastAsia="仿宋" w:cs="仿宋"/>
                <w:kern w:val="0"/>
                <w:sz w:val="32"/>
                <w:szCs w:val="32"/>
                <w:highlight w:val="none"/>
                <w:lang w:bidi="ar"/>
              </w:rPr>
              <w:t>HTML图层</w:t>
            </w:r>
          </w:p>
        </w:tc>
        <w:tc>
          <w:tcPr>
            <w:tcW w:w="1481" w:type="pct"/>
            <w:shd w:val="clear" w:color="auto" w:fill="FFFFFF"/>
            <w:vAlign w:val="center"/>
          </w:tcPr>
          <w:p w14:paraId="45E05BBC">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101</w:t>
            </w:r>
            <w:r>
              <w:rPr>
                <w:rFonts w:ascii="仿宋" w:hAnsi="仿宋" w:eastAsia="仿宋" w:cs="仿宋"/>
                <w:kern w:val="0"/>
                <w:sz w:val="32"/>
                <w:szCs w:val="32"/>
                <w:highlight w:val="none"/>
                <w:lang w:bidi="ar"/>
              </w:rPr>
              <w:t>.需支持开发者将各种自定义DOM元素叠加到地图上，Canvas、SVG、DOM元素等。这种功能常用于显示自定义的表格、图片、文字、GIF动画和视频。</w:t>
            </w:r>
          </w:p>
        </w:tc>
        <w:tc>
          <w:tcPr>
            <w:tcW w:w="324" w:type="pct"/>
            <w:vAlign w:val="center"/>
          </w:tcPr>
          <w:p w14:paraId="4B2C0793">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732B68CB">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50EC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79714894">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09FA5F7D">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652DEC7D">
            <w:pPr>
              <w:jc w:val="center"/>
              <w:rPr>
                <w:rFonts w:hint="eastAsia" w:ascii="仿宋" w:hAnsi="仿宋" w:eastAsia="仿宋" w:cs="仿宋"/>
                <w:sz w:val="32"/>
                <w:szCs w:val="32"/>
                <w:highlight w:val="none"/>
              </w:rPr>
            </w:pPr>
          </w:p>
        </w:tc>
        <w:tc>
          <w:tcPr>
            <w:tcW w:w="1031" w:type="pct"/>
            <w:shd w:val="clear" w:color="auto" w:fill="FFFFFF"/>
            <w:vAlign w:val="center"/>
          </w:tcPr>
          <w:p w14:paraId="2DD66C7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简易行政区划图层</w:t>
            </w:r>
          </w:p>
        </w:tc>
        <w:tc>
          <w:tcPr>
            <w:tcW w:w="1481" w:type="pct"/>
            <w:shd w:val="clear" w:color="auto" w:fill="FFFFFF"/>
            <w:vAlign w:val="center"/>
          </w:tcPr>
          <w:p w14:paraId="160B46FB">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102</w:t>
            </w:r>
            <w:r>
              <w:rPr>
                <w:rFonts w:ascii="仿宋" w:hAnsi="仿宋" w:eastAsia="仿宋" w:cs="仿宋"/>
                <w:kern w:val="0"/>
                <w:sz w:val="32"/>
                <w:szCs w:val="32"/>
                <w:highlight w:val="none"/>
                <w:lang w:bidi="ar"/>
              </w:rPr>
              <w:t>.需支持新版行政区划数据的展示，并能够以jsapi方式进行数据获取和展示。这包括多级行政区划的数据获取与展示，如省、市、县等不同级别的行政区划数据。</w:t>
            </w:r>
          </w:p>
        </w:tc>
        <w:tc>
          <w:tcPr>
            <w:tcW w:w="324" w:type="pct"/>
            <w:vAlign w:val="center"/>
          </w:tcPr>
          <w:p w14:paraId="49AEBE6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4FCC8B7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D1C9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52F10C4B">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04716FA4">
            <w:pPr>
              <w:jc w:val="center"/>
              <w:rPr>
                <w:rFonts w:hint="eastAsia" w:ascii="仿宋" w:hAnsi="仿宋" w:eastAsia="仿宋" w:cs="仿宋"/>
                <w:sz w:val="32"/>
                <w:szCs w:val="32"/>
                <w:highlight w:val="none"/>
              </w:rPr>
            </w:pPr>
          </w:p>
        </w:tc>
        <w:tc>
          <w:tcPr>
            <w:tcW w:w="939" w:type="pct"/>
            <w:vMerge w:val="restart"/>
            <w:shd w:val="clear" w:color="auto" w:fill="FFFFFF"/>
            <w:vAlign w:val="center"/>
          </w:tcPr>
          <w:p w14:paraId="0ED4AA9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教育智能填报模块</w:t>
            </w:r>
          </w:p>
        </w:tc>
        <w:tc>
          <w:tcPr>
            <w:tcW w:w="1031" w:type="pct"/>
            <w:shd w:val="clear" w:color="auto" w:fill="FFFFFF"/>
            <w:vAlign w:val="center"/>
          </w:tcPr>
          <w:p w14:paraId="0FA2202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智能表单引擎子模块</w:t>
            </w:r>
          </w:p>
        </w:tc>
        <w:tc>
          <w:tcPr>
            <w:tcW w:w="1481" w:type="pct"/>
            <w:shd w:val="clear" w:color="auto" w:fill="FFFFFF"/>
            <w:vAlign w:val="center"/>
          </w:tcPr>
          <w:p w14:paraId="59B941B4">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r>
              <w:rPr>
                <w:rFonts w:hint="eastAsia" w:ascii="仿宋" w:hAnsi="仿宋" w:eastAsia="仿宋" w:cs="仿宋"/>
                <w:kern w:val="0"/>
                <w:sz w:val="32"/>
                <w:szCs w:val="32"/>
                <w:highlight w:val="none"/>
                <w:lang w:bidi="ar"/>
              </w:rPr>
              <w:t>03</w:t>
            </w:r>
            <w:r>
              <w:rPr>
                <w:rFonts w:ascii="仿宋" w:hAnsi="仿宋" w:eastAsia="仿宋" w:cs="仿宋"/>
                <w:kern w:val="0"/>
                <w:sz w:val="32"/>
                <w:szCs w:val="32"/>
                <w:highlight w:val="none"/>
                <w:lang w:bidi="ar"/>
              </w:rPr>
              <w:t>.支持数据表单（无需审核）和流程表单（需要设置对应的审批流程）两类表单的创建，创建流程表单时需配置对应的审批流程和流程高级设置参数，表单设计时可从已有同类型表单中选取模板复用进行二次设计。</w:t>
            </w:r>
          </w:p>
        </w:tc>
        <w:tc>
          <w:tcPr>
            <w:tcW w:w="324" w:type="pct"/>
            <w:vAlign w:val="center"/>
          </w:tcPr>
          <w:p w14:paraId="331A6AB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177BA2A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FA96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4DF155BF">
            <w:pPr>
              <w:widowControl/>
              <w:numPr>
                <w:ilvl w:val="0"/>
                <w:numId w:val="5"/>
              </w:numPr>
              <w:jc w:val="center"/>
              <w:textAlignment w:val="center"/>
              <w:rPr>
                <w:rFonts w:hint="eastAsia" w:ascii="仿宋" w:hAnsi="仿宋" w:eastAsia="仿宋" w:cs="仿宋"/>
                <w:sz w:val="32"/>
                <w:szCs w:val="32"/>
                <w:highlight w:val="none"/>
              </w:rPr>
            </w:pPr>
          </w:p>
        </w:tc>
        <w:tc>
          <w:tcPr>
            <w:tcW w:w="324" w:type="pct"/>
            <w:vMerge w:val="continue"/>
            <w:shd w:val="clear" w:color="auto" w:fill="FFFFFF"/>
            <w:vAlign w:val="center"/>
          </w:tcPr>
          <w:p w14:paraId="3E736AB6">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6CD1984A">
            <w:pPr>
              <w:jc w:val="center"/>
              <w:rPr>
                <w:rFonts w:hint="eastAsia" w:ascii="仿宋" w:hAnsi="仿宋" w:eastAsia="仿宋" w:cs="仿宋"/>
                <w:sz w:val="32"/>
                <w:szCs w:val="32"/>
                <w:highlight w:val="none"/>
              </w:rPr>
            </w:pPr>
          </w:p>
        </w:tc>
        <w:tc>
          <w:tcPr>
            <w:tcW w:w="1031" w:type="pct"/>
            <w:shd w:val="clear" w:color="auto" w:fill="FFFFFF"/>
            <w:vAlign w:val="center"/>
          </w:tcPr>
          <w:p w14:paraId="3FCC365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自定义流程引擎子模块</w:t>
            </w:r>
          </w:p>
        </w:tc>
        <w:tc>
          <w:tcPr>
            <w:tcW w:w="1481" w:type="pct"/>
            <w:shd w:val="clear" w:color="auto" w:fill="FFFFFF"/>
            <w:vAlign w:val="center"/>
          </w:tcPr>
          <w:p w14:paraId="184E3B6B">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r>
              <w:rPr>
                <w:rFonts w:hint="eastAsia" w:ascii="仿宋" w:hAnsi="仿宋" w:eastAsia="仿宋" w:cs="仿宋"/>
                <w:kern w:val="0"/>
                <w:sz w:val="32"/>
                <w:szCs w:val="32"/>
                <w:highlight w:val="none"/>
                <w:lang w:bidi="ar"/>
              </w:rPr>
              <w:t>04</w:t>
            </w:r>
            <w:r>
              <w:rPr>
                <w:rFonts w:ascii="仿宋" w:hAnsi="仿宋" w:eastAsia="仿宋" w:cs="仿宋"/>
                <w:kern w:val="0"/>
                <w:sz w:val="32"/>
                <w:szCs w:val="32"/>
                <w:highlight w:val="none"/>
                <w:lang w:bidi="ar"/>
              </w:rPr>
              <w:t>.支持自定义的流程设计，满足不同场景的流程审批。支持多级节点的流程设置，包括审批节点和抄送节点。支持审批节点个性化配置功能，需支持按部门负责人、角色、指定人员来设置审批人员，可以单人或多人办理；多人时支持依次审批、会签、或签等审批模式的设置。支持流程高级设置功能，实现对审批意见是否必填、是否启用自动去重规则、是否支持转交、填报人是否可撤回、审批人退回至上一节点或发起人等流程全局控制项的自定义配置。</w:t>
            </w:r>
          </w:p>
        </w:tc>
        <w:tc>
          <w:tcPr>
            <w:tcW w:w="324" w:type="pct"/>
            <w:vAlign w:val="center"/>
          </w:tcPr>
          <w:p w14:paraId="0C4A431A">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324" w:type="pct"/>
            <w:vAlign w:val="center"/>
          </w:tcPr>
          <w:p w14:paraId="17FCFE0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4D71E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03DF3F41">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268A4E65">
            <w:pPr>
              <w:jc w:val="center"/>
              <w:rPr>
                <w:rFonts w:hint="eastAsia" w:ascii="仿宋" w:hAnsi="仿宋" w:eastAsia="仿宋" w:cs="仿宋"/>
                <w:sz w:val="32"/>
                <w:szCs w:val="32"/>
                <w:highlight w:val="none"/>
              </w:rPr>
            </w:pPr>
          </w:p>
        </w:tc>
        <w:tc>
          <w:tcPr>
            <w:tcW w:w="939" w:type="pct"/>
            <w:vMerge w:val="restart"/>
            <w:shd w:val="clear" w:color="auto" w:fill="FFFFFF"/>
            <w:vAlign w:val="center"/>
          </w:tcPr>
          <w:p w14:paraId="22EE51DC">
            <w:pPr>
              <w:jc w:val="center"/>
              <w:rPr>
                <w:rFonts w:hint="eastAsia" w:ascii="仿宋" w:hAnsi="仿宋" w:eastAsia="仿宋" w:cs="仿宋"/>
                <w:sz w:val="32"/>
                <w:szCs w:val="32"/>
                <w:highlight w:val="none"/>
              </w:rPr>
            </w:pPr>
            <w:r>
              <w:rPr>
                <w:rFonts w:hint="eastAsia" w:ascii="仿宋" w:hAnsi="仿宋" w:eastAsia="仿宋" w:cs="仿宋"/>
                <w:sz w:val="32"/>
                <w:szCs w:val="32"/>
                <w:highlight w:val="none"/>
              </w:rPr>
              <w:t>市级中枢数据资源目录模块</w:t>
            </w:r>
          </w:p>
        </w:tc>
        <w:tc>
          <w:tcPr>
            <w:tcW w:w="1031" w:type="pct"/>
            <w:shd w:val="clear" w:color="auto" w:fill="FFFFFF"/>
            <w:vAlign w:val="center"/>
          </w:tcPr>
          <w:p w14:paraId="2BC71E3E">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数据资源目录基础功能</w:t>
            </w:r>
          </w:p>
        </w:tc>
        <w:tc>
          <w:tcPr>
            <w:tcW w:w="1481" w:type="pct"/>
            <w:shd w:val="clear" w:color="auto" w:fill="FFFFFF"/>
            <w:vAlign w:val="center"/>
          </w:tcPr>
          <w:p w14:paraId="699BB12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105.</w:t>
            </w:r>
            <w:r>
              <w:rPr>
                <w:rFonts w:ascii="仿宋" w:hAnsi="仿宋" w:eastAsia="仿宋" w:cs="仿宋"/>
                <w:kern w:val="0"/>
                <w:sz w:val="32"/>
                <w:szCs w:val="32"/>
                <w:highlight w:val="none"/>
                <w:lang w:bidi="ar"/>
              </w:rPr>
              <w:t>可视化制作表单，能支持多种属性表单，如日期控件、单选控件、复选控件、下拉控件、图片控件、国家地区等。支持表单动态更新。</w:t>
            </w:r>
          </w:p>
          <w:p w14:paraId="10E008A4">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106.</w:t>
            </w:r>
            <w:r>
              <w:rPr>
                <w:rFonts w:ascii="仿宋" w:hAnsi="仿宋" w:eastAsia="仿宋" w:cs="仿宋"/>
                <w:kern w:val="0"/>
                <w:sz w:val="32"/>
                <w:szCs w:val="32"/>
                <w:highlight w:val="none"/>
                <w:lang w:bidi="ar"/>
              </w:rPr>
              <w:t>能够实现灵活的审批流程配置，能够实现提交、驳回、跳转、同意、终止等不同的审批动作，包含多种网关逻辑，如并行、互斥、包容等。</w:t>
            </w:r>
          </w:p>
        </w:tc>
        <w:tc>
          <w:tcPr>
            <w:tcW w:w="324" w:type="pct"/>
            <w:vAlign w:val="center"/>
          </w:tcPr>
          <w:p w14:paraId="7DB8466E">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2172D569">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2FC37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5E545193">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63CA6DC9">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67E29BBF">
            <w:pPr>
              <w:jc w:val="center"/>
              <w:rPr>
                <w:rFonts w:hint="eastAsia" w:ascii="仿宋" w:hAnsi="仿宋" w:eastAsia="仿宋" w:cs="仿宋"/>
                <w:sz w:val="32"/>
                <w:szCs w:val="32"/>
                <w:highlight w:val="none"/>
              </w:rPr>
            </w:pPr>
          </w:p>
        </w:tc>
        <w:tc>
          <w:tcPr>
            <w:tcW w:w="1031" w:type="pct"/>
            <w:shd w:val="clear" w:color="auto" w:fill="FFFFFF"/>
            <w:vAlign w:val="center"/>
          </w:tcPr>
          <w:p w14:paraId="7B7DE585">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数据资源目录通用功能</w:t>
            </w:r>
          </w:p>
        </w:tc>
        <w:tc>
          <w:tcPr>
            <w:tcW w:w="1481" w:type="pct"/>
            <w:shd w:val="clear" w:color="auto" w:fill="FFFFFF"/>
            <w:vAlign w:val="center"/>
          </w:tcPr>
          <w:p w14:paraId="1E1713BF">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107.支持查看本账号接收到的所有通知消息。</w:t>
            </w:r>
          </w:p>
          <w:p w14:paraId="765D4F4A">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108.支持平台页面水印，防止数据外泄。</w:t>
            </w:r>
          </w:p>
          <w:p w14:paraId="74B7BFF8">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109.支持通过后台用户中心添加的用户使用该模块登录。</w:t>
            </w:r>
          </w:p>
          <w:p w14:paraId="27DB182D">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110.支持对接统一身份认证数据库，实现数据互通。</w:t>
            </w:r>
          </w:p>
        </w:tc>
        <w:tc>
          <w:tcPr>
            <w:tcW w:w="324" w:type="pct"/>
            <w:vAlign w:val="center"/>
          </w:tcPr>
          <w:p w14:paraId="1B3B4FBD">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4D6ED3E3">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5BCDB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1EC6EB65">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5041528A">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75085198">
            <w:pPr>
              <w:jc w:val="center"/>
              <w:rPr>
                <w:rFonts w:hint="eastAsia" w:ascii="仿宋" w:hAnsi="仿宋" w:eastAsia="仿宋" w:cs="仿宋"/>
                <w:sz w:val="32"/>
                <w:szCs w:val="32"/>
                <w:highlight w:val="none"/>
              </w:rPr>
            </w:pPr>
          </w:p>
        </w:tc>
        <w:tc>
          <w:tcPr>
            <w:tcW w:w="1031" w:type="pct"/>
            <w:shd w:val="clear" w:color="auto" w:fill="FFFFFF"/>
            <w:vAlign w:val="center"/>
          </w:tcPr>
          <w:p w14:paraId="5B2F2FC6">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数据资源目录主页功能</w:t>
            </w:r>
          </w:p>
        </w:tc>
        <w:tc>
          <w:tcPr>
            <w:tcW w:w="1481" w:type="pct"/>
            <w:shd w:val="clear" w:color="auto" w:fill="FFFFFF"/>
            <w:vAlign w:val="center"/>
          </w:tcPr>
          <w:p w14:paraId="2259A42A">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111.支持基于资源的名称进行模糊匹配、搜索历史记录，搜索所有资源。</w:t>
            </w:r>
          </w:p>
          <w:p w14:paraId="63FBA34B">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112.展示用户的待审核申请数量、留存超7天的申请数量，可快速跳转至用户中心。</w:t>
            </w:r>
          </w:p>
          <w:p w14:paraId="47B46264">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113.展示目前平台已有资源目录、总信息项、共享库表、数据接口数量。</w:t>
            </w:r>
          </w:p>
          <w:p w14:paraId="6E2F709D">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114.展示访问量排行前四的数据资源，可快速跳转至数据资源申请菜单。</w:t>
            </w:r>
          </w:p>
          <w:p w14:paraId="2D003285">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115.展示四个关于后台配置的标准规范，可下载。</w:t>
            </w:r>
          </w:p>
          <w:p w14:paraId="3C48AD00">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116.展示四个关于后台配置的常见问题，点击打开详情页。</w:t>
            </w:r>
          </w:p>
        </w:tc>
        <w:tc>
          <w:tcPr>
            <w:tcW w:w="324" w:type="pct"/>
            <w:vAlign w:val="center"/>
          </w:tcPr>
          <w:p w14:paraId="4B21AC52">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w:t>
            </w:r>
          </w:p>
        </w:tc>
        <w:tc>
          <w:tcPr>
            <w:tcW w:w="324" w:type="pct"/>
            <w:vAlign w:val="center"/>
          </w:tcPr>
          <w:p w14:paraId="65DC9F07">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7E437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39EEFD49">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20779E4E">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2800E670">
            <w:pPr>
              <w:jc w:val="center"/>
              <w:rPr>
                <w:rFonts w:hint="eastAsia" w:ascii="仿宋" w:hAnsi="仿宋" w:eastAsia="仿宋" w:cs="仿宋"/>
                <w:sz w:val="32"/>
                <w:szCs w:val="32"/>
                <w:highlight w:val="none"/>
              </w:rPr>
            </w:pPr>
          </w:p>
        </w:tc>
        <w:tc>
          <w:tcPr>
            <w:tcW w:w="1031" w:type="pct"/>
            <w:shd w:val="clear" w:color="auto" w:fill="FFFFFF"/>
            <w:vAlign w:val="center"/>
          </w:tcPr>
          <w:p w14:paraId="459510D5">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数据资源目录管理</w:t>
            </w:r>
          </w:p>
        </w:tc>
        <w:tc>
          <w:tcPr>
            <w:tcW w:w="1481" w:type="pct"/>
            <w:shd w:val="clear" w:color="auto" w:fill="FFFFFF"/>
            <w:vAlign w:val="center"/>
          </w:tcPr>
          <w:p w14:paraId="04E41EC0">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117.支持基于数据资源目录的名称进行模糊匹配、搜索历史记录，搜索所有数据资源目录。</w:t>
            </w:r>
          </w:p>
          <w:p w14:paraId="234E5BBD">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118.支持用户通过平台提交未录入的数据资源目录的需求申请。</w:t>
            </w:r>
          </w:p>
          <w:p w14:paraId="38C1A716">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119.展示所有数据资源目录的列表信息，包含名称、所属系统、来源、资源更新时间、共享属性、访问量、累计申请量。可根据资源目录分类、共享类型进行筛选，根据访问量进行排序。</w:t>
            </w:r>
          </w:p>
          <w:p w14:paraId="02B3936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120.支持根据部门进行数据资源目录筛选。</w:t>
            </w:r>
          </w:p>
        </w:tc>
        <w:tc>
          <w:tcPr>
            <w:tcW w:w="324" w:type="pct"/>
            <w:vAlign w:val="center"/>
          </w:tcPr>
          <w:p w14:paraId="3E2B5A1F">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202D2079">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638BE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386C7A7D">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34A3CED3">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0B423E16">
            <w:pPr>
              <w:jc w:val="center"/>
              <w:rPr>
                <w:rFonts w:hint="eastAsia" w:ascii="仿宋" w:hAnsi="仿宋" w:eastAsia="仿宋" w:cs="仿宋"/>
                <w:sz w:val="32"/>
                <w:szCs w:val="32"/>
                <w:highlight w:val="none"/>
              </w:rPr>
            </w:pPr>
          </w:p>
        </w:tc>
        <w:tc>
          <w:tcPr>
            <w:tcW w:w="1031" w:type="pct"/>
            <w:shd w:val="clear" w:color="auto" w:fill="FFFFFF"/>
            <w:vAlign w:val="center"/>
          </w:tcPr>
          <w:p w14:paraId="075485C5">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数据资源目录申请</w:t>
            </w:r>
          </w:p>
        </w:tc>
        <w:tc>
          <w:tcPr>
            <w:tcW w:w="1481" w:type="pct"/>
            <w:shd w:val="clear" w:color="auto" w:fill="FFFFFF"/>
            <w:vAlign w:val="center"/>
          </w:tcPr>
          <w:p w14:paraId="050479E8">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121.支持基于数据资源的名称进行模糊匹配、搜索历史记录，搜索所有数据资源。</w:t>
            </w:r>
          </w:p>
          <w:p w14:paraId="60A393D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122.支持展示所有数据资源的列表信息，包含名称、来源、资源更新时间、共享属性、访问量、累计申请量、资源类型。可根据资源目录分类、共享类型、资源类型进行筛选，根据访问量进行排序。</w:t>
            </w:r>
          </w:p>
          <w:p w14:paraId="509C9DBF">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123.支持根据部门进行数据资源筛选。</w:t>
            </w:r>
          </w:p>
        </w:tc>
        <w:tc>
          <w:tcPr>
            <w:tcW w:w="324" w:type="pct"/>
            <w:vAlign w:val="center"/>
          </w:tcPr>
          <w:p w14:paraId="235C97A8">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3232D7C2">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71FDF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40FF3262">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193CAC7A">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47B173C0">
            <w:pPr>
              <w:jc w:val="center"/>
              <w:rPr>
                <w:rFonts w:hint="eastAsia" w:ascii="仿宋" w:hAnsi="仿宋" w:eastAsia="仿宋" w:cs="仿宋"/>
                <w:sz w:val="32"/>
                <w:szCs w:val="32"/>
                <w:highlight w:val="none"/>
              </w:rPr>
            </w:pPr>
          </w:p>
        </w:tc>
        <w:tc>
          <w:tcPr>
            <w:tcW w:w="1031" w:type="pct"/>
            <w:shd w:val="clear" w:color="auto" w:fill="FFFFFF"/>
            <w:vAlign w:val="center"/>
          </w:tcPr>
          <w:p w14:paraId="7DB265C3">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数据资源目录使用</w:t>
            </w:r>
          </w:p>
        </w:tc>
        <w:tc>
          <w:tcPr>
            <w:tcW w:w="1481" w:type="pct"/>
            <w:shd w:val="clear" w:color="auto" w:fill="FFFFFF"/>
            <w:vAlign w:val="center"/>
          </w:tcPr>
          <w:p w14:paraId="68C5AE99">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124.支持展示用户提交的所有资源申请，包含全部、进行中、已完成、待提交，可修改、查看申请单。</w:t>
            </w:r>
          </w:p>
          <w:p w14:paraId="498EF7E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125.支持展示用户收藏的所有数据资源和数据资源目录，可查看对应资源详情、取消收藏对应资源。</w:t>
            </w:r>
          </w:p>
          <w:p w14:paraId="3FF6E1F3">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126.支持用户查看自己提交的反馈内容及管理员回复的内容。</w:t>
            </w:r>
          </w:p>
        </w:tc>
        <w:tc>
          <w:tcPr>
            <w:tcW w:w="324" w:type="pct"/>
            <w:vAlign w:val="center"/>
          </w:tcPr>
          <w:p w14:paraId="7D4707B5">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28FFA231">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6914B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612C1E96">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749E3D66">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75A67B3F">
            <w:pPr>
              <w:jc w:val="center"/>
              <w:rPr>
                <w:rFonts w:hint="eastAsia" w:ascii="仿宋" w:hAnsi="仿宋" w:eastAsia="仿宋" w:cs="仿宋"/>
                <w:sz w:val="32"/>
                <w:szCs w:val="32"/>
                <w:highlight w:val="none"/>
              </w:rPr>
            </w:pPr>
          </w:p>
        </w:tc>
        <w:tc>
          <w:tcPr>
            <w:tcW w:w="1031" w:type="pct"/>
            <w:shd w:val="clear" w:color="auto" w:fill="FFFFFF"/>
            <w:vAlign w:val="center"/>
          </w:tcPr>
          <w:p w14:paraId="0ED31035">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数据资源目录提供</w:t>
            </w:r>
          </w:p>
        </w:tc>
        <w:tc>
          <w:tcPr>
            <w:tcW w:w="1481" w:type="pct"/>
            <w:shd w:val="clear" w:color="auto" w:fill="FFFFFF"/>
            <w:vAlign w:val="center"/>
          </w:tcPr>
          <w:p w14:paraId="545E4147">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127.资源管理者用于审核申请的菜单，操作包含：通过、驳回、驳回补正。</w:t>
            </w:r>
          </w:p>
          <w:p w14:paraId="3EFB10AB">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128.支持资源管理者查看自己管理的所有申请数据的页面。</w:t>
            </w:r>
          </w:p>
          <w:p w14:paraId="76BC56E0">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支持资源部门的所有用户查看自己管理的所有数据资源目录的页面，若为该部门的普通用户，仅有查看操作；若为该部门的资源管理者，则有管理按钮，点击跳转后台管理页面。</w:t>
            </w:r>
          </w:p>
          <w:p w14:paraId="0BAF006A">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129.支持资源部门的所有用户查看自己管理的所有数据资源的页面，若为该部门的普通用户，仅有查看操作；若为该部门的资源管理者，则有管理按钮，点击跳转后台管理页面。</w:t>
            </w:r>
          </w:p>
          <w:p w14:paraId="52217F85">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130.支持资源部门所有用户查看本部门资源收到的反馈信息的页面。反馈分为：已回复、待回复。</w:t>
            </w:r>
          </w:p>
        </w:tc>
        <w:tc>
          <w:tcPr>
            <w:tcW w:w="324" w:type="pct"/>
            <w:vAlign w:val="center"/>
          </w:tcPr>
          <w:p w14:paraId="6A25E8FB">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4B67D2F4">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4492F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00BEDE69">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35670909">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4CD25C29">
            <w:pPr>
              <w:jc w:val="center"/>
              <w:rPr>
                <w:rFonts w:hint="eastAsia" w:ascii="仿宋" w:hAnsi="仿宋" w:eastAsia="仿宋" w:cs="仿宋"/>
                <w:sz w:val="32"/>
                <w:szCs w:val="32"/>
                <w:highlight w:val="none"/>
              </w:rPr>
            </w:pPr>
          </w:p>
        </w:tc>
        <w:tc>
          <w:tcPr>
            <w:tcW w:w="1031" w:type="pct"/>
            <w:shd w:val="clear" w:color="auto" w:fill="FFFFFF"/>
            <w:vAlign w:val="center"/>
          </w:tcPr>
          <w:p w14:paraId="3D26778C">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数据资源目录受理</w:t>
            </w:r>
          </w:p>
        </w:tc>
        <w:tc>
          <w:tcPr>
            <w:tcW w:w="1481" w:type="pct"/>
            <w:shd w:val="clear" w:color="auto" w:fill="FFFFFF"/>
            <w:vAlign w:val="center"/>
          </w:tcPr>
          <w:p w14:paraId="5CCAE2AA">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131.用户进行资源受理的页面，支持的受理操作包含：通过、驳回、驳回补正。</w:t>
            </w:r>
          </w:p>
          <w:p w14:paraId="07C509D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132.支持用户查看所有资源的申请数据。</w:t>
            </w:r>
          </w:p>
        </w:tc>
        <w:tc>
          <w:tcPr>
            <w:tcW w:w="324" w:type="pct"/>
            <w:vAlign w:val="center"/>
          </w:tcPr>
          <w:p w14:paraId="2D17E1CA">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083DC3F3">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43386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5050C3FA">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457B3D3D">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23E92AD3">
            <w:pPr>
              <w:jc w:val="center"/>
              <w:rPr>
                <w:rFonts w:hint="eastAsia" w:ascii="仿宋" w:hAnsi="仿宋" w:eastAsia="仿宋" w:cs="仿宋"/>
                <w:sz w:val="32"/>
                <w:szCs w:val="32"/>
                <w:highlight w:val="none"/>
              </w:rPr>
            </w:pPr>
          </w:p>
        </w:tc>
        <w:tc>
          <w:tcPr>
            <w:tcW w:w="1031" w:type="pct"/>
            <w:shd w:val="clear" w:color="auto" w:fill="FFFFFF"/>
            <w:vAlign w:val="center"/>
          </w:tcPr>
          <w:p w14:paraId="431C9614">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数据资源目录编制</w:t>
            </w:r>
          </w:p>
        </w:tc>
        <w:tc>
          <w:tcPr>
            <w:tcW w:w="1481" w:type="pct"/>
            <w:shd w:val="clear" w:color="auto" w:fill="FFFFFF"/>
            <w:vAlign w:val="center"/>
          </w:tcPr>
          <w:p w14:paraId="7C214641">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133.支持资源管理者维护和管理信息系统的数据。</w:t>
            </w:r>
          </w:p>
          <w:p w14:paraId="29F719D2">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134.支持资源管理者维护和管理数据资源目录的数据，可设置管理的数据资源目录的自动审核、自动受理等条件信息。</w:t>
            </w:r>
          </w:p>
          <w:p w14:paraId="3AB6444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135.支持资源管理者维护和管理数据资源目录的信息项的数据。</w:t>
            </w:r>
          </w:p>
        </w:tc>
        <w:tc>
          <w:tcPr>
            <w:tcW w:w="324" w:type="pct"/>
            <w:vAlign w:val="center"/>
          </w:tcPr>
          <w:p w14:paraId="7D66F8F0">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72690D84">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60327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656FDEF0">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0FC88724">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1AF51D6A">
            <w:pPr>
              <w:jc w:val="center"/>
              <w:rPr>
                <w:rFonts w:hint="eastAsia" w:ascii="仿宋" w:hAnsi="仿宋" w:eastAsia="仿宋" w:cs="仿宋"/>
                <w:sz w:val="32"/>
                <w:szCs w:val="32"/>
                <w:highlight w:val="none"/>
              </w:rPr>
            </w:pPr>
          </w:p>
        </w:tc>
        <w:tc>
          <w:tcPr>
            <w:tcW w:w="1031" w:type="pct"/>
            <w:shd w:val="clear" w:color="auto" w:fill="FFFFFF"/>
            <w:vAlign w:val="center"/>
          </w:tcPr>
          <w:p w14:paraId="48761ADD">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数据资源目录审核</w:t>
            </w:r>
          </w:p>
        </w:tc>
        <w:tc>
          <w:tcPr>
            <w:tcW w:w="1481" w:type="pct"/>
            <w:shd w:val="clear" w:color="auto" w:fill="FFFFFF"/>
            <w:vAlign w:val="center"/>
          </w:tcPr>
          <w:p w14:paraId="4C5A8ACE">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136.支持资源管理者维护和管理数据资源的数据接口，发布时将会经过审核，审核通过后在前台显示，同时可设置所管理接口的自动审核、自动受理等条件信息。</w:t>
            </w:r>
          </w:p>
          <w:p w14:paraId="3F36B42E">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137.支持资源管理者维护和管理数据资源的共享库表，发布时将经过审核，审核通过后在前台显示，同时可设置所管理库表的自动审核、自动受理等条件信息。</w:t>
            </w:r>
          </w:p>
          <w:p w14:paraId="4FA03088">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138.支持用户审核接口和库表管理，分为：新发布、删除资源、内容变更，内容变更数据将记录并标记变更的内容。审核操作分为通过、驳回。</w:t>
            </w:r>
          </w:p>
          <w:p w14:paraId="75F16254">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139.支持用户管理所有审核信息的模块。</w:t>
            </w:r>
          </w:p>
        </w:tc>
        <w:tc>
          <w:tcPr>
            <w:tcW w:w="324" w:type="pct"/>
            <w:vAlign w:val="center"/>
          </w:tcPr>
          <w:p w14:paraId="48562CBF">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2CFF7B85">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4DE93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619F5658">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38C0688D">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4877C95B">
            <w:pPr>
              <w:jc w:val="center"/>
              <w:rPr>
                <w:rFonts w:hint="eastAsia" w:ascii="仿宋" w:hAnsi="仿宋" w:eastAsia="仿宋" w:cs="仿宋"/>
                <w:sz w:val="32"/>
                <w:szCs w:val="32"/>
                <w:highlight w:val="none"/>
              </w:rPr>
            </w:pPr>
          </w:p>
        </w:tc>
        <w:tc>
          <w:tcPr>
            <w:tcW w:w="1031" w:type="pct"/>
            <w:shd w:val="clear" w:color="auto" w:fill="FFFFFF"/>
            <w:vAlign w:val="center"/>
          </w:tcPr>
          <w:p w14:paraId="3674839F">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数据资源报表配置</w:t>
            </w:r>
          </w:p>
        </w:tc>
        <w:tc>
          <w:tcPr>
            <w:tcW w:w="1481" w:type="pct"/>
            <w:shd w:val="clear" w:color="auto" w:fill="FFFFFF"/>
            <w:vAlign w:val="center"/>
          </w:tcPr>
          <w:p w14:paraId="2A5D07A5">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140、报表分享和授权机制，配置报表的分享对象、是否可以导出和分享时长。</w:t>
            </w:r>
          </w:p>
          <w:p w14:paraId="2EEA4341">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141、通过系统内置模板创建报表，更改数据源和数据集就能生成新的报表。</w:t>
            </w:r>
          </w:p>
        </w:tc>
        <w:tc>
          <w:tcPr>
            <w:tcW w:w="324" w:type="pct"/>
            <w:vAlign w:val="center"/>
          </w:tcPr>
          <w:p w14:paraId="6C22DBF1">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105CA9C2">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77921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0B54283B">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369826C4">
            <w:pPr>
              <w:jc w:val="center"/>
              <w:rPr>
                <w:rFonts w:hint="eastAsia" w:ascii="仿宋" w:hAnsi="仿宋" w:eastAsia="仿宋" w:cs="仿宋"/>
                <w:sz w:val="32"/>
                <w:szCs w:val="32"/>
                <w:highlight w:val="none"/>
              </w:rPr>
            </w:pPr>
          </w:p>
        </w:tc>
        <w:tc>
          <w:tcPr>
            <w:tcW w:w="939" w:type="pct"/>
            <w:vMerge w:val="restart"/>
            <w:shd w:val="clear" w:color="auto" w:fill="FFFFFF"/>
            <w:vAlign w:val="center"/>
          </w:tcPr>
          <w:p w14:paraId="0614040D">
            <w:pPr>
              <w:jc w:val="center"/>
              <w:rPr>
                <w:rFonts w:hint="eastAsia" w:ascii="仿宋" w:hAnsi="仿宋" w:eastAsia="仿宋" w:cs="仿宋"/>
                <w:sz w:val="32"/>
                <w:szCs w:val="32"/>
                <w:highlight w:val="none"/>
              </w:rPr>
            </w:pPr>
            <w:r>
              <w:rPr>
                <w:rFonts w:hint="eastAsia" w:ascii="仿宋" w:hAnsi="仿宋" w:eastAsia="仿宋" w:cs="仿宋"/>
                <w:sz w:val="32"/>
                <w:szCs w:val="32"/>
                <w:highlight w:val="none"/>
              </w:rPr>
              <w:t>数据市级中枢（市校数据节点系统）</w:t>
            </w:r>
          </w:p>
        </w:tc>
        <w:tc>
          <w:tcPr>
            <w:tcW w:w="1031" w:type="pct"/>
            <w:shd w:val="clear" w:color="auto" w:fill="FFFFFF"/>
            <w:vAlign w:val="center"/>
          </w:tcPr>
          <w:p w14:paraId="48EC07D7">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市级中枢数据集配置</w:t>
            </w:r>
          </w:p>
        </w:tc>
        <w:tc>
          <w:tcPr>
            <w:tcW w:w="1481" w:type="pct"/>
            <w:shd w:val="clear" w:color="auto" w:fill="FFFFFF"/>
            <w:vAlign w:val="center"/>
          </w:tcPr>
          <w:p w14:paraId="21F5A7E3">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142.数据网络应支持不同的数据集采集，数据集为某一个专项工作任务，如高等教育质量监测，用于评估本科教学质量。一个数据集内包含多张不同类型的数据表，数据表的字段和结构不尽相同。需具备对数据版本的灵活控制和调整能力，能够在总节点灵活定义数据表结构，灵活定义在子节点的数据展示形式、查看权限、查询条件等。并能够将多种主题的数据表按照一级分类、二级分类的目录树的形式进行组织，便于子节点用户理解。数据集中的数据表支持多版本迭代，满足数据集随着业务的变化弹性扩展。通过数据集版本和数据表版本实现业务不确定性的化解和指标的持续迭代更新。</w:t>
            </w:r>
          </w:p>
        </w:tc>
        <w:tc>
          <w:tcPr>
            <w:tcW w:w="324" w:type="pct"/>
            <w:vAlign w:val="center"/>
          </w:tcPr>
          <w:p w14:paraId="68366EB4">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0B41D4EC">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4686F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3AF9A224">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15CE2176">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1FE6724D">
            <w:pPr>
              <w:jc w:val="center"/>
              <w:rPr>
                <w:rFonts w:hint="eastAsia" w:ascii="仿宋" w:hAnsi="仿宋" w:eastAsia="仿宋" w:cs="仿宋"/>
                <w:sz w:val="32"/>
                <w:szCs w:val="32"/>
                <w:highlight w:val="none"/>
              </w:rPr>
            </w:pPr>
          </w:p>
        </w:tc>
        <w:tc>
          <w:tcPr>
            <w:tcW w:w="1031" w:type="pct"/>
            <w:shd w:val="clear" w:color="auto" w:fill="FFFFFF"/>
            <w:vAlign w:val="center"/>
          </w:tcPr>
          <w:p w14:paraId="66BBC3EB">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市级中枢数据校验管理</w:t>
            </w:r>
          </w:p>
        </w:tc>
        <w:tc>
          <w:tcPr>
            <w:tcW w:w="1481" w:type="pct"/>
            <w:shd w:val="clear" w:color="auto" w:fill="FFFFFF"/>
            <w:vAlign w:val="center"/>
          </w:tcPr>
          <w:p w14:paraId="4C58074E">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143.</w:t>
            </w:r>
            <w:r>
              <w:rPr>
                <w:rFonts w:ascii="仿宋" w:hAnsi="仿宋" w:eastAsia="仿宋" w:cs="仿宋"/>
                <w:kern w:val="0"/>
                <w:sz w:val="32"/>
                <w:szCs w:val="32"/>
                <w:highlight w:val="none"/>
                <w:lang w:bidi="ar"/>
              </w:rPr>
              <w:t>数据校验管理是为了提升数据采集过程中数据质量，保证采集到中枢端的数据是经过严格的质量控制和逻辑校验的。数据校验包含了表内校验和标间校验，表内校验通常是数据表中的某一个字段和其他字段的数值比较。标间校验通常是某张数据表中的某个数据项和其他数据表中的某个数据项之间的关联关系。通过表内和表间校验逻辑的设定，筛选出不符合填报标准的数据，由业务部门更正后再次提交。数据校验管理可查询各高校数据校验结果和明细内容，为过程管理提供依据。</w:t>
            </w:r>
          </w:p>
        </w:tc>
        <w:tc>
          <w:tcPr>
            <w:tcW w:w="324" w:type="pct"/>
            <w:vAlign w:val="center"/>
          </w:tcPr>
          <w:p w14:paraId="681D1B9E">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3FB965E6">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0926C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4303BEEB">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01C00D2D">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3FC6159E">
            <w:pPr>
              <w:jc w:val="center"/>
              <w:rPr>
                <w:rFonts w:hint="eastAsia" w:ascii="仿宋" w:hAnsi="仿宋" w:eastAsia="仿宋" w:cs="仿宋"/>
                <w:sz w:val="32"/>
                <w:szCs w:val="32"/>
                <w:highlight w:val="none"/>
              </w:rPr>
            </w:pPr>
          </w:p>
        </w:tc>
        <w:tc>
          <w:tcPr>
            <w:tcW w:w="1031" w:type="pct"/>
            <w:shd w:val="clear" w:color="auto" w:fill="FFFFFF"/>
            <w:vAlign w:val="center"/>
          </w:tcPr>
          <w:p w14:paraId="2D3836ED">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市级中枢数据码表管理</w:t>
            </w:r>
          </w:p>
        </w:tc>
        <w:tc>
          <w:tcPr>
            <w:tcW w:w="1481" w:type="pct"/>
            <w:shd w:val="clear" w:color="auto" w:fill="FFFFFF"/>
            <w:vAlign w:val="center"/>
          </w:tcPr>
          <w:p w14:paraId="609FFB7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144.</w:t>
            </w:r>
            <w:r>
              <w:rPr>
                <w:rFonts w:ascii="仿宋" w:hAnsi="仿宋" w:eastAsia="仿宋" w:cs="仿宋"/>
                <w:kern w:val="0"/>
                <w:sz w:val="32"/>
                <w:szCs w:val="32"/>
                <w:highlight w:val="none"/>
                <w:lang w:bidi="ar"/>
              </w:rPr>
              <w:t>数据码表管理是为了提升数据质量和数据标准化程度而建设的集成多种数据集的数据码表管理和查询功能，支持数据码表创建、导入、更新、数据码值的隐藏等功能设置，中枢端建立好的数据码表可以通过数据同步的方式同步到高校端，用于高校的查询和下载等操作。</w:t>
            </w:r>
          </w:p>
        </w:tc>
        <w:tc>
          <w:tcPr>
            <w:tcW w:w="324" w:type="pct"/>
            <w:vAlign w:val="center"/>
          </w:tcPr>
          <w:p w14:paraId="747FB8A2">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62DB10F7">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0E998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2F8C614B">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377D4AA5">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5CA571F5">
            <w:pPr>
              <w:jc w:val="center"/>
              <w:rPr>
                <w:rFonts w:hint="eastAsia" w:ascii="仿宋" w:hAnsi="仿宋" w:eastAsia="仿宋" w:cs="仿宋"/>
                <w:sz w:val="32"/>
                <w:szCs w:val="32"/>
                <w:highlight w:val="none"/>
              </w:rPr>
            </w:pPr>
          </w:p>
        </w:tc>
        <w:tc>
          <w:tcPr>
            <w:tcW w:w="1031" w:type="pct"/>
            <w:shd w:val="clear" w:color="auto" w:fill="FFFFFF"/>
            <w:vAlign w:val="center"/>
          </w:tcPr>
          <w:p w14:paraId="5211B1EC">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市级中枢采集任务管理</w:t>
            </w:r>
          </w:p>
        </w:tc>
        <w:tc>
          <w:tcPr>
            <w:tcW w:w="1481" w:type="pct"/>
            <w:shd w:val="clear" w:color="auto" w:fill="FFFFFF"/>
            <w:vAlign w:val="center"/>
          </w:tcPr>
          <w:p w14:paraId="0BE3967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145.</w:t>
            </w:r>
            <w:r>
              <w:rPr>
                <w:rFonts w:hint="eastAsia"/>
                <w:highlight w:val="none"/>
              </w:rPr>
              <w:t xml:space="preserve"> </w:t>
            </w:r>
            <w:r>
              <w:rPr>
                <w:rFonts w:hint="eastAsia" w:ascii="仿宋" w:hAnsi="仿宋" w:eastAsia="仿宋" w:cs="仿宋"/>
                <w:kern w:val="0"/>
                <w:sz w:val="32"/>
                <w:szCs w:val="32"/>
                <w:highlight w:val="none"/>
                <w:lang w:bidi="ar"/>
              </w:rPr>
              <w:t>对于建立好的数据集和数据校验逻辑，数据中枢能跨层级下发数据任务进行数据采集，能够在数据中枢管理端建立统一的数据采集任务，跨层级下发到高校，支持数据集创建和升级，支持任务的多阶段状态监测，包含数据采集任务接收状态、数据集更新状态、数据校验通过状态、数据传输状态等。为中枢端管理数据采集任务提供依据。并可针对性的督促学校数据准备和数据提交工作</w:t>
            </w:r>
            <w:r>
              <w:rPr>
                <w:rFonts w:ascii="仿宋" w:hAnsi="仿宋" w:eastAsia="仿宋" w:cs="仿宋"/>
                <w:kern w:val="0"/>
                <w:sz w:val="32"/>
                <w:szCs w:val="32"/>
                <w:highlight w:val="none"/>
                <w:lang w:bidi="ar"/>
              </w:rPr>
              <w:t>。</w:t>
            </w:r>
          </w:p>
        </w:tc>
        <w:tc>
          <w:tcPr>
            <w:tcW w:w="324" w:type="pct"/>
            <w:vAlign w:val="center"/>
          </w:tcPr>
          <w:p w14:paraId="3510CE2B">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60C20729">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31884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3373C0E7">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7ABC1BBB">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1D80CF85">
            <w:pPr>
              <w:jc w:val="center"/>
              <w:rPr>
                <w:rFonts w:hint="eastAsia" w:ascii="仿宋" w:hAnsi="仿宋" w:eastAsia="仿宋" w:cs="仿宋"/>
                <w:sz w:val="32"/>
                <w:szCs w:val="32"/>
                <w:highlight w:val="none"/>
              </w:rPr>
            </w:pPr>
          </w:p>
        </w:tc>
        <w:tc>
          <w:tcPr>
            <w:tcW w:w="1031" w:type="pct"/>
            <w:shd w:val="clear" w:color="auto" w:fill="FFFFFF"/>
            <w:vAlign w:val="center"/>
          </w:tcPr>
          <w:p w14:paraId="71A5DB15">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市级中枢开发者管理</w:t>
            </w:r>
          </w:p>
        </w:tc>
        <w:tc>
          <w:tcPr>
            <w:tcW w:w="1481" w:type="pct"/>
            <w:shd w:val="clear" w:color="auto" w:fill="FFFFFF"/>
            <w:vAlign w:val="center"/>
          </w:tcPr>
          <w:p w14:paraId="02D2B68F">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146.</w:t>
            </w:r>
            <w:r>
              <w:rPr>
                <w:rFonts w:ascii="仿宋" w:hAnsi="仿宋" w:eastAsia="仿宋" w:cs="仿宋"/>
                <w:kern w:val="0"/>
                <w:sz w:val="32"/>
                <w:szCs w:val="32"/>
                <w:highlight w:val="none"/>
                <w:lang w:bidi="ar"/>
              </w:rPr>
              <w:t>开发者管理，是满足各高校通过数据接口获取中枢端的数据表和数据任务以及数据码表而设置的数据调用账号，并为每个学校生成一个数据加密秘钥，用于对核心字段和敏感字段进行数据加密。</w:t>
            </w:r>
          </w:p>
        </w:tc>
        <w:tc>
          <w:tcPr>
            <w:tcW w:w="324" w:type="pct"/>
            <w:vAlign w:val="center"/>
          </w:tcPr>
          <w:p w14:paraId="68B23E39">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190A0C58">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47CD9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4C61F7A1">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6565C343">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0C00D123">
            <w:pPr>
              <w:jc w:val="center"/>
              <w:rPr>
                <w:rFonts w:hint="eastAsia" w:ascii="仿宋" w:hAnsi="仿宋" w:eastAsia="仿宋" w:cs="仿宋"/>
                <w:sz w:val="32"/>
                <w:szCs w:val="32"/>
                <w:highlight w:val="none"/>
              </w:rPr>
            </w:pPr>
          </w:p>
        </w:tc>
        <w:tc>
          <w:tcPr>
            <w:tcW w:w="1031" w:type="pct"/>
            <w:shd w:val="clear" w:color="auto" w:fill="FFFFFF"/>
            <w:vAlign w:val="center"/>
          </w:tcPr>
          <w:p w14:paraId="1663DF7E">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市级中枢节点管理</w:t>
            </w:r>
          </w:p>
        </w:tc>
        <w:tc>
          <w:tcPr>
            <w:tcW w:w="1481" w:type="pct"/>
            <w:shd w:val="clear" w:color="auto" w:fill="FFFFFF"/>
            <w:vAlign w:val="center"/>
          </w:tcPr>
          <w:p w14:paraId="1081ABF5">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147.</w:t>
            </w:r>
            <w:r>
              <w:rPr>
                <w:rFonts w:ascii="仿宋" w:hAnsi="仿宋" w:eastAsia="仿宋" w:cs="仿宋"/>
                <w:kern w:val="0"/>
                <w:sz w:val="32"/>
                <w:szCs w:val="32"/>
                <w:highlight w:val="none"/>
                <w:lang w:bidi="ar"/>
              </w:rPr>
              <w:t>支持在中枢端对节点进行日常监控，监测节点健康状态和各项任务执行状态。</w:t>
            </w:r>
          </w:p>
        </w:tc>
        <w:tc>
          <w:tcPr>
            <w:tcW w:w="324" w:type="pct"/>
            <w:vAlign w:val="center"/>
          </w:tcPr>
          <w:p w14:paraId="59AE9EE8">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1B13205F">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2B1ED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35A09CFF">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6DB3A4A5">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1FC04F1F">
            <w:pPr>
              <w:jc w:val="center"/>
              <w:rPr>
                <w:rFonts w:hint="eastAsia" w:ascii="仿宋" w:hAnsi="仿宋" w:eastAsia="仿宋" w:cs="仿宋"/>
                <w:sz w:val="32"/>
                <w:szCs w:val="32"/>
                <w:highlight w:val="none"/>
              </w:rPr>
            </w:pPr>
          </w:p>
        </w:tc>
        <w:tc>
          <w:tcPr>
            <w:tcW w:w="1031" w:type="pct"/>
            <w:shd w:val="clear" w:color="auto" w:fill="FFFFFF"/>
            <w:vAlign w:val="center"/>
          </w:tcPr>
          <w:p w14:paraId="2FA8116F">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校级节点端功能</w:t>
            </w:r>
          </w:p>
        </w:tc>
        <w:tc>
          <w:tcPr>
            <w:tcW w:w="1481" w:type="pct"/>
            <w:shd w:val="clear" w:color="auto" w:fill="FFFFFF"/>
            <w:vAlign w:val="center"/>
          </w:tcPr>
          <w:p w14:paraId="1A5587FF">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148.</w:t>
            </w:r>
            <w:r>
              <w:rPr>
                <w:rFonts w:ascii="仿宋" w:hAnsi="仿宋" w:eastAsia="仿宋" w:cs="仿宋"/>
                <w:kern w:val="0"/>
                <w:sz w:val="32"/>
                <w:szCs w:val="32"/>
                <w:highlight w:val="none"/>
                <w:lang w:bidi="ar"/>
              </w:rPr>
              <w:t>数据录入支持通过数据ETL的方式和界面填报的方式进行数据录入，ETL方式针对大批量明细数据，通过学校数据平台或者业务系统推送到叶子节点数据库中。同时支持Web界面数据填报方式，能够进行数据的填写、导入、删除、修改、查询等操作，提升数据填报友好程度。</w:t>
            </w:r>
          </w:p>
          <w:p w14:paraId="19572618">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149.数据校验：对于填报好的数据，学校通过数据校验，使用中枢端定义好的校验规则进行数据的筛查，并提示不准确的数据内容。数据调整后支持重新校验。</w:t>
            </w:r>
          </w:p>
          <w:p w14:paraId="48A420E0">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150.数据上报：支持查看多条数据采集任务，并在数据校验通过且数据锁定进行数据上报。</w:t>
            </w:r>
          </w:p>
          <w:p w14:paraId="2A96F4D4">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151.数据传输：待到数据传输任务开始后，各高校陆续启动数据传输任务，并记录数据传输日志和传输结果，对于传输失败的任务，各高校能够清晰查看，并进行后续处理。</w:t>
            </w:r>
          </w:p>
          <w:p w14:paraId="7C3B4579">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152.数据版本：支持查看不同数据版本情况和数据更新日志，方便高校了解每个版本的数据结构和数据内容更新日志，便于高校针对性的调整数据录入和填报内容。</w:t>
            </w:r>
          </w:p>
          <w:p w14:paraId="08E538B5">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153.数据开发者：支持ETL开发者创建数据库账号，并授权相应的数据表，支持数据库对接文档下载，提升数据开发工作者的工作效率。</w:t>
            </w:r>
          </w:p>
          <w:p w14:paraId="5DB19980">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154.数据标准查询：中枢端定义好的各类数据码表和数据标准，支持高校在本地查看下载并可共享给数据ETL开发者。支持查看不同版本的数据码表和引用该数据码表的数据表。</w:t>
            </w:r>
          </w:p>
        </w:tc>
        <w:tc>
          <w:tcPr>
            <w:tcW w:w="324" w:type="pct"/>
            <w:vAlign w:val="center"/>
          </w:tcPr>
          <w:p w14:paraId="015ABCF7">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110FEDB4">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0F905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5A5F875E">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1DD90598">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29B84B52">
            <w:pPr>
              <w:jc w:val="center"/>
              <w:rPr>
                <w:rFonts w:hint="eastAsia" w:ascii="仿宋" w:hAnsi="仿宋" w:eastAsia="仿宋" w:cs="仿宋"/>
                <w:sz w:val="32"/>
                <w:szCs w:val="32"/>
                <w:highlight w:val="none"/>
              </w:rPr>
            </w:pPr>
          </w:p>
        </w:tc>
        <w:tc>
          <w:tcPr>
            <w:tcW w:w="1031" w:type="pct"/>
            <w:shd w:val="clear" w:color="auto" w:fill="FFFFFF"/>
            <w:vAlign w:val="center"/>
          </w:tcPr>
          <w:p w14:paraId="1E2E5DFC">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数据集</w:t>
            </w:r>
          </w:p>
        </w:tc>
        <w:tc>
          <w:tcPr>
            <w:tcW w:w="1481" w:type="pct"/>
            <w:shd w:val="clear" w:color="auto" w:fill="FFFFFF"/>
            <w:vAlign w:val="center"/>
          </w:tcPr>
          <w:p w14:paraId="73D8542D">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155. 支持基于SQL、数据表的创建数据集两种方式，并提供数据集表结构预览功能。 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156. 支持字段名称重定义、层次扩展、字段类型格式化、日期数据格式化、字段扩展等功能。 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157.支持左关联、右关联、全关联等操作。 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158.支持刷新预览数据等功能。</w:t>
            </w:r>
          </w:p>
        </w:tc>
        <w:tc>
          <w:tcPr>
            <w:tcW w:w="324" w:type="pct"/>
            <w:vAlign w:val="center"/>
          </w:tcPr>
          <w:p w14:paraId="4D223510">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345A8440">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6755A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2EABB5C0">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0C684099">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1682E9C1">
            <w:pPr>
              <w:jc w:val="center"/>
              <w:rPr>
                <w:rFonts w:hint="eastAsia" w:ascii="仿宋" w:hAnsi="仿宋" w:eastAsia="仿宋" w:cs="仿宋"/>
                <w:sz w:val="32"/>
                <w:szCs w:val="32"/>
                <w:highlight w:val="none"/>
              </w:rPr>
            </w:pPr>
          </w:p>
        </w:tc>
        <w:tc>
          <w:tcPr>
            <w:tcW w:w="1031" w:type="pct"/>
            <w:shd w:val="clear" w:color="auto" w:fill="FFFFFF"/>
            <w:vAlign w:val="center"/>
          </w:tcPr>
          <w:p w14:paraId="374E3F1F">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仪表板</w:t>
            </w:r>
          </w:p>
        </w:tc>
        <w:tc>
          <w:tcPr>
            <w:tcW w:w="1481" w:type="pct"/>
            <w:shd w:val="clear" w:color="auto" w:fill="FFFFFF"/>
            <w:vAlign w:val="center"/>
          </w:tcPr>
          <w:p w14:paraId="4FD84FF8">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159.支持拖拽式进行组件选择和布局，自动调整和适配各种屏幕大小，支持移动端数据可视化组件自动适配。 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160.支持PC、移动等多终端的配置，并且能做到一次配置自动适配多终端。</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161.支持柱状图、折线图、条形图、面积图、饼图、气泡地图、色彩地图、仪表盘、雷达图、散点图、漏斗图、指标看板、矩阵树图、词云图、来源去向图、交叉表、进度条等图表组件。 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162.多组件关联查询，一个查询组件可实现控制多个组件的查询。 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163.组件联动分析，基于组件可以实现多个组件的联动分析与查询，实现在线数据分析。 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164.组件下钻分析，通过设置字段之间的层次关系，可以自动化实现数据钻取的功能。 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165.支持筛选器、文本、iframe、TAB、图片等种控件。</w:t>
            </w:r>
          </w:p>
        </w:tc>
        <w:tc>
          <w:tcPr>
            <w:tcW w:w="324" w:type="pct"/>
            <w:vAlign w:val="center"/>
          </w:tcPr>
          <w:p w14:paraId="3880B06A">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3BFCABBF">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49D13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5BA944A0">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07BA9FB8">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1D8E1769">
            <w:pPr>
              <w:jc w:val="center"/>
              <w:rPr>
                <w:rFonts w:hint="eastAsia" w:ascii="仿宋" w:hAnsi="仿宋" w:eastAsia="仿宋" w:cs="仿宋"/>
                <w:sz w:val="32"/>
                <w:szCs w:val="32"/>
                <w:highlight w:val="none"/>
              </w:rPr>
            </w:pPr>
          </w:p>
        </w:tc>
        <w:tc>
          <w:tcPr>
            <w:tcW w:w="1031" w:type="pct"/>
            <w:shd w:val="clear" w:color="auto" w:fill="FFFFFF"/>
            <w:vAlign w:val="center"/>
          </w:tcPr>
          <w:p w14:paraId="6F24C825">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开放服务</w:t>
            </w:r>
          </w:p>
        </w:tc>
        <w:tc>
          <w:tcPr>
            <w:tcW w:w="1481" w:type="pct"/>
            <w:shd w:val="clear" w:color="auto" w:fill="FFFFFF"/>
            <w:vAlign w:val="center"/>
          </w:tcPr>
          <w:p w14:paraId="711F2BB3">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166.当前已提供40+API开放接口，提供Java SDK。 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167. 基于数据集，开放 数据报表查询引擎能力，让客户能够自定义数据服务 API。</w:t>
            </w:r>
          </w:p>
        </w:tc>
        <w:tc>
          <w:tcPr>
            <w:tcW w:w="324" w:type="pct"/>
            <w:vAlign w:val="center"/>
          </w:tcPr>
          <w:p w14:paraId="53DC6065">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486AF1F6">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456FB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7AAE6862">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0FE76440">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3AFDAD6A">
            <w:pPr>
              <w:jc w:val="center"/>
              <w:rPr>
                <w:rFonts w:hint="eastAsia" w:ascii="仿宋" w:hAnsi="仿宋" w:eastAsia="仿宋" w:cs="仿宋"/>
                <w:sz w:val="32"/>
                <w:szCs w:val="32"/>
                <w:highlight w:val="none"/>
              </w:rPr>
            </w:pPr>
          </w:p>
        </w:tc>
        <w:tc>
          <w:tcPr>
            <w:tcW w:w="1031" w:type="pct"/>
            <w:shd w:val="clear" w:color="auto" w:fill="FFFFFF"/>
            <w:vAlign w:val="center"/>
          </w:tcPr>
          <w:p w14:paraId="30F27DE5">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数据门户</w:t>
            </w:r>
          </w:p>
        </w:tc>
        <w:tc>
          <w:tcPr>
            <w:tcW w:w="1481" w:type="pct"/>
            <w:shd w:val="clear" w:color="auto" w:fill="FFFFFF"/>
            <w:vAlign w:val="center"/>
          </w:tcPr>
          <w:p w14:paraId="61D4917B">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168. 支持门户标题、LOGO、整体肤色、导航栏颜色、页脚信息、数据门户链接等信息配置。 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169. 支持导航栏的名称定义、图标控制等基本定义。 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170. 支持导航栏的功能菜单配置，包括仪表板、外部链接等。 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171. 支持功能菜单的打开方式控制，包括当前页打开、新窗口打开。</w:t>
            </w:r>
          </w:p>
        </w:tc>
        <w:tc>
          <w:tcPr>
            <w:tcW w:w="324" w:type="pct"/>
            <w:vAlign w:val="center"/>
          </w:tcPr>
          <w:p w14:paraId="32DE0CFA">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0BA49EE0">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69130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6A13C6AE">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13B9FD98">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614277C6">
            <w:pPr>
              <w:jc w:val="center"/>
              <w:rPr>
                <w:rFonts w:hint="eastAsia" w:ascii="仿宋" w:hAnsi="仿宋" w:eastAsia="仿宋" w:cs="仿宋"/>
                <w:sz w:val="32"/>
                <w:szCs w:val="32"/>
                <w:highlight w:val="none"/>
              </w:rPr>
            </w:pPr>
          </w:p>
        </w:tc>
        <w:tc>
          <w:tcPr>
            <w:tcW w:w="1031" w:type="pct"/>
            <w:shd w:val="clear" w:color="auto" w:fill="FFFFFF"/>
            <w:vAlign w:val="center"/>
          </w:tcPr>
          <w:p w14:paraId="4DF9D2AD">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系统管理</w:t>
            </w:r>
          </w:p>
        </w:tc>
        <w:tc>
          <w:tcPr>
            <w:tcW w:w="1481" w:type="pct"/>
            <w:shd w:val="clear" w:color="auto" w:fill="FFFFFF"/>
            <w:vAlign w:val="center"/>
          </w:tcPr>
          <w:p w14:paraId="05C17DA1">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172. 提供多层次的安全访问机制，从系统访问登录、工作空间隔离到行级数据权限的一整套安全访问机制。 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173. 支持用户组织管理、用户角色管理。 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174. 支持基于用户角色的访问授权。 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175. 支持批量导入用户数据。176. 支持多级工作空间角色管理，包括管理员、开发者、分析师、阅览者等。 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177. 支持行级数据访问权限控制，支持类组织架构的轻量级管理。 </w:t>
            </w:r>
            <w:r>
              <w:rPr>
                <w:rFonts w:hint="eastAsia"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178. 支持权限管理的API服务。</w:t>
            </w:r>
          </w:p>
          <w:p w14:paraId="04141855">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179. 支持报表管理、血缘分析、门户管理等。</w:t>
            </w:r>
          </w:p>
        </w:tc>
        <w:tc>
          <w:tcPr>
            <w:tcW w:w="324" w:type="pct"/>
            <w:vAlign w:val="center"/>
          </w:tcPr>
          <w:p w14:paraId="11F6346C">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2D45C7E9">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44944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6762E872">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587C5C31">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35E9AA87">
            <w:pPr>
              <w:jc w:val="center"/>
              <w:rPr>
                <w:rFonts w:hint="eastAsia" w:ascii="仿宋" w:hAnsi="仿宋" w:eastAsia="仿宋" w:cs="仿宋"/>
                <w:sz w:val="32"/>
                <w:szCs w:val="32"/>
                <w:highlight w:val="none"/>
              </w:rPr>
            </w:pPr>
          </w:p>
        </w:tc>
        <w:tc>
          <w:tcPr>
            <w:tcW w:w="1031" w:type="pct"/>
            <w:shd w:val="clear" w:color="auto" w:fill="FFFFFF"/>
            <w:vAlign w:val="center"/>
          </w:tcPr>
          <w:p w14:paraId="603FD801">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安全嵌入</w:t>
            </w:r>
          </w:p>
        </w:tc>
        <w:tc>
          <w:tcPr>
            <w:tcW w:w="1481" w:type="pct"/>
            <w:shd w:val="clear" w:color="auto" w:fill="FFFFFF"/>
            <w:vAlign w:val="center"/>
          </w:tcPr>
          <w:p w14:paraId="0C4E8BD6">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180.支持将群空间中的报表（仪表板）嵌入到其他系统中，以便和其他应用系统集成，更便捷实现业务一体化应用。</w:t>
            </w:r>
          </w:p>
        </w:tc>
        <w:tc>
          <w:tcPr>
            <w:tcW w:w="324" w:type="pct"/>
            <w:vAlign w:val="center"/>
          </w:tcPr>
          <w:p w14:paraId="3C5752AE">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7D0BB10D">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r w14:paraId="74948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576" w:type="pct"/>
            <w:shd w:val="clear" w:color="auto" w:fill="auto"/>
            <w:vAlign w:val="center"/>
          </w:tcPr>
          <w:p w14:paraId="1F4AA1A8">
            <w:pPr>
              <w:widowControl/>
              <w:numPr>
                <w:ilvl w:val="0"/>
                <w:numId w:val="5"/>
              </w:numPr>
              <w:jc w:val="center"/>
              <w:textAlignment w:val="center"/>
              <w:rPr>
                <w:rFonts w:hint="eastAsia" w:ascii="仿宋" w:hAnsi="仿宋" w:eastAsia="仿宋" w:cs="仿宋"/>
                <w:kern w:val="0"/>
                <w:sz w:val="32"/>
                <w:szCs w:val="32"/>
                <w:highlight w:val="none"/>
                <w:lang w:bidi="ar"/>
              </w:rPr>
            </w:pPr>
          </w:p>
        </w:tc>
        <w:tc>
          <w:tcPr>
            <w:tcW w:w="324" w:type="pct"/>
            <w:vMerge w:val="continue"/>
            <w:shd w:val="clear" w:color="auto" w:fill="FFFFFF"/>
            <w:vAlign w:val="center"/>
          </w:tcPr>
          <w:p w14:paraId="0D2864EE">
            <w:pPr>
              <w:jc w:val="center"/>
              <w:rPr>
                <w:rFonts w:hint="eastAsia" w:ascii="仿宋" w:hAnsi="仿宋" w:eastAsia="仿宋" w:cs="仿宋"/>
                <w:sz w:val="32"/>
                <w:szCs w:val="32"/>
                <w:highlight w:val="none"/>
              </w:rPr>
            </w:pPr>
          </w:p>
        </w:tc>
        <w:tc>
          <w:tcPr>
            <w:tcW w:w="939" w:type="pct"/>
            <w:vMerge w:val="continue"/>
            <w:shd w:val="clear" w:color="auto" w:fill="FFFFFF"/>
            <w:vAlign w:val="center"/>
          </w:tcPr>
          <w:p w14:paraId="61B4A918">
            <w:pPr>
              <w:jc w:val="center"/>
              <w:rPr>
                <w:rFonts w:hint="eastAsia" w:ascii="仿宋" w:hAnsi="仿宋" w:eastAsia="仿宋" w:cs="仿宋"/>
                <w:sz w:val="32"/>
                <w:szCs w:val="32"/>
                <w:highlight w:val="none"/>
              </w:rPr>
            </w:pPr>
          </w:p>
        </w:tc>
        <w:tc>
          <w:tcPr>
            <w:tcW w:w="1031" w:type="pct"/>
            <w:shd w:val="clear" w:color="auto" w:fill="FFFFFF"/>
            <w:vAlign w:val="center"/>
          </w:tcPr>
          <w:p w14:paraId="6AC7E51E">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账号</w:t>
            </w:r>
          </w:p>
        </w:tc>
        <w:tc>
          <w:tcPr>
            <w:tcW w:w="1481" w:type="pct"/>
            <w:shd w:val="clear" w:color="auto" w:fill="FFFFFF"/>
            <w:vAlign w:val="center"/>
          </w:tcPr>
          <w:p w14:paraId="11ADA337">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181.数据报表需提供100账号数量，并且满足50QPS的单节点无高可用无容灾部署架构。</w:t>
            </w:r>
          </w:p>
        </w:tc>
        <w:tc>
          <w:tcPr>
            <w:tcW w:w="324" w:type="pct"/>
            <w:vAlign w:val="center"/>
          </w:tcPr>
          <w:p w14:paraId="4D5B3D70">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324" w:type="pct"/>
            <w:vAlign w:val="center"/>
          </w:tcPr>
          <w:p w14:paraId="4050BDF7">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项</w:t>
            </w:r>
          </w:p>
        </w:tc>
      </w:tr>
    </w:tbl>
    <w:p w14:paraId="0157EC9F">
      <w:pPr>
        <w:rPr>
          <w:rFonts w:hint="eastAsia" w:ascii="仿宋" w:hAnsi="仿宋" w:eastAsia="仿宋" w:cs="仿宋"/>
          <w:sz w:val="32"/>
          <w:szCs w:val="32"/>
          <w:highlight w:val="none"/>
        </w:rPr>
      </w:pPr>
    </w:p>
    <w:p w14:paraId="251D3155">
      <w:pPr>
        <w:ind w:firstLine="446"/>
        <w:rPr>
          <w:rFonts w:hint="eastAsia" w:ascii="仿宋" w:hAnsi="仿宋" w:eastAsia="仿宋" w:cs="仿宋"/>
          <w:sz w:val="32"/>
          <w:szCs w:val="32"/>
          <w:highlight w:val="none"/>
        </w:rPr>
      </w:pPr>
    </w:p>
    <w:p w14:paraId="6BFA4BBD">
      <w:pPr>
        <w:ind w:firstLine="446"/>
        <w:rPr>
          <w:rFonts w:hint="eastAsia" w:ascii="仿宋" w:hAnsi="仿宋" w:eastAsia="仿宋" w:cs="仿宋"/>
          <w:sz w:val="32"/>
          <w:szCs w:val="32"/>
          <w:highlight w:val="none"/>
        </w:rPr>
      </w:pPr>
    </w:p>
    <w:p w14:paraId="7C389066">
      <w:pPr>
        <w:rPr>
          <w:rFonts w:hint="eastAsia" w:ascii="仿宋" w:hAnsi="仿宋" w:eastAsia="仿宋" w:cs="仿宋"/>
          <w:sz w:val="32"/>
          <w:szCs w:val="32"/>
          <w:highlight w:val="none"/>
        </w:rPr>
      </w:pPr>
      <w:r>
        <w:rPr>
          <w:rFonts w:ascii="仿宋" w:hAnsi="仿宋" w:eastAsia="仿宋" w:cs="仿宋"/>
          <w:sz w:val="32"/>
          <w:szCs w:val="32"/>
          <w:highlight w:val="none"/>
        </w:rPr>
        <w:br w:type="page"/>
      </w:r>
    </w:p>
    <w:p w14:paraId="60769B89">
      <w:pPr>
        <w:pStyle w:val="4"/>
        <w:ind w:firstLine="448"/>
        <w:rPr>
          <w:rFonts w:hint="eastAsia" w:ascii="仿宋" w:hAnsi="仿宋" w:eastAsia="仿宋" w:cs="仿宋"/>
          <w:sz w:val="32"/>
          <w:szCs w:val="32"/>
          <w:highlight w:val="none"/>
        </w:rPr>
      </w:pPr>
      <w:r>
        <w:rPr>
          <w:rFonts w:ascii="仿宋" w:hAnsi="仿宋" w:eastAsia="仿宋" w:cs="仿宋"/>
          <w:sz w:val="32"/>
          <w:szCs w:val="32"/>
          <w:highlight w:val="none"/>
        </w:rPr>
        <w:t>10.3</w:t>
      </w:r>
      <w:r>
        <w:rPr>
          <w:rFonts w:hint="eastAsia" w:ascii="仿宋" w:hAnsi="仿宋" w:eastAsia="仿宋" w:cs="仿宋"/>
          <w:sz w:val="32"/>
          <w:szCs w:val="32"/>
          <w:highlight w:val="none"/>
        </w:rPr>
        <w:t>教育数据应用</w:t>
      </w:r>
    </w:p>
    <w:tbl>
      <w:tblPr>
        <w:tblStyle w:val="17"/>
        <w:tblW w:w="0" w:type="auto"/>
        <w:jc w:val="center"/>
        <w:tblLayout w:type="autofit"/>
        <w:tblCellMar>
          <w:top w:w="0" w:type="dxa"/>
          <w:left w:w="108" w:type="dxa"/>
          <w:bottom w:w="0" w:type="dxa"/>
          <w:right w:w="108" w:type="dxa"/>
        </w:tblCellMar>
      </w:tblPr>
      <w:tblGrid>
        <w:gridCol w:w="572"/>
        <w:gridCol w:w="772"/>
        <w:gridCol w:w="839"/>
        <w:gridCol w:w="1091"/>
        <w:gridCol w:w="4642"/>
        <w:gridCol w:w="572"/>
        <w:gridCol w:w="572"/>
      </w:tblGrid>
      <w:tr w14:paraId="066569E7">
        <w:tblPrEx>
          <w:tblCellMar>
            <w:top w:w="0" w:type="dxa"/>
            <w:left w:w="108" w:type="dxa"/>
            <w:bottom w:w="0" w:type="dxa"/>
            <w:right w:w="108" w:type="dxa"/>
          </w:tblCellMar>
        </w:tblPrEx>
        <w:trPr>
          <w:trHeight w:val="28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139B5C7">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DFF796B">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大类</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CE1EDD1">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模块</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6D2CA3">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一级功能</w:t>
            </w:r>
          </w:p>
        </w:tc>
        <w:tc>
          <w:tcPr>
            <w:tcW w:w="464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564E84">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技术参数</w:t>
            </w:r>
          </w:p>
        </w:tc>
        <w:tc>
          <w:tcPr>
            <w:tcW w:w="0" w:type="auto"/>
            <w:tcBorders>
              <w:top w:val="single" w:color="000000" w:sz="4" w:space="0"/>
              <w:left w:val="single" w:color="000000" w:sz="4" w:space="0"/>
              <w:bottom w:val="single" w:color="000000" w:sz="4" w:space="0"/>
              <w:right w:val="single" w:color="000000" w:sz="4" w:space="0"/>
            </w:tcBorders>
            <w:vAlign w:val="center"/>
          </w:tcPr>
          <w:p w14:paraId="470F0DF9">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数量</w:t>
            </w:r>
          </w:p>
        </w:tc>
        <w:tc>
          <w:tcPr>
            <w:tcW w:w="0" w:type="auto"/>
            <w:tcBorders>
              <w:top w:val="single" w:color="000000" w:sz="4" w:space="0"/>
              <w:left w:val="single" w:color="000000" w:sz="4" w:space="0"/>
              <w:bottom w:val="single" w:color="000000" w:sz="4" w:space="0"/>
              <w:right w:val="single" w:color="000000" w:sz="4" w:space="0"/>
            </w:tcBorders>
            <w:vAlign w:val="center"/>
          </w:tcPr>
          <w:p w14:paraId="2797D224">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单位</w:t>
            </w:r>
          </w:p>
        </w:tc>
      </w:tr>
      <w:tr w14:paraId="1049CAD3">
        <w:tblPrEx>
          <w:tblCellMar>
            <w:top w:w="0" w:type="dxa"/>
            <w:left w:w="108" w:type="dxa"/>
            <w:bottom w:w="0" w:type="dxa"/>
            <w:right w:w="108" w:type="dxa"/>
          </w:tblCellMar>
        </w:tblPrEx>
        <w:trPr>
          <w:trHeight w:val="54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9C6695">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184DA7">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教育数据应用平台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167CC52">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建设五大教育业务平台</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1638A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教育应用管理工作台</w:t>
            </w:r>
          </w:p>
        </w:tc>
        <w:tc>
          <w:tcPr>
            <w:tcW w:w="4643" w:type="dxa"/>
            <w:tcBorders>
              <w:top w:val="single" w:color="000000" w:sz="4" w:space="0"/>
              <w:left w:val="single" w:color="000000" w:sz="4" w:space="0"/>
              <w:bottom w:val="single" w:color="000000" w:sz="4" w:space="0"/>
              <w:right w:val="single" w:color="000000" w:sz="4" w:space="0"/>
            </w:tcBorders>
            <w:vAlign w:val="center"/>
          </w:tcPr>
          <w:p w14:paraId="6D88812F">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1.需具备应用管理、应用列表、应用搜索、应用流量监控、用户管理、角色管理、日志记录的管理功能。</w:t>
            </w:r>
          </w:p>
        </w:tc>
        <w:tc>
          <w:tcPr>
            <w:tcW w:w="0" w:type="auto"/>
            <w:tcBorders>
              <w:top w:val="single" w:color="000000" w:sz="4" w:space="0"/>
              <w:left w:val="single" w:color="000000" w:sz="4" w:space="0"/>
              <w:bottom w:val="single" w:color="000000" w:sz="4" w:space="0"/>
              <w:right w:val="single" w:color="000000" w:sz="4" w:space="0"/>
            </w:tcBorders>
            <w:vAlign w:val="center"/>
          </w:tcPr>
          <w:p w14:paraId="28D0E77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714C1EE2">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9AD018E">
        <w:tblPrEx>
          <w:tblCellMar>
            <w:top w:w="0" w:type="dxa"/>
            <w:left w:w="108" w:type="dxa"/>
            <w:bottom w:w="0" w:type="dxa"/>
            <w:right w:w="108" w:type="dxa"/>
          </w:tblCellMar>
        </w:tblPrEx>
        <w:trPr>
          <w:trHeight w:val="81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F6CAE7">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D30059">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8C116B2">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9085A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教育管理业务平台</w:t>
            </w:r>
          </w:p>
        </w:tc>
        <w:tc>
          <w:tcPr>
            <w:tcW w:w="4643" w:type="dxa"/>
            <w:tcBorders>
              <w:top w:val="single" w:color="000000" w:sz="4" w:space="0"/>
              <w:left w:val="single" w:color="000000" w:sz="4" w:space="0"/>
              <w:bottom w:val="single" w:color="000000" w:sz="4" w:space="0"/>
              <w:right w:val="single" w:color="000000" w:sz="4" w:space="0"/>
            </w:tcBorders>
            <w:vAlign w:val="center"/>
          </w:tcPr>
          <w:p w14:paraId="5D633898">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2.在应用展示中需支持教育管理类的应用展示；需要支持PC端与手机端使用。</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需支持应用搜索功能。使用人员仅需输入应用名称的关键字进行搜索，平台便能快速精准筛选出特定应用。</w:t>
            </w:r>
          </w:p>
        </w:tc>
        <w:tc>
          <w:tcPr>
            <w:tcW w:w="0" w:type="auto"/>
            <w:tcBorders>
              <w:top w:val="single" w:color="000000" w:sz="4" w:space="0"/>
              <w:left w:val="single" w:color="000000" w:sz="4" w:space="0"/>
              <w:bottom w:val="single" w:color="000000" w:sz="4" w:space="0"/>
              <w:right w:val="single" w:color="000000" w:sz="4" w:space="0"/>
            </w:tcBorders>
            <w:vAlign w:val="center"/>
          </w:tcPr>
          <w:p w14:paraId="427F0785">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1E504D2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F054A11">
        <w:tblPrEx>
          <w:tblCellMar>
            <w:top w:w="0" w:type="dxa"/>
            <w:left w:w="108" w:type="dxa"/>
            <w:bottom w:w="0" w:type="dxa"/>
            <w:right w:w="108" w:type="dxa"/>
          </w:tblCellMar>
        </w:tblPrEx>
        <w:trPr>
          <w:trHeight w:val="81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214807">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D50B2A">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819FCD5">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05688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教育服务业务平台</w:t>
            </w:r>
          </w:p>
        </w:tc>
        <w:tc>
          <w:tcPr>
            <w:tcW w:w="4643" w:type="dxa"/>
            <w:tcBorders>
              <w:top w:val="single" w:color="000000" w:sz="4" w:space="0"/>
              <w:left w:val="single" w:color="000000" w:sz="4" w:space="0"/>
              <w:bottom w:val="single" w:color="000000" w:sz="4" w:space="0"/>
              <w:right w:val="single" w:color="000000" w:sz="4" w:space="0"/>
            </w:tcBorders>
            <w:vAlign w:val="center"/>
          </w:tcPr>
          <w:p w14:paraId="02879ACD">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3.在应用展示中需支持教育服务业务平台展示，包括与国家智慧教育公共服务平台对接上架；需要支持PC端与手机端使用。</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需支持应用搜索功能。使用人员仅需输入应用名称的关键字进行搜索，平台便能快速精准筛选出特定应用。</w:t>
            </w:r>
          </w:p>
        </w:tc>
        <w:tc>
          <w:tcPr>
            <w:tcW w:w="0" w:type="auto"/>
            <w:tcBorders>
              <w:top w:val="single" w:color="000000" w:sz="4" w:space="0"/>
              <w:left w:val="single" w:color="000000" w:sz="4" w:space="0"/>
              <w:bottom w:val="single" w:color="000000" w:sz="4" w:space="0"/>
              <w:right w:val="single" w:color="000000" w:sz="4" w:space="0"/>
            </w:tcBorders>
            <w:vAlign w:val="center"/>
          </w:tcPr>
          <w:p w14:paraId="274A4DEA">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689BE0A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F5DF2E2">
        <w:tblPrEx>
          <w:tblCellMar>
            <w:top w:w="0" w:type="dxa"/>
            <w:left w:w="108" w:type="dxa"/>
            <w:bottom w:w="0" w:type="dxa"/>
            <w:right w:w="108" w:type="dxa"/>
          </w:tblCellMar>
        </w:tblPrEx>
        <w:trPr>
          <w:trHeight w:val="81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F7564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4</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B4BA8D">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765A33D">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344A3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教育资源业务平台</w:t>
            </w:r>
          </w:p>
        </w:tc>
        <w:tc>
          <w:tcPr>
            <w:tcW w:w="4643" w:type="dxa"/>
            <w:tcBorders>
              <w:top w:val="single" w:color="000000" w:sz="4" w:space="0"/>
              <w:left w:val="single" w:color="000000" w:sz="4" w:space="0"/>
              <w:bottom w:val="single" w:color="000000" w:sz="4" w:space="0"/>
              <w:right w:val="single" w:color="000000" w:sz="4" w:space="0"/>
            </w:tcBorders>
            <w:vAlign w:val="center"/>
          </w:tcPr>
          <w:p w14:paraId="7E0F8E12">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4.在应用展示中需支持教育资源业务平台展示；需要支持PC端与手机端使用。</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需支持应用搜索功能。使用人员仅需输入应用名称的关键字进行搜索，平台便能快速精准筛选出特定应用。</w:t>
            </w:r>
          </w:p>
        </w:tc>
        <w:tc>
          <w:tcPr>
            <w:tcW w:w="0" w:type="auto"/>
            <w:tcBorders>
              <w:top w:val="single" w:color="000000" w:sz="4" w:space="0"/>
              <w:left w:val="single" w:color="000000" w:sz="4" w:space="0"/>
              <w:bottom w:val="single" w:color="000000" w:sz="4" w:space="0"/>
              <w:right w:val="single" w:color="000000" w:sz="4" w:space="0"/>
            </w:tcBorders>
            <w:vAlign w:val="center"/>
          </w:tcPr>
          <w:p w14:paraId="35CA390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29F9CDE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C310A21">
        <w:tblPrEx>
          <w:tblCellMar>
            <w:top w:w="0" w:type="dxa"/>
            <w:left w:w="108" w:type="dxa"/>
            <w:bottom w:w="0" w:type="dxa"/>
            <w:right w:w="108" w:type="dxa"/>
          </w:tblCellMar>
        </w:tblPrEx>
        <w:trPr>
          <w:trHeight w:val="81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3BB6A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D9C89A">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8F1A9CC">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0BA62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全息画像业务平台</w:t>
            </w:r>
          </w:p>
        </w:tc>
        <w:tc>
          <w:tcPr>
            <w:tcW w:w="4643" w:type="dxa"/>
            <w:tcBorders>
              <w:top w:val="single" w:color="000000" w:sz="4" w:space="0"/>
              <w:left w:val="single" w:color="000000" w:sz="4" w:space="0"/>
              <w:bottom w:val="single" w:color="000000" w:sz="4" w:space="0"/>
              <w:right w:val="single" w:color="000000" w:sz="4" w:space="0"/>
            </w:tcBorders>
            <w:vAlign w:val="center"/>
          </w:tcPr>
          <w:p w14:paraId="6BF275CB">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5.在应用展示中需支持全息画像业务平台展示；需要支持PC端与手机端使用。</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需支持应用搜索功能。使用人员仅需输入应用名称的关键字进行搜索，平台便能快速精准筛选出特定应用。</w:t>
            </w:r>
          </w:p>
        </w:tc>
        <w:tc>
          <w:tcPr>
            <w:tcW w:w="0" w:type="auto"/>
            <w:tcBorders>
              <w:top w:val="single" w:color="000000" w:sz="4" w:space="0"/>
              <w:left w:val="single" w:color="000000" w:sz="4" w:space="0"/>
              <w:bottom w:val="single" w:color="000000" w:sz="4" w:space="0"/>
              <w:right w:val="single" w:color="000000" w:sz="4" w:space="0"/>
            </w:tcBorders>
            <w:vAlign w:val="center"/>
          </w:tcPr>
          <w:p w14:paraId="4F9DD319">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74B844B7">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B40232E">
        <w:tblPrEx>
          <w:tblCellMar>
            <w:top w:w="0" w:type="dxa"/>
            <w:left w:w="108" w:type="dxa"/>
            <w:bottom w:w="0" w:type="dxa"/>
            <w:right w:w="108" w:type="dxa"/>
          </w:tblCellMar>
        </w:tblPrEx>
        <w:trPr>
          <w:trHeight w:val="81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5E725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4A7EE">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4BB1DC5">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71CCE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分析决策业务平台</w:t>
            </w:r>
          </w:p>
        </w:tc>
        <w:tc>
          <w:tcPr>
            <w:tcW w:w="4643" w:type="dxa"/>
            <w:tcBorders>
              <w:top w:val="single" w:color="000000" w:sz="4" w:space="0"/>
              <w:left w:val="single" w:color="000000" w:sz="4" w:space="0"/>
              <w:bottom w:val="single" w:color="000000" w:sz="4" w:space="0"/>
              <w:right w:val="single" w:color="000000" w:sz="4" w:space="0"/>
            </w:tcBorders>
            <w:vAlign w:val="center"/>
          </w:tcPr>
          <w:p w14:paraId="5DCEBEEA">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6.在应用展示中需支持分析决策业务平台展示；需要支持PC端与手机端使用。</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需支持应用搜索功能。使用人员仅需输入应用名称的关键字进行搜索，平台便能快速精准筛选出特定应用。</w:t>
            </w:r>
          </w:p>
        </w:tc>
        <w:tc>
          <w:tcPr>
            <w:tcW w:w="0" w:type="auto"/>
            <w:tcBorders>
              <w:top w:val="single" w:color="000000" w:sz="4" w:space="0"/>
              <w:left w:val="single" w:color="000000" w:sz="4" w:space="0"/>
              <w:bottom w:val="single" w:color="000000" w:sz="4" w:space="0"/>
              <w:right w:val="single" w:color="000000" w:sz="4" w:space="0"/>
            </w:tcBorders>
            <w:vAlign w:val="center"/>
          </w:tcPr>
          <w:p w14:paraId="5F7F00A8">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26490B3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4561072">
        <w:tblPrEx>
          <w:tblCellMar>
            <w:top w:w="0" w:type="dxa"/>
            <w:left w:w="108" w:type="dxa"/>
            <w:bottom w:w="0" w:type="dxa"/>
            <w:right w:w="108" w:type="dxa"/>
          </w:tblCellMar>
        </w:tblPrEx>
        <w:trPr>
          <w:trHeight w:val="162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92929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7</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0FC1B8">
            <w:pPr>
              <w:jc w:val="center"/>
              <w:rPr>
                <w:rFonts w:hint="eastAsia" w:ascii="仿宋" w:hAnsi="仿宋" w:eastAsia="仿宋" w:cs="仿宋"/>
                <w:sz w:val="32"/>
                <w:szCs w:val="32"/>
                <w:highlight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876F2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统一认证系统</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03E0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用户管理</w:t>
            </w:r>
          </w:p>
        </w:tc>
        <w:tc>
          <w:tcPr>
            <w:tcW w:w="464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187AC4">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7.需提供全面的用户管理能力，为管理员提供可灵活扩展的用户自定义配置能力，方便管理员对用户数据进行维护。功能需包括：组织机构类型、机构专属字段、组织部门类型、部门专属字段、组织角色类型、角色专属字段的自定义维护等。</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8.需提供灵活配置的用户供应能力，支持对用户供应策略进行灵活的配置，管理员可根据不同时期的用户供应要求，进行灵活增减和配置相关限制条件。功能需包括用户注册管理、默认密码管理等。</w:t>
            </w:r>
          </w:p>
        </w:tc>
        <w:tc>
          <w:tcPr>
            <w:tcW w:w="0" w:type="auto"/>
            <w:tcBorders>
              <w:top w:val="single" w:color="000000" w:sz="4" w:space="0"/>
              <w:left w:val="single" w:color="000000" w:sz="4" w:space="0"/>
              <w:bottom w:val="single" w:color="000000" w:sz="4" w:space="0"/>
              <w:right w:val="single" w:color="000000" w:sz="4" w:space="0"/>
            </w:tcBorders>
            <w:vAlign w:val="center"/>
          </w:tcPr>
          <w:p w14:paraId="312AA47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4BF36AD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D98A06E">
        <w:tblPrEx>
          <w:tblCellMar>
            <w:top w:w="0" w:type="dxa"/>
            <w:left w:w="108" w:type="dxa"/>
            <w:bottom w:w="0" w:type="dxa"/>
            <w:right w:w="108" w:type="dxa"/>
          </w:tblCellMar>
        </w:tblPrEx>
        <w:trPr>
          <w:trHeight w:val="81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C1BF8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DE71C5">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BF5B79">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500A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组织机构管理</w:t>
            </w:r>
          </w:p>
        </w:tc>
        <w:tc>
          <w:tcPr>
            <w:tcW w:w="464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97F73E">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9.需具备对组织的全量机构的归纳管理、岗位管理、组织用户管理的功能。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10.需支持从多维度创建、维护以及展示多个机构树，可在不同维度机构树之间切换展示，方便组织集中统一管理行政组织架构和业务组织架构和按需同步至下游各应用系统。</w:t>
            </w:r>
          </w:p>
        </w:tc>
        <w:tc>
          <w:tcPr>
            <w:tcW w:w="0" w:type="auto"/>
            <w:tcBorders>
              <w:top w:val="single" w:color="000000" w:sz="4" w:space="0"/>
              <w:left w:val="single" w:color="000000" w:sz="4" w:space="0"/>
              <w:bottom w:val="single" w:color="000000" w:sz="4" w:space="0"/>
              <w:right w:val="single" w:color="000000" w:sz="4" w:space="0"/>
            </w:tcBorders>
            <w:vAlign w:val="center"/>
          </w:tcPr>
          <w:p w14:paraId="2DF4CBC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233B8637">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48F67061">
        <w:tblPrEx>
          <w:tblCellMar>
            <w:top w:w="0" w:type="dxa"/>
            <w:left w:w="108" w:type="dxa"/>
            <w:bottom w:w="0" w:type="dxa"/>
            <w:right w:w="108" w:type="dxa"/>
          </w:tblCellMar>
        </w:tblPrEx>
        <w:trPr>
          <w:trHeight w:val="135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4F7B7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418151">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0AD385">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1800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应用认证管理</w:t>
            </w:r>
          </w:p>
        </w:tc>
        <w:tc>
          <w:tcPr>
            <w:tcW w:w="464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78E61B">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11.需具备应用配置、应用集成、应用访问管理和控制的设置管理功能。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12.需提供API安全和管理功能，支持API令牌管理和安全策略等功能，满足应用级别管理API的单独权限能力。确保应用数据的交互和访问控制符合安全标准。</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13.需对应用接入风险进行校验管控，支持应用key/serect校验，应用各类操作的审核校验，应用接口订阅的鉴权和审核校验。</w:t>
            </w:r>
          </w:p>
        </w:tc>
        <w:tc>
          <w:tcPr>
            <w:tcW w:w="0" w:type="auto"/>
            <w:tcBorders>
              <w:top w:val="single" w:color="000000" w:sz="4" w:space="0"/>
              <w:left w:val="single" w:color="000000" w:sz="4" w:space="0"/>
              <w:bottom w:val="single" w:color="000000" w:sz="4" w:space="0"/>
              <w:right w:val="single" w:color="000000" w:sz="4" w:space="0"/>
            </w:tcBorders>
            <w:vAlign w:val="center"/>
          </w:tcPr>
          <w:p w14:paraId="05206CA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47F62501">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BA7B62B">
        <w:tblPrEx>
          <w:tblCellMar>
            <w:top w:w="0" w:type="dxa"/>
            <w:left w:w="108" w:type="dxa"/>
            <w:bottom w:w="0" w:type="dxa"/>
            <w:right w:w="108" w:type="dxa"/>
          </w:tblCellMar>
        </w:tblPrEx>
        <w:trPr>
          <w:trHeight w:val="54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420AF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10</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C45E7">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029F62">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9651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用户自助服务</w:t>
            </w:r>
          </w:p>
        </w:tc>
        <w:tc>
          <w:tcPr>
            <w:tcW w:w="464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98122C">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14.需具备访问和权限管理能力，用户可以查看和管理自己对各种资源的访问权限。并且能够自主申请不具备权限的应用。</w:t>
            </w:r>
          </w:p>
        </w:tc>
        <w:tc>
          <w:tcPr>
            <w:tcW w:w="0" w:type="auto"/>
            <w:tcBorders>
              <w:top w:val="single" w:color="000000" w:sz="4" w:space="0"/>
              <w:left w:val="single" w:color="000000" w:sz="4" w:space="0"/>
              <w:bottom w:val="single" w:color="000000" w:sz="4" w:space="0"/>
              <w:right w:val="single" w:color="000000" w:sz="4" w:space="0"/>
            </w:tcBorders>
            <w:vAlign w:val="center"/>
          </w:tcPr>
          <w:p w14:paraId="7DFE149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176A14A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0CE5C15E">
        <w:tblPrEx>
          <w:tblCellMar>
            <w:top w:w="0" w:type="dxa"/>
            <w:left w:w="108" w:type="dxa"/>
            <w:bottom w:w="0" w:type="dxa"/>
            <w:right w:w="108" w:type="dxa"/>
          </w:tblCellMar>
        </w:tblPrEx>
        <w:trPr>
          <w:trHeight w:val="81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04657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11</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B64C64">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9D8C51">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CE02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多租户管理模块</w:t>
            </w:r>
          </w:p>
        </w:tc>
        <w:tc>
          <w:tcPr>
            <w:tcW w:w="464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D04B8E">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15.需具备租户隔离性和数据安全管理和灵活租户个性化能力配置的功能。</w:t>
            </w:r>
            <w:r>
              <w:rPr>
                <w:rFonts w:ascii="仿宋" w:hAnsi="仿宋" w:eastAsia="仿宋" w:cs="仿宋"/>
                <w:kern w:val="0"/>
                <w:sz w:val="32"/>
                <w:szCs w:val="32"/>
                <w:highlight w:val="none"/>
                <w:lang w:bidi="ar"/>
              </w:rPr>
              <w:br w:type="textWrapping"/>
            </w:r>
            <w:r>
              <w:rPr>
                <w:rFonts w:ascii="仿宋" w:hAnsi="仿宋" w:eastAsia="仿宋" w:cs="仿宋"/>
                <w:kern w:val="0"/>
                <w:sz w:val="32"/>
                <w:szCs w:val="32"/>
                <w:highlight w:val="none"/>
                <w:lang w:bidi="ar"/>
              </w:rPr>
              <w:t>16.需提供一个中央管理界面，供管理所有租户的配置和监控其使用情况。允许每个租户通过自己的管理界面配置和管理自己的用户和权限。</w:t>
            </w:r>
          </w:p>
        </w:tc>
        <w:tc>
          <w:tcPr>
            <w:tcW w:w="0" w:type="auto"/>
            <w:tcBorders>
              <w:top w:val="single" w:color="000000" w:sz="4" w:space="0"/>
              <w:left w:val="single" w:color="000000" w:sz="4" w:space="0"/>
              <w:bottom w:val="single" w:color="000000" w:sz="4" w:space="0"/>
              <w:right w:val="single" w:color="000000" w:sz="4" w:space="0"/>
            </w:tcBorders>
            <w:vAlign w:val="center"/>
          </w:tcPr>
          <w:p w14:paraId="21EF451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7339D678">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621D132">
        <w:tblPrEx>
          <w:tblCellMar>
            <w:top w:w="0" w:type="dxa"/>
            <w:left w:w="108" w:type="dxa"/>
            <w:bottom w:w="0" w:type="dxa"/>
            <w:right w:w="108" w:type="dxa"/>
          </w:tblCellMar>
        </w:tblPrEx>
        <w:trPr>
          <w:trHeight w:val="27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6537EBB8">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12</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D5AD101">
            <w:pPr>
              <w:jc w:val="center"/>
              <w:rPr>
                <w:rFonts w:hint="eastAsia" w:ascii="仿宋" w:hAnsi="仿宋" w:eastAsia="仿宋" w:cs="仿宋"/>
                <w:sz w:val="32"/>
                <w:szCs w:val="32"/>
                <w:highlight w:val="none"/>
              </w:rPr>
            </w:pP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14:paraId="1010E111">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建设五个数据应用场景</w:t>
            </w:r>
          </w:p>
        </w:tc>
        <w:tc>
          <w:tcPr>
            <w:tcW w:w="1091" w:type="dxa"/>
            <w:vMerge w:val="restart"/>
            <w:tcBorders>
              <w:top w:val="single" w:color="000000" w:sz="4" w:space="0"/>
              <w:left w:val="single" w:color="000000" w:sz="4" w:space="0"/>
              <w:bottom w:val="single" w:color="000000" w:sz="4" w:space="0"/>
              <w:right w:val="single" w:color="000000" w:sz="4" w:space="0"/>
            </w:tcBorders>
            <w:vAlign w:val="center"/>
          </w:tcPr>
          <w:p w14:paraId="72970A83">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教育管理专题－</w:t>
            </w:r>
            <w:r>
              <w:rPr>
                <w:rFonts w:ascii="仿宋" w:hAnsi="仿宋" w:eastAsia="仿宋" w:cs="仿宋"/>
                <w:kern w:val="0"/>
                <w:sz w:val="32"/>
                <w:szCs w:val="32"/>
                <w:highlight w:val="none"/>
                <w:lang w:bidi="ar"/>
              </w:rPr>
              <w:t>GIS学情分布场景</w:t>
            </w:r>
          </w:p>
        </w:tc>
        <w:tc>
          <w:tcPr>
            <w:tcW w:w="4643" w:type="dxa"/>
            <w:tcBorders>
              <w:top w:val="single" w:color="000000" w:sz="4" w:space="0"/>
              <w:left w:val="single" w:color="000000" w:sz="4" w:space="0"/>
              <w:bottom w:val="single" w:color="000000" w:sz="4" w:space="0"/>
              <w:right w:val="single" w:color="000000" w:sz="4" w:space="0"/>
            </w:tcBorders>
            <w:vAlign w:val="center"/>
          </w:tcPr>
          <w:p w14:paraId="277B2C6B">
            <w:pPr>
              <w:widowControl/>
              <w:numPr>
                <w:ilvl w:val="255"/>
                <w:numId w:val="0"/>
              </w:numPr>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22.学情分布场景设计需包含基础概况、学校分布、学校概况、校园监控等模块，以支持全面的学情资源管理和分析。</w:t>
            </w:r>
          </w:p>
        </w:tc>
        <w:tc>
          <w:tcPr>
            <w:tcW w:w="0" w:type="auto"/>
            <w:tcBorders>
              <w:top w:val="single" w:color="000000" w:sz="4" w:space="0"/>
              <w:left w:val="single" w:color="000000" w:sz="4" w:space="0"/>
              <w:bottom w:val="single" w:color="000000" w:sz="4" w:space="0"/>
              <w:right w:val="single" w:color="000000" w:sz="4" w:space="0"/>
            </w:tcBorders>
            <w:vAlign w:val="center"/>
          </w:tcPr>
          <w:p w14:paraId="3B63BCD8">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7C50783E">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F76EBA1">
        <w:tblPrEx>
          <w:tblCellMar>
            <w:top w:w="0" w:type="dxa"/>
            <w:left w:w="108" w:type="dxa"/>
            <w:bottom w:w="0" w:type="dxa"/>
            <w:right w:w="108" w:type="dxa"/>
          </w:tblCellMar>
        </w:tblPrEx>
        <w:trPr>
          <w:trHeight w:val="54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4A63299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13</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93EF85E">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FCB13AD">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0CBEB269">
            <w:pPr>
              <w:widowControl/>
              <w:jc w:val="left"/>
              <w:textAlignment w:val="center"/>
              <w:rPr>
                <w:rFonts w:hint="eastAsia" w:ascii="仿宋" w:hAnsi="仿宋" w:eastAsia="仿宋" w:cs="仿宋"/>
                <w:kern w:val="0"/>
                <w:sz w:val="32"/>
                <w:szCs w:val="32"/>
                <w:highlight w:val="none"/>
                <w:lang w:bidi="ar"/>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0ACF2277">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23.</w:t>
            </w:r>
            <w:r>
              <w:rPr>
                <w:rFonts w:hint="eastAsia" w:ascii="仿宋" w:hAnsi="仿宋" w:eastAsia="仿宋" w:cs="仿宋"/>
                <w:kern w:val="0"/>
                <w:sz w:val="32"/>
                <w:szCs w:val="32"/>
                <w:highlight w:val="none"/>
                <w:lang w:bidi="ar"/>
              </w:rPr>
              <w:t>需在合同签订之日起</w:t>
            </w:r>
            <w:r>
              <w:rPr>
                <w:rFonts w:ascii="仿宋" w:hAnsi="仿宋" w:eastAsia="仿宋" w:cs="仿宋"/>
                <w:kern w:val="0"/>
                <w:sz w:val="32"/>
                <w:szCs w:val="32"/>
                <w:highlight w:val="none"/>
                <w:lang w:bidi="ar"/>
              </w:rPr>
              <w:t>60</w:t>
            </w:r>
            <w:r>
              <w:rPr>
                <w:rFonts w:hint="eastAsia" w:ascii="仿宋" w:hAnsi="仿宋" w:eastAsia="仿宋" w:cs="仿宋"/>
                <w:kern w:val="0"/>
                <w:sz w:val="32"/>
                <w:szCs w:val="32"/>
                <w:highlight w:val="none"/>
                <w:lang w:bidi="ar"/>
              </w:rPr>
              <w:t>个自然日内完成，自行在国家法律法规允许的情况下，获取相关表单数据，完成</w:t>
            </w:r>
            <w:r>
              <w:rPr>
                <w:rFonts w:ascii="仿宋" w:hAnsi="仿宋" w:eastAsia="仿宋" w:cs="仿宋"/>
                <w:kern w:val="0"/>
                <w:sz w:val="32"/>
                <w:szCs w:val="32"/>
                <w:highlight w:val="none"/>
                <w:lang w:bidi="ar"/>
              </w:rPr>
              <w:t>GIS</w:t>
            </w:r>
            <w:r>
              <w:rPr>
                <w:rFonts w:hint="eastAsia" w:ascii="仿宋" w:hAnsi="仿宋" w:eastAsia="仿宋" w:cs="仿宋"/>
                <w:kern w:val="0"/>
                <w:sz w:val="32"/>
                <w:szCs w:val="32"/>
                <w:highlight w:val="none"/>
                <w:lang w:bidi="ar"/>
              </w:rPr>
              <w:t>学情分布场景。（投标人须提供承诺函并加盖公章）</w:t>
            </w:r>
          </w:p>
        </w:tc>
        <w:tc>
          <w:tcPr>
            <w:tcW w:w="0" w:type="auto"/>
            <w:tcBorders>
              <w:top w:val="single" w:color="000000" w:sz="4" w:space="0"/>
              <w:left w:val="single" w:color="000000" w:sz="4" w:space="0"/>
              <w:bottom w:val="single" w:color="000000" w:sz="4" w:space="0"/>
              <w:right w:val="single" w:color="000000" w:sz="4" w:space="0"/>
            </w:tcBorders>
            <w:vAlign w:val="center"/>
          </w:tcPr>
          <w:p w14:paraId="4769EB2C">
            <w:pPr>
              <w:jc w:val="center"/>
              <w:rPr>
                <w:rFonts w:hint="eastAsia" w:ascii="仿宋" w:hAnsi="仿宋" w:eastAsia="仿宋" w:cs="仿宋"/>
                <w:sz w:val="32"/>
                <w:szCs w:val="32"/>
                <w:highlight w:val="none"/>
              </w:rPr>
            </w:pPr>
            <w:r>
              <w:rPr>
                <w:rFonts w:ascii="仿宋" w:hAnsi="仿宋" w:eastAsia="仿宋" w:cs="仿宋"/>
                <w:sz w:val="32"/>
                <w:szCs w:val="32"/>
                <w:highlight w:val="none"/>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456FDCD0">
            <w:pPr>
              <w:jc w:val="center"/>
              <w:rPr>
                <w:rFonts w:hint="eastAsia" w:ascii="仿宋" w:hAnsi="仿宋" w:eastAsia="仿宋" w:cs="仿宋"/>
                <w:sz w:val="32"/>
                <w:szCs w:val="32"/>
                <w:highlight w:val="none"/>
              </w:rPr>
            </w:pPr>
            <w:r>
              <w:rPr>
                <w:rFonts w:hint="eastAsia" w:ascii="仿宋" w:hAnsi="仿宋" w:eastAsia="仿宋" w:cs="仿宋"/>
                <w:sz w:val="32"/>
                <w:szCs w:val="32"/>
                <w:highlight w:val="none"/>
              </w:rPr>
              <w:t>项</w:t>
            </w:r>
          </w:p>
        </w:tc>
      </w:tr>
      <w:tr w14:paraId="4D06F3B4">
        <w:tblPrEx>
          <w:tblCellMar>
            <w:top w:w="0" w:type="dxa"/>
            <w:left w:w="108" w:type="dxa"/>
            <w:bottom w:w="0" w:type="dxa"/>
            <w:right w:w="108" w:type="dxa"/>
          </w:tblCellMar>
        </w:tblPrEx>
        <w:trPr>
          <w:trHeight w:val="693"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403A780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14</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E1C483E">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E0C2ADF">
            <w:pPr>
              <w:jc w:val="center"/>
              <w:rPr>
                <w:rFonts w:hint="eastAsia" w:ascii="仿宋" w:hAnsi="仿宋" w:eastAsia="仿宋" w:cs="仿宋"/>
                <w:sz w:val="32"/>
                <w:szCs w:val="32"/>
                <w:highlight w:val="none"/>
              </w:rPr>
            </w:pPr>
          </w:p>
        </w:tc>
        <w:tc>
          <w:tcPr>
            <w:tcW w:w="1091" w:type="dxa"/>
            <w:vMerge w:val="restart"/>
            <w:tcBorders>
              <w:top w:val="single" w:color="000000" w:sz="4" w:space="0"/>
              <w:left w:val="single" w:color="000000" w:sz="4" w:space="0"/>
              <w:bottom w:val="single" w:color="000000" w:sz="4" w:space="0"/>
              <w:right w:val="single" w:color="000000" w:sz="4" w:space="0"/>
            </w:tcBorders>
            <w:vAlign w:val="center"/>
          </w:tcPr>
          <w:p w14:paraId="73D5774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教育服务专题－</w:t>
            </w:r>
            <w:r>
              <w:rPr>
                <w:rFonts w:ascii="仿宋" w:hAnsi="仿宋" w:eastAsia="仿宋" w:cs="仿宋"/>
                <w:kern w:val="0"/>
                <w:sz w:val="32"/>
                <w:szCs w:val="32"/>
                <w:highlight w:val="none"/>
                <w:lang w:bidi="ar"/>
              </w:rPr>
              <w:t>AI教育政策问答</w:t>
            </w:r>
          </w:p>
        </w:tc>
        <w:tc>
          <w:tcPr>
            <w:tcW w:w="4643" w:type="dxa"/>
            <w:tcBorders>
              <w:top w:val="single" w:color="000000" w:sz="4" w:space="0"/>
              <w:left w:val="single" w:color="000000" w:sz="4" w:space="0"/>
              <w:bottom w:val="single" w:color="000000" w:sz="4" w:space="0"/>
              <w:right w:val="single" w:color="000000" w:sz="4" w:space="0"/>
            </w:tcBorders>
            <w:vAlign w:val="center"/>
          </w:tcPr>
          <w:p w14:paraId="5F4D45C4">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24.需支持平均服务器端响应时间≤2s；</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平均响应时间≤</w:t>
            </w:r>
            <w:r>
              <w:rPr>
                <w:rFonts w:ascii="仿宋" w:hAnsi="仿宋" w:eastAsia="仿宋" w:cs="仿宋"/>
                <w:kern w:val="0"/>
                <w:sz w:val="32"/>
                <w:szCs w:val="32"/>
                <w:highlight w:val="none"/>
                <w:lang w:bidi="ar"/>
              </w:rPr>
              <w:t>3s；对于突发流量，需对用户提问进行限流处理；</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问答识别率≥</w:t>
            </w:r>
            <w:r>
              <w:rPr>
                <w:rFonts w:ascii="仿宋" w:hAnsi="仿宋" w:eastAsia="仿宋" w:cs="仿宋"/>
                <w:kern w:val="0"/>
                <w:sz w:val="32"/>
                <w:szCs w:val="32"/>
                <w:highlight w:val="none"/>
                <w:lang w:bidi="ar"/>
              </w:rPr>
              <w:t>90%；</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平均恢复时间≤</w:t>
            </w:r>
            <w:r>
              <w:rPr>
                <w:rFonts w:ascii="仿宋" w:hAnsi="仿宋" w:eastAsia="仿宋" w:cs="仿宋"/>
                <w:kern w:val="0"/>
                <w:sz w:val="32"/>
                <w:szCs w:val="32"/>
                <w:highlight w:val="none"/>
                <w:lang w:bidi="ar"/>
              </w:rPr>
              <w:t>0.5h；</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智能对话机器人支持不少于</w:t>
            </w:r>
            <w:r>
              <w:rPr>
                <w:rFonts w:ascii="仿宋" w:hAnsi="仿宋" w:eastAsia="仿宋" w:cs="仿宋"/>
                <w:kern w:val="0"/>
                <w:sz w:val="32"/>
                <w:szCs w:val="32"/>
                <w:highlight w:val="none"/>
                <w:lang w:bidi="ar"/>
              </w:rPr>
              <w:t>10个；</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资料文档问答数量不少于</w:t>
            </w:r>
            <w:r>
              <w:rPr>
                <w:rFonts w:ascii="仿宋" w:hAnsi="仿宋" w:eastAsia="仿宋" w:cs="仿宋"/>
                <w:kern w:val="0"/>
                <w:sz w:val="32"/>
                <w:szCs w:val="32"/>
                <w:highlight w:val="none"/>
                <w:lang w:bidi="ar"/>
              </w:rPr>
              <w:t>1000个。</w:t>
            </w:r>
            <w:r>
              <w:rPr>
                <w:rFonts w:ascii="仿宋" w:hAnsi="仿宋" w:eastAsia="仿宋" w:cs="仿宋"/>
                <w:kern w:val="0"/>
                <w:sz w:val="32"/>
                <w:szCs w:val="32"/>
                <w:highlight w:val="none"/>
                <w:lang w:bidi="ar"/>
              </w:rPr>
              <w:br w:type="textWrapping"/>
            </w:r>
            <w:r>
              <w:rPr>
                <w:rFonts w:hint="eastAsia" w:ascii="仿宋" w:hAnsi="仿宋" w:eastAsia="仿宋" w:cs="仿宋"/>
                <w:b/>
                <w:bCs/>
                <w:kern w:val="0"/>
                <w:sz w:val="32"/>
                <w:szCs w:val="32"/>
                <w:highlight w:val="none"/>
                <w:lang w:bidi="ar"/>
              </w:rPr>
              <w:t>（投标人须提供承诺函并加盖公章）</w:t>
            </w:r>
          </w:p>
        </w:tc>
        <w:tc>
          <w:tcPr>
            <w:tcW w:w="0" w:type="auto"/>
            <w:tcBorders>
              <w:top w:val="single" w:color="000000" w:sz="4" w:space="0"/>
              <w:left w:val="single" w:color="000000" w:sz="4" w:space="0"/>
              <w:bottom w:val="single" w:color="000000" w:sz="4" w:space="0"/>
              <w:right w:val="single" w:color="000000" w:sz="4" w:space="0"/>
            </w:tcBorders>
            <w:vAlign w:val="center"/>
          </w:tcPr>
          <w:p w14:paraId="327A56E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1A65C36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7B511A3D">
        <w:tblPrEx>
          <w:tblCellMar>
            <w:top w:w="0" w:type="dxa"/>
            <w:left w:w="108" w:type="dxa"/>
            <w:bottom w:w="0" w:type="dxa"/>
            <w:right w:w="108" w:type="dxa"/>
          </w:tblCellMar>
        </w:tblPrEx>
        <w:trPr>
          <w:trHeight w:val="81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1EC028B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15</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CE5E225">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A218919">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63954DE2">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71D9D414">
            <w:pPr>
              <w:widowControl/>
              <w:numPr>
                <w:ilvl w:val="255"/>
                <w:numId w:val="0"/>
              </w:numPr>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25.需支持接入DeepSeek、盘古大模型、通义千问等人工智能大模型，完成知识导入和模型训练。根据不同场景，创建各类特色助手，支持通过设定助手类型、助手简介、欢迎语和回复随机性，定义助手服务的范围，支持快速在已有数据基础上快速构建新助手；</w:t>
            </w:r>
          </w:p>
          <w:p w14:paraId="4CAA0291">
            <w:pPr>
              <w:widowControl/>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知识管理：支持上传</w:t>
            </w:r>
            <w:r>
              <w:rPr>
                <w:rFonts w:ascii="仿宋" w:hAnsi="仿宋" w:eastAsia="仿宋" w:cs="仿宋"/>
                <w:kern w:val="0"/>
                <w:sz w:val="32"/>
                <w:szCs w:val="32"/>
                <w:highlight w:val="none"/>
                <w:lang w:bidi="ar"/>
              </w:rPr>
              <w:t>pdf、txt、docx等知识文档，支持系统高速自行学习文档知识，支持自动学习网址知识，支持基于知识文档标题与内容搜索文档。</w:t>
            </w:r>
          </w:p>
          <w:p w14:paraId="313165E5">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智能问答：支持基于基础知识文档和大模型训练成果，为教师和学生提供校本知识问答服务，支持提供通用知识问答服务，支持对话记录都可保存并支持历史查询；</w:t>
            </w:r>
          </w:p>
          <w:p w14:paraId="4F1EC746">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文档溯源：支持查看文档来源，显示多个文档来源及上下文；</w:t>
            </w:r>
          </w:p>
          <w:p w14:paraId="6ACFB466">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问答引导：支持系统根据用户提问，自动提供相关问题引导和答案；</w:t>
            </w:r>
          </w:p>
          <w:p w14:paraId="3D48A371">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基础模型管理：支持根据用户需求配置</w:t>
            </w:r>
            <w:r>
              <w:rPr>
                <w:rFonts w:ascii="仿宋" w:hAnsi="仿宋" w:eastAsia="仿宋" w:cs="仿宋"/>
                <w:kern w:val="0"/>
                <w:sz w:val="32"/>
                <w:szCs w:val="32"/>
                <w:highlight w:val="none"/>
                <w:lang w:bidi="ar"/>
              </w:rPr>
              <w:t>7B、14B、70B、671B等不同参数量的基础模型，支持本地部署，支持开源模型；</w:t>
            </w:r>
          </w:p>
          <w:p w14:paraId="26B2FF98">
            <w:pPr>
              <w:widowControl/>
              <w:jc w:val="left"/>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查办一体：支持与存量系统打通，实现问</w:t>
            </w:r>
            <w:r>
              <w:rPr>
                <w:rFonts w:ascii="仿宋" w:hAnsi="仿宋" w:eastAsia="仿宋" w:cs="仿宋"/>
                <w:kern w:val="0"/>
                <w:sz w:val="32"/>
                <w:szCs w:val="32"/>
                <w:highlight w:val="none"/>
                <w:lang w:bidi="ar"/>
              </w:rPr>
              <w:t>-答-办的业务闭环。</w:t>
            </w:r>
          </w:p>
        </w:tc>
        <w:tc>
          <w:tcPr>
            <w:tcW w:w="0" w:type="auto"/>
            <w:tcBorders>
              <w:top w:val="single" w:color="000000" w:sz="4" w:space="0"/>
              <w:left w:val="single" w:color="000000" w:sz="4" w:space="0"/>
              <w:bottom w:val="single" w:color="000000" w:sz="4" w:space="0"/>
              <w:right w:val="single" w:color="000000" w:sz="4" w:space="0"/>
            </w:tcBorders>
            <w:vAlign w:val="center"/>
          </w:tcPr>
          <w:p w14:paraId="3C042005">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054D235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32F82DC">
        <w:tblPrEx>
          <w:tblCellMar>
            <w:top w:w="0" w:type="dxa"/>
            <w:left w:w="108" w:type="dxa"/>
            <w:bottom w:w="0" w:type="dxa"/>
            <w:right w:w="108" w:type="dxa"/>
          </w:tblCellMar>
        </w:tblPrEx>
        <w:trPr>
          <w:trHeight w:val="9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7168965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16</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45D3F88">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85B24D7">
            <w:pPr>
              <w:jc w:val="center"/>
              <w:rPr>
                <w:rFonts w:hint="eastAsia" w:ascii="仿宋" w:hAnsi="仿宋" w:eastAsia="仿宋" w:cs="仿宋"/>
                <w:sz w:val="32"/>
                <w:szCs w:val="32"/>
                <w:highlight w:val="none"/>
              </w:rPr>
            </w:pPr>
          </w:p>
        </w:tc>
        <w:tc>
          <w:tcPr>
            <w:tcW w:w="1091" w:type="dxa"/>
            <w:tcBorders>
              <w:top w:val="single" w:color="000000" w:sz="4" w:space="0"/>
              <w:left w:val="single" w:color="000000" w:sz="4" w:space="0"/>
              <w:bottom w:val="single" w:color="000000" w:sz="4" w:space="0"/>
              <w:right w:val="single" w:color="000000" w:sz="4" w:space="0"/>
            </w:tcBorders>
            <w:vAlign w:val="center"/>
          </w:tcPr>
          <w:p w14:paraId="7BA11D2D">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教育资源专题－学术资源统计场景</w:t>
            </w:r>
          </w:p>
        </w:tc>
        <w:tc>
          <w:tcPr>
            <w:tcW w:w="4643" w:type="dxa"/>
            <w:tcBorders>
              <w:top w:val="single" w:color="000000" w:sz="4" w:space="0"/>
              <w:left w:val="single" w:color="000000" w:sz="4" w:space="0"/>
              <w:bottom w:val="single" w:color="000000" w:sz="4" w:space="0"/>
              <w:right w:val="single" w:color="000000" w:sz="4" w:space="0"/>
            </w:tcBorders>
            <w:vAlign w:val="center"/>
          </w:tcPr>
          <w:p w14:paraId="6EE935B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26.需具备数据模型设计、学术交流、科研成果模块展示的功能</w:t>
            </w:r>
            <w:r>
              <w:rPr>
                <w:rStyle w:val="26"/>
                <w:rFonts w:hint="eastAsia" w:ascii="仿宋" w:hAnsi="仿宋" w:eastAsia="仿宋" w:cs="仿宋"/>
                <w:sz w:val="32"/>
                <w:szCs w:val="32"/>
                <w:highlight w:val="none"/>
              </w:rPr>
              <w:t>，学术资源</w:t>
            </w:r>
            <w:r>
              <w:rPr>
                <w:rFonts w:hint="eastAsia" w:ascii="仿宋" w:hAnsi="仿宋" w:eastAsia="仿宋" w:cs="仿宋"/>
                <w:kern w:val="0"/>
                <w:sz w:val="32"/>
                <w:szCs w:val="32"/>
                <w:highlight w:val="none"/>
                <w:lang w:bidi="ar"/>
              </w:rPr>
              <w:t>场景设计需包含科研项目、科研经费、科研平台、科研成果等模块，以全面了解和管理学术资源情况。</w:t>
            </w:r>
          </w:p>
        </w:tc>
        <w:tc>
          <w:tcPr>
            <w:tcW w:w="0" w:type="auto"/>
            <w:tcBorders>
              <w:top w:val="single" w:color="000000" w:sz="4" w:space="0"/>
              <w:left w:val="single" w:color="000000" w:sz="4" w:space="0"/>
              <w:bottom w:val="single" w:color="000000" w:sz="4" w:space="0"/>
              <w:right w:val="single" w:color="000000" w:sz="4" w:space="0"/>
            </w:tcBorders>
            <w:vAlign w:val="center"/>
          </w:tcPr>
          <w:p w14:paraId="03BE9CC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4290418C">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2624DDB4">
        <w:tblPrEx>
          <w:tblCellMar>
            <w:top w:w="0" w:type="dxa"/>
            <w:left w:w="108" w:type="dxa"/>
            <w:bottom w:w="0" w:type="dxa"/>
            <w:right w:w="108" w:type="dxa"/>
          </w:tblCellMar>
        </w:tblPrEx>
        <w:trPr>
          <w:trHeight w:val="54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40BBF415">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17</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58FB262">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4BB0A87">
            <w:pPr>
              <w:jc w:val="center"/>
              <w:rPr>
                <w:rFonts w:hint="eastAsia" w:ascii="仿宋" w:hAnsi="仿宋" w:eastAsia="仿宋" w:cs="仿宋"/>
                <w:sz w:val="32"/>
                <w:szCs w:val="32"/>
                <w:highlight w:val="none"/>
              </w:rPr>
            </w:pPr>
          </w:p>
        </w:tc>
        <w:tc>
          <w:tcPr>
            <w:tcW w:w="1091" w:type="dxa"/>
            <w:vMerge w:val="restart"/>
            <w:tcBorders>
              <w:top w:val="single" w:color="000000" w:sz="4" w:space="0"/>
              <w:left w:val="single" w:color="000000" w:sz="4" w:space="0"/>
              <w:bottom w:val="single" w:color="000000" w:sz="4" w:space="0"/>
              <w:right w:val="single" w:color="000000" w:sz="4" w:space="0"/>
            </w:tcBorders>
            <w:vAlign w:val="center"/>
          </w:tcPr>
          <w:p w14:paraId="468FCE5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全息画像专题－师生画像场景</w:t>
            </w:r>
          </w:p>
        </w:tc>
        <w:tc>
          <w:tcPr>
            <w:tcW w:w="4643" w:type="dxa"/>
            <w:tcBorders>
              <w:top w:val="single" w:color="000000" w:sz="4" w:space="0"/>
              <w:left w:val="single" w:color="000000" w:sz="4" w:space="0"/>
              <w:bottom w:val="single" w:color="000000" w:sz="4" w:space="0"/>
              <w:right w:val="single" w:color="000000" w:sz="4" w:space="0"/>
            </w:tcBorders>
            <w:vAlign w:val="center"/>
          </w:tcPr>
          <w:p w14:paraId="15EB854C">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27.教师数据模型设计需包含教师的基础信息、岗位聘任、荣誉信息、学生获奖、项目（课题）、论文、著作、国内培训、学习经历、公开课以及专利或软件著作等关键指标模型。</w:t>
            </w:r>
          </w:p>
        </w:tc>
        <w:tc>
          <w:tcPr>
            <w:tcW w:w="0" w:type="auto"/>
            <w:tcBorders>
              <w:top w:val="single" w:color="000000" w:sz="4" w:space="0"/>
              <w:left w:val="single" w:color="000000" w:sz="4" w:space="0"/>
              <w:bottom w:val="single" w:color="000000" w:sz="4" w:space="0"/>
              <w:right w:val="single" w:color="000000" w:sz="4" w:space="0"/>
            </w:tcBorders>
            <w:vAlign w:val="center"/>
          </w:tcPr>
          <w:p w14:paraId="0765761A">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5A706D7B">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68075631">
        <w:tblPrEx>
          <w:tblCellMar>
            <w:top w:w="0" w:type="dxa"/>
            <w:left w:w="108" w:type="dxa"/>
            <w:bottom w:w="0" w:type="dxa"/>
            <w:right w:w="108" w:type="dxa"/>
          </w:tblCellMar>
        </w:tblPrEx>
        <w:trPr>
          <w:trHeight w:val="647"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6F5A09F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18</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C3C74A9">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6545906">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4CE82F18">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0263857D">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28.需具备教师画像展示功能：包括教师基础信息展示：学习经历：工作经历：岗位聘任：专业技术职务聘任、教师资格、师德信息-荣誉信息、教育教学、教学科研成果及获奖－项目(课题)、教学科研成果及获奖－著作、教学科研成果及获奖－论文教学科研成果及获奖－奖励、教学科研成果及获奖－专利或软件著作权、教学科研成果及获奖－指导学生参加竞赛获奖、教学科研成果及获奖－承担公开课等情况、入选人才项目、人才项目、记录教师入选的各类人才项目名称及入选年份、国内培训、技能及证书－其他技能：技能及证书－证书信息等。</w:t>
            </w:r>
          </w:p>
        </w:tc>
        <w:tc>
          <w:tcPr>
            <w:tcW w:w="0" w:type="auto"/>
            <w:tcBorders>
              <w:top w:val="single" w:color="000000" w:sz="4" w:space="0"/>
              <w:left w:val="single" w:color="000000" w:sz="4" w:space="0"/>
              <w:bottom w:val="single" w:color="000000" w:sz="4" w:space="0"/>
              <w:right w:val="single" w:color="000000" w:sz="4" w:space="0"/>
            </w:tcBorders>
            <w:vAlign w:val="center"/>
          </w:tcPr>
          <w:p w14:paraId="3F04B0C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31FD934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3465D0A3">
        <w:tblPrEx>
          <w:tblCellMar>
            <w:top w:w="0" w:type="dxa"/>
            <w:left w:w="108" w:type="dxa"/>
            <w:bottom w:w="0" w:type="dxa"/>
            <w:right w:w="108" w:type="dxa"/>
          </w:tblCellMar>
        </w:tblPrEx>
        <w:trPr>
          <w:trHeight w:val="54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7C82825E">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19</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5D057EB">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4C9B14F">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18A3DC7F">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614EC1D6">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29.学生画像场景分析模型设计需具备学生的相关信息，包含基础信息、课程信息、荣誉信息、学生获奖、科研课题、论文、著作、活动培训、学习经历等。</w:t>
            </w:r>
          </w:p>
        </w:tc>
        <w:tc>
          <w:tcPr>
            <w:tcW w:w="0" w:type="auto"/>
            <w:tcBorders>
              <w:top w:val="single" w:color="000000" w:sz="4" w:space="0"/>
              <w:left w:val="single" w:color="000000" w:sz="4" w:space="0"/>
              <w:bottom w:val="single" w:color="000000" w:sz="4" w:space="0"/>
              <w:right w:val="single" w:color="000000" w:sz="4" w:space="0"/>
            </w:tcBorders>
            <w:vAlign w:val="center"/>
          </w:tcPr>
          <w:p w14:paraId="256F167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31BCD5E0">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12876875">
        <w:tblPrEx>
          <w:tblCellMar>
            <w:top w:w="0" w:type="dxa"/>
            <w:left w:w="108" w:type="dxa"/>
            <w:bottom w:w="0" w:type="dxa"/>
            <w:right w:w="108" w:type="dxa"/>
          </w:tblCellMar>
        </w:tblPrEx>
        <w:trPr>
          <w:trHeight w:val="54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4101C406">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20</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BC9E69A">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BA0ACA4">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2E0BCB72">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1588B34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30.需支持通过GIS学情分布场景跳转到师生画像场景，将教师数据与学校的地理位置信息进行空间分析和可视化。</w:t>
            </w:r>
          </w:p>
        </w:tc>
        <w:tc>
          <w:tcPr>
            <w:tcW w:w="0" w:type="auto"/>
            <w:tcBorders>
              <w:top w:val="single" w:color="000000" w:sz="4" w:space="0"/>
              <w:left w:val="single" w:color="000000" w:sz="4" w:space="0"/>
              <w:bottom w:val="single" w:color="000000" w:sz="4" w:space="0"/>
              <w:right w:val="single" w:color="000000" w:sz="4" w:space="0"/>
            </w:tcBorders>
            <w:vAlign w:val="center"/>
          </w:tcPr>
          <w:p w14:paraId="38525C9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4AB81195">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4A227ACD">
        <w:tblPrEx>
          <w:tblCellMar>
            <w:top w:w="0" w:type="dxa"/>
            <w:left w:w="108" w:type="dxa"/>
            <w:bottom w:w="0" w:type="dxa"/>
            <w:right w:w="108" w:type="dxa"/>
          </w:tblCellMar>
        </w:tblPrEx>
        <w:trPr>
          <w:trHeight w:val="54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6FBF167C">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21</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0CE85EA">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DF42704">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7A89A974">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0E36C1A7">
            <w:pPr>
              <w:widowControl/>
              <w:jc w:val="left"/>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31.需具备学生画像展示功能：包括对基础信息进行展示、对荣誉信息进行展示、对高校和高职院校的学生、对中小学学生信息进行展示。</w:t>
            </w:r>
          </w:p>
        </w:tc>
        <w:tc>
          <w:tcPr>
            <w:tcW w:w="0" w:type="auto"/>
            <w:tcBorders>
              <w:top w:val="single" w:color="000000" w:sz="4" w:space="0"/>
              <w:left w:val="single" w:color="000000" w:sz="4" w:space="0"/>
              <w:bottom w:val="single" w:color="000000" w:sz="4" w:space="0"/>
              <w:right w:val="single" w:color="000000" w:sz="4" w:space="0"/>
            </w:tcBorders>
            <w:vAlign w:val="center"/>
          </w:tcPr>
          <w:p w14:paraId="65AFD68B">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25C6792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8672810">
        <w:tblPrEx>
          <w:tblCellMar>
            <w:top w:w="0" w:type="dxa"/>
            <w:left w:w="108" w:type="dxa"/>
            <w:bottom w:w="0" w:type="dxa"/>
            <w:right w:w="108" w:type="dxa"/>
          </w:tblCellMar>
        </w:tblPrEx>
        <w:trPr>
          <w:trHeight w:val="54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27CDD5B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22</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E8C1BF5">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0193703">
            <w:pPr>
              <w:jc w:val="center"/>
              <w:rPr>
                <w:rFonts w:hint="eastAsia" w:ascii="仿宋" w:hAnsi="仿宋" w:eastAsia="仿宋" w:cs="仿宋"/>
                <w:sz w:val="32"/>
                <w:szCs w:val="32"/>
                <w:highlight w:val="none"/>
              </w:rPr>
            </w:pPr>
          </w:p>
        </w:tc>
        <w:tc>
          <w:tcPr>
            <w:tcW w:w="1091" w:type="dxa"/>
            <w:vMerge w:val="restart"/>
            <w:tcBorders>
              <w:top w:val="single" w:color="000000" w:sz="4" w:space="0"/>
              <w:left w:val="single" w:color="000000" w:sz="4" w:space="0"/>
              <w:bottom w:val="single" w:color="000000" w:sz="4" w:space="0"/>
              <w:right w:val="single" w:color="000000" w:sz="4" w:space="0"/>
            </w:tcBorders>
            <w:vAlign w:val="center"/>
          </w:tcPr>
          <w:p w14:paraId="6260199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分析决策专题－财务资产分析场景</w:t>
            </w:r>
          </w:p>
        </w:tc>
        <w:tc>
          <w:tcPr>
            <w:tcW w:w="4643" w:type="dxa"/>
            <w:tcBorders>
              <w:top w:val="single" w:color="000000" w:sz="4" w:space="0"/>
              <w:left w:val="single" w:color="000000" w:sz="4" w:space="0"/>
              <w:bottom w:val="single" w:color="000000" w:sz="4" w:space="0"/>
              <w:right w:val="single" w:color="000000" w:sz="4" w:space="0"/>
            </w:tcBorders>
            <w:vAlign w:val="center"/>
          </w:tcPr>
          <w:p w14:paraId="1BC3D70F">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32.市级教育项目预算：</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支持市级教育项目预算的填报、审批、分配、执行监控及后续管理</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具备预算申报、预算审批、预算调整、预算拆解、预算执行、绩效目标自评的功能</w:t>
            </w:r>
          </w:p>
        </w:tc>
        <w:tc>
          <w:tcPr>
            <w:tcW w:w="0" w:type="auto"/>
            <w:tcBorders>
              <w:top w:val="single" w:color="000000" w:sz="4" w:space="0"/>
              <w:left w:val="single" w:color="000000" w:sz="4" w:space="0"/>
              <w:bottom w:val="single" w:color="000000" w:sz="4" w:space="0"/>
              <w:right w:val="single" w:color="000000" w:sz="4" w:space="0"/>
            </w:tcBorders>
            <w:vAlign w:val="center"/>
          </w:tcPr>
          <w:p w14:paraId="431E29F3">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773C1E66">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2AFAAD44">
        <w:tblPrEx>
          <w:tblCellMar>
            <w:top w:w="0" w:type="dxa"/>
            <w:left w:w="108" w:type="dxa"/>
            <w:bottom w:w="0" w:type="dxa"/>
            <w:right w:w="108" w:type="dxa"/>
          </w:tblCellMar>
        </w:tblPrEx>
        <w:trPr>
          <w:trHeight w:val="339"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0878D52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23</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E958C10">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A2B0E50">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10D0FE5D">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3CBAED75">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33.动态监测“两个只增不减”：</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支持各区教育局和各级各类学校在线填报财政教育投入预测表、导入模板数据、进行预算缺口预估和预警分析。</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支持在线填报《财政教育投入预测表》和《学段预测情况表》。</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支持模板导入，且导入失败时提供原因提示。</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支持每月填报已拨付、已支出数据，并估算预算缺口。</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支持分析并预警缺口和数据异常，推送预警信息给相关人员。</w:t>
            </w:r>
          </w:p>
        </w:tc>
        <w:tc>
          <w:tcPr>
            <w:tcW w:w="0" w:type="auto"/>
            <w:tcBorders>
              <w:top w:val="single" w:color="000000" w:sz="4" w:space="0"/>
              <w:left w:val="single" w:color="000000" w:sz="4" w:space="0"/>
              <w:bottom w:val="single" w:color="000000" w:sz="4" w:space="0"/>
              <w:right w:val="single" w:color="000000" w:sz="4" w:space="0"/>
            </w:tcBorders>
            <w:vAlign w:val="center"/>
          </w:tcPr>
          <w:p w14:paraId="6A3479C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7A30535A">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41AD4305">
        <w:tblPrEx>
          <w:tblCellMar>
            <w:top w:w="0" w:type="dxa"/>
            <w:left w:w="108" w:type="dxa"/>
            <w:bottom w:w="0" w:type="dxa"/>
            <w:right w:w="108" w:type="dxa"/>
          </w:tblCellMar>
        </w:tblPrEx>
        <w:trPr>
          <w:trHeight w:val="27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6DD5D00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24</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E9BBECB">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7F34896">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4B349056">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3A92182C">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34.具备政府采购信息监测功能：包括对接天津政府采购网招标系统数据采集并进行预警分析。</w:t>
            </w:r>
          </w:p>
        </w:tc>
        <w:tc>
          <w:tcPr>
            <w:tcW w:w="0" w:type="auto"/>
            <w:tcBorders>
              <w:top w:val="single" w:color="000000" w:sz="4" w:space="0"/>
              <w:left w:val="single" w:color="000000" w:sz="4" w:space="0"/>
              <w:bottom w:val="single" w:color="000000" w:sz="4" w:space="0"/>
              <w:right w:val="single" w:color="000000" w:sz="4" w:space="0"/>
            </w:tcBorders>
            <w:vAlign w:val="center"/>
          </w:tcPr>
          <w:p w14:paraId="11B61D2A">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12898B2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5A10D0B6">
        <w:tblPrEx>
          <w:tblCellMar>
            <w:top w:w="0" w:type="dxa"/>
            <w:left w:w="108" w:type="dxa"/>
            <w:bottom w:w="0" w:type="dxa"/>
            <w:right w:w="108" w:type="dxa"/>
          </w:tblCellMar>
        </w:tblPrEx>
        <w:trPr>
          <w:trHeight w:val="9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2EF0F27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25</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C922B99">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E9F7628">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0684B3D4">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2BF37095">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35.具备财务管理功能：</w:t>
            </w:r>
            <w:r>
              <w:rPr>
                <w:rFonts w:ascii="仿宋" w:hAnsi="仿宋" w:eastAsia="仿宋" w:cs="仿宋"/>
                <w:kern w:val="0"/>
                <w:sz w:val="32"/>
                <w:szCs w:val="32"/>
                <w:highlight w:val="none"/>
                <w:lang w:bidi="ar"/>
              </w:rPr>
              <w:br w:type="textWrapping"/>
            </w:r>
            <w:r>
              <w:rPr>
                <w:rFonts w:hint="eastAsia" w:ascii="仿宋" w:hAnsi="仿宋" w:eastAsia="仿宋" w:cs="仿宋"/>
                <w:kern w:val="0"/>
                <w:sz w:val="32"/>
                <w:szCs w:val="32"/>
                <w:highlight w:val="none"/>
                <w:lang w:bidi="ar"/>
              </w:rPr>
              <w:t>支持各级学校的财务数据填报、预警分析与回溯，确保资产、负债和收入费用的透明监控与合规管理。</w:t>
            </w:r>
          </w:p>
        </w:tc>
        <w:tc>
          <w:tcPr>
            <w:tcW w:w="0" w:type="auto"/>
            <w:tcBorders>
              <w:top w:val="single" w:color="000000" w:sz="4" w:space="0"/>
              <w:left w:val="single" w:color="000000" w:sz="4" w:space="0"/>
              <w:bottom w:val="single" w:color="000000" w:sz="4" w:space="0"/>
              <w:right w:val="single" w:color="000000" w:sz="4" w:space="0"/>
            </w:tcBorders>
            <w:vAlign w:val="center"/>
          </w:tcPr>
          <w:p w14:paraId="3532D02F">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79695C8F">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289A715A">
        <w:tblPrEx>
          <w:tblCellMar>
            <w:top w:w="0" w:type="dxa"/>
            <w:left w:w="108" w:type="dxa"/>
            <w:bottom w:w="0" w:type="dxa"/>
            <w:right w:w="108" w:type="dxa"/>
          </w:tblCellMar>
        </w:tblPrEx>
        <w:trPr>
          <w:trHeight w:val="27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5223AC36">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26</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D926224">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3CBE6B4">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305E6940">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30F87845">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36.具备系统管理功能：包括组织架构、角色管理、用户管理日志记录管理功能。</w:t>
            </w:r>
          </w:p>
        </w:tc>
        <w:tc>
          <w:tcPr>
            <w:tcW w:w="0" w:type="auto"/>
            <w:tcBorders>
              <w:top w:val="single" w:color="000000" w:sz="4" w:space="0"/>
              <w:left w:val="single" w:color="000000" w:sz="4" w:space="0"/>
              <w:bottom w:val="single" w:color="000000" w:sz="4" w:space="0"/>
              <w:right w:val="single" w:color="000000" w:sz="4" w:space="0"/>
            </w:tcBorders>
            <w:vAlign w:val="center"/>
          </w:tcPr>
          <w:p w14:paraId="472AB580">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4C81BF73">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r w14:paraId="22B0DD67">
        <w:tblPrEx>
          <w:tblCellMar>
            <w:top w:w="0" w:type="dxa"/>
            <w:left w:w="108" w:type="dxa"/>
            <w:bottom w:w="0" w:type="dxa"/>
            <w:right w:w="108" w:type="dxa"/>
          </w:tblCellMar>
        </w:tblPrEx>
        <w:trPr>
          <w:trHeight w:val="270"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14:paraId="47FB439D">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27</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D5DC78A">
            <w:pPr>
              <w:jc w:val="center"/>
              <w:rPr>
                <w:rFonts w:hint="eastAsia" w:ascii="仿宋" w:hAnsi="仿宋" w:eastAsia="仿宋" w:cs="仿宋"/>
                <w:sz w:val="32"/>
                <w:szCs w:val="32"/>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1BCA304">
            <w:pPr>
              <w:jc w:val="center"/>
              <w:rPr>
                <w:rFonts w:hint="eastAsia" w:ascii="仿宋" w:hAnsi="仿宋" w:eastAsia="仿宋" w:cs="仿宋"/>
                <w:sz w:val="32"/>
                <w:szCs w:val="32"/>
                <w:highlight w:val="none"/>
              </w:rPr>
            </w:pPr>
          </w:p>
        </w:tc>
        <w:tc>
          <w:tcPr>
            <w:tcW w:w="1091" w:type="dxa"/>
            <w:vMerge w:val="continue"/>
            <w:tcBorders>
              <w:top w:val="single" w:color="000000" w:sz="4" w:space="0"/>
              <w:left w:val="single" w:color="000000" w:sz="4" w:space="0"/>
              <w:bottom w:val="single" w:color="000000" w:sz="4" w:space="0"/>
              <w:right w:val="single" w:color="000000" w:sz="4" w:space="0"/>
            </w:tcBorders>
            <w:vAlign w:val="center"/>
          </w:tcPr>
          <w:p w14:paraId="1CC6BEE6">
            <w:pPr>
              <w:jc w:val="center"/>
              <w:rPr>
                <w:rFonts w:hint="eastAsia" w:ascii="仿宋" w:hAnsi="仿宋" w:eastAsia="仿宋" w:cs="仿宋"/>
                <w:sz w:val="32"/>
                <w:szCs w:val="32"/>
                <w:highlight w:val="none"/>
              </w:rPr>
            </w:pPr>
          </w:p>
        </w:tc>
        <w:tc>
          <w:tcPr>
            <w:tcW w:w="4643" w:type="dxa"/>
            <w:tcBorders>
              <w:top w:val="single" w:color="000000" w:sz="4" w:space="0"/>
              <w:left w:val="single" w:color="000000" w:sz="4" w:space="0"/>
              <w:bottom w:val="single" w:color="000000" w:sz="4" w:space="0"/>
              <w:right w:val="single" w:color="000000" w:sz="4" w:space="0"/>
            </w:tcBorders>
            <w:vAlign w:val="center"/>
          </w:tcPr>
          <w:p w14:paraId="0F964D5B">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37.具备数据统计分析功能：包括数据模型设计和展示。</w:t>
            </w:r>
          </w:p>
        </w:tc>
        <w:tc>
          <w:tcPr>
            <w:tcW w:w="0" w:type="auto"/>
            <w:tcBorders>
              <w:top w:val="single" w:color="000000" w:sz="4" w:space="0"/>
              <w:left w:val="single" w:color="000000" w:sz="4" w:space="0"/>
              <w:bottom w:val="single" w:color="000000" w:sz="4" w:space="0"/>
              <w:right w:val="single" w:color="000000" w:sz="4" w:space="0"/>
            </w:tcBorders>
            <w:vAlign w:val="center"/>
          </w:tcPr>
          <w:p w14:paraId="142260B2">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05E44ED4">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项</w:t>
            </w:r>
          </w:p>
        </w:tc>
      </w:tr>
    </w:tbl>
    <w:p w14:paraId="334821C1">
      <w:pPr>
        <w:pStyle w:val="4"/>
        <w:ind w:firstLine="448"/>
        <w:rPr>
          <w:rFonts w:hint="eastAsia" w:ascii="仿宋" w:hAnsi="仿宋" w:eastAsia="仿宋" w:cs="仿宋"/>
          <w:sz w:val="32"/>
          <w:szCs w:val="32"/>
          <w:highlight w:val="none"/>
          <w:lang w:val="en-US" w:eastAsia="zh-CN"/>
        </w:rPr>
      </w:pPr>
      <w:r>
        <w:rPr>
          <w:rFonts w:ascii="仿宋" w:hAnsi="仿宋" w:eastAsia="仿宋" w:cs="仿宋"/>
          <w:sz w:val="32"/>
          <w:szCs w:val="32"/>
          <w:highlight w:val="none"/>
        </w:rPr>
        <w:t>10.</w:t>
      </w:r>
      <w:r>
        <w:rPr>
          <w:rFonts w:hint="eastAsia" w:ascii="仿宋" w:hAnsi="仿宋" w:eastAsia="仿宋" w:cs="仿宋"/>
          <w:sz w:val="32"/>
          <w:szCs w:val="32"/>
          <w:highlight w:val="none"/>
          <w:lang w:val="en-US" w:eastAsia="zh-CN"/>
        </w:rPr>
        <w:t>4政务云服务</w:t>
      </w:r>
    </w:p>
    <w:p w14:paraId="6A7AA863">
      <w:pPr>
        <w:pStyle w:val="5"/>
        <w:ind w:firstLine="440"/>
        <w:jc w:val="left"/>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政务云计算、存储资源需求清单</w:t>
      </w:r>
    </w:p>
    <w:tbl>
      <w:tblPr>
        <w:tblStyle w:val="17"/>
        <w:tblW w:w="0" w:type="auto"/>
        <w:tblInd w:w="0" w:type="dxa"/>
        <w:tblLayout w:type="fixed"/>
        <w:tblCellMar>
          <w:top w:w="0" w:type="dxa"/>
          <w:left w:w="108" w:type="dxa"/>
          <w:bottom w:w="0" w:type="dxa"/>
          <w:right w:w="108" w:type="dxa"/>
        </w:tblCellMar>
      </w:tblPr>
      <w:tblGrid>
        <w:gridCol w:w="400"/>
        <w:gridCol w:w="400"/>
        <w:gridCol w:w="400"/>
        <w:gridCol w:w="400"/>
        <w:gridCol w:w="583"/>
        <w:gridCol w:w="401"/>
        <w:gridCol w:w="587"/>
        <w:gridCol w:w="771"/>
        <w:gridCol w:w="771"/>
        <w:gridCol w:w="771"/>
        <w:gridCol w:w="679"/>
        <w:gridCol w:w="679"/>
        <w:gridCol w:w="1001"/>
        <w:gridCol w:w="679"/>
      </w:tblGrid>
      <w:tr w14:paraId="3816C38D">
        <w:trPr>
          <w:trHeight w:val="2210"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76FCA">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序号</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A13DC">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区域</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9BB89">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资源名称</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1A0DA">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一级分类</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4E1F0">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二级分类</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0F666">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数量</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4A037">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VCPU</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3AE13">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内存 （GB）</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42DB4">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系统盘（GB）</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675C9">
            <w:pPr>
              <w:widowControl/>
              <w:ind w:firstLine="0" w:firstLineChars="0"/>
              <w:jc w:val="center"/>
              <w:textAlignment w:val="center"/>
              <w:rPr>
                <w:rFonts w:hint="eastAsia" w:ascii="宋体" w:hAnsi="宋体" w:cs="宋体"/>
                <w:b/>
                <w:bCs/>
                <w:color w:val="auto"/>
                <w:kern w:val="0"/>
                <w:sz w:val="21"/>
                <w:szCs w:val="21"/>
                <w:highlight w:val="none"/>
                <w:lang w:bidi="ar"/>
              </w:rPr>
            </w:pPr>
            <w:r>
              <w:rPr>
                <w:rFonts w:hint="eastAsia" w:ascii="宋体" w:hAnsi="宋体" w:cs="宋体"/>
                <w:b/>
                <w:bCs/>
                <w:color w:val="auto"/>
                <w:kern w:val="0"/>
                <w:sz w:val="21"/>
                <w:szCs w:val="21"/>
                <w:highlight w:val="none"/>
                <w:lang w:bidi="ar"/>
              </w:rPr>
              <w:t>数据盘</w:t>
            </w:r>
          </w:p>
          <w:p w14:paraId="419C843F">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（GB）</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E90F7">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系统盘合计（GB)</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5BBE8">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数据盘合计（GB)</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72262">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VCPU总数</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10BC0">
            <w:pPr>
              <w:widowControl/>
              <w:ind w:firstLine="0" w:firstLineChars="0"/>
              <w:jc w:val="center"/>
              <w:textAlignment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内存总数（GB)</w:t>
            </w:r>
          </w:p>
        </w:tc>
      </w:tr>
      <w:tr w14:paraId="28F80B50">
        <w:tblPrEx>
          <w:tblCellMar>
            <w:top w:w="0" w:type="dxa"/>
            <w:left w:w="108" w:type="dxa"/>
            <w:bottom w:w="0" w:type="dxa"/>
            <w:right w:w="108" w:type="dxa"/>
          </w:tblCellMar>
        </w:tblPrEx>
        <w:trPr>
          <w:trHeight w:val="47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201D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362A7E">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政务外网区</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9243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9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4941E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教育数据平台运维管理模块</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5748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A23F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4</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6901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4418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50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C3E6B">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9C2F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50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D88B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97E4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4</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E025E">
            <w:pPr>
              <w:widowControl/>
              <w:ind w:firstLine="0" w:firstLineChars="0"/>
              <w:jc w:val="center"/>
              <w:textAlignment w:val="center"/>
              <w:rPr>
                <w:rFonts w:hint="eastAsia" w:ascii="宋体" w:hAnsi="宋体" w:cs="宋体"/>
                <w:color w:val="auto"/>
                <w:kern w:val="0"/>
                <w:sz w:val="21"/>
                <w:szCs w:val="21"/>
                <w:highlight w:val="none"/>
                <w:lang w:bidi="ar"/>
              </w:rPr>
            </w:pPr>
          </w:p>
          <w:p w14:paraId="2F7B0A8B">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r>
      <w:tr w14:paraId="1A7AFEA7">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A23A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94E133">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DAA9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3DEFCD">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F3AD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数据库</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677C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D511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2B18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32</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58D3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150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F202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500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546C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83D98">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1000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95FD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16</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004D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r>
      <w:tr w14:paraId="62027CFB">
        <w:tblPrEx>
          <w:tblCellMar>
            <w:top w:w="0" w:type="dxa"/>
            <w:left w:w="108" w:type="dxa"/>
            <w:bottom w:w="0" w:type="dxa"/>
            <w:right w:w="108" w:type="dxa"/>
          </w:tblCellMar>
        </w:tblPrEx>
        <w:trPr>
          <w:trHeight w:val="1362"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04778">
            <w:pPr>
              <w:widowControl/>
              <w:ind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cs="宋体"/>
                <w:color w:val="auto"/>
                <w:kern w:val="0"/>
                <w:sz w:val="21"/>
                <w:szCs w:val="21"/>
                <w:highlight w:val="none"/>
                <w:lang w:val="en-US" w:eastAsia="zh-CN" w:bidi="ar"/>
              </w:rPr>
              <w:t>3</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F86B8A">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038D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227FE5">
            <w:pPr>
              <w:ind w:firstLine="0" w:firstLineChars="0"/>
              <w:jc w:val="center"/>
              <w:rPr>
                <w:rFonts w:hint="eastAsia" w:ascii="宋体" w:hAnsi="宋体" w:cs="宋体"/>
                <w:color w:val="auto"/>
                <w:sz w:val="21"/>
                <w:szCs w:val="21"/>
                <w:highlight w:val="none"/>
              </w:rPr>
            </w:pP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34E7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数据集成模块、数据治理模块</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5149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5D61B">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39AE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7B3E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669C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CBC3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400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56BA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EFC9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16</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2E5CD">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128</w:t>
            </w:r>
          </w:p>
        </w:tc>
      </w:tr>
      <w:tr w14:paraId="10310E4C">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FA80A">
            <w:pPr>
              <w:widowControl/>
              <w:ind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cs="宋体"/>
                <w:color w:val="auto"/>
                <w:kern w:val="0"/>
                <w:sz w:val="21"/>
                <w:szCs w:val="21"/>
                <w:highlight w:val="none"/>
                <w:lang w:val="en-US" w:eastAsia="zh-CN" w:bidi="ar"/>
              </w:rPr>
              <w:t>4</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3AC4CA">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59E4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12FBFB">
            <w:pPr>
              <w:ind w:firstLine="0" w:firstLineChars="0"/>
              <w:jc w:val="center"/>
              <w:rPr>
                <w:rFonts w:hint="eastAsia" w:ascii="宋体" w:hAnsi="宋体" w:cs="宋体"/>
                <w:color w:val="auto"/>
                <w:sz w:val="21"/>
                <w:szCs w:val="21"/>
                <w:highlight w:val="none"/>
              </w:rPr>
            </w:pP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8662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数据可视化报表模块</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E97B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A0C5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35868">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EDF5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B109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883C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9BEE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0077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6F9F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r>
      <w:tr w14:paraId="0C9E1DC3">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0508A">
            <w:pPr>
              <w:widowControl/>
              <w:ind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cs="宋体"/>
                <w:color w:val="auto"/>
                <w:kern w:val="0"/>
                <w:sz w:val="21"/>
                <w:szCs w:val="21"/>
                <w:highlight w:val="none"/>
                <w:lang w:val="en-US" w:eastAsia="zh-CN" w:bidi="ar"/>
              </w:rPr>
              <w:t>5</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D78A1">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19B2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FBE886">
            <w:pPr>
              <w:ind w:firstLine="0" w:firstLineChars="0"/>
              <w:jc w:val="center"/>
              <w:rPr>
                <w:rFonts w:hint="eastAsia" w:ascii="宋体" w:hAnsi="宋体" w:cs="宋体"/>
                <w:color w:val="auto"/>
                <w:sz w:val="21"/>
                <w:szCs w:val="21"/>
                <w:highlight w:val="none"/>
              </w:rPr>
            </w:pP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911E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教育智能填报模块</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71B3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83A6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6109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88DBD">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CD0FD">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58C98">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CE05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AC31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557C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r>
      <w:tr w14:paraId="4CEADCC2">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62372">
            <w:pPr>
              <w:widowControl/>
              <w:ind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cs="宋体"/>
                <w:color w:val="auto"/>
                <w:kern w:val="0"/>
                <w:sz w:val="21"/>
                <w:szCs w:val="21"/>
                <w:highlight w:val="none"/>
                <w:lang w:val="en-US" w:eastAsia="zh-CN" w:bidi="ar"/>
              </w:rPr>
              <w:t>6</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7A27F">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52D1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BCB523">
            <w:pPr>
              <w:ind w:firstLine="0" w:firstLineChars="0"/>
              <w:jc w:val="center"/>
              <w:rPr>
                <w:rFonts w:hint="eastAsia" w:ascii="宋体" w:hAnsi="宋体" w:cs="宋体"/>
                <w:color w:val="auto"/>
                <w:sz w:val="21"/>
                <w:szCs w:val="21"/>
                <w:highlight w:val="none"/>
              </w:rPr>
            </w:pP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4BCC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驾驶舱</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BFEF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AF8B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ADDF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8385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CEBE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8C1C8">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1FB8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CA3D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36A9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r>
      <w:tr w14:paraId="13477553">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B4AC9">
            <w:pPr>
              <w:widowControl/>
              <w:ind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cs="宋体"/>
                <w:color w:val="auto"/>
                <w:kern w:val="0"/>
                <w:sz w:val="21"/>
                <w:szCs w:val="21"/>
                <w:highlight w:val="none"/>
                <w:lang w:val="en-US" w:eastAsia="zh-CN" w:bidi="ar"/>
              </w:rPr>
              <w:t>7</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807400">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65C1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F74D37">
            <w:pPr>
              <w:ind w:firstLine="0" w:firstLineChars="0"/>
              <w:jc w:val="center"/>
              <w:rPr>
                <w:rFonts w:hint="eastAsia" w:ascii="宋体" w:hAnsi="宋体" w:cs="宋体"/>
                <w:color w:val="auto"/>
                <w:sz w:val="21"/>
                <w:szCs w:val="21"/>
                <w:highlight w:val="none"/>
              </w:rPr>
            </w:pP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8075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财务资产一体化系统</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5AB6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3A32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2B7A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1C04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3D07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FC97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E8D4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7E8E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98C0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r>
      <w:tr w14:paraId="03F3487C">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B5739">
            <w:pPr>
              <w:widowControl/>
              <w:ind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cs="宋体"/>
                <w:color w:val="auto"/>
                <w:kern w:val="0"/>
                <w:sz w:val="21"/>
                <w:szCs w:val="21"/>
                <w:highlight w:val="none"/>
                <w:lang w:val="en-US" w:eastAsia="zh-CN" w:bidi="ar"/>
              </w:rPr>
              <w:t>8</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BACC85">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258C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0DF6B3">
            <w:pPr>
              <w:ind w:firstLine="0" w:firstLineChars="0"/>
              <w:jc w:val="center"/>
              <w:rPr>
                <w:rFonts w:hint="eastAsia" w:ascii="宋体" w:hAnsi="宋体" w:cs="宋体"/>
                <w:color w:val="auto"/>
                <w:sz w:val="21"/>
                <w:szCs w:val="21"/>
                <w:highlight w:val="none"/>
              </w:rPr>
            </w:pP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4C1C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反向代理服务器</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E006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7021D">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68CA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C5D8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150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42B0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D7D9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BEF6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5F2E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16</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2E08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128</w:t>
            </w:r>
          </w:p>
        </w:tc>
      </w:tr>
      <w:tr w14:paraId="31BF5B99">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5028C">
            <w:pPr>
              <w:widowControl/>
              <w:ind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cs="宋体"/>
                <w:color w:val="auto"/>
                <w:kern w:val="0"/>
                <w:sz w:val="21"/>
                <w:szCs w:val="21"/>
                <w:highlight w:val="none"/>
                <w:lang w:val="en-US" w:eastAsia="zh-CN" w:bidi="ar"/>
              </w:rPr>
              <w:t>9</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C7C27">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5DF9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41B1A7">
            <w:pPr>
              <w:ind w:firstLine="0" w:firstLineChars="0"/>
              <w:jc w:val="center"/>
              <w:rPr>
                <w:rFonts w:hint="eastAsia" w:ascii="宋体" w:hAnsi="宋体" w:cs="宋体"/>
                <w:color w:val="auto"/>
                <w:sz w:val="21"/>
                <w:szCs w:val="21"/>
                <w:highlight w:val="none"/>
              </w:rPr>
            </w:pP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C485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缓存服务器</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34D2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60BC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378D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4A15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150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EEA0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2240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8038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1E3C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16</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904BB">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128</w:t>
            </w:r>
          </w:p>
        </w:tc>
      </w:tr>
      <w:tr w14:paraId="19213FA1">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B967D">
            <w:pPr>
              <w:widowControl/>
              <w:ind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kern w:val="0"/>
                <w:sz w:val="21"/>
                <w:szCs w:val="21"/>
                <w:highlight w:val="none"/>
                <w:lang w:val="en-US" w:eastAsia="zh-CN" w:bidi="ar"/>
              </w:rPr>
              <w:t>10</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9D323">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B763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9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EF4A7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大数据管理服务</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616F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9FBE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16</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BE3CD">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32</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34F1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150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246E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BDDA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150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EB14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AEAE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16</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D83B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32</w:t>
            </w:r>
          </w:p>
        </w:tc>
      </w:tr>
      <w:tr w14:paraId="0A9E6708">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7CE19">
            <w:pPr>
              <w:widowControl/>
              <w:ind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kern w:val="0"/>
                <w:sz w:val="21"/>
                <w:szCs w:val="21"/>
                <w:highlight w:val="none"/>
                <w:lang w:val="en-US" w:eastAsia="zh-CN" w:bidi="ar"/>
              </w:rPr>
              <w:t>11</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C70B30">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1288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9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4D737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大数据计算存储服务</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F805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5</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7E73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16</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D6B3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32</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2B90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150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FA4AD">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4000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43958">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750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2657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832E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7694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160</w:t>
            </w:r>
          </w:p>
        </w:tc>
      </w:tr>
      <w:tr w14:paraId="27967FE5">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B977D">
            <w:pPr>
              <w:widowControl/>
              <w:ind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kern w:val="0"/>
                <w:sz w:val="21"/>
                <w:szCs w:val="21"/>
                <w:highlight w:val="none"/>
                <w:lang w:val="en-US" w:eastAsia="zh-CN" w:bidi="ar"/>
              </w:rPr>
              <w:t>12</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2D0718">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B3A7E">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9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AF2CB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trino引擎</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6379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785D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32</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D294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6FE2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100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4498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55C3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FB50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2718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96</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4589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192</w:t>
            </w:r>
          </w:p>
        </w:tc>
      </w:tr>
      <w:tr w14:paraId="4DCF181F">
        <w:tblPrEx>
          <w:tblCellMar>
            <w:top w:w="0" w:type="dxa"/>
            <w:left w:w="108" w:type="dxa"/>
            <w:bottom w:w="0" w:type="dxa"/>
            <w:right w:w="108" w:type="dxa"/>
          </w:tblCellMar>
        </w:tblPrEx>
        <w:trPr>
          <w:trHeight w:val="47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EFDBA">
            <w:pPr>
              <w:widowControl/>
              <w:ind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kern w:val="0"/>
                <w:sz w:val="21"/>
                <w:szCs w:val="21"/>
                <w:highlight w:val="none"/>
                <w:lang w:val="en-US" w:eastAsia="zh-CN" w:bidi="ar"/>
              </w:rPr>
              <w:t>13</w:t>
            </w:r>
          </w:p>
        </w:tc>
        <w:tc>
          <w:tcPr>
            <w:tcW w:w="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84650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互联网区</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BF89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9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CE48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五大业务平台</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5A37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CA64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ECADE">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B50C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46CED">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10B58">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14F0E">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7F44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218D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64</w:t>
            </w:r>
          </w:p>
        </w:tc>
      </w:tr>
      <w:tr w14:paraId="36F59344">
        <w:tblPrEx>
          <w:tblCellMar>
            <w:top w:w="0" w:type="dxa"/>
            <w:left w:w="108" w:type="dxa"/>
            <w:bottom w:w="0" w:type="dxa"/>
            <w:right w:w="108" w:type="dxa"/>
          </w:tblCellMar>
        </w:tblPrEx>
        <w:trPr>
          <w:trHeight w:val="444" w:hRule="atLeast"/>
        </w:trPr>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C8DBA">
            <w:pPr>
              <w:widowControl/>
              <w:ind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kern w:val="0"/>
                <w:sz w:val="21"/>
                <w:szCs w:val="21"/>
                <w:highlight w:val="none"/>
                <w:lang w:val="en-US" w:eastAsia="zh-CN" w:bidi="ar"/>
              </w:rPr>
              <w:t>14</w:t>
            </w:r>
          </w:p>
        </w:tc>
        <w:tc>
          <w:tcPr>
            <w:tcW w:w="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182E8D">
            <w:pPr>
              <w:ind w:firstLine="0" w:firstLineChars="0"/>
              <w:jc w:val="center"/>
              <w:rPr>
                <w:rFonts w:hint="eastAsia" w:ascii="宋体" w:hAnsi="宋体" w:cs="宋体"/>
                <w:color w:val="auto"/>
                <w:sz w:val="21"/>
                <w:szCs w:val="21"/>
                <w:highlight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F3FC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应用服务器</w:t>
            </w:r>
          </w:p>
        </w:tc>
        <w:tc>
          <w:tcPr>
            <w:tcW w:w="9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F8025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数据共享模块/数据指标管理模块</w:t>
            </w:r>
          </w:p>
        </w:tc>
        <w:tc>
          <w:tcPr>
            <w:tcW w:w="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BE58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A011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E182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32</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2D72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5681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AA84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200</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9E565">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373D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C4F3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32</w:t>
            </w:r>
          </w:p>
        </w:tc>
      </w:tr>
      <w:tr w14:paraId="28420B15">
        <w:tblPrEx>
          <w:tblCellMar>
            <w:top w:w="0" w:type="dxa"/>
            <w:left w:w="108" w:type="dxa"/>
            <w:bottom w:w="0" w:type="dxa"/>
            <w:right w:w="108" w:type="dxa"/>
          </w:tblCellMar>
        </w:tblPrEx>
        <w:trPr>
          <w:trHeight w:val="282" w:hRule="atLeast"/>
        </w:trPr>
        <w:tc>
          <w:tcPr>
            <w:tcW w:w="2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29D0A80">
            <w:pPr>
              <w:ind w:firstLine="0" w:firstLineChars="0"/>
              <w:jc w:val="center"/>
              <w:rPr>
                <w:rFonts w:hint="eastAsia" w:ascii="宋体" w:hAnsi="宋体" w:cs="宋体"/>
                <w:b/>
                <w:bCs/>
                <w:color w:val="auto"/>
                <w:sz w:val="21"/>
                <w:szCs w:val="21"/>
                <w:highlight w:val="none"/>
              </w:rPr>
            </w:pPr>
            <w:r>
              <w:rPr>
                <w:rFonts w:hint="eastAsia" w:ascii="宋体" w:hAnsi="宋体" w:cs="宋体"/>
                <w:b/>
                <w:bCs/>
                <w:color w:val="auto"/>
                <w:kern w:val="0"/>
                <w:sz w:val="21"/>
                <w:szCs w:val="21"/>
                <w:highlight w:val="none"/>
                <w:lang w:bidi="ar"/>
              </w:rPr>
              <w:t>合计</w:t>
            </w:r>
          </w:p>
        </w:tc>
        <w:tc>
          <w:tcPr>
            <w:tcW w:w="4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73BB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24</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1B0C3">
            <w:pPr>
              <w:ind w:firstLine="0" w:firstLineChars="0"/>
              <w:jc w:val="center"/>
              <w:rPr>
                <w:rFonts w:hint="eastAsia" w:ascii="宋体" w:hAnsi="宋体" w:cs="宋体"/>
                <w:color w:val="auto"/>
                <w:sz w:val="21"/>
                <w:szCs w:val="21"/>
                <w:highlight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DC1E5">
            <w:pPr>
              <w:ind w:firstLine="0" w:firstLineChars="0"/>
              <w:jc w:val="center"/>
              <w:rPr>
                <w:rFonts w:hint="eastAsia" w:ascii="宋体" w:hAnsi="宋体" w:cs="宋体"/>
                <w:color w:val="auto"/>
                <w:sz w:val="21"/>
                <w:szCs w:val="21"/>
                <w:highlight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7E9D0">
            <w:pPr>
              <w:ind w:firstLine="0" w:firstLineChars="0"/>
              <w:jc w:val="center"/>
              <w:rPr>
                <w:rFonts w:hint="eastAsia" w:ascii="宋体" w:hAnsi="宋体" w:cs="宋体"/>
                <w:color w:val="auto"/>
                <w:sz w:val="21"/>
                <w:szCs w:val="21"/>
                <w:highlight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8E7F4">
            <w:pPr>
              <w:ind w:firstLine="0" w:firstLineChars="0"/>
              <w:jc w:val="center"/>
              <w:rPr>
                <w:rFonts w:hint="eastAsia" w:ascii="宋体" w:hAnsi="宋体" w:cs="宋体"/>
                <w:color w:val="auto"/>
                <w:sz w:val="21"/>
                <w:szCs w:val="21"/>
                <w:highlight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707E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3750</w:t>
            </w: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34F9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25800</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5ED5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308</w:t>
            </w: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212D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1192</w:t>
            </w:r>
          </w:p>
        </w:tc>
      </w:tr>
    </w:tbl>
    <w:p w14:paraId="7EBB76F9">
      <w:pPr>
        <w:pStyle w:val="5"/>
        <w:ind w:firstLine="440"/>
        <w:jc w:val="left"/>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政务云安全、操作系统、数据库资源需求清单</w:t>
      </w:r>
    </w:p>
    <w:tbl>
      <w:tblPr>
        <w:tblStyle w:val="17"/>
        <w:tblW w:w="0" w:type="auto"/>
        <w:tblInd w:w="0" w:type="dxa"/>
        <w:tblLayout w:type="autofit"/>
        <w:tblCellMar>
          <w:top w:w="0" w:type="dxa"/>
          <w:left w:w="108" w:type="dxa"/>
          <w:bottom w:w="0" w:type="dxa"/>
          <w:right w:w="108" w:type="dxa"/>
        </w:tblCellMar>
      </w:tblPr>
      <w:tblGrid>
        <w:gridCol w:w="378"/>
        <w:gridCol w:w="379"/>
        <w:gridCol w:w="1193"/>
        <w:gridCol w:w="6405"/>
        <w:gridCol w:w="705"/>
      </w:tblGrid>
      <w:tr w14:paraId="1EA1B80A">
        <w:tblPrEx>
          <w:tblCellMar>
            <w:top w:w="0" w:type="dxa"/>
            <w:left w:w="108" w:type="dxa"/>
            <w:bottom w:w="0" w:type="dxa"/>
            <w:right w:w="108" w:type="dxa"/>
          </w:tblCellMar>
        </w:tblPrEx>
        <w:trPr>
          <w:trHeight w:val="409" w:hRule="atLeast"/>
        </w:trPr>
        <w:tc>
          <w:tcPr>
            <w:tcW w:w="0" w:type="auto"/>
            <w:vMerge w:val="restart"/>
            <w:tcBorders>
              <w:top w:val="single" w:color="000000" w:sz="4" w:space="0"/>
              <w:left w:val="single" w:color="000000" w:sz="4" w:space="0"/>
              <w:bottom w:val="single" w:color="000000" w:sz="4" w:space="0"/>
              <w:right w:val="single" w:color="000000" w:sz="4" w:space="0"/>
              <w:tl2br w:val="nil"/>
            </w:tcBorders>
            <w:shd w:val="clear" w:color="auto" w:fill="FFFFFF"/>
            <w:vAlign w:val="center"/>
          </w:tcPr>
          <w:p w14:paraId="5FFEA0F6">
            <w:pPr>
              <w:widowControl/>
              <w:ind w:firstLine="0" w:firstLineChars="0"/>
              <w:jc w:val="center"/>
              <w:textAlignment w:val="center"/>
              <w:rPr>
                <w:rFonts w:hint="eastAsia" w:ascii="宋体" w:hAnsi="宋体" w:cs="宋体"/>
                <w:bCs/>
                <w:color w:val="auto"/>
                <w:sz w:val="21"/>
                <w:szCs w:val="21"/>
                <w:highlight w:val="none"/>
              </w:rPr>
            </w:pPr>
            <w:r>
              <w:rPr>
                <w:rFonts w:hint="eastAsia" w:ascii="宋体" w:hAnsi="宋体" w:cs="宋体"/>
                <w:bCs/>
                <w:color w:val="auto"/>
                <w:kern w:val="0"/>
                <w:sz w:val="21"/>
                <w:szCs w:val="21"/>
                <w:highlight w:val="none"/>
                <w:lang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D1A0085">
            <w:pPr>
              <w:widowControl/>
              <w:ind w:firstLine="0" w:firstLineChars="0"/>
              <w:jc w:val="center"/>
              <w:textAlignment w:val="center"/>
              <w:rPr>
                <w:rFonts w:hint="eastAsia" w:ascii="宋体" w:hAnsi="宋体" w:cs="宋体"/>
                <w:bCs/>
                <w:color w:val="auto"/>
                <w:sz w:val="21"/>
                <w:szCs w:val="21"/>
                <w:highlight w:val="none"/>
              </w:rPr>
            </w:pPr>
            <w:r>
              <w:rPr>
                <w:rFonts w:hint="eastAsia" w:ascii="宋体" w:hAnsi="宋体" w:cs="宋体"/>
                <w:bCs/>
                <w:color w:val="auto"/>
                <w:kern w:val="0"/>
                <w:sz w:val="21"/>
                <w:szCs w:val="21"/>
                <w:highlight w:val="none"/>
                <w:lang w:bidi="ar"/>
              </w:rPr>
              <w:t>区域</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75A879E">
            <w:pPr>
              <w:widowControl/>
              <w:ind w:firstLine="0" w:firstLineChars="0"/>
              <w:jc w:val="center"/>
              <w:textAlignment w:val="center"/>
              <w:rPr>
                <w:rFonts w:hint="eastAsia" w:ascii="宋体" w:hAnsi="宋体" w:cs="宋体"/>
                <w:bCs/>
                <w:color w:val="auto"/>
                <w:sz w:val="21"/>
                <w:szCs w:val="21"/>
                <w:highlight w:val="none"/>
              </w:rPr>
            </w:pPr>
            <w:r>
              <w:rPr>
                <w:rFonts w:hint="eastAsia" w:ascii="宋体" w:hAnsi="宋体" w:cs="宋体"/>
                <w:bCs/>
                <w:color w:val="auto"/>
                <w:kern w:val="0"/>
                <w:sz w:val="21"/>
                <w:szCs w:val="21"/>
                <w:highlight w:val="none"/>
                <w:lang w:bidi="ar"/>
              </w:rPr>
              <w:t>资源名称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0A8E8A2">
            <w:pPr>
              <w:widowControl/>
              <w:ind w:firstLine="0" w:firstLineChars="0"/>
              <w:jc w:val="center"/>
              <w:textAlignment w:val="center"/>
              <w:rPr>
                <w:rFonts w:hint="eastAsia" w:ascii="宋体" w:hAnsi="宋体" w:cs="宋体"/>
                <w:bCs/>
                <w:color w:val="auto"/>
                <w:sz w:val="21"/>
                <w:szCs w:val="21"/>
                <w:highlight w:val="none"/>
              </w:rPr>
            </w:pPr>
            <w:r>
              <w:rPr>
                <w:rFonts w:hint="eastAsia" w:ascii="宋体" w:hAnsi="宋体" w:cs="宋体"/>
                <w:bCs/>
                <w:color w:val="auto"/>
                <w:kern w:val="0"/>
                <w:sz w:val="21"/>
                <w:szCs w:val="21"/>
                <w:highlight w:val="none"/>
                <w:lang w:bidi="ar"/>
              </w:rPr>
              <w:t>参数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27DB3EF">
            <w:pPr>
              <w:widowControl/>
              <w:ind w:firstLine="0" w:firstLineChars="0"/>
              <w:jc w:val="center"/>
              <w:textAlignment w:val="center"/>
              <w:rPr>
                <w:rFonts w:hint="eastAsia" w:ascii="宋体" w:hAnsi="宋体" w:cs="宋体"/>
                <w:bCs/>
                <w:color w:val="auto"/>
                <w:sz w:val="21"/>
                <w:szCs w:val="21"/>
                <w:highlight w:val="none"/>
              </w:rPr>
            </w:pPr>
            <w:r>
              <w:rPr>
                <w:rFonts w:hint="eastAsia" w:ascii="宋体" w:hAnsi="宋体" w:cs="宋体"/>
                <w:bCs/>
                <w:color w:val="auto"/>
                <w:kern w:val="0"/>
                <w:sz w:val="21"/>
                <w:szCs w:val="21"/>
                <w:highlight w:val="none"/>
                <w:lang w:bidi="ar"/>
              </w:rPr>
              <w:t>数量（套）</w:t>
            </w:r>
          </w:p>
        </w:tc>
      </w:tr>
      <w:tr w14:paraId="1D192414">
        <w:tblPrEx>
          <w:tblCellMar>
            <w:top w:w="0" w:type="dxa"/>
            <w:left w:w="108" w:type="dxa"/>
            <w:bottom w:w="0" w:type="dxa"/>
            <w:right w:w="108" w:type="dxa"/>
          </w:tblCellMar>
        </w:tblPrEx>
        <w:trPr>
          <w:trHeight w:val="409"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C7131CC">
            <w:pPr>
              <w:ind w:firstLine="0" w:firstLineChars="0"/>
              <w:jc w:val="center"/>
              <w:rPr>
                <w:rFonts w:hint="eastAsia" w:ascii="宋体" w:hAnsi="宋体" w:cs="宋体"/>
                <w:bCs/>
                <w:color w:val="auto"/>
                <w:sz w:val="21"/>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9D160BB">
            <w:pPr>
              <w:ind w:firstLine="0" w:firstLineChars="0"/>
              <w:jc w:val="center"/>
              <w:rPr>
                <w:rFonts w:hint="eastAsia" w:ascii="宋体" w:hAnsi="宋体" w:cs="宋体"/>
                <w:bCs/>
                <w:color w:val="auto"/>
                <w:sz w:val="21"/>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A082EA9">
            <w:pPr>
              <w:ind w:firstLine="0" w:firstLineChars="0"/>
              <w:jc w:val="center"/>
              <w:rPr>
                <w:rFonts w:hint="eastAsia" w:ascii="宋体" w:hAnsi="宋体" w:cs="宋体"/>
                <w:bCs/>
                <w:color w:val="auto"/>
                <w:sz w:val="21"/>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B23E2D0">
            <w:pPr>
              <w:ind w:firstLine="0" w:firstLineChars="0"/>
              <w:jc w:val="center"/>
              <w:rPr>
                <w:rFonts w:hint="eastAsia" w:ascii="宋体" w:hAnsi="宋体" w:cs="宋体"/>
                <w:bCs/>
                <w:color w:val="auto"/>
                <w:sz w:val="21"/>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44EA2FF">
            <w:pPr>
              <w:ind w:firstLine="0" w:firstLineChars="0"/>
              <w:jc w:val="center"/>
              <w:rPr>
                <w:rFonts w:hint="eastAsia" w:ascii="宋体" w:hAnsi="宋体" w:cs="宋体"/>
                <w:bCs/>
                <w:color w:val="auto"/>
                <w:sz w:val="21"/>
                <w:szCs w:val="21"/>
                <w:highlight w:val="none"/>
              </w:rPr>
            </w:pPr>
          </w:p>
        </w:tc>
      </w:tr>
      <w:tr w14:paraId="194748E5">
        <w:tblPrEx>
          <w:tblCellMar>
            <w:top w:w="0" w:type="dxa"/>
            <w:left w:w="108" w:type="dxa"/>
            <w:bottom w:w="0" w:type="dxa"/>
            <w:right w:w="108" w:type="dxa"/>
          </w:tblCellMar>
        </w:tblPrEx>
        <w:trPr>
          <w:trHeight w:val="88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3C4ADB">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77660EB">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政务外网 区</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D910E6D">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 xml:space="preserve">防火墙 </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E3995BB">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支持TCP/IP访问控制，网络吞吐：1Gbps，并发连接数：500000，每秒新建连接数：20000。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B0E0C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r>
      <w:tr w14:paraId="25C6E10C">
        <w:tblPrEx>
          <w:tblCellMar>
            <w:top w:w="0" w:type="dxa"/>
            <w:left w:w="108" w:type="dxa"/>
            <w:bottom w:w="0" w:type="dxa"/>
            <w:right w:w="108" w:type="dxa"/>
          </w:tblCellMar>
        </w:tblPrEx>
        <w:trPr>
          <w:trHeight w:val="28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D87CE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E8FAE3F">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F8D6B05">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日志审计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0758B17">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 xml:space="preserve">500EPS 1资产 </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26C328">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22</w:t>
            </w:r>
          </w:p>
        </w:tc>
      </w:tr>
      <w:tr w14:paraId="7381B3B6">
        <w:tblPrEx>
          <w:tblCellMar>
            <w:top w:w="0" w:type="dxa"/>
            <w:left w:w="108" w:type="dxa"/>
            <w:bottom w:w="0" w:type="dxa"/>
            <w:right w:w="108" w:type="dxa"/>
          </w:tblCellMar>
        </w:tblPrEx>
        <w:trPr>
          <w:trHeight w:val="28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5F079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3</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4C79DB9">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2B185CA">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堡垒机</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7639F1A">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 xml:space="preserve">可管理1资产 </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667E4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r>
      <w:tr w14:paraId="3417BBF9">
        <w:tblPrEx>
          <w:tblCellMar>
            <w:top w:w="0" w:type="dxa"/>
            <w:left w:w="108" w:type="dxa"/>
            <w:bottom w:w="0" w:type="dxa"/>
            <w:right w:w="108" w:type="dxa"/>
          </w:tblCellMar>
        </w:tblPrEx>
        <w:trPr>
          <w:trHeight w:val="66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762F0B">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4</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712D6D4">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F1E42C2">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WEB应用防火墙</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BEBCC7F">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网络吞吐200Mbps，每秒新建连接数1000，支持1个IP+1个端口</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A3F08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r>
      <w:tr w14:paraId="3F27C0D2">
        <w:tblPrEx>
          <w:tblCellMar>
            <w:top w:w="0" w:type="dxa"/>
            <w:left w:w="108" w:type="dxa"/>
            <w:bottom w:w="0" w:type="dxa"/>
            <w:right w:w="108" w:type="dxa"/>
          </w:tblCellMar>
        </w:tblPrEx>
        <w:trPr>
          <w:trHeight w:val="621"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828A9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3C27A56">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E554453">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主机安全</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40AA792">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提供虚拟化主机安全防护，包含轻代理主机防病毒AV、主机防火墙FW、主机入侵防御IPS、防暴力破解四个功能</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DAEEDE">
            <w:pPr>
              <w:widowControl/>
              <w:ind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kern w:val="0"/>
                <w:sz w:val="21"/>
                <w:szCs w:val="21"/>
                <w:highlight w:val="none"/>
                <w:lang w:val="en-US" w:eastAsia="zh-CN" w:bidi="ar"/>
              </w:rPr>
              <w:t>22</w:t>
            </w:r>
          </w:p>
        </w:tc>
      </w:tr>
      <w:tr w14:paraId="02B31C7B">
        <w:tblPrEx>
          <w:tblCellMar>
            <w:top w:w="0" w:type="dxa"/>
            <w:left w:w="108" w:type="dxa"/>
            <w:bottom w:w="0" w:type="dxa"/>
            <w:right w:w="108" w:type="dxa"/>
          </w:tblCellMar>
        </w:tblPrEx>
        <w:trPr>
          <w:trHeight w:val="28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79DF6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DF0BED1">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16A9411">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数据库审计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A40C6A1">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 xml:space="preserve">可审计1个DB实例 </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94221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w:t>
            </w:r>
          </w:p>
        </w:tc>
      </w:tr>
      <w:tr w14:paraId="76C14EC8">
        <w:tblPrEx>
          <w:tblCellMar>
            <w:top w:w="0" w:type="dxa"/>
            <w:left w:w="108" w:type="dxa"/>
            <w:bottom w:w="0" w:type="dxa"/>
            <w:right w:w="108" w:type="dxa"/>
          </w:tblCellMar>
        </w:tblPrEx>
        <w:trPr>
          <w:trHeight w:val="28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D8EEDA">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7</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4E7DD07">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4FA0D7">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国产操作系统</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252595">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适配中标麒麟、银河麒麟、中科方德、统信、浪潮云、龙蜥</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FCB45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22</w:t>
            </w:r>
          </w:p>
        </w:tc>
      </w:tr>
      <w:tr w14:paraId="7C3E4FDD">
        <w:tblPrEx>
          <w:tblCellMar>
            <w:top w:w="0" w:type="dxa"/>
            <w:left w:w="108" w:type="dxa"/>
            <w:bottom w:w="0" w:type="dxa"/>
            <w:right w:w="108" w:type="dxa"/>
          </w:tblCellMar>
        </w:tblPrEx>
        <w:trPr>
          <w:trHeight w:val="28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4F136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C8E69E2">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D6824F">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国产数据库</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465E39">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适配人大金仓、南大通用、海量、达梦</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9F6F3E">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6</w:t>
            </w:r>
          </w:p>
        </w:tc>
      </w:tr>
      <w:tr w14:paraId="29E93861">
        <w:tblPrEx>
          <w:tblCellMar>
            <w:top w:w="0" w:type="dxa"/>
            <w:left w:w="108" w:type="dxa"/>
            <w:bottom w:w="0" w:type="dxa"/>
            <w:right w:w="108" w:type="dxa"/>
          </w:tblCellMar>
        </w:tblPrEx>
        <w:trPr>
          <w:trHeight w:val="297"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54D388">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631AF1">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5F4BC9">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负载均衡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D0B7BF">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50Mbps负载均衡服务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15BF7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r>
      <w:tr w14:paraId="503F247A">
        <w:tblPrEx>
          <w:tblCellMar>
            <w:top w:w="0" w:type="dxa"/>
            <w:left w:w="108" w:type="dxa"/>
            <w:bottom w:w="0" w:type="dxa"/>
            <w:right w:w="108" w:type="dxa"/>
          </w:tblCellMar>
        </w:tblPrEx>
        <w:trPr>
          <w:trHeight w:val="297"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0AAE66">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10</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06CB849">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09BCEB">
            <w:pPr>
              <w:widowControl/>
              <w:ind w:firstLine="0" w:firstLineChars="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bidi="ar"/>
              </w:rPr>
              <w:t>VPN 网关</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E1148F">
            <w:pPr>
              <w:widowControl/>
              <w:ind w:firstLine="0" w:firstLineChars="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bidi="ar"/>
              </w:rPr>
              <w:t>50Mbps 带宽，支持IPSec-VPN、SSL-VPN等多种VPN协议以满足不同客户业务使用场景</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0334F6">
            <w:pPr>
              <w:widowControl/>
              <w:ind w:firstLine="0" w:firstLineChars="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1</w:t>
            </w:r>
          </w:p>
        </w:tc>
      </w:tr>
      <w:tr w14:paraId="519F07D2">
        <w:tblPrEx>
          <w:tblCellMar>
            <w:top w:w="0" w:type="dxa"/>
            <w:left w:w="108" w:type="dxa"/>
            <w:bottom w:w="0" w:type="dxa"/>
            <w:right w:w="108" w:type="dxa"/>
          </w:tblCellMar>
        </w:tblPrEx>
        <w:trPr>
          <w:trHeight w:val="459"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9C7B4E">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11</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35406B0">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37B216">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NAT网关</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8D7DFE9">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小型</w:t>
            </w:r>
            <w:r>
              <w:rPr>
                <w:rFonts w:hint="eastAsia" w:ascii="宋体" w:hAnsi="宋体" w:cs="宋体"/>
                <w:color w:val="auto"/>
                <w:kern w:val="0"/>
                <w:sz w:val="21"/>
                <w:szCs w:val="21"/>
                <w:highlight w:val="none"/>
                <w:lang w:eastAsia="zh-CN" w:bidi="ar"/>
              </w:rPr>
              <w:t>，</w:t>
            </w:r>
            <w:r>
              <w:rPr>
                <w:rFonts w:hint="eastAsia" w:ascii="宋体" w:hAnsi="宋体" w:cs="宋体"/>
                <w:color w:val="auto"/>
                <w:kern w:val="0"/>
                <w:sz w:val="21"/>
                <w:szCs w:val="21"/>
                <w:highlight w:val="none"/>
                <w:lang w:bidi="ar"/>
              </w:rPr>
              <w:t>支持最大连接数1万</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E3622E">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r>
      <w:tr w14:paraId="151F25F3">
        <w:tblPrEx>
          <w:tblCellMar>
            <w:top w:w="0" w:type="dxa"/>
            <w:left w:w="108" w:type="dxa"/>
            <w:bottom w:w="0" w:type="dxa"/>
            <w:right w:w="108" w:type="dxa"/>
          </w:tblCellMar>
        </w:tblPrEx>
        <w:trPr>
          <w:trHeight w:val="153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4C4E0D">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w:t>
            </w:r>
            <w:r>
              <w:rPr>
                <w:rFonts w:hint="eastAsia" w:ascii="宋体" w:hAnsi="宋体" w:cs="宋体"/>
                <w:color w:val="auto"/>
                <w:kern w:val="0"/>
                <w:sz w:val="21"/>
                <w:szCs w:val="21"/>
                <w:highlight w:val="none"/>
                <w:lang w:eastAsia="zh-CN" w:bidi="ar"/>
              </w:rPr>
              <w:t>2</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2C705B7">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CCB082">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密评套件</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B1C52BA">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1、云密码机</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支持国产SM2、SM3、SM4密码算法，实现对用户可选择性的敏感数据加密</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2、签名验签</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支持国产SM2密码算法，提供数据签名与验证、文件签名与验证、证书有效期验证、CA根验证、CRL验证等服务</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3、时间戳服务</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支持国产SM2密码算法，提供可靠的时间信息，证明某份文件（或某条信息）在某个时间（或以前）存在，保障证据的不可抵赖性和完整性</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4、密钥管理</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支持国产SM2、SM3、SM4密码算法，提供密钥托管相关的支持活动，如密钥托管服务、密钥安全隔离和存储服务等</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5、CA数字证书</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支持国产SM2密码算法，为云上业务系统的实体签发代表身份的数字证书服务，提供统一的网络身份认证和验证管理</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默认包含1张企业数字证书</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6、移动端数据安全</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支持国产SM2密码算法，用软件实现密码设备、密码运算和CA数字证书全部功能，实现业务信息在移动终端上的安全性，包括用户身份防伪造、数据防篡改、信息防被窃</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默认包含1张企业手机证书</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7、SSL VPN安全传输</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支持SM2、SM3、SM4算法，提供国密SSL加密链路，为终端与云上业务系统、不同VPC间的业务系统提供安全的传输通道，保障数据传输的机密性和完整性</w:t>
            </w:r>
            <w:r>
              <w:rPr>
                <w:rFonts w:hint="eastAsia" w:ascii="宋体" w:hAnsi="宋体" w:cs="宋体"/>
                <w:color w:val="auto"/>
                <w:kern w:val="0"/>
                <w:sz w:val="21"/>
                <w:szCs w:val="21"/>
                <w:highlight w:val="none"/>
                <w:lang w:bidi="ar"/>
              </w:rPr>
              <w:br w:type="textWrapping"/>
            </w:r>
            <w:r>
              <w:rPr>
                <w:rFonts w:hint="eastAsia" w:ascii="宋体" w:hAnsi="宋体" w:cs="宋体"/>
                <w:color w:val="auto"/>
                <w:kern w:val="0"/>
                <w:sz w:val="21"/>
                <w:szCs w:val="21"/>
                <w:highlight w:val="none"/>
                <w:lang w:bidi="ar"/>
              </w:rPr>
              <w:t>SSL连接数默认为1000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A75247">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r>
      <w:tr w14:paraId="2F7AE74F">
        <w:tblPrEx>
          <w:tblCellMar>
            <w:top w:w="0" w:type="dxa"/>
            <w:left w:w="108" w:type="dxa"/>
            <w:bottom w:w="0" w:type="dxa"/>
            <w:right w:w="108" w:type="dxa"/>
          </w:tblCellMar>
        </w:tblPrEx>
        <w:trPr>
          <w:trHeight w:val="888"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CC75DF">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w:t>
            </w:r>
            <w:r>
              <w:rPr>
                <w:rFonts w:hint="eastAsia" w:ascii="宋体" w:hAnsi="宋体" w:cs="宋体"/>
                <w:color w:val="auto"/>
                <w:kern w:val="0"/>
                <w:sz w:val="21"/>
                <w:szCs w:val="21"/>
                <w:highlight w:val="none"/>
                <w:lang w:eastAsia="zh-CN" w:bidi="ar"/>
              </w:rPr>
              <w:t>3</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9B6A04C">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互联网区</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085C900">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 xml:space="preserve">防火墙 </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3FECBF9">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支持TCP/IP访问控制，网络吞吐：1Gbps，并发连接数：500000，每秒新建连接数：20000。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5C1E34">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r>
      <w:tr w14:paraId="3E807FA5">
        <w:tblPrEx>
          <w:tblCellMar>
            <w:top w:w="0" w:type="dxa"/>
            <w:left w:w="108" w:type="dxa"/>
            <w:bottom w:w="0" w:type="dxa"/>
            <w:right w:w="108" w:type="dxa"/>
          </w:tblCellMar>
        </w:tblPrEx>
        <w:trPr>
          <w:trHeight w:val="28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B29F42">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w:t>
            </w:r>
            <w:r>
              <w:rPr>
                <w:rFonts w:hint="eastAsia" w:ascii="宋体" w:hAnsi="宋体" w:cs="宋体"/>
                <w:color w:val="auto"/>
                <w:kern w:val="0"/>
                <w:sz w:val="21"/>
                <w:szCs w:val="21"/>
                <w:highlight w:val="none"/>
                <w:lang w:eastAsia="zh-CN" w:bidi="ar"/>
              </w:rPr>
              <w:t>4</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66E29C5">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09CDC94">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日志审计</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DF8C913">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 xml:space="preserve">500EPS 1资产 </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EE4B73">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r>
      <w:tr w14:paraId="6F6A4CB3">
        <w:tblPrEx>
          <w:tblCellMar>
            <w:top w:w="0" w:type="dxa"/>
            <w:left w:w="108" w:type="dxa"/>
            <w:bottom w:w="0" w:type="dxa"/>
            <w:right w:w="108" w:type="dxa"/>
          </w:tblCellMar>
        </w:tblPrEx>
        <w:trPr>
          <w:trHeight w:val="666"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C936C3">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w:t>
            </w:r>
            <w:r>
              <w:rPr>
                <w:rFonts w:hint="eastAsia" w:ascii="宋体" w:hAnsi="宋体" w:cs="宋体"/>
                <w:color w:val="auto"/>
                <w:kern w:val="0"/>
                <w:sz w:val="21"/>
                <w:szCs w:val="21"/>
                <w:highlight w:val="none"/>
                <w:lang w:eastAsia="zh-CN" w:bidi="ar"/>
              </w:rPr>
              <w:t>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9EAE1FB">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70A89D8">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WEB应用防火墙</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32D890D">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网络吞吐200Mbps，每秒新建连接数1000，支持1个IP+1个端口</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6A99DF">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r>
      <w:tr w14:paraId="29C9F441">
        <w:tblPrEx>
          <w:tblCellMar>
            <w:top w:w="0" w:type="dxa"/>
            <w:left w:w="108" w:type="dxa"/>
            <w:bottom w:w="0" w:type="dxa"/>
            <w:right w:w="108" w:type="dxa"/>
          </w:tblCellMar>
        </w:tblPrEx>
        <w:trPr>
          <w:trHeight w:val="60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7A869D">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w:t>
            </w:r>
            <w:r>
              <w:rPr>
                <w:rFonts w:hint="eastAsia" w:ascii="宋体" w:hAnsi="宋体" w:cs="宋体"/>
                <w:color w:val="auto"/>
                <w:kern w:val="0"/>
                <w:sz w:val="21"/>
                <w:szCs w:val="21"/>
                <w:highlight w:val="none"/>
                <w:lang w:eastAsia="zh-CN" w:bidi="ar"/>
              </w:rPr>
              <w:t>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099B57A">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C9B192A">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主机安全2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50A67CE">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提供虚拟化主机安全防护，包含轻代理主机防病毒AV、主机防火墙FW、主机入侵防御IPS、防暴力破解四个功能</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053139">
            <w:pPr>
              <w:widowControl/>
              <w:ind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cs="宋体"/>
                <w:color w:val="auto"/>
                <w:kern w:val="0"/>
                <w:sz w:val="21"/>
                <w:szCs w:val="21"/>
                <w:highlight w:val="none"/>
                <w:lang w:val="en-US" w:eastAsia="zh-CN" w:bidi="ar"/>
              </w:rPr>
              <w:t>2</w:t>
            </w:r>
          </w:p>
        </w:tc>
      </w:tr>
      <w:tr w14:paraId="09061FE9">
        <w:tblPrEx>
          <w:tblCellMar>
            <w:top w:w="0" w:type="dxa"/>
            <w:left w:w="108" w:type="dxa"/>
            <w:bottom w:w="0" w:type="dxa"/>
            <w:right w:w="108" w:type="dxa"/>
          </w:tblCellMar>
        </w:tblPrEx>
        <w:trPr>
          <w:trHeight w:val="282"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35AE95">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w:t>
            </w:r>
            <w:r>
              <w:rPr>
                <w:rFonts w:hint="eastAsia" w:ascii="宋体" w:hAnsi="宋体" w:cs="宋体"/>
                <w:color w:val="auto"/>
                <w:kern w:val="0"/>
                <w:sz w:val="21"/>
                <w:szCs w:val="21"/>
                <w:highlight w:val="none"/>
                <w:lang w:eastAsia="zh-CN" w:bidi="ar"/>
              </w:rPr>
              <w:t>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24E6AA8">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3B2C3A">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国产操作系统</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4F8F1A">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中标麒麟、银河麒麟、中科方德、统信、浪潮云、龙蜥</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CF329D">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r>
      <w:tr w14:paraId="1650D459">
        <w:tblPrEx>
          <w:tblCellMar>
            <w:top w:w="0" w:type="dxa"/>
            <w:left w:w="108" w:type="dxa"/>
            <w:bottom w:w="0" w:type="dxa"/>
            <w:right w:w="108" w:type="dxa"/>
          </w:tblCellMar>
        </w:tblPrEx>
        <w:trPr>
          <w:trHeight w:val="44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0A0A98">
            <w:pPr>
              <w:widowControl/>
              <w:ind w:firstLine="0" w:firstLineChars="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19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5B01288">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3FB6C1">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NAT网关</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60D8C06">
            <w:pPr>
              <w:widowControl/>
              <w:ind w:firstLine="0" w:firstLineChars="0"/>
              <w:jc w:val="left"/>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小型</w:t>
            </w:r>
            <w:r>
              <w:rPr>
                <w:rFonts w:hint="eastAsia" w:ascii="宋体" w:hAnsi="宋体" w:cs="宋体"/>
                <w:color w:val="auto"/>
                <w:kern w:val="0"/>
                <w:sz w:val="21"/>
                <w:szCs w:val="21"/>
                <w:highlight w:val="none"/>
                <w:lang w:eastAsia="zh-CN" w:bidi="ar"/>
              </w:rPr>
              <w:t>，</w:t>
            </w:r>
            <w:r>
              <w:rPr>
                <w:rFonts w:hint="eastAsia" w:ascii="宋体" w:hAnsi="宋体" w:cs="宋体"/>
                <w:color w:val="auto"/>
                <w:kern w:val="0"/>
                <w:sz w:val="21"/>
                <w:szCs w:val="21"/>
                <w:highlight w:val="none"/>
                <w:lang w:bidi="ar"/>
              </w:rPr>
              <w:t>支持最大连接数1万</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0CDB50">
            <w:pPr>
              <w:widowControl/>
              <w:ind w:firstLine="0" w:firstLineChars="0"/>
              <w:jc w:val="center"/>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r>
      <w:tr w14:paraId="5E519C87">
        <w:tblPrEx>
          <w:tblCellMar>
            <w:top w:w="0" w:type="dxa"/>
            <w:left w:w="108" w:type="dxa"/>
            <w:bottom w:w="0" w:type="dxa"/>
            <w:right w:w="108" w:type="dxa"/>
          </w:tblCellMar>
        </w:tblPrEx>
        <w:trPr>
          <w:trHeight w:val="44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C890E6">
            <w:pPr>
              <w:widowControl/>
              <w:ind w:firstLine="0" w:firstLineChars="0"/>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20</w:t>
            </w:r>
          </w:p>
        </w:tc>
        <w:tc>
          <w:tcPr>
            <w:tcW w:w="0" w:type="auto"/>
            <w:vMerge w:val="restart"/>
            <w:tcBorders>
              <w:top w:val="single" w:color="000000" w:sz="4" w:space="0"/>
              <w:left w:val="single" w:color="000000" w:sz="4" w:space="0"/>
              <w:right w:val="single" w:color="000000" w:sz="4" w:space="0"/>
            </w:tcBorders>
            <w:shd w:val="clear" w:color="auto" w:fill="FFFFFF"/>
            <w:vAlign w:val="center"/>
          </w:tcPr>
          <w:p w14:paraId="38921547">
            <w:pPr>
              <w:ind w:firstLine="0" w:firstLineChars="0"/>
              <w:jc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整体系统</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99410D">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渗透测试</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0B63DAC">
            <w:pPr>
              <w:widowControl/>
              <w:ind w:firstLine="0" w:firstLineChars="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1个业务系统3人日</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449029">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w:t>
            </w:r>
          </w:p>
        </w:tc>
      </w:tr>
      <w:tr w14:paraId="0A28CEB1">
        <w:tblPrEx>
          <w:tblCellMar>
            <w:top w:w="0" w:type="dxa"/>
            <w:left w:w="108" w:type="dxa"/>
            <w:bottom w:w="0" w:type="dxa"/>
            <w:right w:w="108" w:type="dxa"/>
          </w:tblCellMar>
        </w:tblPrEx>
        <w:trPr>
          <w:trHeight w:val="44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13B8B0">
            <w:pPr>
              <w:widowControl/>
              <w:ind w:firstLine="0" w:firstLineChars="0"/>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21</w:t>
            </w:r>
          </w:p>
        </w:tc>
        <w:tc>
          <w:tcPr>
            <w:tcW w:w="0" w:type="auto"/>
            <w:vMerge w:val="continue"/>
            <w:tcBorders>
              <w:left w:val="single" w:color="000000" w:sz="4" w:space="0"/>
              <w:right w:val="single" w:color="000000" w:sz="4" w:space="0"/>
            </w:tcBorders>
            <w:shd w:val="clear" w:color="auto" w:fill="FFFFFF"/>
            <w:vAlign w:val="center"/>
          </w:tcPr>
          <w:p w14:paraId="5F543A51">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E36501">
            <w:pPr>
              <w:widowControl/>
              <w:ind w:firstLine="0" w:firstLineChars="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bidi="ar"/>
              </w:rPr>
              <w:t>漏洞扫描</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FAD545B">
            <w:pPr>
              <w:widowControl/>
              <w:ind w:firstLine="0" w:firstLineChars="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bidi="ar"/>
              </w:rPr>
              <w:t>WEB漏洞扫描（1个URL），支持系统、Web、数据库</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0F117D">
            <w:pPr>
              <w:widowControl/>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bidi="ar"/>
              </w:rPr>
              <w:t>1</w:t>
            </w:r>
          </w:p>
        </w:tc>
      </w:tr>
      <w:tr w14:paraId="696E5A61">
        <w:tblPrEx>
          <w:tblCellMar>
            <w:top w:w="0" w:type="dxa"/>
            <w:left w:w="108" w:type="dxa"/>
            <w:bottom w:w="0" w:type="dxa"/>
            <w:right w:w="108" w:type="dxa"/>
          </w:tblCellMar>
        </w:tblPrEx>
        <w:trPr>
          <w:trHeight w:val="444"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B487ED">
            <w:pPr>
              <w:widowControl/>
              <w:ind w:firstLine="0" w:firstLineChars="0"/>
              <w:jc w:val="center"/>
              <w:textAlignment w:val="center"/>
              <w:rPr>
                <w:rFonts w:hint="default" w:ascii="宋体" w:hAnsi="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22</w:t>
            </w:r>
          </w:p>
        </w:tc>
        <w:tc>
          <w:tcPr>
            <w:tcW w:w="0" w:type="auto"/>
            <w:vMerge w:val="continue"/>
            <w:tcBorders>
              <w:left w:val="single" w:color="000000" w:sz="4" w:space="0"/>
              <w:bottom w:val="single" w:color="000000" w:sz="4" w:space="0"/>
              <w:right w:val="single" w:color="000000" w:sz="4" w:space="0"/>
            </w:tcBorders>
            <w:shd w:val="clear" w:color="auto" w:fill="FFFFFF"/>
            <w:vAlign w:val="center"/>
          </w:tcPr>
          <w:p w14:paraId="11469B95">
            <w:pPr>
              <w:ind w:firstLine="0" w:firstLineChars="0"/>
              <w:jc w:val="center"/>
              <w:rPr>
                <w:rFonts w:hint="eastAsia" w:ascii="宋体" w:hAnsi="宋体" w:cs="宋体"/>
                <w:color w:val="auto"/>
                <w:sz w:val="21"/>
                <w:szCs w:val="21"/>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AD1F3E">
            <w:pPr>
              <w:widowControl/>
              <w:ind w:firstLine="0" w:firstLineChars="0"/>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备份服务</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D66BD24">
            <w:pPr>
              <w:widowControl/>
              <w:ind w:firstLine="0" w:firstLineChars="0"/>
              <w:jc w:val="left"/>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val="en-US" w:eastAsia="zh-CN" w:bidi="ar"/>
              </w:rPr>
              <w:t>80T本地数据备份，</w:t>
            </w:r>
            <w:r>
              <w:rPr>
                <w:rFonts w:hint="eastAsia" w:ascii="宋体" w:hAnsi="宋体" w:cs="宋体"/>
                <w:color w:val="auto"/>
                <w:kern w:val="0"/>
                <w:sz w:val="21"/>
                <w:szCs w:val="21"/>
                <w:highlight w:val="none"/>
                <w:lang w:bidi="ar"/>
              </w:rPr>
              <w:t>通过备份策略实现本地文件、操作系统、数据库、虚拟化平台、云平台的备份；</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169D20">
            <w:pPr>
              <w:widowControl/>
              <w:ind w:firstLine="0" w:firstLineChars="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1</w:t>
            </w:r>
          </w:p>
        </w:tc>
      </w:tr>
    </w:tbl>
    <w:p w14:paraId="4DCBE8E0">
      <w:pPr>
        <w:rPr>
          <w:rFonts w:hint="default"/>
          <w:highlight w:val="none"/>
          <w:lang w:val="en-US" w:eastAsia="zh-CN"/>
        </w:rPr>
      </w:pPr>
    </w:p>
    <w:p w14:paraId="16819A0E">
      <w:pPr>
        <w:pStyle w:val="4"/>
        <w:ind w:firstLine="448"/>
        <w:rPr>
          <w:rFonts w:hint="default" w:ascii="仿宋" w:hAnsi="仿宋" w:eastAsia="仿宋" w:cs="仿宋"/>
          <w:sz w:val="32"/>
          <w:szCs w:val="32"/>
          <w:highlight w:val="none"/>
          <w:lang w:val="en-US"/>
        </w:rPr>
      </w:pPr>
      <w:r>
        <w:rPr>
          <w:rFonts w:ascii="仿宋" w:hAnsi="仿宋" w:eastAsia="仿宋" w:cs="仿宋"/>
          <w:sz w:val="32"/>
          <w:szCs w:val="32"/>
          <w:highlight w:val="none"/>
        </w:rPr>
        <w:t>10.</w:t>
      </w:r>
      <w:r>
        <w:rPr>
          <w:rFonts w:hint="eastAsia" w:ascii="仿宋" w:hAnsi="仿宋" w:eastAsia="仿宋" w:cs="仿宋"/>
          <w:sz w:val="32"/>
          <w:szCs w:val="32"/>
          <w:highlight w:val="none"/>
          <w:lang w:val="en-US" w:eastAsia="zh-CN"/>
        </w:rPr>
        <w:t>6敏感数据区服务</w:t>
      </w:r>
    </w:p>
    <w:tbl>
      <w:tblPr>
        <w:tblStyle w:val="17"/>
        <w:tblpPr w:leftFromText="180" w:rightFromText="180" w:vertAnchor="text" w:horzAnchor="page" w:tblpX="1883" w:tblpY="465"/>
        <w:tblOverlap w:val="never"/>
        <w:tblW w:w="83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4"/>
        <w:gridCol w:w="837"/>
        <w:gridCol w:w="1316"/>
        <w:gridCol w:w="4228"/>
        <w:gridCol w:w="766"/>
        <w:gridCol w:w="678"/>
      </w:tblGrid>
      <w:tr w14:paraId="68624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3BCEB822">
            <w:pPr>
              <w:pStyle w:val="16"/>
              <w:spacing w:line="320" w:lineRule="exact"/>
              <w:ind w:firstLine="0" w:firstLineChars="0"/>
              <w:contextualSpacing/>
              <w:jc w:val="center"/>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序号</w:t>
            </w:r>
          </w:p>
        </w:tc>
        <w:tc>
          <w:tcPr>
            <w:tcW w:w="837" w:type="dxa"/>
            <w:noWrap w:val="0"/>
            <w:vAlign w:val="center"/>
          </w:tcPr>
          <w:p w14:paraId="4C8FA104">
            <w:pPr>
              <w:pStyle w:val="16"/>
              <w:spacing w:line="320" w:lineRule="exact"/>
              <w:ind w:firstLine="0" w:firstLineChars="0"/>
              <w:contextualSpacing/>
              <w:jc w:val="center"/>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大类</w:t>
            </w:r>
          </w:p>
        </w:tc>
        <w:tc>
          <w:tcPr>
            <w:tcW w:w="1316" w:type="dxa"/>
            <w:noWrap w:val="0"/>
            <w:vAlign w:val="center"/>
          </w:tcPr>
          <w:p w14:paraId="6A3623F3">
            <w:pPr>
              <w:pStyle w:val="16"/>
              <w:spacing w:line="320" w:lineRule="exact"/>
              <w:ind w:firstLine="0" w:firstLineChars="0"/>
              <w:contextualSpacing/>
              <w:jc w:val="center"/>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模块</w:t>
            </w:r>
          </w:p>
        </w:tc>
        <w:tc>
          <w:tcPr>
            <w:tcW w:w="4228" w:type="dxa"/>
            <w:noWrap w:val="0"/>
            <w:vAlign w:val="center"/>
          </w:tcPr>
          <w:p w14:paraId="1D6E38C5">
            <w:pPr>
              <w:pStyle w:val="16"/>
              <w:spacing w:line="320" w:lineRule="exact"/>
              <w:ind w:firstLine="0" w:firstLineChars="0"/>
              <w:contextualSpacing/>
              <w:jc w:val="center"/>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技术要求</w:t>
            </w:r>
          </w:p>
        </w:tc>
        <w:tc>
          <w:tcPr>
            <w:tcW w:w="766" w:type="dxa"/>
            <w:noWrap w:val="0"/>
            <w:vAlign w:val="center"/>
          </w:tcPr>
          <w:p w14:paraId="44CD971F">
            <w:pPr>
              <w:pStyle w:val="16"/>
              <w:spacing w:line="320" w:lineRule="exact"/>
              <w:ind w:firstLine="0" w:firstLineChars="0"/>
              <w:contextualSpacing/>
              <w:jc w:val="center"/>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数量</w:t>
            </w:r>
          </w:p>
        </w:tc>
        <w:tc>
          <w:tcPr>
            <w:tcW w:w="678" w:type="dxa"/>
            <w:shd w:val="clear" w:color="auto" w:fill="auto"/>
            <w:noWrap w:val="0"/>
            <w:vAlign w:val="center"/>
          </w:tcPr>
          <w:p w14:paraId="7EDDF9D0">
            <w:pPr>
              <w:pStyle w:val="16"/>
              <w:spacing w:line="320" w:lineRule="exact"/>
              <w:ind w:firstLine="0" w:firstLineChars="0"/>
              <w:contextualSpacing/>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sz w:val="22"/>
                <w:szCs w:val="22"/>
                <w:highlight w:val="none"/>
              </w:rPr>
              <w:t>单位</w:t>
            </w:r>
          </w:p>
        </w:tc>
      </w:tr>
      <w:tr w14:paraId="7460B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494" w:type="dxa"/>
            <w:noWrap w:val="0"/>
            <w:vAlign w:val="center"/>
          </w:tcPr>
          <w:p w14:paraId="3D53E192">
            <w:pPr>
              <w:pStyle w:val="16"/>
              <w:spacing w:line="320" w:lineRule="exact"/>
              <w:ind w:firstLine="0" w:firstLineChars="0"/>
              <w:contextualSpacing/>
              <w:jc w:val="center"/>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c>
          <w:tcPr>
            <w:tcW w:w="837" w:type="dxa"/>
            <w:vMerge w:val="restart"/>
            <w:shd w:val="clear" w:color="auto" w:fill="FFFFFF"/>
            <w:noWrap w:val="0"/>
            <w:vAlign w:val="center"/>
          </w:tcPr>
          <w:p w14:paraId="68373D2C">
            <w:pPr>
              <w:widowControl/>
              <w:jc w:val="center"/>
              <w:textAlignment w:val="center"/>
              <w:rPr>
                <w:rFonts w:hint="eastAsia" w:ascii="宋体" w:hAnsi="宋体" w:eastAsia="宋体" w:cs="宋体"/>
                <w:color w:val="000000"/>
                <w:kern w:val="2"/>
                <w:sz w:val="22"/>
                <w:szCs w:val="22"/>
                <w:highlight w:val="none"/>
                <w:lang w:val="en-US" w:eastAsia="zh-CN" w:bidi="ar-SA"/>
              </w:rPr>
            </w:pPr>
            <w:r>
              <w:rPr>
                <w:rFonts w:hint="eastAsia" w:ascii="宋体" w:hAnsi="宋体" w:eastAsia="宋体" w:cs="宋体"/>
                <w:color w:val="000000"/>
                <w:kern w:val="0"/>
                <w:sz w:val="22"/>
                <w:szCs w:val="22"/>
                <w:highlight w:val="none"/>
                <w:lang w:bidi="ar"/>
              </w:rPr>
              <w:t>敏感数据存储区-计算存储资源</w:t>
            </w:r>
          </w:p>
        </w:tc>
        <w:tc>
          <w:tcPr>
            <w:tcW w:w="1316" w:type="dxa"/>
            <w:noWrap w:val="0"/>
            <w:vAlign w:val="center"/>
          </w:tcPr>
          <w:p w14:paraId="2A3702A9">
            <w:pPr>
              <w:spacing w:before="120" w:line="320" w:lineRule="exact"/>
              <w:contextualSpacing/>
              <w:jc w:val="center"/>
              <w:rPr>
                <w:rFonts w:hint="eastAsia" w:ascii="宋体" w:hAnsi="宋体" w:eastAsia="宋体" w:cs="宋体"/>
                <w:color w:val="auto"/>
                <w:sz w:val="22"/>
                <w:szCs w:val="22"/>
                <w:highlight w:val="none"/>
                <w:lang w:eastAsia="zh-CN"/>
              </w:rPr>
            </w:pPr>
            <w:r>
              <w:rPr>
                <w:rFonts w:hint="eastAsia" w:ascii="宋体" w:hAnsi="宋体" w:eastAsia="宋体" w:cs="宋体"/>
                <w:color w:val="auto"/>
                <w:kern w:val="2"/>
                <w:sz w:val="22"/>
                <w:szCs w:val="22"/>
                <w:highlight w:val="none"/>
                <w:lang w:val="en-US" w:eastAsia="zh-CN" w:bidi="ar-SA"/>
              </w:rPr>
              <w:t>国产化服务器</w:t>
            </w:r>
          </w:p>
        </w:tc>
        <w:tc>
          <w:tcPr>
            <w:tcW w:w="4228" w:type="dxa"/>
            <w:noWrap w:val="0"/>
            <w:vAlign w:val="center"/>
          </w:tcPr>
          <w:p w14:paraId="4144FE32">
            <w:pPr>
              <w:pStyle w:val="16"/>
              <w:spacing w:line="320" w:lineRule="exact"/>
              <w:ind w:firstLine="0" w:firstLineChars="0"/>
              <w:contextualSpacing/>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（详细指标见附件1）</w:t>
            </w:r>
          </w:p>
        </w:tc>
        <w:tc>
          <w:tcPr>
            <w:tcW w:w="766" w:type="dxa"/>
            <w:noWrap w:val="0"/>
            <w:vAlign w:val="center"/>
          </w:tcPr>
          <w:p w14:paraId="3A35336F">
            <w:pPr>
              <w:pStyle w:val="16"/>
              <w:spacing w:line="320" w:lineRule="exact"/>
              <w:ind w:firstLine="0" w:firstLineChars="0"/>
              <w:contextualSpacing/>
              <w:jc w:val="center"/>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w:t>
            </w:r>
          </w:p>
        </w:tc>
        <w:tc>
          <w:tcPr>
            <w:tcW w:w="678" w:type="dxa"/>
            <w:shd w:val="clear" w:color="auto" w:fill="auto"/>
            <w:noWrap w:val="0"/>
            <w:vAlign w:val="center"/>
          </w:tcPr>
          <w:p w14:paraId="0E5B0B14">
            <w:pPr>
              <w:pStyle w:val="16"/>
              <w:spacing w:line="320" w:lineRule="exact"/>
              <w:ind w:firstLine="0" w:firstLineChars="0"/>
              <w:contextualSpacing/>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sz w:val="22"/>
                <w:szCs w:val="22"/>
                <w:highlight w:val="none"/>
              </w:rPr>
              <w:t>台</w:t>
            </w:r>
          </w:p>
        </w:tc>
      </w:tr>
      <w:tr w14:paraId="025A0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3ACE18E5">
            <w:pPr>
              <w:pStyle w:val="16"/>
              <w:spacing w:line="320" w:lineRule="exact"/>
              <w:ind w:firstLine="0" w:firstLineChars="0"/>
              <w:contextualSpacing/>
              <w:jc w:val="center"/>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rPr>
              <w:t>2</w:t>
            </w:r>
          </w:p>
        </w:tc>
        <w:tc>
          <w:tcPr>
            <w:tcW w:w="837" w:type="dxa"/>
            <w:vMerge w:val="continue"/>
            <w:noWrap w:val="0"/>
            <w:vAlign w:val="center"/>
          </w:tcPr>
          <w:p w14:paraId="0A85005D">
            <w:pPr>
              <w:pStyle w:val="16"/>
              <w:spacing w:line="320" w:lineRule="exact"/>
              <w:ind w:firstLine="0" w:firstLineChars="0"/>
              <w:contextualSpacing/>
              <w:jc w:val="center"/>
              <w:rPr>
                <w:rFonts w:hint="eastAsia" w:ascii="宋体" w:hAnsi="宋体" w:eastAsia="宋体" w:cs="宋体"/>
                <w:color w:val="auto"/>
                <w:kern w:val="0"/>
                <w:sz w:val="22"/>
                <w:szCs w:val="22"/>
                <w:highlight w:val="none"/>
                <w:lang w:bidi="ar"/>
              </w:rPr>
            </w:pPr>
          </w:p>
        </w:tc>
        <w:tc>
          <w:tcPr>
            <w:tcW w:w="1316" w:type="dxa"/>
            <w:noWrap w:val="0"/>
            <w:vAlign w:val="center"/>
          </w:tcPr>
          <w:p w14:paraId="77080F73">
            <w:pPr>
              <w:pStyle w:val="16"/>
              <w:spacing w:line="320" w:lineRule="exact"/>
              <w:ind w:firstLine="0" w:firstLineChars="0"/>
              <w:contextualSpacing/>
              <w:jc w:val="center"/>
              <w:rPr>
                <w:rFonts w:hint="eastAsia" w:ascii="宋体" w:hAnsi="宋体" w:eastAsia="宋体" w:cs="宋体"/>
                <w:color w:val="auto"/>
                <w:sz w:val="22"/>
                <w:szCs w:val="22"/>
                <w:highlight w:val="none"/>
                <w:lang w:val="en-US" w:eastAsia="zh-CN"/>
              </w:rPr>
            </w:pPr>
            <w:r>
              <w:rPr>
                <w:rFonts w:hint="eastAsia" w:ascii="宋体" w:hAnsi="宋体" w:eastAsia="宋体" w:cs="宋体"/>
                <w:color w:val="auto"/>
                <w:kern w:val="0"/>
                <w:sz w:val="22"/>
                <w:szCs w:val="22"/>
                <w:highlight w:val="none"/>
                <w:lang w:bidi="ar"/>
              </w:rPr>
              <w:t>机柜</w:t>
            </w:r>
          </w:p>
        </w:tc>
        <w:tc>
          <w:tcPr>
            <w:tcW w:w="4228" w:type="dxa"/>
            <w:noWrap w:val="0"/>
            <w:vAlign w:val="center"/>
          </w:tcPr>
          <w:p w14:paraId="73D31CDF">
            <w:pPr>
              <w:widowControl/>
              <w:numPr>
                <w:ilvl w:val="0"/>
                <w:numId w:val="6"/>
              </w:numPr>
              <w:ind w:left="425" w:leftChars="0" w:hanging="425" w:firstLineChars="0"/>
              <w:jc w:val="left"/>
              <w:textAlignment w:val="center"/>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42U（≥宽</w:t>
            </w:r>
            <w:r>
              <w:rPr>
                <w:rFonts w:hint="eastAsia" w:ascii="宋体" w:hAnsi="宋体" w:eastAsia="宋体" w:cs="宋体"/>
                <w:color w:val="auto"/>
                <w:sz w:val="22"/>
                <w:szCs w:val="22"/>
                <w:highlight w:val="none"/>
              </w:rPr>
              <w:t>600*</w:t>
            </w:r>
            <w:r>
              <w:rPr>
                <w:rFonts w:hint="eastAsia" w:ascii="宋体" w:hAnsi="宋体" w:eastAsia="宋体" w:cs="宋体"/>
                <w:color w:val="auto"/>
                <w:sz w:val="22"/>
                <w:szCs w:val="22"/>
                <w:highlight w:val="none"/>
                <w:lang w:val="en-US" w:eastAsia="zh-CN"/>
              </w:rPr>
              <w:t>深</w:t>
            </w:r>
            <w:r>
              <w:rPr>
                <w:rFonts w:hint="eastAsia" w:ascii="宋体" w:hAnsi="宋体" w:eastAsia="宋体" w:cs="宋体"/>
                <w:color w:val="auto"/>
                <w:sz w:val="22"/>
                <w:szCs w:val="22"/>
                <w:highlight w:val="none"/>
              </w:rPr>
              <w:t>1000*</w:t>
            </w:r>
            <w:r>
              <w:rPr>
                <w:rFonts w:hint="eastAsia" w:ascii="宋体" w:hAnsi="宋体" w:eastAsia="宋体" w:cs="宋体"/>
                <w:color w:val="auto"/>
                <w:sz w:val="22"/>
                <w:szCs w:val="22"/>
                <w:highlight w:val="none"/>
                <w:lang w:val="en-US" w:eastAsia="zh-CN"/>
              </w:rPr>
              <w:t>高</w:t>
            </w:r>
            <w:r>
              <w:rPr>
                <w:rFonts w:hint="eastAsia" w:ascii="宋体" w:hAnsi="宋体" w:eastAsia="宋体" w:cs="宋体"/>
                <w:color w:val="auto"/>
                <w:sz w:val="22"/>
                <w:szCs w:val="22"/>
                <w:highlight w:val="none"/>
              </w:rPr>
              <w:t>20</w:t>
            </w:r>
            <w:r>
              <w:rPr>
                <w:rFonts w:hint="eastAsia" w:ascii="宋体" w:hAnsi="宋体" w:eastAsia="宋体" w:cs="宋体"/>
                <w:color w:val="auto"/>
                <w:sz w:val="22"/>
                <w:szCs w:val="22"/>
                <w:highlight w:val="none"/>
                <w:lang w:val="en-US" w:eastAsia="zh-CN"/>
              </w:rPr>
              <w:t>20mm</w:t>
            </w:r>
            <w:r>
              <w:rPr>
                <w:rFonts w:hint="eastAsia" w:ascii="宋体" w:hAnsi="宋体" w:eastAsia="宋体" w:cs="宋体"/>
                <w:color w:val="auto"/>
                <w:sz w:val="22"/>
                <w:szCs w:val="22"/>
                <w:highlight w:val="none"/>
              </w:rPr>
              <w:t>)</w:t>
            </w:r>
            <w:r>
              <w:rPr>
                <w:rFonts w:hint="eastAsia" w:ascii="宋体" w:hAnsi="宋体" w:eastAsia="宋体" w:cs="宋体"/>
                <w:color w:val="auto"/>
                <w:sz w:val="22"/>
                <w:szCs w:val="22"/>
                <w:highlight w:val="none"/>
                <w:lang w:val="en-US" w:eastAsia="zh-CN"/>
              </w:rPr>
              <w:t>服务器机柜；</w:t>
            </w:r>
          </w:p>
          <w:p w14:paraId="0D139542">
            <w:pPr>
              <w:widowControl/>
              <w:numPr>
                <w:ilvl w:val="0"/>
                <w:numId w:val="6"/>
              </w:numPr>
              <w:ind w:left="425" w:leftChars="0" w:hanging="425" w:firstLineChars="0"/>
              <w:jc w:val="left"/>
              <w:textAlignment w:val="center"/>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符合ANSI/EIA RS-310-D、IEC297-2、DIN41491; PART1、DIN41494; PART7、 GB/T3047.2- 92标准;兼容ETSI标准</w:t>
            </w:r>
            <w:r>
              <w:rPr>
                <w:rFonts w:hint="eastAsia" w:ascii="宋体" w:hAnsi="宋体" w:eastAsia="宋体" w:cs="宋体"/>
                <w:color w:val="auto"/>
                <w:sz w:val="22"/>
                <w:szCs w:val="22"/>
                <w:highlight w:val="none"/>
                <w:lang w:eastAsia="zh-CN"/>
              </w:rPr>
              <w:t>；</w:t>
            </w:r>
          </w:p>
          <w:p w14:paraId="12D3CA16">
            <w:pPr>
              <w:widowControl/>
              <w:numPr>
                <w:ilvl w:val="0"/>
                <w:numId w:val="6"/>
              </w:numPr>
              <w:ind w:left="425" w:leftChars="0" w:hanging="425" w:firstLineChars="0"/>
              <w:jc w:val="left"/>
              <w:textAlignment w:val="center"/>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单开平板六角网孔前门,双开平板六角网孔后门</w:t>
            </w:r>
            <w:r>
              <w:rPr>
                <w:rFonts w:hint="eastAsia" w:ascii="宋体" w:hAnsi="宋体" w:eastAsia="宋体" w:cs="宋体"/>
                <w:color w:val="auto"/>
                <w:sz w:val="22"/>
                <w:szCs w:val="22"/>
                <w:highlight w:val="none"/>
                <w:lang w:eastAsia="zh-CN"/>
              </w:rPr>
              <w:t>；</w:t>
            </w:r>
          </w:p>
          <w:p w14:paraId="08838C3C">
            <w:pPr>
              <w:widowControl/>
              <w:numPr>
                <w:ilvl w:val="0"/>
                <w:numId w:val="6"/>
              </w:numPr>
              <w:ind w:left="425" w:leftChars="0" w:hanging="425" w:firstLineChars="0"/>
              <w:jc w:val="left"/>
              <w:textAlignment w:val="center"/>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方孔条与安装梁：耐指纹镀铝锌板; 其余：SPCC优质冷轧板 厚度：方孔条2.0mm;安装梁1.5mm;其余1.2mm</w:t>
            </w:r>
            <w:r>
              <w:rPr>
                <w:rFonts w:hint="eastAsia" w:ascii="宋体" w:hAnsi="宋体" w:eastAsia="宋体" w:cs="宋体"/>
                <w:color w:val="auto"/>
                <w:sz w:val="22"/>
                <w:szCs w:val="22"/>
                <w:highlight w:val="none"/>
                <w:lang w:eastAsia="zh-CN"/>
              </w:rPr>
              <w:t>；</w:t>
            </w:r>
          </w:p>
          <w:p w14:paraId="2A90849F">
            <w:pPr>
              <w:widowControl/>
              <w:numPr>
                <w:ilvl w:val="0"/>
                <w:numId w:val="6"/>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sz w:val="22"/>
                <w:szCs w:val="22"/>
                <w:highlight w:val="none"/>
                <w:lang w:val="en-US" w:eastAsia="zh-CN"/>
              </w:rPr>
              <w:t>含3个托盘，2组PDU。</w:t>
            </w:r>
          </w:p>
        </w:tc>
        <w:tc>
          <w:tcPr>
            <w:tcW w:w="766" w:type="dxa"/>
            <w:noWrap w:val="0"/>
            <w:vAlign w:val="center"/>
          </w:tcPr>
          <w:p w14:paraId="675EF340">
            <w:pPr>
              <w:pStyle w:val="16"/>
              <w:spacing w:line="320" w:lineRule="exact"/>
              <w:ind w:firstLine="0" w:firstLineChars="0"/>
              <w:contextualSpacing/>
              <w:jc w:val="center"/>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w:t>
            </w:r>
          </w:p>
        </w:tc>
        <w:tc>
          <w:tcPr>
            <w:tcW w:w="678" w:type="dxa"/>
            <w:shd w:val="clear" w:color="auto" w:fill="auto"/>
            <w:noWrap w:val="0"/>
            <w:vAlign w:val="center"/>
          </w:tcPr>
          <w:p w14:paraId="4F11B5FA">
            <w:pPr>
              <w:pStyle w:val="16"/>
              <w:spacing w:line="320" w:lineRule="exact"/>
              <w:ind w:firstLine="0" w:firstLineChars="0"/>
              <w:contextualSpacing/>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sz w:val="22"/>
                <w:szCs w:val="22"/>
                <w:highlight w:val="none"/>
                <w:lang w:val="en-US" w:eastAsia="zh-CN"/>
              </w:rPr>
              <w:t>套</w:t>
            </w:r>
          </w:p>
        </w:tc>
      </w:tr>
      <w:tr w14:paraId="38BCF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10FD332E">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3</w:t>
            </w:r>
          </w:p>
        </w:tc>
        <w:tc>
          <w:tcPr>
            <w:tcW w:w="837" w:type="dxa"/>
            <w:vMerge w:val="restart"/>
            <w:noWrap w:val="0"/>
            <w:vAlign w:val="center"/>
          </w:tcPr>
          <w:p w14:paraId="2B38AEAC">
            <w:pPr>
              <w:widowControl/>
              <w:jc w:val="center"/>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000000"/>
                <w:kern w:val="0"/>
                <w:sz w:val="22"/>
                <w:szCs w:val="22"/>
                <w:highlight w:val="none"/>
                <w:lang w:bidi="ar"/>
              </w:rPr>
              <w:t>敏感数据存储区-基础软件</w:t>
            </w:r>
          </w:p>
        </w:tc>
        <w:tc>
          <w:tcPr>
            <w:tcW w:w="1316" w:type="dxa"/>
            <w:noWrap w:val="0"/>
            <w:vAlign w:val="center"/>
          </w:tcPr>
          <w:p w14:paraId="52B06B77">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国产化操作系统</w:t>
            </w:r>
          </w:p>
        </w:tc>
        <w:tc>
          <w:tcPr>
            <w:tcW w:w="4228" w:type="dxa"/>
            <w:noWrap w:val="0"/>
            <w:vAlign w:val="center"/>
          </w:tcPr>
          <w:p w14:paraId="7DA820AD">
            <w:pPr>
              <w:pStyle w:val="16"/>
              <w:spacing w:line="320" w:lineRule="exact"/>
              <w:ind w:firstLine="0" w:firstLineChars="0"/>
              <w:contextualSpacing/>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sz w:val="22"/>
                <w:szCs w:val="22"/>
                <w:highlight w:val="none"/>
                <w:lang w:val="en-US" w:eastAsia="zh-CN"/>
              </w:rPr>
              <w:t>（详细指标见附件2）</w:t>
            </w:r>
          </w:p>
        </w:tc>
        <w:tc>
          <w:tcPr>
            <w:tcW w:w="766" w:type="dxa"/>
            <w:noWrap w:val="0"/>
            <w:vAlign w:val="center"/>
          </w:tcPr>
          <w:p w14:paraId="51D689DC">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2</w:t>
            </w:r>
          </w:p>
        </w:tc>
        <w:tc>
          <w:tcPr>
            <w:tcW w:w="678" w:type="dxa"/>
            <w:shd w:val="clear" w:color="auto" w:fill="auto"/>
            <w:noWrap w:val="0"/>
            <w:vAlign w:val="center"/>
          </w:tcPr>
          <w:p w14:paraId="7C875EBA">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套</w:t>
            </w:r>
          </w:p>
        </w:tc>
      </w:tr>
      <w:tr w14:paraId="7B99C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94" w:type="dxa"/>
            <w:noWrap w:val="0"/>
            <w:vAlign w:val="center"/>
          </w:tcPr>
          <w:p w14:paraId="01A42060">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4</w:t>
            </w:r>
          </w:p>
        </w:tc>
        <w:tc>
          <w:tcPr>
            <w:tcW w:w="837" w:type="dxa"/>
            <w:vMerge w:val="continue"/>
            <w:noWrap w:val="0"/>
            <w:vAlign w:val="center"/>
          </w:tcPr>
          <w:p w14:paraId="2B5F364C">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2392EC34">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国产化数据库</w:t>
            </w:r>
          </w:p>
        </w:tc>
        <w:tc>
          <w:tcPr>
            <w:tcW w:w="4228" w:type="dxa"/>
            <w:noWrap w:val="0"/>
            <w:vAlign w:val="center"/>
          </w:tcPr>
          <w:p w14:paraId="3EC9F345">
            <w:pPr>
              <w:pStyle w:val="16"/>
              <w:spacing w:line="320" w:lineRule="exact"/>
              <w:ind w:firstLine="0" w:firstLineChars="0"/>
              <w:contextualSpacing/>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sz w:val="22"/>
                <w:szCs w:val="22"/>
                <w:highlight w:val="none"/>
                <w:lang w:val="en-US" w:eastAsia="zh-CN"/>
              </w:rPr>
              <w:t>（详细指标见附件3）</w:t>
            </w:r>
          </w:p>
        </w:tc>
        <w:tc>
          <w:tcPr>
            <w:tcW w:w="766" w:type="dxa"/>
            <w:noWrap w:val="0"/>
            <w:vAlign w:val="center"/>
          </w:tcPr>
          <w:p w14:paraId="70A58902">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2</w:t>
            </w:r>
          </w:p>
        </w:tc>
        <w:tc>
          <w:tcPr>
            <w:tcW w:w="678" w:type="dxa"/>
            <w:shd w:val="clear" w:color="auto" w:fill="auto"/>
            <w:noWrap w:val="0"/>
            <w:vAlign w:val="center"/>
          </w:tcPr>
          <w:p w14:paraId="1DD4A2F8">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套</w:t>
            </w:r>
          </w:p>
        </w:tc>
      </w:tr>
      <w:tr w14:paraId="71B8E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37E91934">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5</w:t>
            </w:r>
          </w:p>
        </w:tc>
        <w:tc>
          <w:tcPr>
            <w:tcW w:w="837" w:type="dxa"/>
            <w:noWrap w:val="0"/>
            <w:vAlign w:val="center"/>
          </w:tcPr>
          <w:p w14:paraId="05678D57">
            <w:pPr>
              <w:widowControl/>
              <w:jc w:val="center"/>
              <w:textAlignment w:val="center"/>
              <w:rPr>
                <w:rFonts w:hint="eastAsia" w:ascii="宋体" w:hAnsi="宋体" w:eastAsia="宋体" w:cs="宋体"/>
                <w:color w:val="auto"/>
                <w:kern w:val="0"/>
                <w:sz w:val="22"/>
                <w:szCs w:val="22"/>
                <w:highlight w:val="none"/>
                <w:lang w:bidi="ar"/>
              </w:rPr>
            </w:pPr>
            <w:r>
              <w:rPr>
                <w:rFonts w:hint="eastAsia" w:ascii="宋体" w:hAnsi="宋体" w:cs="宋体"/>
                <w:color w:val="000000"/>
                <w:kern w:val="0"/>
                <w:sz w:val="22"/>
                <w:szCs w:val="22"/>
                <w:highlight w:val="none"/>
                <w:lang w:bidi="ar"/>
              </w:rPr>
              <w:t>敏感数据存储区-等保相关设备</w:t>
            </w:r>
          </w:p>
        </w:tc>
        <w:tc>
          <w:tcPr>
            <w:tcW w:w="1316" w:type="dxa"/>
            <w:noWrap w:val="0"/>
            <w:vAlign w:val="center"/>
          </w:tcPr>
          <w:p w14:paraId="3F135888">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万兆交换机</w:t>
            </w:r>
          </w:p>
        </w:tc>
        <w:tc>
          <w:tcPr>
            <w:tcW w:w="4228" w:type="dxa"/>
            <w:noWrap w:val="0"/>
            <w:vAlign w:val="center"/>
          </w:tcPr>
          <w:p w14:paraId="03DE6973">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交换容量≥786Mpps。</w:t>
            </w:r>
          </w:p>
          <w:p w14:paraId="73265A06">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包转发率≥2.56Tbps。</w:t>
            </w:r>
          </w:p>
          <w:p w14:paraId="7CBC9581">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★千兆电口≥24，10G/25光口≥4,100G/40G光口≥2。</w:t>
            </w:r>
          </w:p>
          <w:p w14:paraId="726D7306">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设备CPU和LSW要求国产化自研。</w:t>
            </w:r>
          </w:p>
          <w:p w14:paraId="28417792">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★设备支持扩展插槽≥2</w:t>
            </w:r>
            <w:r>
              <w:rPr>
                <w:rFonts w:hint="eastAsia" w:ascii="宋体" w:hAnsi="宋体" w:eastAsia="宋体" w:cs="宋体"/>
                <w:color w:val="auto"/>
                <w:kern w:val="0"/>
                <w:sz w:val="22"/>
                <w:szCs w:val="22"/>
                <w:highlight w:val="none"/>
                <w:lang w:eastAsia="zh-CN" w:bidi="ar"/>
              </w:rPr>
              <w:t>。</w:t>
            </w:r>
          </w:p>
          <w:p w14:paraId="14083CC4">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支持IPv4路由表项≥192K，支持IPv6路由表项≥96K。</w:t>
            </w:r>
          </w:p>
          <w:p w14:paraId="18D117D9">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设备全端口MACsec组网。</w:t>
            </w:r>
          </w:p>
          <w:p w14:paraId="379DE624">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设备支持独立内缩的复位按钮和请配置按钮。</w:t>
            </w:r>
          </w:p>
          <w:p w14:paraId="23AD9025">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设备支持独立蓝色ID指示灯维护人员可以在后台点亮后去机房直接找到相</w:t>
            </w:r>
            <w:r>
              <w:rPr>
                <w:rFonts w:hint="eastAsia" w:ascii="宋体" w:hAnsi="宋体" w:eastAsia="宋体" w:cs="宋体"/>
                <w:color w:val="auto"/>
                <w:kern w:val="0"/>
                <w:sz w:val="22"/>
                <w:szCs w:val="22"/>
                <w:highlight w:val="none"/>
                <w:lang w:eastAsia="zh-CN" w:bidi="ar"/>
              </w:rPr>
              <w:t>对应</w:t>
            </w:r>
            <w:r>
              <w:rPr>
                <w:rFonts w:hint="eastAsia" w:ascii="宋体" w:hAnsi="宋体" w:eastAsia="宋体" w:cs="宋体"/>
                <w:color w:val="auto"/>
                <w:kern w:val="0"/>
                <w:sz w:val="22"/>
                <w:szCs w:val="22"/>
                <w:highlight w:val="none"/>
                <w:lang w:bidi="ar"/>
              </w:rPr>
              <w:t>设备，便于快速定位设备位置。</w:t>
            </w:r>
          </w:p>
          <w:p w14:paraId="18C4744F">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支持SNMP v1/v2/v3、Telnet、RMON。</w:t>
            </w:r>
          </w:p>
          <w:p w14:paraId="54DF6CD1">
            <w:pPr>
              <w:widowControl/>
              <w:numPr>
                <w:ilvl w:val="0"/>
                <w:numId w:val="7"/>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支持Telemetry技术，配合网络分析组件通过智能故障识别算法对网络数据进行分析，精准展现网络实时状态，并能及时有效地定界故障以及定位故障发生原因，发现影响用户体验的网络问题，精准保障用户体验</w:t>
            </w:r>
          </w:p>
          <w:p w14:paraId="6804EE56">
            <w:pPr>
              <w:widowControl/>
              <w:numPr>
                <w:ilvl w:val="0"/>
                <w:numId w:val="7"/>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单台实配：交流电源*2，10G多模0.3KM 光模块*8，40G单模10KM光模块*4。</w:t>
            </w:r>
          </w:p>
        </w:tc>
        <w:tc>
          <w:tcPr>
            <w:tcW w:w="766" w:type="dxa"/>
            <w:noWrap w:val="0"/>
            <w:vAlign w:val="center"/>
          </w:tcPr>
          <w:p w14:paraId="4D1FC8B7">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2</w:t>
            </w:r>
          </w:p>
        </w:tc>
        <w:tc>
          <w:tcPr>
            <w:tcW w:w="678" w:type="dxa"/>
            <w:shd w:val="clear" w:color="auto" w:fill="auto"/>
            <w:noWrap w:val="0"/>
            <w:vAlign w:val="center"/>
          </w:tcPr>
          <w:p w14:paraId="432CA1CB">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台</w:t>
            </w:r>
          </w:p>
        </w:tc>
      </w:tr>
      <w:tr w14:paraId="1D560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432CE068">
            <w:pPr>
              <w:widowControl/>
              <w:jc w:val="center"/>
              <w:textAlignment w:val="center"/>
              <w:rPr>
                <w:rFonts w:hint="eastAsia" w:ascii="宋体" w:hAnsi="宋体" w:eastAsia="宋体" w:cs="宋体"/>
                <w:color w:val="auto"/>
                <w:kern w:val="2"/>
                <w:sz w:val="22"/>
                <w:szCs w:val="22"/>
                <w:highlight w:val="none"/>
                <w:lang w:val="en-US" w:eastAsia="zh-CN" w:bidi="ar-SA"/>
              </w:rPr>
            </w:pPr>
          </w:p>
          <w:p w14:paraId="17B859FE">
            <w:pPr>
              <w:widowControl/>
              <w:jc w:val="center"/>
              <w:textAlignment w:val="center"/>
              <w:rPr>
                <w:rFonts w:hint="eastAsia" w:ascii="宋体" w:hAnsi="宋体" w:eastAsia="宋体" w:cs="宋体"/>
                <w:color w:val="auto"/>
                <w:kern w:val="2"/>
                <w:sz w:val="22"/>
                <w:szCs w:val="22"/>
                <w:highlight w:val="none"/>
                <w:lang w:val="en-US" w:eastAsia="zh-CN" w:bidi="ar-SA"/>
              </w:rPr>
            </w:pPr>
          </w:p>
        </w:tc>
        <w:tc>
          <w:tcPr>
            <w:tcW w:w="837" w:type="dxa"/>
            <w:vMerge w:val="restart"/>
            <w:noWrap w:val="0"/>
            <w:vAlign w:val="center"/>
          </w:tcPr>
          <w:p w14:paraId="23B6FD65">
            <w:pPr>
              <w:widowControl/>
              <w:jc w:val="center"/>
              <w:textAlignment w:val="center"/>
              <w:rPr>
                <w:rFonts w:hint="eastAsia" w:ascii="宋体" w:hAnsi="宋体" w:eastAsia="宋体" w:cs="宋体"/>
                <w:color w:val="auto"/>
                <w:kern w:val="0"/>
                <w:sz w:val="22"/>
                <w:szCs w:val="22"/>
                <w:highlight w:val="none"/>
                <w:lang w:bidi="ar"/>
              </w:rPr>
            </w:pPr>
            <w:r>
              <w:rPr>
                <w:rFonts w:hint="eastAsia" w:ascii="宋体" w:hAnsi="宋体" w:cs="宋体"/>
                <w:color w:val="000000"/>
                <w:kern w:val="0"/>
                <w:sz w:val="22"/>
                <w:szCs w:val="22"/>
                <w:highlight w:val="none"/>
                <w:lang w:bidi="ar"/>
              </w:rPr>
              <w:t>敏感数据存储区-等保相关设备</w:t>
            </w:r>
          </w:p>
        </w:tc>
        <w:tc>
          <w:tcPr>
            <w:tcW w:w="1316" w:type="dxa"/>
            <w:noWrap w:val="0"/>
            <w:vAlign w:val="center"/>
          </w:tcPr>
          <w:p w14:paraId="42D2E50C">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数据库审计</w:t>
            </w:r>
          </w:p>
        </w:tc>
        <w:tc>
          <w:tcPr>
            <w:tcW w:w="4228" w:type="dxa"/>
            <w:noWrap w:val="0"/>
            <w:vAlign w:val="center"/>
          </w:tcPr>
          <w:p w14:paraId="2C2BFB5E">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★性能参数：最大硬件吞吐量</w:t>
            </w:r>
            <w:r>
              <w:rPr>
                <w:rFonts w:hint="eastAsia" w:ascii="宋体" w:hAnsi="宋体" w:eastAsia="宋体" w:cs="宋体"/>
                <w:color w:val="auto"/>
                <w:kern w:val="0"/>
                <w:sz w:val="22"/>
                <w:szCs w:val="22"/>
                <w:highlight w:val="none"/>
                <w:lang w:val="en-US" w:eastAsia="zh-CN" w:bidi="ar"/>
              </w:rPr>
              <w:t>≥3</w:t>
            </w:r>
            <w:r>
              <w:rPr>
                <w:rFonts w:hint="eastAsia" w:ascii="宋体" w:hAnsi="宋体" w:eastAsia="宋体" w:cs="宋体"/>
                <w:color w:val="auto"/>
                <w:kern w:val="0"/>
                <w:sz w:val="22"/>
                <w:szCs w:val="22"/>
                <w:highlight w:val="none"/>
                <w:lang w:bidi="ar"/>
              </w:rPr>
              <w:t>Gbps，最大数据库纯SQL流量</w:t>
            </w:r>
            <w:r>
              <w:rPr>
                <w:rFonts w:hint="eastAsia" w:ascii="宋体" w:hAnsi="宋体" w:eastAsia="宋体" w:cs="宋体"/>
                <w:color w:val="auto"/>
                <w:kern w:val="0"/>
                <w:sz w:val="22"/>
                <w:szCs w:val="22"/>
                <w:highlight w:val="none"/>
                <w:lang w:val="en-US" w:eastAsia="zh-CN" w:bidi="ar"/>
              </w:rPr>
              <w:t>≥</w:t>
            </w:r>
            <w:r>
              <w:rPr>
                <w:rFonts w:hint="eastAsia" w:ascii="宋体" w:hAnsi="宋体" w:eastAsia="宋体" w:cs="宋体"/>
                <w:color w:val="auto"/>
                <w:kern w:val="0"/>
                <w:sz w:val="22"/>
                <w:szCs w:val="22"/>
                <w:highlight w:val="none"/>
                <w:lang w:bidi="ar"/>
              </w:rPr>
              <w:t>400Mb/s，</w:t>
            </w:r>
            <w:r>
              <w:rPr>
                <w:rFonts w:hint="eastAsia" w:ascii="宋体" w:hAnsi="宋体" w:eastAsia="宋体" w:cs="宋体"/>
                <w:color w:val="auto"/>
                <w:kern w:val="0"/>
                <w:sz w:val="22"/>
                <w:szCs w:val="22"/>
                <w:highlight w:val="none"/>
                <w:lang w:val="en-US" w:eastAsia="zh-CN" w:bidi="ar"/>
              </w:rPr>
              <w:t>不限制</w:t>
            </w:r>
            <w:r>
              <w:rPr>
                <w:rFonts w:hint="eastAsia" w:ascii="宋体" w:hAnsi="宋体" w:eastAsia="宋体" w:cs="宋体"/>
                <w:color w:val="auto"/>
                <w:kern w:val="0"/>
                <w:sz w:val="22"/>
                <w:szCs w:val="22"/>
                <w:highlight w:val="none"/>
                <w:lang w:bidi="ar"/>
              </w:rPr>
              <w:t>数据库实例，SQL处理性能</w:t>
            </w:r>
            <w:r>
              <w:rPr>
                <w:rFonts w:hint="eastAsia" w:ascii="宋体" w:hAnsi="宋体" w:eastAsia="宋体" w:cs="宋体"/>
                <w:color w:val="auto"/>
                <w:kern w:val="0"/>
                <w:sz w:val="22"/>
                <w:szCs w:val="22"/>
                <w:highlight w:val="none"/>
                <w:lang w:val="en-US" w:eastAsia="zh-CN" w:bidi="ar"/>
              </w:rPr>
              <w:t>≥</w:t>
            </w:r>
            <w:r>
              <w:rPr>
                <w:rFonts w:hint="eastAsia" w:ascii="宋体" w:hAnsi="宋体" w:eastAsia="宋体" w:cs="宋体"/>
                <w:color w:val="auto"/>
                <w:kern w:val="0"/>
                <w:sz w:val="22"/>
                <w:szCs w:val="22"/>
                <w:highlight w:val="none"/>
                <w:lang w:bidi="ar"/>
              </w:rPr>
              <w:t>30000条SQL/s，日志检索性能</w:t>
            </w:r>
            <w:r>
              <w:rPr>
                <w:rFonts w:hint="eastAsia" w:ascii="宋体" w:hAnsi="宋体" w:eastAsia="宋体" w:cs="宋体"/>
                <w:color w:val="auto"/>
                <w:kern w:val="0"/>
                <w:sz w:val="22"/>
                <w:szCs w:val="22"/>
                <w:highlight w:val="none"/>
                <w:lang w:val="en-US" w:eastAsia="zh-CN" w:bidi="ar"/>
              </w:rPr>
              <w:t>≥6</w:t>
            </w:r>
            <w:r>
              <w:rPr>
                <w:rFonts w:hint="eastAsia" w:ascii="宋体" w:hAnsi="宋体" w:eastAsia="宋体" w:cs="宋体"/>
                <w:color w:val="auto"/>
                <w:kern w:val="0"/>
                <w:sz w:val="22"/>
                <w:szCs w:val="22"/>
                <w:highlight w:val="none"/>
                <w:lang w:bidi="ar"/>
              </w:rPr>
              <w:t>00000条/秒。</w:t>
            </w:r>
          </w:p>
          <w:p w14:paraId="29DE98C6">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bidi="ar"/>
              </w:rPr>
              <w:t>★硬件参数：规格</w:t>
            </w:r>
            <w:r>
              <w:rPr>
                <w:rFonts w:hint="eastAsia" w:ascii="宋体" w:hAnsi="宋体" w:eastAsia="宋体" w:cs="宋体"/>
                <w:color w:val="auto"/>
                <w:kern w:val="0"/>
                <w:sz w:val="22"/>
                <w:szCs w:val="22"/>
                <w:highlight w:val="none"/>
                <w:lang w:val="en-US" w:eastAsia="zh-CN" w:bidi="ar"/>
              </w:rPr>
              <w:t>≥</w:t>
            </w:r>
            <w:r>
              <w:rPr>
                <w:rFonts w:hint="eastAsia" w:ascii="宋体" w:hAnsi="宋体" w:eastAsia="宋体" w:cs="宋体"/>
                <w:color w:val="auto"/>
                <w:kern w:val="0"/>
                <w:sz w:val="22"/>
                <w:szCs w:val="22"/>
                <w:highlight w:val="none"/>
                <w:lang w:bidi="ar"/>
              </w:rPr>
              <w:t>2U，内存</w:t>
            </w:r>
            <w:r>
              <w:rPr>
                <w:rFonts w:hint="eastAsia" w:ascii="宋体" w:hAnsi="宋体" w:eastAsia="宋体" w:cs="宋体"/>
                <w:color w:val="auto"/>
                <w:kern w:val="0"/>
                <w:sz w:val="22"/>
                <w:szCs w:val="22"/>
                <w:highlight w:val="none"/>
                <w:lang w:val="en-US" w:eastAsia="zh-CN" w:bidi="ar"/>
              </w:rPr>
              <w:t>≥</w:t>
            </w:r>
            <w:r>
              <w:rPr>
                <w:rFonts w:hint="eastAsia" w:ascii="宋体" w:hAnsi="宋体" w:eastAsia="宋体" w:cs="宋体"/>
                <w:color w:val="auto"/>
                <w:kern w:val="0"/>
                <w:sz w:val="22"/>
                <w:szCs w:val="22"/>
                <w:highlight w:val="none"/>
                <w:lang w:bidi="ar"/>
              </w:rPr>
              <w:t>8G，硬盘</w:t>
            </w:r>
            <w:r>
              <w:rPr>
                <w:rFonts w:hint="eastAsia" w:ascii="宋体" w:hAnsi="宋体" w:eastAsia="宋体" w:cs="宋体"/>
                <w:color w:val="auto"/>
                <w:kern w:val="0"/>
                <w:sz w:val="22"/>
                <w:szCs w:val="22"/>
                <w:highlight w:val="none"/>
                <w:lang w:val="en-US" w:eastAsia="zh-CN" w:bidi="ar"/>
              </w:rPr>
              <w:t>≥</w:t>
            </w:r>
            <w:r>
              <w:rPr>
                <w:rFonts w:hint="eastAsia" w:ascii="宋体" w:hAnsi="宋体" w:eastAsia="宋体" w:cs="宋体"/>
                <w:color w:val="auto"/>
                <w:kern w:val="0"/>
                <w:sz w:val="22"/>
                <w:szCs w:val="22"/>
                <w:highlight w:val="none"/>
                <w:lang w:bidi="ar"/>
              </w:rPr>
              <w:t>4T SATA，电源：单电源，接口</w:t>
            </w:r>
            <w:r>
              <w:rPr>
                <w:rFonts w:hint="eastAsia" w:ascii="宋体" w:hAnsi="宋体" w:eastAsia="宋体" w:cs="宋体"/>
                <w:color w:val="auto"/>
                <w:kern w:val="0"/>
                <w:sz w:val="22"/>
                <w:szCs w:val="22"/>
                <w:highlight w:val="none"/>
                <w:lang w:val="en-US" w:eastAsia="zh-CN" w:bidi="ar"/>
              </w:rPr>
              <w:t>≥</w:t>
            </w:r>
            <w:r>
              <w:rPr>
                <w:rFonts w:hint="eastAsia" w:ascii="宋体" w:hAnsi="宋体" w:eastAsia="宋体" w:cs="宋体"/>
                <w:color w:val="auto"/>
                <w:kern w:val="0"/>
                <w:sz w:val="22"/>
                <w:szCs w:val="22"/>
                <w:highlight w:val="none"/>
                <w:lang w:bidi="ar"/>
              </w:rPr>
              <w:t>6千兆电口。</w:t>
            </w:r>
          </w:p>
          <w:p w14:paraId="790F49CA">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bidi="ar"/>
              </w:rPr>
              <w:t>★</w:t>
            </w:r>
            <w:r>
              <w:rPr>
                <w:rFonts w:hint="eastAsia" w:ascii="宋体" w:hAnsi="宋体" w:eastAsia="宋体" w:cs="宋体"/>
                <w:color w:val="auto"/>
                <w:kern w:val="0"/>
                <w:sz w:val="22"/>
                <w:szCs w:val="22"/>
                <w:highlight w:val="none"/>
                <w:lang w:val="en-US" w:eastAsia="zh-CN" w:bidi="ar"/>
              </w:rPr>
              <w:t>产品CPU和操作系统符合安全可靠测评公告要求</w:t>
            </w:r>
          </w:p>
          <w:p w14:paraId="43798365">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支持主流数据库Oracle、SQL-Server、DB2、MySQL、Informix、Sybase、Postgresql、Cache、达梦、人大金仓、MongDB、K-DB、虚谷</w:t>
            </w:r>
          </w:p>
          <w:p w14:paraId="547E938E">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深度解码数据库网络传输协议，完整记录用户数据库会话细节，包括发生时间、源IP、源端口、源MAC、目的IP、目的端口、数据库用户、数据库类型、操作类型、SQL语句、SQL模版、客户端程序名、响应码、影响行数、返回行数、SQL预计响应时间；</w:t>
            </w:r>
          </w:p>
          <w:p w14:paraId="3ECF7A08">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支持精细化日志秒级查询，通过SQL串模式抽取保障磁盘IO的读写性能；分离式存储SQL语句保障数据审计速度快</w:t>
            </w:r>
          </w:p>
          <w:p w14:paraId="185498D8">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内置大量SQL安全规则，包括如下：导出方式窃取、备份方式窃取、导出可执行程序、备份方式写入恶意代码、系统命令执行、读注册表、写注册表、暴露系统信息、高权存储过程、执行本地代码、常见运维工具使用grant、业务系统使用grant、客户端sp_addrolemember提权、web端sp_addrolemember提权、查询内置敏感表、篡改内置敏感表等；</w:t>
            </w:r>
          </w:p>
          <w:p w14:paraId="065C763D">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数据库威胁分析，可以通过自定义交互分析设置正常访问和异常访问视图、数据库泄密分析、图形化泄密轨迹分析、数据窃取、数据库风险、外发数据人员、受攻击业务系统、风险总次数这几个维度实时监控内网数据威胁态势并且提供交互式分析视图帮助企业快速溯源；</w:t>
            </w:r>
          </w:p>
          <w:p w14:paraId="55A247DF">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提供管理员权限设置和分权管理，提供三权分立功能，系统可以对使用人员的操作进行审计记录，可以由审计员进行查询，具有自身安全审计功能；</w:t>
            </w:r>
          </w:p>
          <w:p w14:paraId="1C8AD838">
            <w:pPr>
              <w:widowControl/>
              <w:numPr>
                <w:ilvl w:val="0"/>
                <w:numId w:val="8"/>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支持SNMP方式，提供系统运行状态给第三方网管系统；支持Syslog方式向外发送审计日志；</w:t>
            </w:r>
          </w:p>
        </w:tc>
        <w:tc>
          <w:tcPr>
            <w:tcW w:w="766" w:type="dxa"/>
            <w:noWrap w:val="0"/>
            <w:vAlign w:val="center"/>
          </w:tcPr>
          <w:p w14:paraId="099213EF">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5297856C">
            <w:pPr>
              <w:widowControl/>
              <w:numPr>
                <w:ilvl w:val="0"/>
                <w:numId w:val="0"/>
              </w:numPr>
              <w:ind w:left="0" w:leftChars="0" w:firstLine="0" w:firstLineChars="0"/>
              <w:jc w:val="center"/>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bidi="ar"/>
              </w:rPr>
              <w:t>套</w:t>
            </w:r>
          </w:p>
        </w:tc>
      </w:tr>
      <w:tr w14:paraId="69F93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2A910122">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7</w:t>
            </w:r>
          </w:p>
        </w:tc>
        <w:tc>
          <w:tcPr>
            <w:tcW w:w="837" w:type="dxa"/>
            <w:vMerge w:val="continue"/>
            <w:noWrap w:val="0"/>
            <w:vAlign w:val="center"/>
          </w:tcPr>
          <w:p w14:paraId="6ADE5BFD">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036C5E35">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终端安全及防病毒（EDR）</w:t>
            </w:r>
          </w:p>
        </w:tc>
        <w:tc>
          <w:tcPr>
            <w:tcW w:w="4228" w:type="dxa"/>
            <w:noWrap w:val="0"/>
            <w:vAlign w:val="center"/>
          </w:tcPr>
          <w:p w14:paraId="4318307B">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w:t>
            </w:r>
            <w:r>
              <w:rPr>
                <w:rFonts w:hint="eastAsia" w:ascii="宋体" w:hAnsi="宋体" w:eastAsia="宋体" w:cs="宋体"/>
                <w:color w:val="auto"/>
                <w:kern w:val="0"/>
                <w:sz w:val="22"/>
                <w:szCs w:val="22"/>
                <w:highlight w:val="none"/>
                <w:lang w:val="en-US" w:eastAsia="zh-CN" w:bidi="ar"/>
              </w:rPr>
              <w:t>提供不少于100点软件授权</w:t>
            </w:r>
          </w:p>
          <w:p w14:paraId="0B46DFDC">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采用B/S架构的管理控制中心，具备终端安全可视，终端统一管理，统一威胁处置，统一漏洞修复，威胁响应处置，日志记录与查询等功能</w:t>
            </w:r>
          </w:p>
          <w:p w14:paraId="353FA378">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提供勒索病毒整体防护体系入口，直观展示最近七天勒索病毒防护效果，包</w:t>
            </w:r>
            <w:r>
              <w:rPr>
                <w:rFonts w:hint="eastAsia" w:ascii="宋体" w:hAnsi="宋体" w:eastAsia="宋体" w:cs="宋体"/>
                <w:color w:val="auto"/>
                <w:kern w:val="0"/>
                <w:sz w:val="22"/>
                <w:szCs w:val="22"/>
                <w:highlight w:val="none"/>
                <w:lang w:eastAsia="zh-CN" w:bidi="ar"/>
              </w:rPr>
              <w:t>括</w:t>
            </w:r>
            <w:r>
              <w:rPr>
                <w:rFonts w:hint="eastAsia" w:ascii="宋体" w:hAnsi="宋体" w:eastAsia="宋体" w:cs="宋体"/>
                <w:color w:val="auto"/>
                <w:kern w:val="0"/>
                <w:sz w:val="22"/>
                <w:szCs w:val="22"/>
                <w:highlight w:val="none"/>
                <w:lang w:bidi="ar"/>
              </w:rPr>
              <w:t xml:space="preserve">已处置的恶意文件数量、已拦截可疑行为次数、已阻止的未知进程操作次数、已阻止的暴力破解攻击次数 </w:t>
            </w:r>
            <w:r>
              <w:rPr>
                <w:rFonts w:hint="eastAsia" w:ascii="宋体" w:hAnsi="宋体" w:eastAsia="宋体" w:cs="宋体"/>
                <w:color w:val="auto"/>
                <w:kern w:val="0"/>
                <w:sz w:val="22"/>
                <w:szCs w:val="22"/>
                <w:highlight w:val="none"/>
                <w:lang w:eastAsia="zh-CN" w:bidi="ar"/>
              </w:rPr>
              <w:t>；</w:t>
            </w:r>
          </w:p>
          <w:p w14:paraId="5FC73327">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支持终端自动分组管理，新接入的终端可以根据网段自动分配到对应的分组</w:t>
            </w:r>
          </w:p>
          <w:p w14:paraId="6806B870">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基于系统内置弱密码字典和自定义弱密码字典的检查功能，弱密码检测支持至少包括SSH、RDP、MySQL、Tomcat、Redis等应用类型，可按照空密码、自定义弱密码、密码长度小于8、字符种类小于3等常见弱密码类型进行分类查看</w:t>
            </w:r>
            <w:r>
              <w:rPr>
                <w:rFonts w:hint="eastAsia" w:ascii="宋体" w:hAnsi="宋体" w:eastAsia="宋体" w:cs="宋体"/>
                <w:color w:val="auto"/>
                <w:kern w:val="0"/>
                <w:sz w:val="22"/>
                <w:szCs w:val="22"/>
                <w:highlight w:val="none"/>
                <w:lang w:eastAsia="zh-CN" w:bidi="ar"/>
              </w:rPr>
              <w:t>；</w:t>
            </w:r>
          </w:p>
          <w:p w14:paraId="15AB7672">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支持windows服务器RDP远程登录保护，可开启RDP远程登录二次认证，以防止黑客对服务器的入侵</w:t>
            </w:r>
            <w:r>
              <w:rPr>
                <w:rFonts w:hint="eastAsia" w:ascii="宋体" w:hAnsi="宋体" w:eastAsia="宋体" w:cs="宋体"/>
                <w:color w:val="auto"/>
                <w:kern w:val="0"/>
                <w:sz w:val="22"/>
                <w:szCs w:val="22"/>
                <w:highlight w:val="none"/>
                <w:lang w:eastAsia="zh-CN" w:bidi="ar"/>
              </w:rPr>
              <w:t>；</w:t>
            </w:r>
          </w:p>
          <w:p w14:paraId="425D9219">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支持对Windows停更的系统提供专项防护，包括0day漏洞防护、文件防护、暴破入侵防护、系统脆弱点识别和风险端口封堵等多项核心功能</w:t>
            </w:r>
            <w:r>
              <w:rPr>
                <w:rFonts w:hint="eastAsia" w:ascii="宋体" w:hAnsi="宋体" w:eastAsia="宋体" w:cs="宋体"/>
                <w:color w:val="auto"/>
                <w:kern w:val="0"/>
                <w:sz w:val="22"/>
                <w:szCs w:val="22"/>
                <w:highlight w:val="none"/>
                <w:lang w:eastAsia="zh-CN" w:bidi="ar"/>
              </w:rPr>
              <w:t>；</w:t>
            </w:r>
          </w:p>
          <w:p w14:paraId="195FF2FD">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支持Linux 主机和 Windows 主机应用弱密码检测，结合自有算法和弱密码库判断应用是否包含弱密码</w:t>
            </w:r>
            <w:r>
              <w:rPr>
                <w:rFonts w:hint="eastAsia" w:ascii="宋体" w:hAnsi="宋体" w:eastAsia="宋体" w:cs="宋体"/>
                <w:color w:val="auto"/>
                <w:kern w:val="0"/>
                <w:sz w:val="22"/>
                <w:szCs w:val="22"/>
                <w:highlight w:val="none"/>
                <w:lang w:eastAsia="zh-CN" w:bidi="ar"/>
              </w:rPr>
              <w:t>；</w:t>
            </w:r>
          </w:p>
          <w:p w14:paraId="52C832FA">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支持勒索风险管理，基于部署在服务器上的轻量防护插件，能持续有效评估服务器资产上的勒索风险，包括勒索利用端口、应用弱密码和勒索风险漏洞等，为加固风险提供数据支撑</w:t>
            </w:r>
            <w:r>
              <w:rPr>
                <w:rFonts w:hint="eastAsia" w:ascii="宋体" w:hAnsi="宋体" w:eastAsia="宋体" w:cs="宋体"/>
                <w:color w:val="auto"/>
                <w:kern w:val="0"/>
                <w:sz w:val="22"/>
                <w:szCs w:val="22"/>
                <w:highlight w:val="none"/>
                <w:lang w:val="en-US" w:eastAsia="zh-CN" w:bidi="ar"/>
              </w:rPr>
              <w:t>；</w:t>
            </w:r>
          </w:p>
          <w:p w14:paraId="41DFBCA8">
            <w:pPr>
              <w:widowControl/>
              <w:numPr>
                <w:ilvl w:val="0"/>
                <w:numId w:val="9"/>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bidi="ar"/>
              </w:rPr>
              <w:t>支持轻补丁漏洞免疫功能。可直接在内存里对有漏洞的代码进行修复，避免遭受漏洞攻击，提高业务无感知的轻补丁修复能力</w:t>
            </w:r>
            <w:r>
              <w:rPr>
                <w:rFonts w:hint="eastAsia" w:ascii="宋体" w:hAnsi="宋体" w:eastAsia="宋体" w:cs="宋体"/>
                <w:color w:val="auto"/>
                <w:kern w:val="0"/>
                <w:sz w:val="22"/>
                <w:szCs w:val="22"/>
                <w:highlight w:val="none"/>
                <w:lang w:eastAsia="zh-CN" w:bidi="ar"/>
              </w:rPr>
              <w:t>。</w:t>
            </w:r>
          </w:p>
        </w:tc>
        <w:tc>
          <w:tcPr>
            <w:tcW w:w="766" w:type="dxa"/>
            <w:noWrap w:val="0"/>
            <w:vAlign w:val="center"/>
          </w:tcPr>
          <w:p w14:paraId="07CAA818">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4160ABFA">
            <w:pPr>
              <w:widowControl/>
              <w:numPr>
                <w:ilvl w:val="0"/>
                <w:numId w:val="0"/>
              </w:numPr>
              <w:ind w:left="0" w:leftChars="0" w:firstLine="0" w:firstLineChars="0"/>
              <w:jc w:val="center"/>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bidi="ar"/>
              </w:rPr>
              <w:t>套</w:t>
            </w:r>
          </w:p>
        </w:tc>
      </w:tr>
      <w:tr w14:paraId="0A627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7E01784E">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8</w:t>
            </w:r>
          </w:p>
        </w:tc>
        <w:tc>
          <w:tcPr>
            <w:tcW w:w="837" w:type="dxa"/>
            <w:vMerge w:val="continue"/>
            <w:noWrap w:val="0"/>
            <w:vAlign w:val="center"/>
          </w:tcPr>
          <w:p w14:paraId="048F5D93">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0567B950">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日志审计</w:t>
            </w:r>
          </w:p>
        </w:tc>
        <w:tc>
          <w:tcPr>
            <w:tcW w:w="4228" w:type="dxa"/>
            <w:noWrap w:val="0"/>
            <w:vAlign w:val="center"/>
          </w:tcPr>
          <w:p w14:paraId="0D93F7E9">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★性能参数：包含主机审计许可证书数量≥100，可用存储量≥4TB，平均每秒处理日志数（eps）最大性能≥2500。</w:t>
            </w:r>
          </w:p>
          <w:p w14:paraId="0553E8E8">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★硬件参数：规格≥2U，内存≥16G，硬盘≥4T SATA，电源：冗余电源，接口≥6千兆电口+2万兆光口SFP+。</w:t>
            </w:r>
          </w:p>
          <w:p w14:paraId="26693DC1">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★产品CPU和操作系统符合安全可靠测评公告要求</w:t>
            </w:r>
          </w:p>
          <w:p w14:paraId="3F7A752A">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支持TLS加密方式进行日志传输，支持日志传输状态、最近同步时间进行监控，可统计每个日志源的今日传输量和传输总量。</w:t>
            </w:r>
          </w:p>
          <w:p w14:paraId="66BABEAF">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支持SM3国密算法，保障日志完整性，可以有效防止日志篡改等攻击行为</w:t>
            </w:r>
          </w:p>
          <w:p w14:paraId="69EF3E25">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支持主动、被动相结合的数据采集方式，支持通过Agent采集日志数据，支持通过syslog、SNMP Trap、JDBC、WMI、webservice、FTP、SFTP、文件\文件夹读取、Kafka等多种方式完成日志收集；</w:t>
            </w:r>
          </w:p>
          <w:p w14:paraId="1E5E656F">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支持自定义过滤条件检索，支持对模糊ip、多个ip、ip地址段、应用、协议、MAC地址等其他字段精准检索，至少支持AND、OR、NOT三种运算符；</w:t>
            </w:r>
          </w:p>
          <w:p w14:paraId="128CA99F">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支持预置审计策略模板，包括：Windows主机类审计策略模板、Linux/Unix主机类审计策略模板、数据库系统类审计策略模板等，内置审计规则数量不少于40条。</w:t>
            </w:r>
          </w:p>
          <w:p w14:paraId="70A3C631">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可视化展示，包括数据分布、安全事件趋势图、关联规则告警趋势图、接入设备概况等，可提供设备专项分析场景。如防火墙外部攻击场景分析、VPN账号异常场景分析、Windows服务器主机异常场景分析等，通过设备专项页面对每一台设备安全情况深度专业化分析。</w:t>
            </w:r>
          </w:p>
          <w:p w14:paraId="5BAFD81E">
            <w:pPr>
              <w:widowControl/>
              <w:numPr>
                <w:ilvl w:val="0"/>
                <w:numId w:val="10"/>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支持等保合规检测，用户可自查设备是否满足等保要求。</w:t>
            </w:r>
          </w:p>
        </w:tc>
        <w:tc>
          <w:tcPr>
            <w:tcW w:w="766" w:type="dxa"/>
            <w:noWrap w:val="0"/>
            <w:vAlign w:val="center"/>
          </w:tcPr>
          <w:p w14:paraId="4BE3F855">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17D8F1D9">
            <w:pPr>
              <w:widowControl/>
              <w:numPr>
                <w:ilvl w:val="0"/>
                <w:numId w:val="0"/>
              </w:numPr>
              <w:ind w:left="0" w:leftChars="0" w:firstLine="0" w:firstLineChars="0"/>
              <w:jc w:val="center"/>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bidi="ar"/>
              </w:rPr>
              <w:t>套</w:t>
            </w:r>
          </w:p>
        </w:tc>
      </w:tr>
      <w:tr w14:paraId="3964B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61047E93">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9</w:t>
            </w:r>
          </w:p>
        </w:tc>
        <w:tc>
          <w:tcPr>
            <w:tcW w:w="837" w:type="dxa"/>
            <w:vMerge w:val="restart"/>
            <w:shd w:val="clear" w:color="auto" w:fill="FFFFFF"/>
            <w:noWrap w:val="0"/>
            <w:vAlign w:val="center"/>
          </w:tcPr>
          <w:p w14:paraId="478674AB">
            <w:pPr>
              <w:widowControl/>
              <w:jc w:val="center"/>
              <w:textAlignment w:val="center"/>
              <w:rPr>
                <w:rFonts w:hint="eastAsia" w:ascii="宋体" w:hAnsi="宋体" w:cs="宋体"/>
                <w:color w:val="000000"/>
                <w:kern w:val="2"/>
                <w:sz w:val="22"/>
                <w:szCs w:val="22"/>
                <w:highlight w:val="none"/>
                <w:lang w:val="en-US" w:eastAsia="zh-CN" w:bidi="ar-SA"/>
              </w:rPr>
            </w:pPr>
            <w:r>
              <w:rPr>
                <w:rFonts w:hint="eastAsia" w:ascii="宋体" w:hAnsi="宋体" w:cs="宋体"/>
                <w:color w:val="000000"/>
                <w:kern w:val="0"/>
                <w:sz w:val="22"/>
                <w:szCs w:val="22"/>
                <w:highlight w:val="none"/>
                <w:lang w:bidi="ar"/>
              </w:rPr>
              <w:t>敏感数据存储区-密改相关设备</w:t>
            </w:r>
          </w:p>
        </w:tc>
        <w:tc>
          <w:tcPr>
            <w:tcW w:w="1316" w:type="dxa"/>
            <w:noWrap w:val="0"/>
            <w:vAlign w:val="center"/>
          </w:tcPr>
          <w:p w14:paraId="5F755744">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下一代防火墙</w:t>
            </w:r>
          </w:p>
        </w:tc>
        <w:tc>
          <w:tcPr>
            <w:tcW w:w="4228" w:type="dxa"/>
            <w:noWrap w:val="0"/>
            <w:vAlign w:val="center"/>
          </w:tcPr>
          <w:p w14:paraId="545CC324">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★性能参数：网络层吞吐量≥20G，应用层吞吐量≥15G，并发连接数≥350万，HTTP新建连接数≥16万。</w:t>
            </w:r>
          </w:p>
          <w:p w14:paraId="2FCB4C7B">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★硬件参数：规格≥1U，内存≥8G，硬盘≥128G SSD，电源：单电源，接口≥6千兆电口。</w:t>
            </w:r>
          </w:p>
          <w:p w14:paraId="5B3FB6CE">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★产品CPU和操作系统符合安全可靠测评公告要求。</w:t>
            </w:r>
          </w:p>
          <w:p w14:paraId="64FF10AD">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支持路由模式、透明模式、虚拟网线模式、旁路镜像模式等多种部署方式。</w:t>
            </w:r>
          </w:p>
          <w:p w14:paraId="43169D08">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支持链路连通性检查功能，支持基于3种以上协议对链路连通性进行探测，探测协议至少包括DNS解析、ARP探测、PING和BFD等方式。</w:t>
            </w:r>
          </w:p>
          <w:p w14:paraId="3488B886">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支持NAT44 、NAT64、NAT66地址转换方式。</w:t>
            </w:r>
          </w:p>
          <w:p w14:paraId="34A28A62">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支持对不少于9000种应用的识别和控制，应用类型包括游戏、购物、图书百科、工作招聘、P2P下载、聊天工具、旅游出行、股票软件等类型应用进行检测与控制。</w:t>
            </w:r>
          </w:p>
          <w:p w14:paraId="7F6F07CA">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支持异常数据包攻击防御，防护类型包括IP数据块分片传输防护、Teardrop攻击防护、Smurf攻击防护、Land攻击防护、WinNuke攻击防护等攻击类型。</w:t>
            </w:r>
          </w:p>
          <w:p w14:paraId="063B0292">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支持管控非法、违规网站的访问行为，具备海量的URL分类库。</w:t>
            </w:r>
          </w:p>
          <w:p w14:paraId="40ACC19C">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支持对SMTP、HTTP、FTP、SMB、POP3、HTTPS、IMAP等协议进行病毒防御。（需提供产品功能截图证明）</w:t>
            </w:r>
          </w:p>
          <w:p w14:paraId="4FB21857">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支持勒索病毒检测与防御功能，需提供产品功能截图证明。</w:t>
            </w:r>
          </w:p>
          <w:p w14:paraId="7C865ACB">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内置不低于13000种漏洞规则，同时支持在控制台界面通过漏洞ID、漏洞名称、危险等级、漏洞CVE标识、漏洞描述等条件查询漏洞特征信息，支持用户自定义IPS规则。</w:t>
            </w:r>
          </w:p>
          <w:p w14:paraId="21B7017D">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支持Cookie攻击防护功能，并通过日志记录Cookie被篡改。</w:t>
            </w:r>
          </w:p>
          <w:p w14:paraId="4B2CED16">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支持服务器漏洞防扫描功能，开启功能后，在对服务器进行扫描攻击时，主动进行拦截，并对扫描行为进行记录方便溯源。</w:t>
            </w:r>
          </w:p>
          <w:p w14:paraId="7C77C1A5">
            <w:pPr>
              <w:widowControl/>
              <w:numPr>
                <w:ilvl w:val="0"/>
                <w:numId w:val="0"/>
              </w:numPr>
              <w:ind w:leftChars="0"/>
              <w:jc w:val="left"/>
              <w:textAlignment w:val="center"/>
              <w:rPr>
                <w:rFonts w:hint="eastAsia" w:ascii="宋体" w:hAnsi="宋体" w:eastAsia="宋体" w:cs="宋体"/>
                <w:color w:val="auto"/>
                <w:kern w:val="0"/>
                <w:sz w:val="22"/>
                <w:szCs w:val="22"/>
                <w:highlight w:val="none"/>
                <w:lang w:val="en-US" w:eastAsia="zh-CN" w:bidi="ar"/>
              </w:rPr>
            </w:pPr>
          </w:p>
          <w:p w14:paraId="698BDA7E">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支持高危行为联动封锁，通过AI智能引擎自动分析研判网络侧的高危行为，对识别为威胁的流量进行阻断，并保留分析和处理日志。</w:t>
            </w:r>
          </w:p>
          <w:p w14:paraId="7882F077">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支持与本次采购的终端安全及防病毒软件进行协同防护，在防火墙上发现恶意流量后可以联动杀毒进行病毒查杀。</w:t>
            </w:r>
          </w:p>
          <w:p w14:paraId="6504AB66">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支持针对木马远控、勒索软件通信、恶意链接的防护。</w:t>
            </w:r>
          </w:p>
          <w:p w14:paraId="1CE33465">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为了保障设备的使用效果，需配置一名安全专家作为专属服务经理，提供持续在线服务，安全专家需为招标方创建专属的服务微信群，对招标方咨询或上报的安全问题进行及时响应并给出建议。</w:t>
            </w:r>
          </w:p>
          <w:p w14:paraId="4E3C95A8">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节假日期间有应急专家在线服务，对发生的重大安全事件进行7*24H响应，并在节假日期间每日进行值守总结，在服务群发送节假日值守总结快报。</w:t>
            </w:r>
          </w:p>
          <w:p w14:paraId="370052F8">
            <w:pPr>
              <w:widowControl/>
              <w:numPr>
                <w:ilvl w:val="0"/>
                <w:numId w:val="1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针对重大安全事件需有后端应急专家7*24H快速响应支撑，帮助对事件进行紧急遏制、分析事件的影响范围、针对事件发生原因进行溯源排查、提供对应的安全加固方案等，并通过服务群发送安全事件的响应情况通告。</w:t>
            </w:r>
          </w:p>
        </w:tc>
        <w:tc>
          <w:tcPr>
            <w:tcW w:w="766" w:type="dxa"/>
            <w:noWrap w:val="0"/>
            <w:vAlign w:val="center"/>
          </w:tcPr>
          <w:p w14:paraId="4C10BE7C">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1767E75C">
            <w:pPr>
              <w:widowControl/>
              <w:numPr>
                <w:ilvl w:val="0"/>
                <w:numId w:val="0"/>
              </w:numPr>
              <w:ind w:left="0" w:leftChars="0" w:firstLine="0" w:firstLineChars="0"/>
              <w:jc w:val="center"/>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bidi="ar"/>
              </w:rPr>
              <w:t>套</w:t>
            </w:r>
          </w:p>
        </w:tc>
      </w:tr>
      <w:tr w14:paraId="1E195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0784554C">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10</w:t>
            </w:r>
          </w:p>
        </w:tc>
        <w:tc>
          <w:tcPr>
            <w:tcW w:w="837" w:type="dxa"/>
            <w:vMerge w:val="continue"/>
            <w:noWrap w:val="0"/>
            <w:vAlign w:val="center"/>
          </w:tcPr>
          <w:p w14:paraId="31E98B0D">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74272239">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门禁一体机</w:t>
            </w:r>
          </w:p>
        </w:tc>
        <w:tc>
          <w:tcPr>
            <w:tcW w:w="4228" w:type="dxa"/>
            <w:noWrap w:val="0"/>
            <w:vAlign w:val="center"/>
          </w:tcPr>
          <w:p w14:paraId="54AF88EA">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设备采用嵌入式 linux 系统。</w:t>
            </w:r>
          </w:p>
          <w:p w14:paraId="2B4EAC0B">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屏幕应为 7 英寸触摸屏；应采用水滴屏全贴合工艺；玻璃屏占比≥90%。屏幕流明度≥600cd/m2；屏幕分辨率应不低于600*1024；屏显下端应具有圆形指示灯，指示灯应支持固定频率的亮起和熄灭（呼吸状态）及识别状态提示。</w:t>
            </w:r>
          </w:p>
          <w:p w14:paraId="6F23EF67">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应能在 0.001lux 低照度无补光环境下正常实现人脸验证，可在强光、逆光、暗光环境条件的人脸验证；在无可见光补光及低照度环境下实现全彩图输出预览图像；应支持防假体攻击功能，对视频、电子照片、打印照片、头模、3D 模型攻击应能防伪；显示图像具有美颜功能，美颜功能开启后支持美白参数及磨皮参数配置；应支持 5 个人脸同时做人脸验证，并分别输出比对结果；人脸验证垂直及水平区域范围应能设置 ，应支持人脸在上下、左右角度偏转±45°范围内识别；应支持人脸验证角度调节范围 0°～90°自由设置，应支持不低于 5 个人脸比对阈值设置。</w:t>
            </w:r>
          </w:p>
          <w:p w14:paraId="07A0CAE6">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TCP/IP 有线网络通信，支持 10M/100M/1000M 网络自适应配置，应支持局域网、互联网环境的网络通信；应支持通过 IPV4 或 IPV6 网络地址登录。</w:t>
            </w:r>
          </w:p>
          <w:p w14:paraId="1ED97B25">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应支持配置防卡片复制安全机制，功能开启后第三方卡片或复制卡片可屏蔽识读；应支持刷卡+密码、人脸+密码、人脸+刷卡的复合认证。</w:t>
            </w:r>
          </w:p>
          <w:p w14:paraId="1CB5B850">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应采用 200W 像素双目摄像头，帧率应≥25 帧/s；应支持接入 NVR 设备，实现视频监控录像；</w:t>
            </w:r>
          </w:p>
          <w:p w14:paraId="51AE1034">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应支持双码流技术，主码流和子码流均为 1280×720@25fps 输出；在 IE 浏览器下，视频编码格式具有 H.265、H.264、MPEG-4、MJPEG 设置选项；可将 H.265、H.264 格式设置为Baseline/Mai n/High Profile。</w:t>
            </w:r>
          </w:p>
          <w:p w14:paraId="46C9F761">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设备离线应支持 10000个用户（用户权限应能配置为管理员）、 10000 张人脸库、 50000 张卡片容量、150000 笔记录存储 、 10000 个密码</w:t>
            </w:r>
          </w:p>
          <w:p w14:paraId="6197BCF4">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应支持佩戴口罩情况下的人脸验证功能，提示模式应分为提醒模式或强制模式；提醒模式下，未佩戴口罩时，应能做身份验证及考勤签到，身份验证通过后提醒佩戴口罩；强制模式下未佩戴口罩时，应无法做身份验证，并提醒佩戴口罩。</w:t>
            </w:r>
          </w:p>
          <w:p w14:paraId="5CA0B974">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应支持通过 WEB 端进行设备信息查询、用户信息管理、设备时间管理、系统维护、安全操作管理、人脸或指纹等技术参数配置、 设备图像参数配置、图像美颜参数配置、梯控项目配置、待机广告界面图片下发及播放时间配置、比对结果提示语音自定义配置，支持按时段配置自定义语音，每天最大支持8 个时段自定义。</w:t>
            </w:r>
          </w:p>
          <w:p w14:paraId="78642DCA">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应支持设备本地人脸注册；应支持远程下发人脸、APP 采集人脸并注册下发；应支持本地 U 盘导入人员信息；支持中心下发黑名单信息，具有本地黑名单事件报警功能，报警信息应能上传至平台；设备支持本地 U 盘升级、在线远程升级功能。</w:t>
            </w:r>
          </w:p>
          <w:p w14:paraId="5AEEBB5D">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支持本地非明文存储比对结果、身份信息及抓拍人脸照片；支持实时非明文上传比对结果、身份信息及抓拍人脸照片等至管理中心；支持断网续传离线记录非明文数据功能；支持对 USB 导出数据（事件记录及人脸等）应采用非明文方案；支持抓拍图片本地存储功能开启/关闭；支持抓拍图片上传管理平台软件功能开启/关闭；支持设备本地比对结果用户信息脱敏显示功能开启/关闭，即隐藏姓名和工号信息；用户数据及比对记录采用非明文方式导出。</w:t>
            </w:r>
          </w:p>
          <w:p w14:paraId="10F98C3C">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应支持在没有用户使用时自动切换到屏保或息屏待机状态，人员靠近自动唤醒待机设备，唤醒距离应能调节；应采用软硬件低功耗管理模式，设备待机运行功耗应不超过 6W。</w:t>
            </w:r>
          </w:p>
          <w:p w14:paraId="62E3C199">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系统应能对门的开启方式，卡（人脸、密码）的各种使用权限进行组合设置，实现不同场景的权限管理：多重卡认证开门；多重卡+中心远程认证开门；多重卡+超级密码开门；多重卡+超级卡开门；首卡开门；超级权限开门；管理中心远程开门；APP 远程开门；系统主要操作响应时间应＜2s；应支持普通、来宾、胁迫、超级、巡更、黑名单等多种用户类型权限设置；支持按时间分时段管控门禁权限，支持 255 组时段计划管理，支持 1024 个假日计划管理，支持 64 个假日组管理，支持 128 周计划管理；支持常开、常闭时段管理；支持首卡开门管理；支持反潜回（防尾随）功能。</w:t>
            </w:r>
          </w:p>
          <w:p w14:paraId="1B9246CB">
            <w:pPr>
              <w:widowControl/>
              <w:numPr>
                <w:ilvl w:val="0"/>
                <w:numId w:val="12"/>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设备接入系统平台后应能支持视频联动报警功能；未授权人员刷人脸时，设备应能支持抓拍图片并实时上报平台预警；系统应具有应急开启的方法，如设备支持接入消防应急信号联动开门； 根据设定事件的联动关系，当检测到该事件发生时，应能触发对应的动作。</w:t>
            </w:r>
          </w:p>
        </w:tc>
        <w:tc>
          <w:tcPr>
            <w:tcW w:w="766" w:type="dxa"/>
            <w:noWrap w:val="0"/>
            <w:vAlign w:val="center"/>
          </w:tcPr>
          <w:p w14:paraId="55DE7D2B">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25AF4B1C">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台</w:t>
            </w:r>
          </w:p>
        </w:tc>
      </w:tr>
      <w:tr w14:paraId="58981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099733EA">
            <w:pPr>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11</w:t>
            </w:r>
          </w:p>
        </w:tc>
        <w:tc>
          <w:tcPr>
            <w:tcW w:w="837" w:type="dxa"/>
            <w:vMerge w:val="continue"/>
            <w:noWrap w:val="0"/>
            <w:vAlign w:val="center"/>
          </w:tcPr>
          <w:p w14:paraId="275B67A0">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7B8B097D">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门禁一体机电源</w:t>
            </w:r>
          </w:p>
        </w:tc>
        <w:tc>
          <w:tcPr>
            <w:tcW w:w="4228" w:type="dxa"/>
            <w:noWrap w:val="0"/>
            <w:vAlign w:val="center"/>
          </w:tcPr>
          <w:p w14:paraId="5B514F88">
            <w:pPr>
              <w:widowControl/>
              <w:numPr>
                <w:ilvl w:val="0"/>
                <w:numId w:val="13"/>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输入电压：100-240VAC；</w:t>
            </w:r>
          </w:p>
          <w:p w14:paraId="7EF9A283">
            <w:pPr>
              <w:widowControl/>
              <w:numPr>
                <w:ilvl w:val="0"/>
                <w:numId w:val="13"/>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输出电压：12VDC；</w:t>
            </w:r>
          </w:p>
          <w:p w14:paraId="5DA555BC">
            <w:pPr>
              <w:widowControl/>
              <w:numPr>
                <w:ilvl w:val="0"/>
                <w:numId w:val="13"/>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输出电流：4.17A；</w:t>
            </w:r>
          </w:p>
          <w:p w14:paraId="36D91818">
            <w:pPr>
              <w:widowControl/>
              <w:numPr>
                <w:ilvl w:val="0"/>
                <w:numId w:val="13"/>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输出功率：50W；</w:t>
            </w:r>
          </w:p>
          <w:p w14:paraId="4C7C597E">
            <w:pPr>
              <w:widowControl/>
              <w:numPr>
                <w:ilvl w:val="0"/>
                <w:numId w:val="13"/>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支持蓄电池接入</w:t>
            </w:r>
          </w:p>
        </w:tc>
        <w:tc>
          <w:tcPr>
            <w:tcW w:w="766" w:type="dxa"/>
            <w:noWrap w:val="0"/>
            <w:vAlign w:val="center"/>
          </w:tcPr>
          <w:p w14:paraId="3FB7B563">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36D69597">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个</w:t>
            </w:r>
          </w:p>
        </w:tc>
      </w:tr>
      <w:tr w14:paraId="7B84B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35290E26">
            <w:pPr>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12</w:t>
            </w:r>
          </w:p>
        </w:tc>
        <w:tc>
          <w:tcPr>
            <w:tcW w:w="837" w:type="dxa"/>
            <w:vMerge w:val="continue"/>
            <w:noWrap w:val="0"/>
            <w:vAlign w:val="center"/>
          </w:tcPr>
          <w:p w14:paraId="4D8197C1">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1CCF5F19">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卡片发卡器</w:t>
            </w:r>
          </w:p>
        </w:tc>
        <w:tc>
          <w:tcPr>
            <w:tcW w:w="4228" w:type="dxa"/>
            <w:noWrap w:val="0"/>
            <w:vAlign w:val="center"/>
          </w:tcPr>
          <w:p w14:paraId="2D597900">
            <w:pPr>
              <w:widowControl/>
              <w:numPr>
                <w:ilvl w:val="0"/>
                <w:numId w:val="14"/>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3.97英寸触摸显示屏，屏幕分辨率800*480；</w:t>
            </w:r>
          </w:p>
          <w:p w14:paraId="26C6FC9C">
            <w:pPr>
              <w:widowControl/>
              <w:numPr>
                <w:ilvl w:val="0"/>
                <w:numId w:val="14"/>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采用200万双目摄像头，有照片视频防假功能；</w:t>
            </w:r>
          </w:p>
          <w:p w14:paraId="2B592807">
            <w:pPr>
              <w:widowControl/>
              <w:numPr>
                <w:ilvl w:val="0"/>
                <w:numId w:val="14"/>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支持人脸采集、卡片录入（ID/IC/普通CPU/国密CPU卡/二三代身份证序列号）；</w:t>
            </w:r>
          </w:p>
          <w:p w14:paraId="42EE04DF">
            <w:pPr>
              <w:widowControl/>
              <w:numPr>
                <w:ilvl w:val="0"/>
                <w:numId w:val="14"/>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支持有线网络、无线WiFi、USB口通信；</w:t>
            </w:r>
          </w:p>
          <w:p w14:paraId="1B7854BB">
            <w:pPr>
              <w:widowControl/>
              <w:numPr>
                <w:ilvl w:val="0"/>
                <w:numId w:val="14"/>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支持在线采集，通过网络协议或USB口对接到平台，平台进行在线采集，采集信息实时上传；</w:t>
            </w:r>
          </w:p>
        </w:tc>
        <w:tc>
          <w:tcPr>
            <w:tcW w:w="766" w:type="dxa"/>
            <w:noWrap w:val="0"/>
            <w:vAlign w:val="center"/>
          </w:tcPr>
          <w:p w14:paraId="116C19F4">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48741E48">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台</w:t>
            </w:r>
          </w:p>
        </w:tc>
      </w:tr>
      <w:tr w14:paraId="3DFB4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2143BF2C">
            <w:pPr>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13</w:t>
            </w:r>
          </w:p>
        </w:tc>
        <w:tc>
          <w:tcPr>
            <w:tcW w:w="837" w:type="dxa"/>
            <w:vMerge w:val="continue"/>
            <w:noWrap w:val="0"/>
            <w:vAlign w:val="center"/>
          </w:tcPr>
          <w:p w14:paraId="4F75FE65">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17A83CC7">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国密CPU卡</w:t>
            </w:r>
          </w:p>
        </w:tc>
        <w:tc>
          <w:tcPr>
            <w:tcW w:w="4228" w:type="dxa"/>
            <w:noWrap w:val="0"/>
            <w:vAlign w:val="center"/>
          </w:tcPr>
          <w:p w14:paraId="40129E6B">
            <w:pPr>
              <w:widowControl/>
              <w:numPr>
                <w:ilvl w:val="0"/>
                <w:numId w:val="15"/>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国密CPU卡，感应频率13.56MHZ；</w:t>
            </w:r>
          </w:p>
          <w:p w14:paraId="2F0F3550">
            <w:pPr>
              <w:widowControl/>
              <w:numPr>
                <w:ilvl w:val="0"/>
                <w:numId w:val="15"/>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支持国密SM1、SM4算法加密；</w:t>
            </w:r>
          </w:p>
          <w:p w14:paraId="414F6CA4">
            <w:pPr>
              <w:widowControl/>
              <w:numPr>
                <w:ilvl w:val="0"/>
                <w:numId w:val="15"/>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容量为80K byte；</w:t>
            </w:r>
          </w:p>
        </w:tc>
        <w:tc>
          <w:tcPr>
            <w:tcW w:w="766" w:type="dxa"/>
            <w:noWrap w:val="0"/>
            <w:vAlign w:val="center"/>
          </w:tcPr>
          <w:p w14:paraId="6D27FCDD">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20</w:t>
            </w:r>
          </w:p>
        </w:tc>
        <w:tc>
          <w:tcPr>
            <w:tcW w:w="678" w:type="dxa"/>
            <w:shd w:val="clear" w:color="auto" w:fill="auto"/>
            <w:noWrap w:val="0"/>
            <w:vAlign w:val="center"/>
          </w:tcPr>
          <w:p w14:paraId="57774974">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张</w:t>
            </w:r>
          </w:p>
        </w:tc>
      </w:tr>
      <w:tr w14:paraId="55F02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30677E13">
            <w:pPr>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14</w:t>
            </w:r>
          </w:p>
        </w:tc>
        <w:tc>
          <w:tcPr>
            <w:tcW w:w="837" w:type="dxa"/>
            <w:vMerge w:val="continue"/>
            <w:noWrap w:val="0"/>
            <w:vAlign w:val="center"/>
          </w:tcPr>
          <w:p w14:paraId="6CA1D1B3">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6C4B6894">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单门磁力锁</w:t>
            </w:r>
          </w:p>
        </w:tc>
        <w:tc>
          <w:tcPr>
            <w:tcW w:w="4228" w:type="dxa"/>
            <w:noWrap w:val="0"/>
            <w:vAlign w:val="center"/>
          </w:tcPr>
          <w:p w14:paraId="6639D501">
            <w:pPr>
              <w:widowControl/>
              <w:numPr>
                <w:ilvl w:val="0"/>
                <w:numId w:val="16"/>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最大静态直线拉力：230kg±10%；</w:t>
            </w:r>
          </w:p>
          <w:p w14:paraId="1601E4DE">
            <w:pPr>
              <w:widowControl/>
              <w:numPr>
                <w:ilvl w:val="0"/>
                <w:numId w:val="16"/>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断电开锁，满足消防要求；</w:t>
            </w:r>
          </w:p>
          <w:p w14:paraId="0697B495">
            <w:pPr>
              <w:widowControl/>
              <w:numPr>
                <w:ilvl w:val="0"/>
                <w:numId w:val="16"/>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指示灯：红灯为开锁状态， 绿灯为上锁状态；</w:t>
            </w:r>
          </w:p>
          <w:p w14:paraId="6AB718B6">
            <w:pPr>
              <w:widowControl/>
              <w:numPr>
                <w:ilvl w:val="0"/>
                <w:numId w:val="16"/>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支持锁状态侦测信号(门磁)输出：NO/NC/COM接点</w:t>
            </w:r>
          </w:p>
        </w:tc>
        <w:tc>
          <w:tcPr>
            <w:tcW w:w="766" w:type="dxa"/>
            <w:noWrap w:val="0"/>
            <w:vAlign w:val="center"/>
          </w:tcPr>
          <w:p w14:paraId="347C266B">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720956E5">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1</w:t>
            </w:r>
            <w:r>
              <w:rPr>
                <w:rFonts w:hint="eastAsia" w:ascii="宋体" w:hAnsi="宋体" w:cs="宋体"/>
                <w:color w:val="auto"/>
                <w:kern w:val="0"/>
                <w:sz w:val="22"/>
                <w:szCs w:val="22"/>
                <w:highlight w:val="none"/>
                <w:lang w:val="en-US" w:eastAsia="zh-CN" w:bidi="ar"/>
              </w:rPr>
              <w:t>台</w:t>
            </w:r>
          </w:p>
        </w:tc>
      </w:tr>
      <w:tr w14:paraId="508A3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20E92338">
            <w:pPr>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15</w:t>
            </w:r>
          </w:p>
        </w:tc>
        <w:tc>
          <w:tcPr>
            <w:tcW w:w="837" w:type="dxa"/>
            <w:vMerge w:val="continue"/>
            <w:noWrap w:val="0"/>
            <w:vAlign w:val="center"/>
          </w:tcPr>
          <w:p w14:paraId="0295F627">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3FCFE3EB">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单门磁力锁支架</w:t>
            </w:r>
          </w:p>
        </w:tc>
        <w:tc>
          <w:tcPr>
            <w:tcW w:w="4228" w:type="dxa"/>
            <w:noWrap w:val="0"/>
            <w:vAlign w:val="center"/>
          </w:tcPr>
          <w:p w14:paraId="5FE03EE5">
            <w:pPr>
              <w:widowControl/>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配合磁力锁使用</w:t>
            </w:r>
          </w:p>
        </w:tc>
        <w:tc>
          <w:tcPr>
            <w:tcW w:w="766" w:type="dxa"/>
            <w:noWrap w:val="0"/>
            <w:vAlign w:val="center"/>
          </w:tcPr>
          <w:p w14:paraId="235E97DB">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4F432EC0">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1</w:t>
            </w:r>
            <w:r>
              <w:rPr>
                <w:rFonts w:hint="eastAsia" w:ascii="宋体" w:hAnsi="宋体" w:cs="宋体"/>
                <w:color w:val="auto"/>
                <w:kern w:val="0"/>
                <w:sz w:val="22"/>
                <w:szCs w:val="22"/>
                <w:highlight w:val="none"/>
                <w:lang w:val="en-US" w:eastAsia="zh-CN" w:bidi="ar"/>
              </w:rPr>
              <w:t>台</w:t>
            </w:r>
          </w:p>
        </w:tc>
      </w:tr>
      <w:tr w14:paraId="0B477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3774F0A0">
            <w:pPr>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16</w:t>
            </w:r>
          </w:p>
        </w:tc>
        <w:tc>
          <w:tcPr>
            <w:tcW w:w="837" w:type="dxa"/>
            <w:vMerge w:val="continue"/>
            <w:noWrap w:val="0"/>
            <w:vAlign w:val="center"/>
          </w:tcPr>
          <w:p w14:paraId="08CE8154">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61262C6A">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开门按钮</w:t>
            </w:r>
          </w:p>
        </w:tc>
        <w:tc>
          <w:tcPr>
            <w:tcW w:w="4228" w:type="dxa"/>
            <w:noWrap w:val="0"/>
            <w:vAlign w:val="center"/>
          </w:tcPr>
          <w:p w14:paraId="67079C02">
            <w:pPr>
              <w:widowControl/>
              <w:numPr>
                <w:ilvl w:val="0"/>
                <w:numId w:val="17"/>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开门按钮</w:t>
            </w:r>
          </w:p>
          <w:p w14:paraId="4551DB41">
            <w:pPr>
              <w:widowControl/>
              <w:numPr>
                <w:ilvl w:val="0"/>
                <w:numId w:val="17"/>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结构：塑料面板；</w:t>
            </w:r>
          </w:p>
          <w:p w14:paraId="33DB9EBB">
            <w:pPr>
              <w:widowControl/>
              <w:numPr>
                <w:ilvl w:val="0"/>
                <w:numId w:val="17"/>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性能：最大耐电流1.25A，电压250V；</w:t>
            </w:r>
          </w:p>
          <w:p w14:paraId="691D2D42">
            <w:pPr>
              <w:widowControl/>
              <w:numPr>
                <w:ilvl w:val="0"/>
                <w:numId w:val="17"/>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输出：常开；</w:t>
            </w:r>
          </w:p>
          <w:p w14:paraId="1BB48B97">
            <w:pPr>
              <w:widowControl/>
              <w:numPr>
                <w:ilvl w:val="0"/>
                <w:numId w:val="17"/>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类型：适合埋入式电器盒使用；</w:t>
            </w:r>
          </w:p>
        </w:tc>
        <w:tc>
          <w:tcPr>
            <w:tcW w:w="766" w:type="dxa"/>
            <w:noWrap w:val="0"/>
            <w:vAlign w:val="center"/>
          </w:tcPr>
          <w:p w14:paraId="0B346F52">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5829049C">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个</w:t>
            </w:r>
          </w:p>
        </w:tc>
      </w:tr>
      <w:tr w14:paraId="757F7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17B73F5B">
            <w:pPr>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17</w:t>
            </w:r>
          </w:p>
        </w:tc>
        <w:tc>
          <w:tcPr>
            <w:tcW w:w="837" w:type="dxa"/>
            <w:vMerge w:val="continue"/>
            <w:noWrap w:val="0"/>
            <w:vAlign w:val="center"/>
          </w:tcPr>
          <w:p w14:paraId="2A2049A0">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71FF2D6B">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视频安全门禁系统</w:t>
            </w:r>
          </w:p>
        </w:tc>
        <w:tc>
          <w:tcPr>
            <w:tcW w:w="4228" w:type="dxa"/>
            <w:noWrap w:val="0"/>
            <w:vAlign w:val="center"/>
          </w:tcPr>
          <w:p w14:paraId="21C40FFE">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硬件内存≥64G，硬盘≥1T，≥2个千兆电口，≥2个USB3.0，≥2个USB2.0，≥1个HDMI接口，≥1个DP接口，≥1个MIC接口，≥1个 L-OUT接口；内置1张密码卡。</w:t>
            </w:r>
          </w:p>
          <w:p w14:paraId="73B65E6E">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支持用户口令+智能密码钥匙双重身份鉴别方式，可对智能密码钥匙中的数字证书有效期进行手动更新。数字证书认证过程采用经过国家密码管理局认证通过的硬件密码模块实现。</w:t>
            </w:r>
          </w:p>
          <w:p w14:paraId="2053DE73">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对通过C/S客户端和B/S客户端下载的视频和图片文件进行加密，需使用专用的播放器并输入用户口令、插入智能密码钥匙才可访问加密的视频文件；支持对视频的完整性进行校验，当视频文件被篡改时无法被播放。</w:t>
            </w:r>
          </w:p>
          <w:p w14:paraId="0DEB3499">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支持接入商密门禁设备，并对电子门禁记录进行存储完整性保护，相关密码运算、密钥生成及存储采用自主研发并经过国家密码管理局认证通过的硬件密码模块实现，符合商密技术规范要求。</w:t>
            </w:r>
          </w:p>
          <w:p w14:paraId="06E5C4B9">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支持视频外发功能，可设置外发视频的用户口令、播放次数、使用期限、开启/关闭自删除；外发的视频文件需在预设的使用期限内和播放次数范围内使用专用的播放器才可正常播放。</w:t>
            </w:r>
          </w:p>
          <w:p w14:paraId="1357510A">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对实时预览画面、视频回放、下载的视频和抓拍的图片添加水印，水印类型包括明文水印、隐式水印、二维码水印、图片水印，水印内容包括：当前登录用户名、主机名、终端IP地址、终端MAC地址、系统时间、开机时间和自定义信息。下载的加密视频中水印内容包含视频下载外发时间 。</w:t>
            </w:r>
          </w:p>
          <w:p w14:paraId="56DE9D29">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设置水印的透明度、颜色、旋转角度、显示模式、显示位置、水印大小；明文水印可设置水印文字的字体、字号、字符样式（斜体、下划线、删除线）、加粗权值、对齐方式，支持根据预设的水印参数实时预览水印效果画面；支持通过视频水印进行事件追溯，可对上传的隐式水印视频截图进行分析并自动生成溯源报告。</w:t>
            </w:r>
          </w:p>
          <w:p w14:paraId="7FF12C47">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支持设置对C/S客户端和B/S客户端的实时预览画面、回放视频画面、下载的视频画面进行截屏/录屏保护，截图软件不可对上述视频画面进行截屏/录屏；非法对视频画面进行截屏/录屏时可产生报警信息。</w:t>
            </w:r>
          </w:p>
          <w:p w14:paraId="7847EE3D">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支持通过C/S客户端、B/S客户端和手机APP对视频画面进行预览和回放，可同时通过多个浏览器对视频画面进行预览；支持通过C/S客户端和手机APP对录像进行查询，并在日历上显示当天是否有录像。</w:t>
            </w:r>
          </w:p>
          <w:p w14:paraId="05DD5C5C">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支持将视频文件回传至NVR、CVR或云盘，支持计划回传和手动回传2种模式。</w:t>
            </w:r>
          </w:p>
          <w:p w14:paraId="7837FD5F">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支持定时录像、报警录像和移动侦测录像3种录像模式，不同类型的录像可以不同的颜色 进行区分；支持录像标签功能，可对录像标签进行搜索、修改和删除，并可通过标签对录像进行定位和回放。</w:t>
            </w:r>
          </w:p>
          <w:p w14:paraId="5DAF4661">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在线、离线电子地图和静态地图导入，可在同一个区域添加多张静态地图；支持在电子地图上添加标记、收藏、测量、放大缩小等工具，支持在电子地图上对设备点位进行搜索。支持设备报警时在电子地图上用不同的颜色显示，按照不同的报警等级显示报警数量；支持在电子地图上显示监控点位的监控角度和监控半径，并设置监控点位的监控方向，按颜色区分监控点位的在线/离线状态。</w:t>
            </w:r>
          </w:p>
          <w:p w14:paraId="1FFE6953">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支持大屏控制功能，对大屏进行1/4/9/16/ 25分屏、拼接、开窗、窗口漫游等操作，开窗后的视频画面可再次分割，并将大屏的配置保存为场景模式；支持通过iPad进行视频上墙、拼接、分屏、漫游、预案切换等操作。</w:t>
            </w:r>
          </w:p>
          <w:p w14:paraId="7BEB6EC2">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支持通过手机APP采集人脸照片；支持通过平台批量导入人脸照片，并验证人脸照片的命名、大小和质量是否符合要求。</w:t>
            </w:r>
          </w:p>
          <w:p w14:paraId="43931FDC">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支持外接读卡器完成开卡、挂失、解挂、退卡、换卡、绑定生物凭证等操作；支持远程控制门禁开门/关门并联动C/S客户端查看实时视频画面。</w:t>
            </w:r>
          </w:p>
          <w:p w14:paraId="43A230F5">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支持门禁权限下发，认证方式可设置为证件、人脸、指纹、密码单独或组合认证；支持将门禁权限下发到设备，可设置固定时间、固定次数自动下发门禁权限。</w:t>
            </w:r>
          </w:p>
          <w:p w14:paraId="14E4D7FC">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支持对门禁事件进行订阅、查询并联动动作，门禁设备可在电子地图上显示；支持对人员出入事件和设备事件进行查询，将人员通行记录分为内部人员、外部人员、陌生人员。</w:t>
            </w:r>
          </w:p>
          <w:p w14:paraId="7D6AECE3">
            <w:pPr>
              <w:widowControl/>
              <w:numPr>
                <w:ilvl w:val="0"/>
                <w:numId w:val="18"/>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支持扩展入侵报警、巡更、访客管理、可视对讲功能。</w:t>
            </w:r>
          </w:p>
        </w:tc>
        <w:tc>
          <w:tcPr>
            <w:tcW w:w="766" w:type="dxa"/>
            <w:noWrap w:val="0"/>
            <w:vAlign w:val="center"/>
          </w:tcPr>
          <w:p w14:paraId="46009DFA">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0DA6B844">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套</w:t>
            </w:r>
          </w:p>
        </w:tc>
      </w:tr>
      <w:tr w14:paraId="59BFA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1CFF2E41">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val="en-US" w:eastAsia="zh-CN" w:bidi="ar"/>
              </w:rPr>
              <w:t>18</w:t>
            </w:r>
          </w:p>
        </w:tc>
        <w:tc>
          <w:tcPr>
            <w:tcW w:w="837" w:type="dxa"/>
            <w:vMerge w:val="continue"/>
            <w:noWrap w:val="0"/>
            <w:vAlign w:val="center"/>
          </w:tcPr>
          <w:p w14:paraId="63B3AA91">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5D69D457">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红外半球</w:t>
            </w:r>
          </w:p>
        </w:tc>
        <w:tc>
          <w:tcPr>
            <w:tcW w:w="4228" w:type="dxa"/>
            <w:noWrap w:val="0"/>
            <w:vAlign w:val="center"/>
          </w:tcPr>
          <w:p w14:paraId="1D586505">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支持输出2560×1440@25fps码流。</w:t>
            </w:r>
          </w:p>
          <w:p w14:paraId="422FA018">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像元尺寸不小于2.9um×2.9um。</w:t>
            </w:r>
          </w:p>
          <w:p w14:paraId="7C67080C">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最低照度彩色不大于0.0002lx，黑白不大于0.0001lx。</w:t>
            </w:r>
          </w:p>
          <w:p w14:paraId="3C9A9FD7">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内置2.7-13.5mm电动变焦镜头。</w:t>
            </w:r>
          </w:p>
          <w:p w14:paraId="76FB7CB7">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支持H.264、H.265、MJPEG视频编码格式。</w:t>
            </w:r>
          </w:p>
          <w:p w14:paraId="2D0D76EA">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同一静止场景相同图像质量下，设备在H.265编码方式时，开启智能编码功能和不开启智能编码相比，码率节约80%。</w:t>
            </w:r>
          </w:p>
          <w:p w14:paraId="416221C0">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在分辨率1920×1080@25fps，码流设置为1Mbps时，视频传输延时不大于60ms。</w:t>
            </w:r>
          </w:p>
          <w:p w14:paraId="3DEF8B6B">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周界防范功能，当区域入侵、越界侦测、进入区域、离开区域报警布防开启后，出现行人、非机动车、机动车目标时能触发报警，当检测区域中篮球滚动、小狗移动、树叶晃动及光线明暗变化时不会触发报警。</w:t>
            </w:r>
          </w:p>
          <w:p w14:paraId="76009BF5">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支持侧脸过滤功能，可过滤上下、左右角度达到预设值的人脸。</w:t>
            </w:r>
          </w:p>
          <w:p w14:paraId="198F37A6">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支持数据感知功能，在IE 浏览器下，重启事件记录可包括正常重启和异常重启2种类型。正常重启可记录重启的时间、服务类型、用户名、IP/域名信息；异常重启可记录重启时间、异常类型信息。</w:t>
            </w:r>
          </w:p>
          <w:p w14:paraId="5727ED4C">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设备具有耀光抑制功能，耀光区域≤1%。</w:t>
            </w:r>
          </w:p>
          <w:p w14:paraId="55700A40">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样机内置3个双半弧形鳞片状镜面反射式补光灯，补光灯开启后正面不可见补光灯灯珠。</w:t>
            </w:r>
          </w:p>
          <w:p w14:paraId="2994EC08">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灯珠朝向与样机照射方向不同，补光灯开启后，灯光应均匀无波纹、圆环状、麻点状、条纹状和不规则亮斑。</w:t>
            </w:r>
          </w:p>
          <w:p w14:paraId="115BCAB3">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红外补光距离不小于50米。</w:t>
            </w:r>
          </w:p>
          <w:p w14:paraId="67B39F46">
            <w:pPr>
              <w:widowControl/>
              <w:numPr>
                <w:ilvl w:val="0"/>
                <w:numId w:val="19"/>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bidi="ar"/>
              </w:rPr>
              <w:t>需支持IP67防护等级。</w:t>
            </w:r>
          </w:p>
        </w:tc>
        <w:tc>
          <w:tcPr>
            <w:tcW w:w="766" w:type="dxa"/>
            <w:noWrap w:val="0"/>
            <w:vAlign w:val="center"/>
          </w:tcPr>
          <w:p w14:paraId="5C5DD97E">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2</w:t>
            </w:r>
          </w:p>
        </w:tc>
        <w:tc>
          <w:tcPr>
            <w:tcW w:w="678" w:type="dxa"/>
            <w:shd w:val="clear" w:color="auto" w:fill="auto"/>
            <w:noWrap w:val="0"/>
            <w:vAlign w:val="center"/>
          </w:tcPr>
          <w:p w14:paraId="5E36CCCE">
            <w:pPr>
              <w:widowControl/>
              <w:numPr>
                <w:ilvl w:val="0"/>
                <w:numId w:val="0"/>
              </w:numPr>
              <w:ind w:left="0" w:leftChars="0" w:firstLine="0" w:firstLineChars="0"/>
              <w:jc w:val="center"/>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cs="宋体"/>
                <w:color w:val="auto"/>
                <w:kern w:val="0"/>
                <w:sz w:val="22"/>
                <w:szCs w:val="22"/>
                <w:highlight w:val="none"/>
                <w:lang w:val="en-US" w:eastAsia="zh-CN" w:bidi="ar"/>
              </w:rPr>
              <w:t>台</w:t>
            </w:r>
          </w:p>
        </w:tc>
      </w:tr>
      <w:tr w14:paraId="62182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198DEA72">
            <w:pPr>
              <w:widowControl/>
              <w:jc w:val="center"/>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19</w:t>
            </w:r>
          </w:p>
        </w:tc>
        <w:tc>
          <w:tcPr>
            <w:tcW w:w="837" w:type="dxa"/>
            <w:vMerge w:val="continue"/>
            <w:noWrap w:val="0"/>
            <w:vAlign w:val="center"/>
          </w:tcPr>
          <w:p w14:paraId="0AA3D548">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72A0817E">
            <w:pPr>
              <w:widowControl/>
              <w:jc w:val="center"/>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POE交换机</w:t>
            </w:r>
          </w:p>
        </w:tc>
        <w:tc>
          <w:tcPr>
            <w:tcW w:w="4228" w:type="dxa"/>
            <w:noWrap w:val="0"/>
            <w:vAlign w:val="center"/>
          </w:tcPr>
          <w:p w14:paraId="48E2130E">
            <w:pPr>
              <w:widowControl/>
              <w:numPr>
                <w:ilvl w:val="0"/>
                <w:numId w:val="20"/>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提供8个千兆PoE电口，1个千兆电口，1个千兆光口</w:t>
            </w:r>
          </w:p>
          <w:p w14:paraId="2D68B43B">
            <w:pPr>
              <w:widowControl/>
              <w:numPr>
                <w:ilvl w:val="0"/>
                <w:numId w:val="20"/>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交换容量 20 Gbps</w:t>
            </w:r>
          </w:p>
          <w:p w14:paraId="0309C2F8">
            <w:pPr>
              <w:widowControl/>
              <w:numPr>
                <w:ilvl w:val="0"/>
                <w:numId w:val="20"/>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包转发率 14.88 Mpps</w:t>
            </w:r>
          </w:p>
          <w:p w14:paraId="4EBCBD5B">
            <w:pPr>
              <w:widowControl/>
              <w:numPr>
                <w:ilvl w:val="0"/>
                <w:numId w:val="20"/>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支持IEEE 802.3at/af</w:t>
            </w:r>
          </w:p>
          <w:p w14:paraId="1FABB9A3">
            <w:pPr>
              <w:widowControl/>
              <w:numPr>
                <w:ilvl w:val="0"/>
                <w:numId w:val="20"/>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端口最大供电功率：30 W</w:t>
            </w:r>
          </w:p>
          <w:p w14:paraId="55A53823">
            <w:pPr>
              <w:widowControl/>
              <w:numPr>
                <w:ilvl w:val="0"/>
                <w:numId w:val="20"/>
              </w:numPr>
              <w:ind w:left="425" w:leftChars="0" w:hanging="425" w:firstLineChars="0"/>
              <w:jc w:val="left"/>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bidi="ar"/>
              </w:rPr>
              <w:t>整机最大供电功率：60 W</w:t>
            </w:r>
          </w:p>
        </w:tc>
        <w:tc>
          <w:tcPr>
            <w:tcW w:w="766" w:type="dxa"/>
            <w:noWrap w:val="0"/>
            <w:vAlign w:val="center"/>
          </w:tcPr>
          <w:p w14:paraId="669DCE1A">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14C2848D">
            <w:pPr>
              <w:widowControl/>
              <w:numPr>
                <w:ilvl w:val="0"/>
                <w:numId w:val="0"/>
              </w:numPr>
              <w:ind w:left="0" w:leftChars="0" w:firstLine="0" w:firstLineChars="0"/>
              <w:jc w:val="center"/>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cs="宋体"/>
                <w:color w:val="auto"/>
                <w:kern w:val="0"/>
                <w:sz w:val="22"/>
                <w:szCs w:val="22"/>
                <w:highlight w:val="none"/>
                <w:lang w:val="en-US" w:eastAsia="zh-CN" w:bidi="ar"/>
              </w:rPr>
              <w:t>台</w:t>
            </w:r>
          </w:p>
        </w:tc>
      </w:tr>
      <w:tr w14:paraId="5DD0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67404EEB">
            <w:pPr>
              <w:jc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20</w:t>
            </w:r>
          </w:p>
        </w:tc>
        <w:tc>
          <w:tcPr>
            <w:tcW w:w="837" w:type="dxa"/>
            <w:vMerge w:val="continue"/>
            <w:noWrap w:val="0"/>
            <w:vAlign w:val="center"/>
          </w:tcPr>
          <w:p w14:paraId="6AA81C96">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5CD02CDB">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bidi="ar"/>
              </w:rPr>
              <w:t>硬盘录像机</w:t>
            </w:r>
          </w:p>
        </w:tc>
        <w:tc>
          <w:tcPr>
            <w:tcW w:w="4228" w:type="dxa"/>
            <w:noWrap w:val="0"/>
            <w:vAlign w:val="center"/>
          </w:tcPr>
          <w:p w14:paraId="59EC9B72">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内置通过国家密码局检测认证的安全芯片，支持SM2/SM3/SM4等国家商用密码算法</w:t>
            </w:r>
          </w:p>
          <w:p w14:paraId="325BB44B">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支持基于数字证书的设备接入认证能力</w:t>
            </w:r>
          </w:p>
          <w:p w14:paraId="27C4F5E4">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支持基于国家商用密码算法的信令认证能力</w:t>
            </w:r>
          </w:p>
          <w:p w14:paraId="7F89A2CD">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支持符合国家商用密码算法标准的证书请求文件导出</w:t>
            </w:r>
          </w:p>
          <w:p w14:paraId="57EFDDA3">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支持符合国家商用密码算法标准的数字证书导入管理，用于平台/设备接入认证</w:t>
            </w:r>
          </w:p>
          <w:p w14:paraId="12800F1E">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内置二级密码模块，可配套加密平台，满足密评三级视频数据存储完整性要求</w:t>
            </w:r>
          </w:p>
          <w:p w14:paraId="03929271">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支持芯片安全校验能力，包括随机数有效性检测，算法符合性检测等</w:t>
            </w:r>
          </w:p>
          <w:p w14:paraId="5B2DF177">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支持算法安全校验能力，包括开机自检，使用时自检和定期自检等</w:t>
            </w:r>
          </w:p>
          <w:p w14:paraId="700268D6">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存储接口：9个SATA接口，配置1块12TB硬盘</w:t>
            </w:r>
          </w:p>
          <w:p w14:paraId="3C941BB4">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视频接口：2×HDMI，2×VGA</w:t>
            </w:r>
          </w:p>
          <w:p w14:paraId="6ACD1EA5">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网络接口：2×RJ45 10/100/1000Mbps自适应以太网口</w:t>
            </w:r>
          </w:p>
          <w:p w14:paraId="4B9BA8AB">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报警接口：16路报警输入，9路报警输出（其中第9路支持CTRL 12V）</w:t>
            </w:r>
          </w:p>
          <w:p w14:paraId="0869F1F7">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反向供电：1路DC12V 1A</w:t>
            </w:r>
          </w:p>
          <w:p w14:paraId="4A6E3FF4">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串行接口：1路RS-232接口，1路全双工RS-485接口</w:t>
            </w:r>
          </w:p>
          <w:p w14:paraId="69F0373F">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USB接口：2×USB 2.0，2×USB 3.0</w:t>
            </w:r>
          </w:p>
          <w:p w14:paraId="6DA3965A">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扩展接口：1×eSATA</w:t>
            </w:r>
          </w:p>
          <w:p w14:paraId="6143CA51">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输入带宽：320Mbps（开启RAID后为200Mbps）</w:t>
            </w:r>
          </w:p>
          <w:p w14:paraId="15B29067">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输出带宽：256Mbps（开启RAID后为200Mbps）</w:t>
            </w:r>
          </w:p>
          <w:p w14:paraId="48D2439F">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接入能力：32路H.264、H.265格式高清码流接入</w:t>
            </w:r>
          </w:p>
          <w:p w14:paraId="4E3C1B76">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解码能力：最大支持32×1080P</w:t>
            </w:r>
          </w:p>
          <w:p w14:paraId="70071E4F">
            <w:pPr>
              <w:widowControl/>
              <w:numPr>
                <w:ilvl w:val="0"/>
                <w:numId w:val="21"/>
              </w:numPr>
              <w:ind w:left="425" w:leftChars="0" w:hanging="425" w:firstLineChars="0"/>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显示能力：最大支持8K+1080P、2×4K异源输出</w:t>
            </w:r>
          </w:p>
          <w:p w14:paraId="7A37AD4F">
            <w:pPr>
              <w:widowControl/>
              <w:numPr>
                <w:ilvl w:val="0"/>
                <w:numId w:val="21"/>
              </w:numPr>
              <w:ind w:left="425" w:leftChars="0" w:hanging="425" w:firstLineChars="0"/>
              <w:jc w:val="left"/>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0"/>
                <w:sz w:val="22"/>
                <w:szCs w:val="22"/>
                <w:highlight w:val="none"/>
                <w:lang w:val="en-US" w:eastAsia="zh-CN" w:bidi="ar"/>
              </w:rPr>
              <w:t>RAID模式：RAID0、RAID1、RAID5、RAID6、RAID10，支持全局热备盘</w:t>
            </w:r>
          </w:p>
        </w:tc>
        <w:tc>
          <w:tcPr>
            <w:tcW w:w="766" w:type="dxa"/>
            <w:noWrap w:val="0"/>
            <w:vAlign w:val="center"/>
          </w:tcPr>
          <w:p w14:paraId="5A79B825">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1</w:t>
            </w:r>
          </w:p>
        </w:tc>
        <w:tc>
          <w:tcPr>
            <w:tcW w:w="678" w:type="dxa"/>
            <w:shd w:val="clear" w:color="auto" w:fill="auto"/>
            <w:noWrap w:val="0"/>
            <w:vAlign w:val="center"/>
          </w:tcPr>
          <w:p w14:paraId="02506F81">
            <w:pPr>
              <w:widowControl/>
              <w:jc w:val="center"/>
              <w:textAlignment w:val="center"/>
              <w:rPr>
                <w:rFonts w:hint="eastAsia" w:ascii="宋体" w:hAnsi="宋体" w:eastAsia="宋体" w:cs="宋体"/>
                <w:color w:val="auto"/>
                <w:kern w:val="2"/>
                <w:sz w:val="22"/>
                <w:szCs w:val="22"/>
                <w:highlight w:val="none"/>
                <w:lang w:val="en-US" w:eastAsia="zh-CN" w:bidi="ar-SA"/>
              </w:rPr>
            </w:pPr>
            <w:r>
              <w:rPr>
                <w:rFonts w:hint="eastAsia" w:ascii="宋体" w:hAnsi="宋体" w:cs="宋体"/>
                <w:color w:val="auto"/>
                <w:kern w:val="0"/>
                <w:sz w:val="22"/>
                <w:szCs w:val="22"/>
                <w:highlight w:val="none"/>
                <w:lang w:val="en-US" w:eastAsia="zh-CN" w:bidi="ar"/>
              </w:rPr>
              <w:t>台</w:t>
            </w:r>
          </w:p>
        </w:tc>
      </w:tr>
      <w:tr w14:paraId="2B3F0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3F3BC132">
            <w:pPr>
              <w:jc w:val="center"/>
              <w:rPr>
                <w:rFonts w:hint="default"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21</w:t>
            </w:r>
          </w:p>
        </w:tc>
        <w:tc>
          <w:tcPr>
            <w:tcW w:w="837" w:type="dxa"/>
            <w:vMerge w:val="restart"/>
            <w:noWrap w:val="0"/>
            <w:vAlign w:val="center"/>
          </w:tcPr>
          <w:p w14:paraId="35B7C1C1">
            <w:pPr>
              <w:widowControl/>
              <w:jc w:val="center"/>
              <w:textAlignment w:val="center"/>
              <w:rPr>
                <w:rFonts w:hint="eastAsia" w:ascii="宋体" w:hAnsi="宋体" w:eastAsia="宋体" w:cs="宋体"/>
                <w:color w:val="auto"/>
                <w:kern w:val="0"/>
                <w:sz w:val="22"/>
                <w:szCs w:val="22"/>
                <w:highlight w:val="none"/>
                <w:lang w:bidi="ar"/>
              </w:rPr>
            </w:pPr>
            <w:r>
              <w:rPr>
                <w:rFonts w:hint="eastAsia" w:ascii="宋体" w:hAnsi="宋体" w:cs="宋体"/>
                <w:color w:val="000000"/>
                <w:kern w:val="0"/>
                <w:sz w:val="22"/>
                <w:szCs w:val="22"/>
                <w:highlight w:val="none"/>
                <w:lang w:bidi="ar"/>
              </w:rPr>
              <w:t>终端-密改相关安全设备</w:t>
            </w:r>
          </w:p>
        </w:tc>
        <w:tc>
          <w:tcPr>
            <w:tcW w:w="1316" w:type="dxa"/>
            <w:noWrap w:val="0"/>
            <w:vAlign w:val="center"/>
          </w:tcPr>
          <w:p w14:paraId="45D095C5">
            <w:pPr>
              <w:widowControl/>
              <w:jc w:val="center"/>
              <w:textAlignment w:val="center"/>
              <w:rPr>
                <w:rFonts w:hint="eastAsia" w:ascii="宋体" w:hAnsi="宋体" w:eastAsia="宋体" w:cs="宋体"/>
                <w:color w:val="auto"/>
                <w:kern w:val="0"/>
                <w:sz w:val="22"/>
                <w:szCs w:val="22"/>
                <w:highlight w:val="none"/>
                <w:lang w:bidi="ar"/>
              </w:rPr>
            </w:pPr>
            <w:r>
              <w:rPr>
                <w:rFonts w:hint="eastAsia" w:ascii="宋体" w:hAnsi="宋体" w:cs="宋体"/>
                <w:color w:val="000000"/>
                <w:kern w:val="0"/>
                <w:sz w:val="22"/>
                <w:szCs w:val="22"/>
                <w:highlight w:val="none"/>
                <w:lang w:bidi="ar"/>
              </w:rPr>
              <w:t>国密安全浏览器</w:t>
            </w:r>
          </w:p>
        </w:tc>
        <w:tc>
          <w:tcPr>
            <w:tcW w:w="4228" w:type="dxa"/>
            <w:noWrap w:val="0"/>
            <w:vAlign w:val="center"/>
          </w:tcPr>
          <w:p w14:paraId="16EB9A4E">
            <w:pPr>
              <w:widowControl/>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cs="宋体"/>
                <w:color w:val="000000"/>
                <w:kern w:val="0"/>
                <w:sz w:val="22"/>
                <w:szCs w:val="22"/>
                <w:highlight w:val="none"/>
                <w:lang w:bidi="ar"/>
              </w:rPr>
              <w:t>1.支持SM2/SM3/SM4等国产SSL/TLS密码协议套件，支持国产密码算法、国产数字证书，同时支持通用的国际算法。</w:t>
            </w:r>
            <w:r>
              <w:rPr>
                <w:rFonts w:hint="eastAsia" w:ascii="宋体" w:hAnsi="宋体" w:cs="宋体"/>
                <w:color w:val="000000"/>
                <w:kern w:val="0"/>
                <w:sz w:val="22"/>
                <w:szCs w:val="22"/>
                <w:highlight w:val="none"/>
                <w:lang w:bidi="ar"/>
              </w:rPr>
              <w:br w:type="textWrapping"/>
            </w:r>
            <w:r>
              <w:rPr>
                <w:rFonts w:hint="eastAsia" w:ascii="宋体" w:hAnsi="宋体" w:cs="宋体"/>
                <w:color w:val="000000"/>
                <w:kern w:val="0"/>
                <w:sz w:val="22"/>
                <w:szCs w:val="22"/>
                <w:highlight w:val="none"/>
                <w:lang w:bidi="ar"/>
              </w:rPr>
              <w:t>2.支持国产SM2证书链的管理。</w:t>
            </w:r>
            <w:r>
              <w:rPr>
                <w:rFonts w:hint="eastAsia" w:ascii="宋体" w:hAnsi="宋体" w:cs="宋体"/>
                <w:color w:val="000000"/>
                <w:kern w:val="0"/>
                <w:sz w:val="22"/>
                <w:szCs w:val="22"/>
                <w:highlight w:val="none"/>
                <w:lang w:bidi="ar"/>
              </w:rPr>
              <w:br w:type="textWrapping"/>
            </w:r>
            <w:r>
              <w:rPr>
                <w:rFonts w:hint="eastAsia" w:ascii="宋体" w:hAnsi="宋体" w:cs="宋体"/>
                <w:color w:val="000000"/>
                <w:kern w:val="0"/>
                <w:sz w:val="22"/>
                <w:szCs w:val="22"/>
                <w:highlight w:val="none"/>
                <w:lang w:bidi="ar"/>
              </w:rPr>
              <w:t>3.兼容不同厂商的USBKey调用。</w:t>
            </w:r>
            <w:r>
              <w:rPr>
                <w:rFonts w:hint="eastAsia" w:ascii="宋体" w:hAnsi="宋体" w:cs="宋体"/>
                <w:color w:val="000000"/>
                <w:kern w:val="0"/>
                <w:sz w:val="22"/>
                <w:szCs w:val="22"/>
                <w:highlight w:val="none"/>
                <w:lang w:bidi="ar"/>
              </w:rPr>
              <w:br w:type="textWrapping"/>
            </w:r>
            <w:r>
              <w:rPr>
                <w:rFonts w:hint="eastAsia" w:ascii="宋体" w:hAnsi="宋体" w:cs="宋体"/>
                <w:color w:val="000000"/>
                <w:kern w:val="0"/>
                <w:sz w:val="22"/>
                <w:szCs w:val="22"/>
                <w:highlight w:val="none"/>
                <w:lang w:bidi="ar"/>
              </w:rPr>
              <w:t>4.支持Blink内核，支持IE内核，可指定IE内核版本。</w:t>
            </w:r>
            <w:r>
              <w:rPr>
                <w:rFonts w:hint="eastAsia" w:ascii="宋体" w:hAnsi="宋体" w:cs="宋体"/>
                <w:color w:val="000000"/>
                <w:kern w:val="0"/>
                <w:sz w:val="22"/>
                <w:szCs w:val="22"/>
                <w:highlight w:val="none"/>
                <w:lang w:bidi="ar"/>
              </w:rPr>
              <w:br w:type="textWrapping"/>
            </w:r>
            <w:r>
              <w:rPr>
                <w:rFonts w:hint="eastAsia" w:ascii="宋体" w:hAnsi="宋体" w:cs="宋体"/>
                <w:color w:val="000000"/>
                <w:kern w:val="0"/>
                <w:sz w:val="22"/>
                <w:szCs w:val="22"/>
                <w:highlight w:val="none"/>
                <w:lang w:bidi="ar"/>
              </w:rPr>
              <w:t>5.支持WindowsXP/Win7/Win8/Win10/Win11、Linux、Mac操作系统。</w:t>
            </w:r>
            <w:r>
              <w:rPr>
                <w:rFonts w:hint="eastAsia" w:ascii="宋体" w:hAnsi="宋体" w:cs="宋体"/>
                <w:color w:val="000000"/>
                <w:kern w:val="0"/>
                <w:sz w:val="22"/>
                <w:szCs w:val="22"/>
                <w:highlight w:val="none"/>
                <w:lang w:bidi="ar"/>
              </w:rPr>
              <w:br w:type="textWrapping"/>
            </w:r>
            <w:r>
              <w:rPr>
                <w:rFonts w:hint="eastAsia" w:ascii="宋体" w:hAnsi="宋体" w:cs="宋体"/>
                <w:color w:val="000000"/>
                <w:kern w:val="0"/>
                <w:sz w:val="22"/>
                <w:szCs w:val="22"/>
                <w:highlight w:val="none"/>
                <w:lang w:bidi="ar"/>
              </w:rPr>
              <w:t>6.支持龙芯、飞腾、兆芯、鲲鹏、海光等国产CPU，支持中标麒麟、银河麒麟、UOS、中科方德等国产操作系统，以及国产CPU与国产操作系统的组合。</w:t>
            </w:r>
          </w:p>
        </w:tc>
        <w:tc>
          <w:tcPr>
            <w:tcW w:w="766" w:type="dxa"/>
            <w:noWrap w:val="0"/>
            <w:vAlign w:val="center"/>
          </w:tcPr>
          <w:p w14:paraId="00F1EBA1">
            <w:pPr>
              <w:widowControl/>
              <w:jc w:val="center"/>
              <w:textAlignment w:val="center"/>
              <w:rPr>
                <w:rFonts w:hint="default"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100</w:t>
            </w:r>
          </w:p>
        </w:tc>
        <w:tc>
          <w:tcPr>
            <w:tcW w:w="678" w:type="dxa"/>
            <w:shd w:val="clear" w:color="auto" w:fill="auto"/>
            <w:noWrap w:val="0"/>
            <w:vAlign w:val="center"/>
          </w:tcPr>
          <w:p w14:paraId="0175FDD8">
            <w:pPr>
              <w:widowControl/>
              <w:jc w:val="center"/>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套</w:t>
            </w:r>
          </w:p>
        </w:tc>
      </w:tr>
      <w:tr w14:paraId="439B4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51AA10F0">
            <w:pPr>
              <w:jc w:val="center"/>
              <w:rPr>
                <w:rFonts w:hint="default"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22</w:t>
            </w:r>
          </w:p>
        </w:tc>
        <w:tc>
          <w:tcPr>
            <w:tcW w:w="837" w:type="dxa"/>
            <w:vMerge w:val="continue"/>
            <w:noWrap w:val="0"/>
            <w:vAlign w:val="center"/>
          </w:tcPr>
          <w:p w14:paraId="6C93BDFF">
            <w:pPr>
              <w:widowControl/>
              <w:jc w:val="center"/>
              <w:textAlignment w:val="center"/>
              <w:rPr>
                <w:rFonts w:hint="eastAsia" w:ascii="宋体" w:hAnsi="宋体" w:eastAsia="宋体" w:cs="宋体"/>
                <w:color w:val="auto"/>
                <w:kern w:val="0"/>
                <w:sz w:val="22"/>
                <w:szCs w:val="22"/>
                <w:highlight w:val="none"/>
                <w:lang w:bidi="ar"/>
              </w:rPr>
            </w:pPr>
          </w:p>
        </w:tc>
        <w:tc>
          <w:tcPr>
            <w:tcW w:w="1316" w:type="dxa"/>
            <w:noWrap w:val="0"/>
            <w:vAlign w:val="center"/>
          </w:tcPr>
          <w:p w14:paraId="44C710DC">
            <w:pPr>
              <w:widowControl/>
              <w:jc w:val="center"/>
              <w:textAlignment w:val="center"/>
              <w:rPr>
                <w:rFonts w:hint="eastAsia" w:ascii="宋体" w:hAnsi="宋体" w:eastAsia="宋体" w:cs="宋体"/>
                <w:color w:val="auto"/>
                <w:kern w:val="0"/>
                <w:sz w:val="22"/>
                <w:szCs w:val="22"/>
                <w:highlight w:val="none"/>
                <w:lang w:bidi="ar"/>
              </w:rPr>
            </w:pPr>
            <w:r>
              <w:rPr>
                <w:rFonts w:hint="eastAsia" w:ascii="宋体" w:hAnsi="宋体" w:cs="宋体"/>
                <w:color w:val="000000"/>
                <w:kern w:val="0"/>
                <w:sz w:val="22"/>
                <w:szCs w:val="22"/>
                <w:highlight w:val="none"/>
                <w:lang w:bidi="ar"/>
              </w:rPr>
              <w:t>智能密码钥匙（USBKey）</w:t>
            </w:r>
          </w:p>
        </w:tc>
        <w:tc>
          <w:tcPr>
            <w:tcW w:w="4228" w:type="dxa"/>
            <w:noWrap w:val="0"/>
            <w:vAlign w:val="center"/>
          </w:tcPr>
          <w:p w14:paraId="0CAB426F">
            <w:pPr>
              <w:widowControl/>
              <w:jc w:val="left"/>
              <w:textAlignment w:val="center"/>
              <w:rPr>
                <w:rFonts w:hint="eastAsia" w:ascii="宋体" w:hAnsi="宋体" w:eastAsia="宋体" w:cs="宋体"/>
                <w:color w:val="auto"/>
                <w:kern w:val="0"/>
                <w:sz w:val="22"/>
                <w:szCs w:val="22"/>
                <w:highlight w:val="none"/>
                <w:lang w:val="en-US" w:eastAsia="zh-CN" w:bidi="ar"/>
              </w:rPr>
            </w:pPr>
            <w:r>
              <w:rPr>
                <w:rFonts w:hint="eastAsia" w:ascii="宋体" w:hAnsi="宋体" w:cs="宋体"/>
                <w:color w:val="000000"/>
                <w:kern w:val="0"/>
                <w:sz w:val="22"/>
                <w:szCs w:val="22"/>
                <w:highlight w:val="none"/>
                <w:lang w:bidi="ar"/>
              </w:rPr>
              <w:t>1.支持国产密码算法。</w:t>
            </w:r>
            <w:r>
              <w:rPr>
                <w:rFonts w:hint="eastAsia" w:ascii="宋体" w:hAnsi="宋体" w:cs="宋体"/>
                <w:color w:val="000000"/>
                <w:kern w:val="0"/>
                <w:sz w:val="22"/>
                <w:szCs w:val="22"/>
                <w:highlight w:val="none"/>
                <w:lang w:bidi="ar"/>
              </w:rPr>
              <w:br w:type="textWrapping"/>
            </w:r>
            <w:r>
              <w:rPr>
                <w:rFonts w:hint="eastAsia" w:ascii="宋体" w:hAnsi="宋体" w:cs="宋体"/>
                <w:color w:val="000000"/>
                <w:kern w:val="0"/>
                <w:sz w:val="22"/>
                <w:szCs w:val="22"/>
                <w:highlight w:val="none"/>
                <w:lang w:bidi="ar"/>
              </w:rPr>
              <w:t>2.证书支持X509。支持签名证书和交换证书功能。同时支持RSA证书和SM2证书。</w:t>
            </w:r>
            <w:r>
              <w:rPr>
                <w:rFonts w:hint="eastAsia" w:ascii="宋体" w:hAnsi="宋体" w:cs="宋体"/>
                <w:color w:val="000000"/>
                <w:kern w:val="0"/>
                <w:sz w:val="22"/>
                <w:szCs w:val="22"/>
                <w:highlight w:val="none"/>
                <w:lang w:bidi="ar"/>
              </w:rPr>
              <w:br w:type="textWrapping"/>
            </w:r>
            <w:r>
              <w:rPr>
                <w:rFonts w:hint="eastAsia" w:ascii="宋体" w:hAnsi="宋体" w:cs="宋体"/>
                <w:color w:val="000000"/>
                <w:kern w:val="0"/>
                <w:sz w:val="22"/>
                <w:szCs w:val="22"/>
                <w:highlight w:val="none"/>
                <w:lang w:bidi="ar"/>
              </w:rPr>
              <w:t>3.随机数支持硬件真随机数发生器。可擦写次数≥100,000次。数据保持时间≥20年。</w:t>
            </w:r>
          </w:p>
        </w:tc>
        <w:tc>
          <w:tcPr>
            <w:tcW w:w="766" w:type="dxa"/>
            <w:noWrap w:val="0"/>
            <w:vAlign w:val="center"/>
          </w:tcPr>
          <w:p w14:paraId="5768399C">
            <w:pPr>
              <w:widowControl/>
              <w:jc w:val="center"/>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val="en-US" w:eastAsia="zh-CN" w:bidi="ar"/>
              </w:rPr>
              <w:t>100</w:t>
            </w:r>
          </w:p>
        </w:tc>
        <w:tc>
          <w:tcPr>
            <w:tcW w:w="678" w:type="dxa"/>
            <w:shd w:val="clear" w:color="auto" w:fill="auto"/>
            <w:noWrap w:val="0"/>
            <w:vAlign w:val="center"/>
          </w:tcPr>
          <w:p w14:paraId="765CE7F2">
            <w:pPr>
              <w:widowControl/>
              <w:jc w:val="center"/>
              <w:textAlignment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val="en-US" w:eastAsia="zh-CN" w:bidi="ar"/>
              </w:rPr>
              <w:t>套</w:t>
            </w:r>
          </w:p>
        </w:tc>
      </w:tr>
      <w:tr w14:paraId="44FFF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4" w:type="dxa"/>
            <w:noWrap w:val="0"/>
            <w:vAlign w:val="center"/>
          </w:tcPr>
          <w:p w14:paraId="79340644">
            <w:pPr>
              <w:jc w:val="center"/>
              <w:rPr>
                <w:rFonts w:hint="default" w:ascii="宋体" w:hAnsi="宋体" w:eastAsia="宋体" w:cs="宋体"/>
                <w:color w:val="auto"/>
                <w:kern w:val="2"/>
                <w:sz w:val="22"/>
                <w:szCs w:val="22"/>
                <w:highlight w:val="none"/>
                <w:lang w:val="en-US" w:eastAsia="zh-CN" w:bidi="ar-SA"/>
              </w:rPr>
            </w:pPr>
            <w:r>
              <w:rPr>
                <w:rFonts w:hint="eastAsia" w:ascii="宋体" w:hAnsi="宋体" w:eastAsia="宋体" w:cs="宋体"/>
                <w:color w:val="auto"/>
                <w:kern w:val="2"/>
                <w:sz w:val="22"/>
                <w:szCs w:val="22"/>
                <w:highlight w:val="none"/>
                <w:lang w:val="en-US" w:eastAsia="zh-CN" w:bidi="ar-SA"/>
              </w:rPr>
              <w:t>23</w:t>
            </w:r>
          </w:p>
        </w:tc>
        <w:tc>
          <w:tcPr>
            <w:tcW w:w="837" w:type="dxa"/>
            <w:shd w:val="clear" w:color="auto" w:fill="FFFFFF"/>
            <w:noWrap w:val="0"/>
            <w:vAlign w:val="center"/>
          </w:tcPr>
          <w:p w14:paraId="25EE5879">
            <w:pPr>
              <w:jc w:val="center"/>
              <w:rPr>
                <w:rFonts w:hint="eastAsia" w:ascii="宋体" w:hAnsi="宋体" w:cs="宋体"/>
                <w:color w:val="000000"/>
                <w:kern w:val="2"/>
                <w:sz w:val="22"/>
                <w:szCs w:val="22"/>
                <w:highlight w:val="none"/>
                <w:lang w:val="en-US" w:eastAsia="zh-CN" w:bidi="ar-SA"/>
              </w:rPr>
            </w:pPr>
            <w:r>
              <w:rPr>
                <w:rFonts w:hint="eastAsia" w:ascii="宋体" w:hAnsi="宋体" w:cs="宋体"/>
                <w:color w:val="000000"/>
                <w:sz w:val="22"/>
                <w:szCs w:val="22"/>
                <w:highlight w:val="none"/>
              </w:rPr>
              <w:t>集成服务</w:t>
            </w:r>
          </w:p>
        </w:tc>
        <w:tc>
          <w:tcPr>
            <w:tcW w:w="1316" w:type="dxa"/>
            <w:shd w:val="clear" w:color="auto" w:fill="FFFFFF"/>
            <w:noWrap w:val="0"/>
            <w:vAlign w:val="center"/>
          </w:tcPr>
          <w:p w14:paraId="7ACC6F1B">
            <w:pPr>
              <w:jc w:val="center"/>
              <w:rPr>
                <w:rFonts w:hint="eastAsia" w:ascii="宋体" w:hAnsi="宋体" w:cs="宋体"/>
                <w:color w:val="000000"/>
                <w:kern w:val="2"/>
                <w:sz w:val="22"/>
                <w:szCs w:val="22"/>
                <w:highlight w:val="none"/>
                <w:lang w:val="en-US" w:eastAsia="zh-CN" w:bidi="ar-SA"/>
              </w:rPr>
            </w:pPr>
            <w:r>
              <w:rPr>
                <w:rFonts w:hint="eastAsia" w:ascii="宋体" w:hAnsi="宋体" w:cs="宋体"/>
                <w:color w:val="000000"/>
                <w:sz w:val="22"/>
                <w:szCs w:val="22"/>
                <w:highlight w:val="none"/>
              </w:rPr>
              <w:t>系统集成</w:t>
            </w:r>
          </w:p>
        </w:tc>
        <w:tc>
          <w:tcPr>
            <w:tcW w:w="4228" w:type="dxa"/>
            <w:shd w:val="clear" w:color="auto" w:fill="auto"/>
            <w:noWrap w:val="0"/>
            <w:vAlign w:val="center"/>
          </w:tcPr>
          <w:p w14:paraId="359828EB">
            <w:pPr>
              <w:jc w:val="left"/>
              <w:rPr>
                <w:rFonts w:hint="eastAsia" w:ascii="宋体" w:hAnsi="宋体" w:cs="宋体"/>
                <w:color w:val="000000"/>
                <w:kern w:val="2"/>
                <w:sz w:val="22"/>
                <w:szCs w:val="22"/>
                <w:highlight w:val="none"/>
                <w:lang w:val="en-US" w:eastAsia="zh-CN" w:bidi="ar-SA"/>
              </w:rPr>
            </w:pPr>
            <w:r>
              <w:rPr>
                <w:rFonts w:hint="eastAsia" w:ascii="宋体" w:hAnsi="宋体" w:cs="宋体"/>
                <w:color w:val="000000"/>
                <w:kern w:val="0"/>
                <w:sz w:val="22"/>
                <w:szCs w:val="22"/>
                <w:highlight w:val="none"/>
                <w:lang w:bidi="ar"/>
              </w:rPr>
              <w:t>1.敏感数据存储区服务器、网络设备、安全设备等安装集成服务。</w:t>
            </w:r>
          </w:p>
        </w:tc>
        <w:tc>
          <w:tcPr>
            <w:tcW w:w="766" w:type="dxa"/>
            <w:noWrap w:val="0"/>
            <w:vAlign w:val="center"/>
          </w:tcPr>
          <w:p w14:paraId="59754059">
            <w:pPr>
              <w:widowControl/>
              <w:jc w:val="center"/>
              <w:textAlignment w:val="center"/>
              <w:rPr>
                <w:rFonts w:hint="default"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1</w:t>
            </w:r>
          </w:p>
        </w:tc>
        <w:tc>
          <w:tcPr>
            <w:tcW w:w="678" w:type="dxa"/>
            <w:shd w:val="clear" w:color="auto" w:fill="auto"/>
            <w:noWrap w:val="0"/>
            <w:vAlign w:val="center"/>
          </w:tcPr>
          <w:p w14:paraId="378503FB">
            <w:pPr>
              <w:widowControl/>
              <w:jc w:val="center"/>
              <w:textAlignment w:val="center"/>
              <w:rPr>
                <w:rFonts w:hint="default" w:ascii="宋体" w:hAnsi="宋体" w:eastAsia="宋体" w:cs="宋体"/>
                <w:color w:val="auto"/>
                <w:kern w:val="0"/>
                <w:sz w:val="22"/>
                <w:szCs w:val="22"/>
                <w:highlight w:val="none"/>
                <w:lang w:val="en-US" w:eastAsia="zh-CN" w:bidi="ar"/>
              </w:rPr>
            </w:pPr>
            <w:r>
              <w:rPr>
                <w:rFonts w:hint="eastAsia" w:ascii="宋体" w:hAnsi="宋体" w:eastAsia="宋体" w:cs="宋体"/>
                <w:color w:val="auto"/>
                <w:kern w:val="0"/>
                <w:sz w:val="22"/>
                <w:szCs w:val="22"/>
                <w:highlight w:val="none"/>
                <w:lang w:val="en-US" w:eastAsia="zh-CN" w:bidi="ar"/>
              </w:rPr>
              <w:t>项</w:t>
            </w:r>
          </w:p>
        </w:tc>
      </w:tr>
    </w:tbl>
    <w:p w14:paraId="67819ED5">
      <w:pPr>
        <w:pStyle w:val="16"/>
        <w:ind w:firstLine="210"/>
        <w:rPr>
          <w:rFonts w:hint="eastAsia" w:ascii="仿宋" w:hAnsi="仿宋" w:eastAsia="仿宋" w:cs="仿宋"/>
          <w:sz w:val="28"/>
          <w:szCs w:val="28"/>
          <w:highlight w:val="none"/>
        </w:rPr>
      </w:pPr>
      <w:r>
        <w:rPr>
          <w:rFonts w:hint="eastAsia" w:ascii="仿宋" w:hAnsi="仿宋" w:eastAsia="仿宋" w:cs="仿宋"/>
          <w:sz w:val="28"/>
          <w:szCs w:val="28"/>
          <w:highlight w:val="none"/>
          <w:lang w:val="en-US" w:eastAsia="zh-CN"/>
        </w:rPr>
        <w:t>附件1</w:t>
      </w:r>
    </w:p>
    <w:tbl>
      <w:tblPr>
        <w:tblStyle w:val="17"/>
        <w:tblW w:w="836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18"/>
        <w:gridCol w:w="1123"/>
        <w:gridCol w:w="820"/>
        <w:gridCol w:w="1389"/>
        <w:gridCol w:w="4416"/>
      </w:tblGrid>
      <w:tr w14:paraId="58DEC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D2DF323">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序号</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5F8DCBB">
            <w:pPr>
              <w:keepNext w:val="0"/>
              <w:keepLines w:val="0"/>
              <w:widowControl/>
              <w:suppressLineNumbers w:val="0"/>
              <w:jc w:val="left"/>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指标分类</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4F1189B2">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一级指标</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8C113FC">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二级指标</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BCAF44E">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指标要求</w:t>
            </w:r>
          </w:p>
        </w:tc>
      </w:tr>
      <w:tr w14:paraId="47EF3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0B11E6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25AB0B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14CA334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CPU规格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AE4110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★CPU信息</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E0E95E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配置2颗国产C86-3G架构处理器；单颗处理器核心数≥32核心，64线程，基频≥2.7GHz，三级64MB，支持超线程技术</w:t>
            </w:r>
          </w:p>
        </w:tc>
      </w:tr>
      <w:tr w14:paraId="24E0D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319753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EA9D2D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1CB99AB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主板规格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6CE003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★主板支持的CPU和内存情况</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3F292A6">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主板支持2颗国产C86架构处理器，内存配置4条64GDDR4内存</w:t>
            </w:r>
          </w:p>
        </w:tc>
      </w:tr>
      <w:tr w14:paraId="50F14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098936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753697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2624C8">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27F391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★主板内存槽数量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2AC62AD">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支持32条内存插槽</w:t>
            </w:r>
          </w:p>
        </w:tc>
      </w:tr>
      <w:tr w14:paraId="6C4CC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FE859E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AEE713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78BC57">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E1BBCF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★主板存储接口</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1A1FD5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机型支持SATA、SAS、M.2、U.2等存储接口；</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板载可直出2个PCIe或SATA规格M.2插槽，支持2个SATAM.2组RAID；</w:t>
            </w:r>
          </w:p>
        </w:tc>
      </w:tr>
      <w:tr w14:paraId="69989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DD6962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08BA14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F1C632">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A5E892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★PCIe插槽接口</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E58EC8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支持PCIe3.0插槽接口</w:t>
            </w:r>
          </w:p>
        </w:tc>
      </w:tr>
      <w:tr w14:paraId="6E211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13867B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FC147C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EE9180">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DB9E47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★主板PCIe插槽数量及规格</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384153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最大支持10个PCIe4.0插槽（2个内置专用插槽）</w:t>
            </w:r>
          </w:p>
        </w:tc>
      </w:tr>
      <w:tr w14:paraId="55CD0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8B8D2A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C5EB83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1F3591">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D65A9D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特殊孔位及接口</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83338F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1AE8B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F6648A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7F702A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D84DD0">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B2BA41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板载网络接口</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DFF078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2C8EE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3F5249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F525FC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838F89">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A0A359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主板OCP插槽数量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125EF4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34BD3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F27591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89145D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33B44D5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0B9ABA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★内存数量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FDF32A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4条</w:t>
            </w:r>
          </w:p>
        </w:tc>
      </w:tr>
      <w:tr w14:paraId="11042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F92739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E3030C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CC4611">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699EAA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★内存规格</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7D0DD3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配置DDR4内存，单条容量64GB</w:t>
            </w:r>
          </w:p>
        </w:tc>
      </w:tr>
      <w:tr w14:paraId="6B966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42528D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1C960E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9F9BB5">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C76CD9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★内存通道</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AEAD1A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2A7B8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3C53FD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EA1D60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22C399E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存储规格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34FE0B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硬盘类型</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0D0E76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支持SATA/SAS硬磁盘、SATA/SAS/NVMe/PCIe固态盘</w:t>
            </w:r>
          </w:p>
        </w:tc>
      </w:tr>
      <w:tr w14:paraId="327A9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AEA997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95A8FD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2E93F3">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B21BF4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★硬磁盘实配容量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84F61C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480GSSD硬盘</w:t>
            </w:r>
          </w:p>
        </w:tc>
      </w:tr>
      <w:tr w14:paraId="1EA62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2F9025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8EA1D9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8DF21B">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5D04F0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硬盘接口类型</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88B838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SATA接口</w:t>
            </w:r>
          </w:p>
        </w:tc>
      </w:tr>
      <w:tr w14:paraId="019FD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55E229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323473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886599">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3C8D90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★硬盘实配数量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F03BC0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2块</w:t>
            </w:r>
          </w:p>
        </w:tc>
      </w:tr>
      <w:tr w14:paraId="27EA5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E199BA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9291F3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F2FA32">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683627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★硬盘插槽数量及规格</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870591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1、支持≥12个前置热插拔3.5硬盘或24个2.5硬盘，支持SAS/SATA/NVMeSSD</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2、板载支持≥8个U.2NVMeSSD</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3、板载可支持2个内置M.2SSD，兼容PCIe和SATA规格，支持2个SATAM.2组RAID</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4、后置支持≥4个2.5寸硬盘，支持anybay</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5、后置支持≥4个3.5寸硬盘，支持SAS/SATA/SSD</w:t>
            </w:r>
          </w:p>
        </w:tc>
      </w:tr>
      <w:tr w14:paraId="247EF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9B9303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D22CDB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E9C40D">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F54D49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硬盘其他参数要求</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3FA3E7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471805</wp:posOffset>
                  </wp:positionV>
                  <wp:extent cx="76835" cy="47625"/>
                  <wp:effectExtent l="0" t="0" r="0" b="0"/>
                  <wp:wrapNone/>
                  <wp:docPr id="2" name="textbox1"/>
                  <wp:cNvGraphicFramePr/>
                  <a:graphic xmlns:a="http://schemas.openxmlformats.org/drawingml/2006/main">
                    <a:graphicData uri="http://schemas.openxmlformats.org/drawingml/2006/picture">
                      <pic:pic xmlns:pic="http://schemas.openxmlformats.org/drawingml/2006/picture">
                        <pic:nvPicPr>
                          <pic:cNvPr id="2" name="textbox1"/>
                          <pic:cNvPicPr/>
                        </pic:nvPicPr>
                        <pic:blipFill>
                          <a:blip r:embed="rId7"/>
                          <a:stretch>
                            <a:fillRect/>
                          </a:stretch>
                        </pic:blipFill>
                        <pic:spPr>
                          <a:xfrm>
                            <a:off x="0" y="0"/>
                            <a:ext cx="76835" cy="47625"/>
                          </a:xfrm>
                          <a:prstGeom prst="rect">
                            <a:avLst/>
                          </a:prstGeom>
                          <a:noFill/>
                          <a:ln>
                            <a:noFill/>
                          </a:ln>
                        </pic:spPr>
                      </pic:pic>
                    </a:graphicData>
                  </a:graphic>
                </wp:anchor>
              </w:drawing>
            </w:r>
            <w:r>
              <w:rPr>
                <w:rFonts w:hint="eastAsia" w:ascii="仿宋" w:hAnsi="仿宋" w:eastAsia="仿宋" w:cs="仿宋"/>
                <w:i w:val="0"/>
                <w:iCs w:val="0"/>
                <w:color w:val="auto"/>
                <w:kern w:val="0"/>
                <w:sz w:val="24"/>
                <w:szCs w:val="24"/>
                <w:highlight w:val="none"/>
                <w:u w:val="none"/>
                <w:lang w:val="en-US" w:eastAsia="zh-CN" w:bidi="ar"/>
              </w:rPr>
              <w:t>不涉及</w:t>
            </w:r>
          </w:p>
        </w:tc>
      </w:tr>
      <w:tr w14:paraId="381CC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6476DB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745D14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1717794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RAID卡规格（若支持RAID卡）</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44BA65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RAID卡支持的SAS</w:t>
            </w:r>
          </w:p>
        </w:tc>
        <w:tc>
          <w:tcPr>
            <w:tcW w:w="441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938412">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配置1块2G缓存 RAID卡，支持0/1/5</w:t>
            </w:r>
          </w:p>
        </w:tc>
      </w:tr>
      <w:tr w14:paraId="06361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692539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839139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279A1E8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SAS直通卡规格(若支持SAS直通卡)</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566CF1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SAS直通卡SAS接口数量</w:t>
            </w:r>
          </w:p>
        </w:tc>
        <w:tc>
          <w:tcPr>
            <w:tcW w:w="441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605D02">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42266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F1BABF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78E590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0BD6E77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HBA卡规格(若支持HBA直通卡)</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4EFEFC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HBA卡端口数量</w:t>
            </w:r>
          </w:p>
        </w:tc>
        <w:tc>
          <w:tcPr>
            <w:tcW w:w="441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7E7FBF">
            <w:pPr>
              <w:widowControl/>
              <w:jc w:val="left"/>
              <w:textAlignment w:val="center"/>
              <w:rPr>
                <w:rFonts w:hint="eastAsia" w:ascii="仿宋" w:hAnsi="仿宋" w:eastAsia="仿宋" w:cs="仿宋"/>
                <w:kern w:val="2"/>
                <w:sz w:val="24"/>
                <w:szCs w:val="24"/>
                <w:highlight w:val="none"/>
                <w:lang w:val="en-US" w:eastAsia="zh-CN" w:bidi="ar-SA"/>
              </w:rPr>
            </w:pPr>
            <w:r>
              <w:rPr>
                <w:rFonts w:hint="eastAsia" w:ascii="仿宋" w:hAnsi="仿宋" w:eastAsia="仿宋" w:cs="仿宋"/>
                <w:kern w:val="0"/>
                <w:sz w:val="24"/>
                <w:highlight w:val="none"/>
                <w:lang w:bidi="ar"/>
              </w:rPr>
              <w:t>不涉及</w:t>
            </w:r>
          </w:p>
        </w:tc>
      </w:tr>
      <w:tr w14:paraId="1F687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AA7E85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2CA194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0FF5770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网络规格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6B3CF1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★网口速率和数量</w:t>
            </w:r>
          </w:p>
        </w:tc>
        <w:tc>
          <w:tcPr>
            <w:tcW w:w="441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960CCE">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配置2块双口千兆网卡，速率1G，配置2块双口万兆网卡，速率10G</w:t>
            </w:r>
          </w:p>
        </w:tc>
      </w:tr>
      <w:tr w14:paraId="187A9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102869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CCC577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B5EF03">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6BAB70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存储型服务器网口速率和数量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9B5ABA0">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1B710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682F69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F222E1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54B619">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51CC27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独立网卡网口数量</w:t>
            </w:r>
          </w:p>
        </w:tc>
        <w:tc>
          <w:tcPr>
            <w:tcW w:w="441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E34E91">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配置独立网卡，独立网口为4个1G网口，4个10G网口（含模块）</w:t>
            </w:r>
          </w:p>
        </w:tc>
      </w:tr>
      <w:tr w14:paraId="3E2C4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08AB54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D8787E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249AE1">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5B7F50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独立网卡接口类型</w:t>
            </w:r>
          </w:p>
        </w:tc>
        <w:tc>
          <w:tcPr>
            <w:tcW w:w="441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568A7A">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独立网口为4个1G网口，4个10G网口（含模块）</w:t>
            </w:r>
          </w:p>
        </w:tc>
      </w:tr>
      <w:tr w14:paraId="27472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19DFBC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24CEB8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E7E59E">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D9B394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板载网卡接口类型</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9FD6A8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208E4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3949D2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A949A7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6D2A4A3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外部接口规格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A97941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★显示接口</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B43F52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1个VGA接口</w:t>
            </w:r>
          </w:p>
        </w:tc>
      </w:tr>
      <w:tr w14:paraId="25203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E4819A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F3890A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A0D1D1">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C3534D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★USB接口</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69C7FB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4个USB3.0接口，2个位于机箱后部、2个位于机箱前部</w:t>
            </w:r>
          </w:p>
        </w:tc>
      </w:tr>
      <w:tr w14:paraId="68FCB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E65078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AD9C67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06B29D">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AE92B2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特殊接口及孔位</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24A726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48962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46F89C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BA110E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76B58F">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3D18DE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其他接口</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5035EA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1个RJ-45管理接口位于机箱后部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可选1个COM口位于机箱后部</w:t>
            </w:r>
          </w:p>
        </w:tc>
      </w:tr>
      <w:tr w14:paraId="035FA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713155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F6EB22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7AACB91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D77296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电源冗余模式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9A9EC4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1+1冗余电源</w:t>
            </w:r>
          </w:p>
        </w:tc>
      </w:tr>
      <w:tr w14:paraId="568E2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AB0DB2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CAF026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7019FB">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9A1B16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★电源模块数量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B0BE73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2块</w:t>
            </w:r>
          </w:p>
        </w:tc>
      </w:tr>
      <w:tr w14:paraId="72FB0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26424F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BA9035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A27077">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B2C6F6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★电源功率</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C6B9E1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单电源模块800瓦</w:t>
            </w:r>
          </w:p>
        </w:tc>
      </w:tr>
      <w:tr w14:paraId="26187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1DB791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B0F18A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3D7E8F">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ABC9CC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电源指示灯</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0C4FEC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服务器应具备电源指示灯，指示待机、工作异常等状态</w:t>
            </w:r>
          </w:p>
        </w:tc>
      </w:tr>
      <w:tr w14:paraId="52316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AA1218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A32E31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1809279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整机规格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32F9B5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★外观和结构</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D2A17A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a)服务器的零部件应紧固无松动，可插拔部件应可靠连接，开关、按钮和其它控制部件应灵活可靠，布局应方便使用；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b)产品表面不应有明显的凹痕、划伤、裂缝、变形和污染等。表面涂层均匀，不应起泡、龟裂、脱落和磨损，金属零部件无锈蚀及其它机械损伤；</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c)产品表面说明功能的文字、符号和标志应清晰、端正且牢固；</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d)应在服务器的显著位置提供运行状态的指示功能，并在随机文件中明确具体含义；</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e)机架、机箱的尺寸应符合通用机柜的安装要求，插入总线插座的电路板接口外形尺寸应符合有关总线标准的规定，将机箱固定在机柜上，机箱底面最大下垂变形不得干涉相邻机体；</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f)服务器尺寸具体要求在随机文件中明确</w:t>
            </w:r>
          </w:p>
        </w:tc>
      </w:tr>
      <w:tr w14:paraId="206F6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8C2D7C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9A7267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015897">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EFC8B0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★尺寸（高×宽×深）</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694FC3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a）2U高度机架式服务器，机箱深度小于800mm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b）设计遵循标准化、系列化的要求。机箱的内部结构应符合通用部件的安装需要；</w:t>
            </w:r>
          </w:p>
        </w:tc>
      </w:tr>
      <w:tr w14:paraId="23225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7CBE5F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F8242F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C5B53B">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E3AC5F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服务器导轨</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701C95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2U机架服务器</w:t>
            </w:r>
          </w:p>
        </w:tc>
      </w:tr>
      <w:tr w14:paraId="77EB7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0B60AC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164CBD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2312E2">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A5A780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CPU个数与机柜高度单位(U)比</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A83EB6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2颗CPU，42U机柜</w:t>
            </w:r>
          </w:p>
        </w:tc>
      </w:tr>
      <w:tr w14:paraId="42D64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D061C4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E4DF45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8D13B6">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437009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★环境适应性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8F551E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气候环境适应性应符合GB/T9813.3的有关规定，工作温度10～35℃，贮存运输温度-40～55℃；工作相对湿度35%～80%，贮存运输相对湿度20％～93%（40℃）；大气压86～106kPa；</w:t>
            </w:r>
          </w:p>
        </w:tc>
      </w:tr>
      <w:tr w14:paraId="1BA5B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512818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2DECFB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AE16A7">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7A0AF9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特殊机型环境适应性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FDB38F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733D9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8B6E4C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8307B0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81F9BA">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A84FB6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★机械环境适应性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DBDAB1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机械环境适应性应符合GB/T9813.3的有关规定</w:t>
            </w:r>
          </w:p>
        </w:tc>
      </w:tr>
      <w:tr w14:paraId="4487B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5F96BE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95F841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6B5ED5">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F1BAB6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★噪声</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BA9AB5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噪声符合GB/T9813.3的有关规定，在产品说明中给出具体测试值</w:t>
            </w:r>
          </w:p>
        </w:tc>
      </w:tr>
      <w:tr w14:paraId="52BB9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5A61B9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A20572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72567FF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AI计算单元规格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5124F2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AI计算单元</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3ACBED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6730E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B7BB11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4921F5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074E15">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E343AF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一键式迁移</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808337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CBE6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15412E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9C68F3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0B02476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机柜规格</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F2CB73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★机柜尺寸</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F57FD8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4CA61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43A43E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BC4666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0D3E5A">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31D16C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机柜管理板</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39FEF5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D55D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D85DE5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EE4D7B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产品规格</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1CB4C9">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75C3CB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机柜电源规格</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8D6292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FD37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D2DC2D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A0BEF6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6D1EBF5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主板功能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4962A3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★主板外部接口种类</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0E1926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支持USB、显示、管理等接口</w:t>
            </w:r>
          </w:p>
        </w:tc>
      </w:tr>
      <w:tr w14:paraId="5C16E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B75926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B3CF16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022ED9">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C77EC6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主板防烧板设计</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8C3FDD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5CB3A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ED6B4C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71EFF8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A86830">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B8D547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扩展功能</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046249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50719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F3737E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58DC3C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2C85B69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网络功能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0B39C2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★网络功能</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882E4F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支持网络连接、网络访问、数据交换和网络管控功能</w:t>
            </w:r>
          </w:p>
        </w:tc>
      </w:tr>
      <w:tr w14:paraId="5554C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F79DF0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7B743D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12CA297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CPU功能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BFDD46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★计算处理</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3C5B33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支持通用计算及虚拟化功能。处理器需集成整型计算单元、浮点计算单元、内存控制器、I/O模块等，处理器与存储部件、网络部件、I/O部件等组成计算系统，提供数据处理、网络接入等计算相关功能</w:t>
            </w:r>
          </w:p>
        </w:tc>
      </w:tr>
      <w:tr w14:paraId="76E26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639F52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A890AC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6A8B59">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0F79E5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★密码算法实现</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B7186E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CPU芯片应符合GM/T0008的相关规定，或芯片密码模块应符合GB/T37092或GM/T0028的相关规定</w:t>
            </w:r>
          </w:p>
        </w:tc>
      </w:tr>
      <w:tr w14:paraId="2F674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547176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5CEE15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60E8DFA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存储功能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F2727D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内存校验</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ED6B9F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支持内存效验功能</w:t>
            </w:r>
          </w:p>
        </w:tc>
      </w:tr>
      <w:tr w14:paraId="4FF0F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3119EE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9A4560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68FB13">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top"/>
          </w:tcPr>
          <w:p w14:paraId="04926FB4">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SATASSDNAND健康状态上报</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68276A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1216B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A9A57F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56079B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507620">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top"/>
          </w:tcPr>
          <w:p w14:paraId="726C1F38">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SATASSD单die故障隔离</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9B2F49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16265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A11F26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046481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38195C7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RAID卡功能（若支持RAID卡）</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0240880">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RAID卡RAID级别支持</w:t>
            </w:r>
          </w:p>
        </w:tc>
        <w:tc>
          <w:tcPr>
            <w:tcW w:w="441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8271D4">
            <w:pPr>
              <w:keepNext w:val="0"/>
              <w:keepLines w:val="0"/>
              <w:widowControl/>
              <w:suppressLineNumbers w:val="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配置2G RAID卡，支持RAID0/1/5</w:t>
            </w:r>
          </w:p>
        </w:tc>
      </w:tr>
      <w:tr w14:paraId="1408D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EFEE52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AB829A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E136F0">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7CE5E0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RAID卡BBU单元</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FF5F1A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255B1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5D5EF8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59</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590CE0ED">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1B07D73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光驱功能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63BFC3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光驱类型（是否支持RW，以及光盘类型CD/DVD）</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65F318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66704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B9503A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5D1D4B85">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3CFFA9F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8E7045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★电源热插拔</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AFA6DB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整机电源模块应具备热插拔功能</w:t>
            </w:r>
          </w:p>
        </w:tc>
      </w:tr>
      <w:tr w14:paraId="6E8F9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2FFC68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61</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091D497D">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6F7712">
            <w:pPr>
              <w:jc w:val="left"/>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ACA09D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★电源过流保护</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7FF1D4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服务器具备过流及短路保护的功能</w:t>
            </w:r>
          </w:p>
        </w:tc>
      </w:tr>
      <w:tr w14:paraId="1C5DA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760E6A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62</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65653B12">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5666A32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整机功能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E82720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★散热方式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4D5D89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服务器采用风冷散热</w:t>
            </w:r>
          </w:p>
        </w:tc>
      </w:tr>
      <w:tr w14:paraId="709FB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A0B684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63</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0AA4A4B4">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574DBD">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2DAA13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其他功能</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7772C7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6EF2C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18" w:type="dxa"/>
            <w:vMerge w:val="restart"/>
            <w:tcBorders>
              <w:top w:val="single" w:color="000000" w:sz="4" w:space="0"/>
              <w:left w:val="single" w:color="000000" w:sz="4" w:space="0"/>
              <w:bottom w:val="single" w:color="000000" w:sz="4" w:space="0"/>
              <w:right w:val="single" w:color="000000" w:sz="4" w:space="0"/>
            </w:tcBorders>
            <w:noWrap w:val="0"/>
            <w:vAlign w:val="center"/>
          </w:tcPr>
          <w:p w14:paraId="6D53CF3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64</w:t>
            </w:r>
          </w:p>
        </w:tc>
        <w:tc>
          <w:tcPr>
            <w:tcW w:w="1123" w:type="dxa"/>
            <w:vMerge w:val="restart"/>
            <w:tcBorders>
              <w:top w:val="single" w:color="000000" w:sz="4" w:space="0"/>
              <w:left w:val="single" w:color="000000" w:sz="4" w:space="0"/>
              <w:bottom w:val="single" w:color="000000" w:sz="4" w:space="0"/>
              <w:right w:val="single" w:color="000000" w:sz="4" w:space="0"/>
            </w:tcBorders>
            <w:noWrap w:val="0"/>
            <w:vAlign w:val="center"/>
          </w:tcPr>
          <w:p w14:paraId="5FA8812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1F97B22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管理系统功能</w:t>
            </w:r>
          </w:p>
        </w:tc>
        <w:tc>
          <w:tcPr>
            <w:tcW w:w="1389" w:type="dxa"/>
            <w:vMerge w:val="restart"/>
            <w:tcBorders>
              <w:top w:val="single" w:color="000000" w:sz="4" w:space="0"/>
              <w:left w:val="single" w:color="000000" w:sz="4" w:space="0"/>
              <w:bottom w:val="single" w:color="000000" w:sz="4" w:space="0"/>
              <w:right w:val="single" w:color="000000" w:sz="4" w:space="0"/>
            </w:tcBorders>
            <w:noWrap w:val="0"/>
            <w:vAlign w:val="center"/>
          </w:tcPr>
          <w:p w14:paraId="093020C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★BMC固件基础功能</w:t>
            </w:r>
          </w:p>
        </w:tc>
        <w:tc>
          <w:tcPr>
            <w:tcW w:w="4416" w:type="dxa"/>
            <w:vMerge w:val="restart"/>
            <w:tcBorders>
              <w:top w:val="single" w:color="000000" w:sz="4" w:space="0"/>
              <w:left w:val="single" w:color="000000" w:sz="4" w:space="0"/>
              <w:bottom w:val="single" w:color="000000" w:sz="4" w:space="0"/>
              <w:right w:val="single" w:color="000000" w:sz="4" w:space="0"/>
            </w:tcBorders>
            <w:noWrap w:val="0"/>
            <w:vAlign w:val="center"/>
          </w:tcPr>
          <w:p w14:paraId="28D78D6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1)支持DHCP设置网络功能；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2)支持静态IP设置网络功能；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3)支持设备日志记录，包括但不限于登录日志、操作日志和报警日志等功能；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4)支持日志信息导出和记录删除功能；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5)支持通过管理接口向外输出准确的报警信息功能；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6)设备的BMC管理软件应能够按报警的严重程度进行区分；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7)支持IPMI2.0、SNMP或Redfish等接口功能；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8)支持键盘、鼠标和视频的重定向、文本控制台的重定向、远程虚拟媒体、高可靠的硬件监控和管理功能；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9)支持基于网络开启、关闭和重启设备的功能，并查询当前设备开机运行状态；</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10)支持故障提示功能，并可通过接口读取服务器故障信息；</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11)支持基于网络的固件更新功能，包括BMC和BIOS等；</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12)支持基于网络安装操作系统的功能，并可通过网络控制台访问设备；</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13)支持通过本地的硬盘或光驱等存储设备，基于网络完成设备的操作系统安装功能；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14)支持通过浏览器打开管理界面并登录功能；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15)支持设置口令策略功能；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16)支持访问权限设置功能，并通过日志记录访问事件；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17)支持对出厂默认的用户名及口令进行安全保护功能，并提供默认口令修改提示；</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18)支持读取设备主板的工作环境温度功能；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19)支持读取服务器CPU等核心器件的温度功能；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20)支持通过外部管理工具进行BMC参数设置的功能，并可基于网络通过外部管理工具对BMC进行管理；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21)应支持固件版本查询、固件升级</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22)支持基于网络实现开关机和复位控制的功能；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23)BMC启动时间应不超过180s，实现功能包括网络、IPMI、散热、传感器服务可用；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24)支持BMC固件设置的恢复出厂功能</w:t>
            </w:r>
          </w:p>
        </w:tc>
      </w:tr>
      <w:tr w14:paraId="2B5A4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9C5335">
            <w:pPr>
              <w:jc w:val="center"/>
              <w:rPr>
                <w:rFonts w:hint="eastAsia" w:ascii="仿宋" w:hAnsi="仿宋" w:eastAsia="仿宋" w:cs="仿宋"/>
                <w:i w:val="0"/>
                <w:iCs w:val="0"/>
                <w:color w:val="auto"/>
                <w:sz w:val="24"/>
                <w:szCs w:val="24"/>
                <w:highlight w:val="none"/>
                <w:u w:val="none"/>
              </w:rPr>
            </w:pPr>
          </w:p>
        </w:tc>
        <w:tc>
          <w:tcPr>
            <w:tcW w:w="112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C3651E">
            <w:pPr>
              <w:jc w:val="left"/>
              <w:rPr>
                <w:rFonts w:hint="eastAsia" w:ascii="仿宋" w:hAnsi="仿宋" w:eastAsia="仿宋" w:cs="仿宋"/>
                <w:i w:val="0"/>
                <w:iCs w:val="0"/>
                <w:color w:val="auto"/>
                <w:sz w:val="24"/>
                <w:szCs w:val="24"/>
                <w:highlight w:val="none"/>
                <w:u w:val="none"/>
              </w:rPr>
            </w:pP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37EB0E">
            <w:pPr>
              <w:jc w:val="center"/>
              <w:rPr>
                <w:rFonts w:hint="eastAsia" w:ascii="仿宋" w:hAnsi="仿宋" w:eastAsia="仿宋" w:cs="仿宋"/>
                <w:i w:val="0"/>
                <w:iCs w:val="0"/>
                <w:color w:val="auto"/>
                <w:sz w:val="24"/>
                <w:szCs w:val="24"/>
                <w:highlight w:val="none"/>
                <w:u w:val="none"/>
              </w:rPr>
            </w:pPr>
          </w:p>
        </w:tc>
        <w:tc>
          <w:tcPr>
            <w:tcW w:w="138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5E0678">
            <w:pPr>
              <w:jc w:val="left"/>
              <w:rPr>
                <w:rFonts w:hint="eastAsia" w:ascii="仿宋" w:hAnsi="仿宋" w:eastAsia="仿宋" w:cs="仿宋"/>
                <w:i w:val="0"/>
                <w:iCs w:val="0"/>
                <w:color w:val="auto"/>
                <w:sz w:val="24"/>
                <w:szCs w:val="24"/>
                <w:highlight w:val="none"/>
                <w:u w:val="none"/>
              </w:rPr>
            </w:pPr>
          </w:p>
        </w:tc>
        <w:tc>
          <w:tcPr>
            <w:tcW w:w="4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BDD944">
            <w:pPr>
              <w:jc w:val="left"/>
              <w:rPr>
                <w:rFonts w:hint="eastAsia" w:ascii="仿宋" w:hAnsi="仿宋" w:eastAsia="仿宋" w:cs="仿宋"/>
                <w:i w:val="0"/>
                <w:iCs w:val="0"/>
                <w:color w:val="auto"/>
                <w:sz w:val="24"/>
                <w:szCs w:val="24"/>
                <w:highlight w:val="none"/>
                <w:u w:val="none"/>
              </w:rPr>
            </w:pPr>
          </w:p>
        </w:tc>
      </w:tr>
      <w:tr w14:paraId="50892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8C0AC4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EF742A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E7CD12">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BC6084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BMC固件增强功能</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56E58B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a）网络控制、安装提供图形访问界面网络；b）设备的BMC管理软件界面显示报警信息，且能够按报警的严重程度进行区分；c）WebGUI采用BMC端口直连，平均响应时间为不大于1s</w:t>
            </w:r>
          </w:p>
        </w:tc>
      </w:tr>
      <w:tr w14:paraId="547FD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76DE24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9F5ED3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8CA5BF">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06E4E4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★BIOS固件基础功能</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8579D1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a）支持查看固件版本、内存信息、主板信息、处理器信息和系统时间信息功能；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b）支持上电初始化界面显示CPU信息、内存信息、固件版本和部分快捷键信息功能；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c）支持设置界面中英文显示切换功能；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d）支持查看PCIe设备信息，SATA设备信息功能；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e）支持操作系统安装和引导功能，并向操作系统提供计算机主板信息和服务接口；</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f）支持设置启动顺序，并按照设置的启动顺序启动功能；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g）支持安全启动功能；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h）支持设置口令、修改口令、验证口令功能；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i）支持板载显示控制或独立显卡的显示控制功能；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j）支持RAID识别和启动功能；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k）支持串口重定向功能；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l）支持固件更新功能；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m）支持BIOS固件设置的恢复出厂功能；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n）支持网络引导启用和关闭功能</w:t>
            </w:r>
          </w:p>
        </w:tc>
      </w:tr>
      <w:tr w14:paraId="7C93B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7DD237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67</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0A786D3E">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9F3D2C">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08C3B9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★远程控制</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62A453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服务器具备远程关机和重新启动功能</w:t>
            </w:r>
          </w:p>
        </w:tc>
      </w:tr>
      <w:tr w14:paraId="0A216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F238EC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68</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05AFB818">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581E6B3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操作系统及驱动功能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4F7BE8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★操作系统及驱动的升级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AECEEF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服务器支持通过网络、闪存盘对操作系统、驱动进行升级</w:t>
            </w:r>
          </w:p>
        </w:tc>
      </w:tr>
      <w:tr w14:paraId="7FDB5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665332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69</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77BDD161">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226D96">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3D0BFD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操作系统及驱动的备份还原</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B8FAE5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1E029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F82C1F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753FEC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457CC6">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F3E2EC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★操作系统功能</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DF6651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a)具备访问控制、安全审计、网络接入鉴别等功能；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b)操作系统其他功能满足操作系统政府采购需求标准中加★的指标要求</w:t>
            </w:r>
          </w:p>
        </w:tc>
      </w:tr>
      <w:tr w14:paraId="05BFE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F36CE6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941638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6048B6E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中文信息处理功能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C00F3E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★中文信息处理</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4EE06D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符合GB18030的有关规定</w:t>
            </w:r>
          </w:p>
        </w:tc>
      </w:tr>
      <w:tr w14:paraId="54F02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3F9A51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72</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59EB7B6D">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6111659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机柜功能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455AD6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机柜管理功能</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70A1CD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4BBD2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98CA68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73</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5EF34464">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9BE2CF">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B741FD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机柜通信方式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106C1C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3477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9CDBF8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74</w:t>
            </w:r>
          </w:p>
        </w:tc>
        <w:tc>
          <w:tcPr>
            <w:tcW w:w="1123" w:type="dxa"/>
            <w:tcBorders>
              <w:top w:val="single" w:color="000000" w:sz="4" w:space="0"/>
              <w:left w:val="single" w:color="000000" w:sz="4" w:space="0"/>
              <w:bottom w:val="single" w:color="000000" w:sz="4" w:space="0"/>
              <w:right w:val="single" w:color="000000" w:sz="4" w:space="0"/>
            </w:tcBorders>
            <w:noWrap w:val="0"/>
            <w:vAlign w:val="top"/>
          </w:tcPr>
          <w:p w14:paraId="0AC6D154">
            <w:pPr>
              <w:keepNext w:val="0"/>
              <w:keepLines w:val="0"/>
              <w:widowControl/>
              <w:suppressLineNumbers w:val="0"/>
              <w:jc w:val="left"/>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53FD08">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685479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多集群作业管理</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EA12DE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482F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27EA4A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89F6E3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64798E5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关键部件安全要求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7BC40F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★关键部件安全要求3</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048F55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CPU和操作系统等关键部件应当符合安全可靠测评要求</w:t>
            </w:r>
          </w:p>
        </w:tc>
      </w:tr>
      <w:tr w14:paraId="28776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3284E8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EB4140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155DB28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固件安全要求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69945D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★故障检测</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3A5D00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服务器支持故障检测功能，可以检测到具体的FRU（内存、硬盘等）的故障并发出告警</w:t>
            </w:r>
          </w:p>
        </w:tc>
      </w:tr>
      <w:tr w14:paraId="3D35C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F43B38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55B9A2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D346C1">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3808C2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内存故障智能预测和自愈修复</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8EA9D3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1722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032F41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D55E3D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AB3570">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3517C6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硬盘故障智能预测</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53AB50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D76E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7B3538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837886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867B70">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C90D74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PCIe链路故障智能诊断</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C57B4D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32DBE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FFC071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939A0A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06C19C">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D57C75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内存故障隔离</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EA8B22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62E62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B81577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DB83D1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72FE7D">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351607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内存、PCIe卡的故障精准告警功能</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300D26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61E60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CF3F7C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197E87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0D477B">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F67414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异常下电关键数据保护</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D25E8A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7E6C6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D2A434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E12B13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2BA5B9">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316F3A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BMC/BIOS固件双镜像保护</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E2C0BF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2DE80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955785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092F1F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0D692F">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2137E5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CPU核重启隔离</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747E76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5859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DD5B41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BA610E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D452E6">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0F70E1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内存地址隔离</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100549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3CB6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869D5C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E78EB6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2EBED7">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BD8065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内存存储阵列替换</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3FAC77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52A98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1D030B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206E66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8872DE">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3B2453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安全启动</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E2313D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1C280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4539C5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6B2397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616B8AA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系统安全要求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7543FA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syslog双向鉴别</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ED8B50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4964E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DE8ECE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05AF93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03D54E">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7D44DB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★弱口令字典检查</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B73439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30910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861898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5EEB3F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616498">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6394A9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★白名单访问控制</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ED7E13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应支持基于时间、IP或MAC白名单访问控制</w:t>
            </w:r>
          </w:p>
        </w:tc>
      </w:tr>
      <w:tr w14:paraId="11C4F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966428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B7F94D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ECF058">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80CA3B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双因素鉴别</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F6E7AF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1E1DA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6D76D9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D229FC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5A65BA">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0D3C85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★二次鉴别</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8CD889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255E8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1F891E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76F405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3AFD5C">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AB3AB4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匿名化用户告警接收邮箱</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B488C4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79A02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1136AB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1ADE90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7A9248">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97254D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★密码证书安全加密存储</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21A354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5660D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AD2394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7BD6CB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269F70">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B5DC60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★敏感信息安全加密传输</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EAA6DC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5B6CD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1606F5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1609F1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7E1B73D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信息安全要求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E06DA0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★研发过程安全</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193A68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供应商应构建从需求、设计、开发、测试、维护端到端的开发流程管理机制，输出和保存开发流程中每个阶段的产品需求清单、设计文档、开发文档、测试用例等材料，保证各个流程可追溯</w:t>
            </w:r>
          </w:p>
        </w:tc>
      </w:tr>
      <w:tr w14:paraId="6AB23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7921DC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D5385C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6AD454">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98DE7D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漏洞管理</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BB4535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50475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84FE2D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E5D003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AE7EE2">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4BA63F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网络关键设备服务器要求</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84D4AE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63703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06E620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118FB1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F76270">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350CA9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增强要求</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2BEB2D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a)CPU内嵌可信密码模块</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b)CPU内嵌可信密码获得国家密码管理商用密码产品认证</w:t>
            </w:r>
          </w:p>
        </w:tc>
      </w:tr>
      <w:tr w14:paraId="1C7EF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49C4FD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04283C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66C029A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物理安全</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08CD7D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★物理安全</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B19BA4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服务器的安全要求应符合GB4943.1的规定</w:t>
            </w:r>
          </w:p>
        </w:tc>
      </w:tr>
      <w:tr w14:paraId="39992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298EFE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41E849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安全要求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6B08BB6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限用物质的限量要求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58F7C9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★限用物质的限量要求</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3260F9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限用物质的限量应符合GB/T26572的要求</w:t>
            </w:r>
          </w:p>
        </w:tc>
      </w:tr>
      <w:tr w14:paraId="520F4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7945CF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B246E4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45C3F1D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CPU性能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042C3E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★CPU主频</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FB9E2C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≥2.7GHz</w:t>
            </w:r>
          </w:p>
        </w:tc>
      </w:tr>
      <w:tr w14:paraId="2359F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881989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4298D9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027DC3">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2ADC35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★单CPU核数</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0A9B49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≥32核心，64线程</w:t>
            </w:r>
          </w:p>
        </w:tc>
      </w:tr>
      <w:tr w14:paraId="1FB6C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9DC8F9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A10F5B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560A03">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6CA1EA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★单CPU末级缓存容量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59378C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≥64MB</w:t>
            </w:r>
          </w:p>
        </w:tc>
      </w:tr>
      <w:tr w14:paraId="3878E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C21776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FE6803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6C892AD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内存性能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220A1B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单内存模块容量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18336C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≥64GB</w:t>
            </w:r>
          </w:p>
        </w:tc>
      </w:tr>
      <w:tr w14:paraId="36260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8591F7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2D7E27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6AED31">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096240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★内存速率</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A9EAA5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≥2666MT/s</w:t>
            </w:r>
          </w:p>
        </w:tc>
      </w:tr>
      <w:tr w14:paraId="2F8F2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441E38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0023D3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09DEFED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存储性能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4D1529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硬盘转速</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43E3AF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483E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E663A0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1071F3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263200A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RAID卡性能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DBFFDD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RAID卡缓存容量大小</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1D8AC1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1AC3F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C36BD4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E88095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tcBorders>
              <w:top w:val="single" w:color="000000" w:sz="4" w:space="0"/>
              <w:left w:val="single" w:color="000000" w:sz="4" w:space="0"/>
              <w:bottom w:val="single" w:color="000000" w:sz="4" w:space="0"/>
              <w:right w:val="single" w:color="000000" w:sz="4" w:space="0"/>
            </w:tcBorders>
            <w:noWrap w:val="0"/>
            <w:vAlign w:val="top"/>
          </w:tcPr>
          <w:p w14:paraId="4B7724DF">
            <w:pPr>
              <w:keepNext w:val="0"/>
              <w:keepLines w:val="0"/>
              <w:widowControl/>
              <w:suppressLineNumbers w:val="0"/>
              <w:jc w:val="center"/>
              <w:textAlignment w:val="top"/>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FCHBA卡性能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A3A37C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FCHBA卡速率</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9E2F72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5B134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AF67FD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BE1652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790ECDF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网络性能</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3EEB98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独立网卡速率</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604BBA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千兆网口速率为1G，万兆网口速率为10G</w:t>
            </w:r>
          </w:p>
        </w:tc>
      </w:tr>
      <w:tr w14:paraId="6DF94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0DFCD5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AEE244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255E74">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DEEF10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板载网卡速率</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37FCD8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4B9AA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DEFFAA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C0580B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5F93CC7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电源能耗</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6889B8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★电源能耗</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5D0E322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应符合GB/T9813.3的有关规定</w:t>
            </w:r>
          </w:p>
        </w:tc>
      </w:tr>
      <w:tr w14:paraId="1F3BB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FA1AFD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D8B771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163B66C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部件兼容性要求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72C6A9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★内存兼容性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788A26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支持3种及以上厂商的内存产品，且均不低于产品支持的内存规格</w:t>
            </w:r>
          </w:p>
        </w:tc>
      </w:tr>
      <w:tr w14:paraId="11067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F4FFAF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2BAE80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A2B941">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B8CD0C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★固态存储兼容性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0227B4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支持3种或以上厂商的固态存储产品，且均不低于产品支持的固态存储设备规格</w:t>
            </w:r>
          </w:p>
        </w:tc>
      </w:tr>
      <w:tr w14:paraId="6F612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77A388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599E3F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F3BD4B">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C60CD5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FCHBA卡兼容性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D303E9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3412D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D2E624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26E95C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E3BA0C">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DF5FDA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RAID卡兼容性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78CC04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6BC1F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797EDD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A3EFED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214427">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CB7260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★网卡兼容性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A7AF47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支持2种及以上厂商的网卡产品</w:t>
            </w:r>
          </w:p>
        </w:tc>
      </w:tr>
      <w:tr w14:paraId="62F8C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DFCB1D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6224CE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7EC398">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E48A6F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★功能卡兼容性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DFAF9C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内置或适配符合PCIe的功能卡，如：网络功能卡、存储功能卡及图形显示功能卡</w:t>
            </w:r>
          </w:p>
        </w:tc>
      </w:tr>
      <w:tr w14:paraId="56FF9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D9B45B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5C16F3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25F11D0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外设兼容性</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16FD1C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★外设兼容性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1F8EFA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服务器应兼容多种主流生产商的外部设备，包括显示器、键盘、鼠标、闪存盘、移动硬盘、USB光驱及KVM等，要求使用不同厂商的外部设备时，系统均能正常识别和安装驱动</w:t>
            </w:r>
          </w:p>
        </w:tc>
      </w:tr>
      <w:tr w14:paraId="62F8A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6BE74D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493AE4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72E5931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软件兼容性</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E1313C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★数据库兼容</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6D527F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支持3个及以上厂商的数据库产品</w:t>
            </w:r>
          </w:p>
        </w:tc>
      </w:tr>
      <w:tr w14:paraId="20E45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771396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CD0123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2FD98C">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100E7E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★中间件兼容</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0FC1E7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支持3个及以上厂商的中间件产品</w:t>
            </w:r>
          </w:p>
        </w:tc>
      </w:tr>
      <w:tr w14:paraId="41A13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04D2CC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7F326A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F56DC4">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B3C884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★平台软件兼容</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6FC51B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支持3个及以上厂商的大数据平台</w:t>
            </w:r>
          </w:p>
        </w:tc>
      </w:tr>
      <w:tr w14:paraId="4E40B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BE23C1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8EFE12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4D1AE8">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517900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虚拟化软件兼容</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B431FF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兼容2款及以上虚拟化软件</w:t>
            </w:r>
          </w:p>
        </w:tc>
      </w:tr>
      <w:tr w14:paraId="6F62D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019CB5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653454B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可靠性要求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552530B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存储可靠性要求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044D7B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SATASSD可靠性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45A056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SSD的m1值（MTBF的不可接受值）不低于200000h</w:t>
            </w:r>
          </w:p>
        </w:tc>
      </w:tr>
      <w:tr w14:paraId="03F6E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29F8E4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36FEB8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可靠性要求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2093112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整机可靠性要求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D6F5AF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★整机可靠性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FAE3728">
            <w:pPr>
              <w:widowControl/>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服务器的MTBF值不低于400000小时</w:t>
            </w:r>
          </w:p>
        </w:tc>
      </w:tr>
      <w:tr w14:paraId="2F2A2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3C6846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1813D1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可靠性要求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9DB188">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AA021B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★风扇可靠性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EAA581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服务器风扇寿命不低于40000h</w:t>
            </w:r>
          </w:p>
        </w:tc>
      </w:tr>
      <w:tr w14:paraId="5E8F0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95144E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A38A04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可靠性要求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458174">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3153108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★部件可靠性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7068B25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支持硬盘、电源、风扇热插拔</w:t>
            </w:r>
          </w:p>
        </w:tc>
      </w:tr>
      <w:tr w14:paraId="2588E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13C0846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B73EC7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包装及运输要求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1163E1D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包装及运输要求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4F81CF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★标志、包装、运输和贮存</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17EBD2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符合GB/T9813.3和商品包装政府采购需求标准的相关规定</w:t>
            </w:r>
          </w:p>
        </w:tc>
      </w:tr>
      <w:tr w14:paraId="2C967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AEC6C8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6D4C69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30DCD54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服务响应</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2F17BE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★服务响应</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1FBF96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a)提供电话、电子邮件、远程连接等多种形式服务；</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b)提供同城4h、异地12h技术响应服务，2个工作日解决问题，对于未能解决的问题和故障应提供可行的升级方案，并提供周转设备；</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c)建立全国技术服务体系和服务团体，符合专业服务体系标准要求，提供原厂中文服务；</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d)服务周期内提供产品的维修、换件和升级服务。</w:t>
            </w:r>
          </w:p>
        </w:tc>
      </w:tr>
      <w:tr w14:paraId="7DD9F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967551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7BFB47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22755B">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0FA566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★培训服务</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77F5C0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供应商应提供培训材料、产品手册、培训视频等培训相关内容</w:t>
            </w:r>
          </w:p>
        </w:tc>
      </w:tr>
      <w:tr w14:paraId="192E2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EA98D4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3A035B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37C98D4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服务周期</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56BC5DB">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★服务周期</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34EF00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a)产品免费服务周期（含换件和维修）应不小于3年；</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b)设备停产后供应商应继续提供质量保障服务（含备品备件），服务终止时间与最后一批设备交付时间间隔不低于6年；</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c)产品停止服务时间应提前1年告知客户；</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d)产品发布日期需由供应商在随机文件中明确。</w:t>
            </w:r>
          </w:p>
        </w:tc>
      </w:tr>
      <w:tr w14:paraId="06DCB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58A999A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7E319B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025DFFC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服务工具要求</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318434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★工具要求</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151EFC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服务器应提供设置服务器硬件、辅助操作系统安装等功能的辅助工具和管理软件。且随附软件应具备合法授权或版权</w:t>
            </w:r>
          </w:p>
        </w:tc>
      </w:tr>
      <w:tr w14:paraId="332E6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FAA3A1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47C2B7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74594F">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1F395C6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辅助工具</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FA1B86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3F642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74A99C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5AAEB24">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F96FD4">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8D412F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★驱动安装升级指引</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42FF340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供应商应提供出厂安装的配件所需的驱动程序，形式包括但不限于驱动光盘、驱动下载链接等。其他配件应提供指引</w:t>
            </w:r>
          </w:p>
        </w:tc>
      </w:tr>
      <w:tr w14:paraId="10804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29E3D6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51AF9D9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42AF2B">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ECC0010">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随机附开盖工具</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CD65F9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7FDE8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B43C60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136</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0095676C">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75E6EA">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90CF54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代码迁移工具</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A1FCA5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4885C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26CAC80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137</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AF3C2A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DC3745">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2F9CCC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性能分析工具</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296B8062">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27896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A696DD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138</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23A7BD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5F8462">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7C7CB4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跨架构平台应用兼容</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104C59C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4236A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CB567B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139</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25BD3AAE">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2A7223">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7D1CFD0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★管理软件</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645EA5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供应商应具备资源管理、系统管理、性能监控、健康监控、基于网络控制、报警设置功能</w:t>
            </w:r>
          </w:p>
        </w:tc>
      </w:tr>
      <w:tr w14:paraId="1072C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0336223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140</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0055FC5">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509A8B1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增值服务</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850EFD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★厂家升级产品软件与扩容服务</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00CFFC6">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供应商应提供原厂级的部件/软件产品升级和扩容能力</w:t>
            </w:r>
          </w:p>
        </w:tc>
      </w:tr>
      <w:tr w14:paraId="7BE1B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3DB609E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141</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7F0136FA">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054EE5">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55940BF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服务保障升级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A6AE94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0C1D5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7255930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142</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3452D67">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F2AB2A">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0B0B11D8">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★提供上门服务</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3CEAAFC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供应商应具备提供上门服务的能力</w:t>
            </w:r>
          </w:p>
        </w:tc>
      </w:tr>
      <w:tr w14:paraId="13FB8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E440D7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143</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400ADA33">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服务要求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546EED">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2EF8BDA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业务场景性能优化服务及整体架构升级服务</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AE4A3AF">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不涉及</w:t>
            </w:r>
          </w:p>
        </w:tc>
      </w:tr>
      <w:tr w14:paraId="497B5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6FAB6E3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144</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3A018E6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供保要求</w:t>
            </w:r>
          </w:p>
        </w:tc>
        <w:tc>
          <w:tcPr>
            <w:tcW w:w="820" w:type="dxa"/>
            <w:vMerge w:val="restart"/>
            <w:tcBorders>
              <w:top w:val="single" w:color="000000" w:sz="4" w:space="0"/>
              <w:left w:val="single" w:color="000000" w:sz="4" w:space="0"/>
              <w:bottom w:val="single" w:color="000000" w:sz="4" w:space="0"/>
              <w:right w:val="single" w:color="000000" w:sz="4" w:space="0"/>
            </w:tcBorders>
            <w:noWrap w:val="0"/>
            <w:vAlign w:val="center"/>
          </w:tcPr>
          <w:p w14:paraId="09E5E51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供应链质量</w:t>
            </w: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6590062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★抗干扰性</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0B3AA769">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当产品部件出现供应风险时，应通知客户并提供风险应对方案确保产品的服务保障，必要时应停止相关受影响产品的销售。</w:t>
            </w:r>
          </w:p>
        </w:tc>
      </w:tr>
      <w:tr w14:paraId="206EB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18" w:type="dxa"/>
            <w:tcBorders>
              <w:top w:val="single" w:color="000000" w:sz="4" w:space="0"/>
              <w:left w:val="single" w:color="000000" w:sz="4" w:space="0"/>
              <w:bottom w:val="single" w:color="000000" w:sz="4" w:space="0"/>
              <w:right w:val="single" w:color="000000" w:sz="4" w:space="0"/>
            </w:tcBorders>
            <w:noWrap w:val="0"/>
            <w:vAlign w:val="center"/>
          </w:tcPr>
          <w:p w14:paraId="4D386EB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145</w:t>
            </w:r>
          </w:p>
        </w:tc>
        <w:tc>
          <w:tcPr>
            <w:tcW w:w="1123" w:type="dxa"/>
            <w:tcBorders>
              <w:top w:val="single" w:color="000000" w:sz="4" w:space="0"/>
              <w:left w:val="single" w:color="000000" w:sz="4" w:space="0"/>
              <w:bottom w:val="single" w:color="000000" w:sz="4" w:space="0"/>
              <w:right w:val="single" w:color="000000" w:sz="4" w:space="0"/>
            </w:tcBorders>
            <w:noWrap w:val="0"/>
            <w:vAlign w:val="center"/>
          </w:tcPr>
          <w:p w14:paraId="1810353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供保要求</w:t>
            </w:r>
          </w:p>
        </w:tc>
        <w:tc>
          <w:tcPr>
            <w:tcW w:w="8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654DE5">
            <w:pPr>
              <w:jc w:val="center"/>
              <w:rPr>
                <w:rFonts w:hint="eastAsia" w:ascii="仿宋" w:hAnsi="仿宋" w:eastAsia="仿宋" w:cs="仿宋"/>
                <w:i w:val="0"/>
                <w:iCs w:val="0"/>
                <w:color w:val="auto"/>
                <w:sz w:val="24"/>
                <w:szCs w:val="24"/>
                <w:highlight w:val="none"/>
                <w:u w:val="none"/>
              </w:rPr>
            </w:pPr>
          </w:p>
        </w:tc>
        <w:tc>
          <w:tcPr>
            <w:tcW w:w="1389" w:type="dxa"/>
            <w:tcBorders>
              <w:top w:val="single" w:color="000000" w:sz="4" w:space="0"/>
              <w:left w:val="single" w:color="000000" w:sz="4" w:space="0"/>
              <w:bottom w:val="single" w:color="000000" w:sz="4" w:space="0"/>
              <w:right w:val="single" w:color="000000" w:sz="4" w:space="0"/>
            </w:tcBorders>
            <w:noWrap w:val="0"/>
            <w:vAlign w:val="center"/>
          </w:tcPr>
          <w:p w14:paraId="4A8FB13D">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★供应能力证明</w:t>
            </w:r>
          </w:p>
        </w:tc>
        <w:tc>
          <w:tcPr>
            <w:tcW w:w="4416" w:type="dxa"/>
            <w:tcBorders>
              <w:top w:val="single" w:color="000000" w:sz="4" w:space="0"/>
              <w:left w:val="single" w:color="000000" w:sz="4" w:space="0"/>
              <w:bottom w:val="single" w:color="000000" w:sz="4" w:space="0"/>
              <w:right w:val="single" w:color="000000" w:sz="4" w:space="0"/>
            </w:tcBorders>
            <w:noWrap w:val="0"/>
            <w:vAlign w:val="center"/>
          </w:tcPr>
          <w:p w14:paraId="6ABEE5D1">
            <w:pPr>
              <w:keepNext w:val="0"/>
              <w:keepLines w:val="0"/>
              <w:widowControl/>
              <w:suppressLineNumbers w:val="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供应商提供供应链稳定承诺书，确保产品的部件在产品服务周期内稳定供货。</w:t>
            </w:r>
          </w:p>
        </w:tc>
      </w:tr>
    </w:tbl>
    <w:p w14:paraId="6C966211">
      <w:pPr>
        <w:pStyle w:val="16"/>
        <w:ind w:left="0" w:leftChars="0" w:firstLine="0" w:firstLineChars="0"/>
        <w:rPr>
          <w:rFonts w:hint="eastAsia" w:ascii="宋体" w:hAnsi="宋体" w:eastAsia="宋体" w:cs="Times New Roman"/>
          <w:sz w:val="28"/>
          <w:szCs w:val="28"/>
          <w:highlight w:val="none"/>
          <w:lang w:val="en-US" w:eastAsia="zh-CN"/>
        </w:rPr>
      </w:pPr>
    </w:p>
    <w:p w14:paraId="494EE93E">
      <w:pPr>
        <w:pStyle w:val="16"/>
        <w:ind w:left="0" w:leftChars="0" w:firstLine="0" w:firstLineChars="0"/>
        <w:rPr>
          <w:rFonts w:hint="eastAsia" w:ascii="仿宋" w:hAnsi="仿宋" w:eastAsia="仿宋" w:cs="仿宋"/>
          <w:sz w:val="28"/>
          <w:szCs w:val="28"/>
          <w:highlight w:val="none"/>
        </w:rPr>
      </w:pPr>
      <w:r>
        <w:rPr>
          <w:rFonts w:hint="eastAsia" w:ascii="仿宋" w:hAnsi="仿宋" w:eastAsia="仿宋" w:cs="仿宋"/>
          <w:sz w:val="28"/>
          <w:szCs w:val="28"/>
          <w:highlight w:val="none"/>
        </w:rPr>
        <w:t>附件2</w:t>
      </w:r>
    </w:p>
    <w:tbl>
      <w:tblPr>
        <w:tblStyle w:val="17"/>
        <w:tblW w:w="834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50"/>
        <w:gridCol w:w="1081"/>
        <w:gridCol w:w="836"/>
        <w:gridCol w:w="1327"/>
        <w:gridCol w:w="4452"/>
      </w:tblGrid>
      <w:tr w14:paraId="011F9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D4FE3E3">
            <w:pPr>
              <w:keepNext w:val="0"/>
              <w:keepLines w:val="0"/>
              <w:widowControl/>
              <w:suppressLineNumbers w:val="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序号</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3E49EBE">
            <w:pPr>
              <w:keepNext w:val="0"/>
              <w:keepLines w:val="0"/>
              <w:widowControl/>
              <w:suppressLineNumbers w:val="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分类</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1EE9769B">
            <w:pPr>
              <w:keepNext w:val="0"/>
              <w:keepLines w:val="0"/>
              <w:widowControl/>
              <w:suppressLineNumbers w:val="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一级指标</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E582B19">
            <w:pPr>
              <w:keepNext w:val="0"/>
              <w:keepLines w:val="0"/>
              <w:widowControl/>
              <w:suppressLineNumbers w:val="0"/>
              <w:jc w:val="left"/>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二级指标</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3663854">
            <w:pPr>
              <w:keepNext w:val="0"/>
              <w:keepLines w:val="0"/>
              <w:widowControl/>
              <w:suppressLineNumbers w:val="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指标要求</w:t>
            </w:r>
          </w:p>
        </w:tc>
      </w:tr>
      <w:tr w14:paraId="55E4C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D2F13E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465769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7D97041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操作系统支持多CPU架构</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01F8E0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★同源兼容多CPU平台架构</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4FB1CE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操作系统支持同源兼容ARM、LoongArch、MIPS、SW64、x86架构的CPU</w:t>
            </w:r>
          </w:p>
        </w:tc>
      </w:tr>
      <w:tr w14:paraId="06F24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DE4018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A97B64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6627D14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操作系统支持CPU内置功能</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8C7E5D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★多核支持</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6DFD00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操作系统支持双核及多核处理器，包括核间负载均衡、线程绑定等，并提供接口，通过访问接口获取运行状态和控制多核调度</w:t>
            </w:r>
          </w:p>
        </w:tc>
      </w:tr>
      <w:tr w14:paraId="446FD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D41F52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FEEEA8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4A436C">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8F326B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★CPU虚拟化支持</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D2F28D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操作系统支持CPU虚拟化技术</w:t>
            </w:r>
          </w:p>
        </w:tc>
      </w:tr>
      <w:tr w14:paraId="3426D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D15561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60EC3A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54CC19">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27A940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★动态调节CPU运行频率</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79F638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操作系统根据负载情况，自动调节CPU的运行频率</w:t>
            </w:r>
          </w:p>
        </w:tc>
      </w:tr>
      <w:tr w14:paraId="07260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4BBB93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D0F920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FD2D1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CD6E55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★支持多CPU</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1AF073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支持跨路内存访问，支持CPU间负载均衡，支持并优化NUMA体系架构</w:t>
            </w:r>
          </w:p>
        </w:tc>
      </w:tr>
      <w:tr w14:paraId="567DA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0AC65E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BBF648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DAAB11">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D4FE75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★支持CPU内置安全功能</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5D3AB2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操作系统支持CPU硬件密码运算与随机数生成等功能；提供编程接口供应用程序调用；支持通过硬件指令判别临界区冲突；支持调用CPU指令，实现自旋锁</w:t>
            </w:r>
          </w:p>
        </w:tc>
      </w:tr>
      <w:tr w14:paraId="3CEF5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2D76B1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BAF102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4DC52D5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安装部署</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7F06A7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★安装方式</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CF6EC1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操作系统支持光盘安装、USB闪存盘安装、网络安装和无人值守安装</w:t>
            </w:r>
          </w:p>
        </w:tc>
      </w:tr>
      <w:tr w14:paraId="7D149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46425D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EDA591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D83BE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B70FEE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★安装模式</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C1BC32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操作系统支持图形或文本安装模式</w:t>
            </w:r>
          </w:p>
        </w:tc>
      </w:tr>
      <w:tr w14:paraId="1D83E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9F3728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D65F29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692F04">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AC07AB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★安装过程配置</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7C7805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安装界面文种设置、逻辑分区配置（如LVM）、自定义分区设置、安装组件设置、时区设置、键盘布局设置、初始用户设置、计算机名设置和网络设置，支持通过USB闪存盘等方式加载硬件驱动、支持设置加密文件系统</w:t>
            </w:r>
          </w:p>
        </w:tc>
      </w:tr>
      <w:tr w14:paraId="0C9F3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50ABB8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E0EC88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AB418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FFB187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★系统引导</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5BA624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a)操作系统应支持UEFI2.0及以上规范固件引导，当计算机以UEFI模式启动安装时，安装程序应分配ESP，并在ESP中放置启动引导文件，使系统能以UEFI模式引导；b)支持bootloader引导，支持MBR及GPT</w:t>
            </w:r>
          </w:p>
        </w:tc>
      </w:tr>
      <w:tr w14:paraId="7EC5F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C4B0BF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4F11F5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BB490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7E6AA5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★引导修复</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32510F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操作系统安装媒体提供系统引导修复功能，当已安装的系统引导被破坏时，可重建系统引导</w:t>
            </w:r>
          </w:p>
        </w:tc>
      </w:tr>
      <w:tr w14:paraId="3F8AB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6D7929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7DEB68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39716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35A1E5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★引导参数编辑</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3BEB32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操作系统支持用户编辑引导参数，支持GRUB口令保护</w:t>
            </w:r>
          </w:p>
        </w:tc>
      </w:tr>
      <w:tr w14:paraId="70DB9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692C62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F998E3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AB5405">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4D194F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★数据保护</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9A2FF4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安装程序在安装执行前明确提示用户可能会删除已有数据，并提供退出/取消功能，当用户取消安装时，不改变硬盘上已有数据</w:t>
            </w:r>
          </w:p>
        </w:tc>
      </w:tr>
      <w:tr w14:paraId="7F4EB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5A9DCF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BE077B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9D7E9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585E6D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★分辨率自适应</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9F94D5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操作系统安装完成后应自动适配显示器最佳分辨率(文本模式除外)</w:t>
            </w:r>
          </w:p>
        </w:tc>
      </w:tr>
      <w:tr w14:paraId="2BC9E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50F9A4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25E0F5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EEF4C0">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690077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★安装配置正确性校验</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E6E1F5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操作系统安装和配置过程中，如用户自定义的某些配置可能会影响系统启动或正常使用，予以明确提示</w:t>
            </w:r>
          </w:p>
        </w:tc>
      </w:tr>
      <w:tr w14:paraId="19F3C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1F26C8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9D3758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433C958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系统内核</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99BF11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★内核要求</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388F4B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a)若操作系统是基于Linux内核的服务器操作系统应兼容4.19版内核b)若操作系统属于其他类型内核不做要求</w:t>
            </w:r>
          </w:p>
        </w:tc>
      </w:tr>
      <w:tr w14:paraId="616C6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A8E07A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639BDD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13BB4F9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进程、线程调度</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00431D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★NUMA</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E16EA2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操作系统支持基于NUMA的亲和调度</w:t>
            </w:r>
          </w:p>
        </w:tc>
      </w:tr>
      <w:tr w14:paraId="50825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620746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CE6114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4CE8F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43D22C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★多核轮询</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643D69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操作系统支持CPU多核轮询调度</w:t>
            </w:r>
          </w:p>
        </w:tc>
      </w:tr>
      <w:tr w14:paraId="1F1F0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B4DD84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55BEEA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C90D9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DD6640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★进程调度</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48B948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操作系统具备进程优先级动态调整能力，允许在进程运行时对优先级进行调整；区分实时进程与非实时进程，分别进行调度；支持进程运行状态检查</w:t>
            </w:r>
          </w:p>
        </w:tc>
      </w:tr>
      <w:tr w14:paraId="27EB8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0F8C33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3F6F99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54873DC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内存管理</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27C1A1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★内存容量</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39F16D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操作系统支持最大内存不小于4TB</w:t>
            </w:r>
          </w:p>
        </w:tc>
      </w:tr>
      <w:tr w14:paraId="59B7F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0E36EA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AB5E5A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A05170">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957641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★内存大页管理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FB2AF7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操作系统允许应用申请内存大页降低页表转换</w:t>
            </w:r>
          </w:p>
        </w:tc>
      </w:tr>
      <w:tr w14:paraId="5CFB3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ADF2FA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6E218C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DF92F1">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A66DF2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★NUMA</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AAB4E5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操作系统支持NUMA近节点优化</w:t>
            </w:r>
          </w:p>
        </w:tc>
      </w:tr>
      <w:tr w14:paraId="7E900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79B469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E62F95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204428">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9E21D0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内存超分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A86FFE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操作系统支持虚拟内存超分，提升内存的使用率</w:t>
            </w:r>
          </w:p>
        </w:tc>
      </w:tr>
      <w:tr w14:paraId="44286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7AC782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5AF93F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48F0261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存储管理</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7E7571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★RAID支持</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C27535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操作系统支持硬RAID和软RAID，支持软RAID级别0、1、5、6、10</w:t>
            </w:r>
          </w:p>
        </w:tc>
      </w:tr>
      <w:tr w14:paraId="7AA30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BC104B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90A009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DFB253">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238803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软raid管理工具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DC3F7F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针对NVME磁盘，提供软raid管理和监控工具；支持对nvme磁盘具有便捷创建和清理软RAID功能；支持通过智能监控，实时监控软RAID组故障、慢盘故障、硬件故障等，并提供告警功能；支持具有自动完成踢盘、点灯和加组等功能，提升软RAID的运维效率和用户体验</w:t>
            </w:r>
          </w:p>
        </w:tc>
      </w:tr>
      <w:tr w14:paraId="7EF2C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687EDC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B4F2BA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7F352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D6105F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★虚拟文件系统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DC0AA4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操作系统支持将不同功能的外部设备抽象为统一的文件操作接口，包括存储、输入输出设备</w:t>
            </w:r>
          </w:p>
        </w:tc>
      </w:tr>
      <w:tr w14:paraId="27D78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9CCF3C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3F6E14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818CD8">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427255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★文件管理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C206A0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操作系统支持文件存储、检索和共享</w:t>
            </w:r>
          </w:p>
        </w:tc>
      </w:tr>
      <w:tr w14:paraId="4BA0B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A867AE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C2DC24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F5B21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67EA72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★可移动存储</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23DF2D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操作系统支持对可移动外部存储的管理，包括启停、禁用、恢复等</w:t>
            </w:r>
          </w:p>
        </w:tc>
      </w:tr>
      <w:tr w14:paraId="26329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5A6538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32C78A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31205E">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0BA6A4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★外部独立存储</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453B14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操作系统支持使用外部独立存储设备</w:t>
            </w:r>
          </w:p>
        </w:tc>
      </w:tr>
      <w:tr w14:paraId="23EBC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84220D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A7A0DE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760EA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886FF8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★多路径聚合</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08C2F4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操作系统支持存储多路径聚合及I/O动态负载均衡</w:t>
            </w:r>
          </w:p>
        </w:tc>
      </w:tr>
      <w:tr w14:paraId="0C22B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6D444E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19B34C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F6A70C">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59EE65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★故障检测</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C66CEF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操作系统支持硬盘损坏或老化检测及信息收集</w:t>
            </w:r>
          </w:p>
        </w:tc>
      </w:tr>
      <w:tr w14:paraId="63C43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F65D99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218736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F2BA0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4CAE12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★虚拟内存</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C11F68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操作系统支持将硬盘的特定分区或文件作为虚拟扩展内存用于存放内存数据，支持虚拟内存压缩</w:t>
            </w:r>
          </w:p>
        </w:tc>
      </w:tr>
      <w:tr w14:paraId="7182B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287BFA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765393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751ACE">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E74ECA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★网络块设备挂载</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C5E7C9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操作系统支持FCoE、iSCSI，支持将Ceph块设备视为常规存储设备挂载到某个目录并作为标准文件系统使用</w:t>
            </w:r>
          </w:p>
        </w:tc>
      </w:tr>
      <w:tr w14:paraId="44634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D61322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B08069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70ABA02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网络管理</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6A03B5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★网络链路检测</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795743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操作系统支持网络链路故障检测、链路事件通知和链路状态查询</w:t>
            </w:r>
          </w:p>
        </w:tc>
      </w:tr>
      <w:tr w14:paraId="36264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508B07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EE789A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1B045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A5B945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★TCP卸载引擎</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618A9D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操作系统支持运行TCP协议卸载引擎的网卡</w:t>
            </w:r>
          </w:p>
        </w:tc>
      </w:tr>
      <w:tr w14:paraId="58197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BA06ED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1240BA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3DCD98">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1D25C5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★网络协议</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D500FD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操作系统支持IPv4、IPv6</w:t>
            </w:r>
          </w:p>
        </w:tc>
      </w:tr>
      <w:tr w14:paraId="36F3A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6F5468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6774F3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98C1D3">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559986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★多网卡绑定</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4BA496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操作系统支持多网卡绑定</w:t>
            </w:r>
          </w:p>
        </w:tc>
      </w:tr>
      <w:tr w14:paraId="5AF8C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A414E6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2BD45E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18A0CB">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C375DE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用户态TCP/IP协议栈</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DECC5F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操作系统支持用户态TCP/IP协议栈</w:t>
            </w:r>
          </w:p>
        </w:tc>
      </w:tr>
      <w:tr w14:paraId="720DE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20E4D4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A0471D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37151D1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文件系统</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E5D664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★文件系统支持</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72BE03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操作系统支持XFS、EXT3、EXT4、NTFS、FAT32等文件系统，支持相应格式分区创建、删除、格式化等</w:t>
            </w:r>
          </w:p>
        </w:tc>
      </w:tr>
      <w:tr w14:paraId="74A2D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F5B1DD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6346DE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AE6396">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A23276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★日志式文件系统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B0C3E8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操作系统支持日志式文件系统</w:t>
            </w:r>
          </w:p>
        </w:tc>
      </w:tr>
      <w:tr w14:paraId="648AE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E57FC7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148148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2D9554">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2B6B83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★文件处理能力</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0B9A88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操作系统支持最大文件不小于4TB，最大分区与文件系统不小于10PB，最大文件名长度不小于255字节</w:t>
            </w:r>
          </w:p>
        </w:tc>
      </w:tr>
      <w:tr w14:paraId="70D4A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10D99F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C51FA6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56C18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DB349F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★分区大小调整</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41D2AF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操作系统支持动态调整分区大小，对系统分区容量进行改变</w:t>
            </w:r>
          </w:p>
        </w:tc>
      </w:tr>
      <w:tr w14:paraId="3F811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EA4ADB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9A4FF7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4C8E7AD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授权激活</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56C9E3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产品许可机制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4A3A42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a)操作系统支持序列号授权、批量激活服务、场地授权等方式；未激活期间，系统不得频繁提示干扰用户正常使用；未激活系统不得影响用户数据安全与完整性；b)免激活的系统不适用</w:t>
            </w:r>
          </w:p>
        </w:tc>
      </w:tr>
      <w:tr w14:paraId="48B80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1EB908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F92026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573924E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应用开发运行环境</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58E097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★集成开发环境/开发框架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CC35ED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操作系统通过内置、软件仓库或附加光盘等方式提供开发环境，包括Qt、Eclipse、VSCode等</w:t>
            </w:r>
          </w:p>
        </w:tc>
      </w:tr>
      <w:tr w14:paraId="4F75E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5A83B0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D03349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58711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9C9CD0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★开发工具库</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F7BAB8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操作系统通过内置、软件仓库或附加光盘等方式提供开发库，包括GNUC、GNUC++、Java、Qt、Gtk+、Cairo、OpenGL、Perl、Python、Ruby、Rust、Golang、JS等</w:t>
            </w:r>
          </w:p>
        </w:tc>
      </w:tr>
      <w:tr w14:paraId="22402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6D57B9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86677D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042025">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4A1432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★编译器开发工具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58726F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操作系统通过内置、软件仓库或附加光盘等方式提供编译开发工具，包括GCC、G++、Binutils、GDB、Make、CMake等</w:t>
            </w:r>
          </w:p>
        </w:tc>
      </w:tr>
      <w:tr w14:paraId="3B355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EE1F8F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EA616F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644CE2">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69ED1C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★文本编辑工具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9D6DC1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操作系统通过内置、软件仓库或附加光盘等方式提供文本编辑工具，包括Emacs、Vim等</w:t>
            </w:r>
          </w:p>
        </w:tc>
      </w:tr>
      <w:tr w14:paraId="1F952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FA7DB5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FAF8F5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64DDB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C47F7A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★软件包管理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659C45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操作系统支持查询软件包描述和包含文件，以及软件包依赖；支持在安装时自动提示并下载安装缺失的依赖软件包</w:t>
            </w:r>
          </w:p>
        </w:tc>
      </w:tr>
      <w:tr w14:paraId="2F33D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B80C70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848C32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2DDDC0">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DD1EF2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★开发文档</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FFE51D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供应商应提供软件开发参考文档、驱动开发参考文档、应用移植开发文档、API文档</w:t>
            </w:r>
          </w:p>
        </w:tc>
      </w:tr>
      <w:tr w14:paraId="22669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26A59E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047720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03972E6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服务支持</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09EB84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342FB8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操作系统支持TCP/UDP</w:t>
            </w:r>
          </w:p>
        </w:tc>
      </w:tr>
      <w:tr w14:paraId="5740B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EF6AFB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625589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0EBD30">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47D31C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★网络共享</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54D124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操作系统支持基于NFS、SMB、FTP、CIFS等协议的数据网络共享服务</w:t>
            </w:r>
          </w:p>
        </w:tc>
      </w:tr>
      <w:tr w14:paraId="46C72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6BFFD3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A8B498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8C4DF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21E8D1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★WEB服务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49B4CE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操作系统支持基于HTTP、HTTPS、FastCGI等协议WEB服务</w:t>
            </w:r>
          </w:p>
        </w:tc>
      </w:tr>
      <w:tr w14:paraId="5C03C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D037E6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2C3233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B28145">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04C6D6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★加密传输服务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DDDDA4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操作系统支持基于IPSec和SSL协议的隧道加密传输服务</w:t>
            </w:r>
          </w:p>
        </w:tc>
      </w:tr>
      <w:tr w14:paraId="13C17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9CAC15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06A731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DFC47B">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A5AC3E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★数字证书服务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60AF5F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操作系统支持基于PKI体系的数字证书服务</w:t>
            </w:r>
          </w:p>
        </w:tc>
      </w:tr>
      <w:tr w14:paraId="055CD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ABC209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0EFF8D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DFFC72">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C4C50C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★访问控制服务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AE43FB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操作系统支持基于RBAC(基于角色的访问控制)机制的访问控制服务</w:t>
            </w:r>
          </w:p>
        </w:tc>
      </w:tr>
      <w:tr w14:paraId="2E04F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CC995A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429DE6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3258D2">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222E67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★网络管理服务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C3F703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操作系统支持基于SNMP、NETCONF、RESTCONF等协议的网络管理服务</w:t>
            </w:r>
          </w:p>
        </w:tc>
      </w:tr>
      <w:tr w14:paraId="129A2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56D0AE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9A5FD4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3E6179">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8C931D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★时间同步服务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45F5CD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操作系统支持基于NTP协议网络时间同步服务</w:t>
            </w:r>
          </w:p>
        </w:tc>
      </w:tr>
      <w:tr w14:paraId="6EE28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3E6A87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E6BCFB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4505F8">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CDC425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★远程连接服务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584BB1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操作系统支持RPC、rsync、SSH等远程服务</w:t>
            </w:r>
          </w:p>
        </w:tc>
      </w:tr>
      <w:tr w14:paraId="5E22F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A1880A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B5A00E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top"/>
          </w:tcPr>
          <w:p w14:paraId="0CB312A0">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C5EEA0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★邮件服务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0E32FE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操作系统支持基于SMTP、POP3、IMAP等的邮件服务</w:t>
            </w:r>
          </w:p>
        </w:tc>
      </w:tr>
      <w:tr w14:paraId="50A4E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5C909B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5054A0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5086C45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FFF56E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★身份鉴别服务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3E3BA5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操作系统支持基于轻量级目录访问协议的统一身份鉴别服务</w:t>
            </w:r>
          </w:p>
        </w:tc>
      </w:tr>
      <w:tr w14:paraId="56B9E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3F3C8A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DCE3B3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7135166F">
            <w:pPr>
              <w:jc w:val="center"/>
              <w:rPr>
                <w:rFonts w:hint="eastAsia" w:ascii="仿宋" w:hAnsi="仿宋" w:eastAsia="仿宋" w:cs="仿宋"/>
                <w:i w:val="0"/>
                <w:iCs w:val="0"/>
                <w:color w:val="000000"/>
                <w:sz w:val="24"/>
                <w:szCs w:val="24"/>
                <w:highlight w:val="none"/>
                <w:u w:val="none"/>
              </w:rPr>
            </w:pPr>
          </w:p>
        </w:tc>
        <w:tc>
          <w:tcPr>
            <w:tcW w:w="1327" w:type="dxa"/>
            <w:vMerge w:val="restart"/>
            <w:tcBorders>
              <w:top w:val="single" w:color="000000" w:sz="4" w:space="0"/>
              <w:left w:val="single" w:color="000000" w:sz="4" w:space="0"/>
              <w:bottom w:val="single" w:color="000000" w:sz="4" w:space="0"/>
              <w:right w:val="single" w:color="000000" w:sz="4" w:space="0"/>
            </w:tcBorders>
            <w:noWrap w:val="0"/>
            <w:vAlign w:val="center"/>
          </w:tcPr>
          <w:p w14:paraId="1FAFC3F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★数据存储和查询服务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93F01C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操作系统支持结构化和非结构化格式数据的存储和查询服务</w:t>
            </w:r>
          </w:p>
        </w:tc>
      </w:tr>
      <w:tr w14:paraId="4C74C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72DB07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A1FE46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507C234D">
            <w:pPr>
              <w:jc w:val="center"/>
              <w:rPr>
                <w:rFonts w:hint="eastAsia" w:ascii="仿宋" w:hAnsi="仿宋" w:eastAsia="仿宋" w:cs="仿宋"/>
                <w:i w:val="0"/>
                <w:iCs w:val="0"/>
                <w:color w:val="000000"/>
                <w:sz w:val="24"/>
                <w:szCs w:val="24"/>
                <w:highlight w:val="none"/>
                <w:u w:val="none"/>
              </w:rPr>
            </w:pPr>
          </w:p>
        </w:tc>
        <w:tc>
          <w:tcPr>
            <w:tcW w:w="132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1896CD">
            <w:pPr>
              <w:jc w:val="left"/>
              <w:rPr>
                <w:rFonts w:hint="eastAsia" w:ascii="仿宋" w:hAnsi="仿宋" w:eastAsia="仿宋" w:cs="仿宋"/>
                <w:i w:val="0"/>
                <w:iCs w:val="0"/>
                <w:color w:val="000000"/>
                <w:sz w:val="24"/>
                <w:szCs w:val="24"/>
                <w:highlight w:val="none"/>
                <w:u w:val="none"/>
              </w:rPr>
            </w:pP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D9EAFC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操作系统支持块、文件、对象等类型的数据存储服务</w:t>
            </w:r>
          </w:p>
        </w:tc>
      </w:tr>
      <w:tr w14:paraId="178F5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9D4CAF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44484B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64A2145E">
            <w:pPr>
              <w:jc w:val="center"/>
              <w:rPr>
                <w:rFonts w:hint="eastAsia" w:ascii="仿宋" w:hAnsi="仿宋" w:eastAsia="仿宋" w:cs="仿宋"/>
                <w:i w:val="0"/>
                <w:iCs w:val="0"/>
                <w:color w:val="000000"/>
                <w:sz w:val="24"/>
                <w:szCs w:val="24"/>
                <w:highlight w:val="none"/>
                <w:u w:val="none"/>
              </w:rPr>
            </w:pPr>
          </w:p>
        </w:tc>
        <w:tc>
          <w:tcPr>
            <w:tcW w:w="132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8893DA">
            <w:pPr>
              <w:jc w:val="left"/>
              <w:rPr>
                <w:rFonts w:hint="eastAsia" w:ascii="仿宋" w:hAnsi="仿宋" w:eastAsia="仿宋" w:cs="仿宋"/>
                <w:i w:val="0"/>
                <w:iCs w:val="0"/>
                <w:color w:val="000000"/>
                <w:sz w:val="24"/>
                <w:szCs w:val="24"/>
                <w:highlight w:val="none"/>
                <w:u w:val="none"/>
              </w:rPr>
            </w:pP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EB0EC7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操作系统支持SQL、NoSQL、键值等类型的数据库</w:t>
            </w:r>
          </w:p>
        </w:tc>
      </w:tr>
      <w:tr w14:paraId="39605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BF2979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185DC3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53D14AD1">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6C417C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★存储服务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58FBD6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操作系统支持多种传输速率和存储协议的SAN和NAS存储</w:t>
            </w:r>
          </w:p>
        </w:tc>
      </w:tr>
      <w:tr w14:paraId="09139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B09722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1E80FD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23218BF0">
            <w:pPr>
              <w:jc w:val="center"/>
              <w:rPr>
                <w:rFonts w:hint="eastAsia" w:ascii="仿宋" w:hAnsi="仿宋" w:eastAsia="仿宋" w:cs="仿宋"/>
                <w:i w:val="0"/>
                <w:iCs w:val="0"/>
                <w:color w:val="000000"/>
                <w:sz w:val="24"/>
                <w:szCs w:val="24"/>
                <w:highlight w:val="none"/>
                <w:u w:val="none"/>
              </w:rPr>
            </w:pPr>
          </w:p>
        </w:tc>
        <w:tc>
          <w:tcPr>
            <w:tcW w:w="1327" w:type="dxa"/>
            <w:vMerge w:val="restart"/>
            <w:tcBorders>
              <w:top w:val="single" w:color="000000" w:sz="4" w:space="0"/>
              <w:left w:val="single" w:color="000000" w:sz="4" w:space="0"/>
              <w:bottom w:val="single" w:color="000000" w:sz="4" w:space="0"/>
              <w:right w:val="single" w:color="000000" w:sz="4" w:space="0"/>
            </w:tcBorders>
            <w:noWrap w:val="0"/>
            <w:vAlign w:val="center"/>
          </w:tcPr>
          <w:p w14:paraId="3E94A48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★集群支持</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BF605F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操作系统支持服务基于主备机制的分布式集群、高可用集群的部署模式</w:t>
            </w:r>
          </w:p>
        </w:tc>
      </w:tr>
      <w:tr w14:paraId="4C0F9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7D912B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8F21F6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12D54AD0">
            <w:pPr>
              <w:jc w:val="center"/>
              <w:rPr>
                <w:rFonts w:hint="eastAsia" w:ascii="仿宋" w:hAnsi="仿宋" w:eastAsia="仿宋" w:cs="仿宋"/>
                <w:i w:val="0"/>
                <w:iCs w:val="0"/>
                <w:color w:val="000000"/>
                <w:sz w:val="24"/>
                <w:szCs w:val="24"/>
                <w:highlight w:val="none"/>
                <w:u w:val="none"/>
              </w:rPr>
            </w:pPr>
          </w:p>
        </w:tc>
        <w:tc>
          <w:tcPr>
            <w:tcW w:w="132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D29731">
            <w:pPr>
              <w:jc w:val="left"/>
              <w:rPr>
                <w:rFonts w:hint="eastAsia" w:ascii="仿宋" w:hAnsi="仿宋" w:eastAsia="仿宋" w:cs="仿宋"/>
                <w:i w:val="0"/>
                <w:iCs w:val="0"/>
                <w:color w:val="000000"/>
                <w:sz w:val="24"/>
                <w:szCs w:val="24"/>
                <w:highlight w:val="none"/>
                <w:u w:val="none"/>
              </w:rPr>
            </w:pP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7292DE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操作系统支持服务基于分布式通信协议的分布式集群、高可用集群的部署模式</w:t>
            </w:r>
          </w:p>
        </w:tc>
      </w:tr>
      <w:tr w14:paraId="226CF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28FAC0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1DE143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3646057C">
            <w:pPr>
              <w:jc w:val="center"/>
              <w:rPr>
                <w:rFonts w:hint="eastAsia" w:ascii="仿宋" w:hAnsi="仿宋" w:eastAsia="仿宋" w:cs="仿宋"/>
                <w:i w:val="0"/>
                <w:iCs w:val="0"/>
                <w:color w:val="000000"/>
                <w:sz w:val="24"/>
                <w:szCs w:val="24"/>
                <w:highlight w:val="none"/>
                <w:u w:val="none"/>
              </w:rPr>
            </w:pPr>
          </w:p>
        </w:tc>
        <w:tc>
          <w:tcPr>
            <w:tcW w:w="132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D4AB2B">
            <w:pPr>
              <w:jc w:val="left"/>
              <w:rPr>
                <w:rFonts w:hint="eastAsia" w:ascii="仿宋" w:hAnsi="仿宋" w:eastAsia="仿宋" w:cs="仿宋"/>
                <w:i w:val="0"/>
                <w:iCs w:val="0"/>
                <w:color w:val="000000"/>
                <w:sz w:val="24"/>
                <w:szCs w:val="24"/>
                <w:highlight w:val="none"/>
                <w:u w:val="none"/>
              </w:rPr>
            </w:pP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F1DC82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操作系统支持基于虚拟路由器冗余协议的高可用集群部署模式</w:t>
            </w:r>
          </w:p>
        </w:tc>
      </w:tr>
      <w:tr w14:paraId="30F4B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A59183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588438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401EB8B4">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3EC36A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★分布式服务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E65407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操作系统支持基于同步、异步请求处理机制的分布式服务</w:t>
            </w:r>
          </w:p>
        </w:tc>
      </w:tr>
      <w:tr w14:paraId="27A38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F15059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F50954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69864C55">
            <w:pPr>
              <w:jc w:val="center"/>
              <w:rPr>
                <w:rFonts w:hint="eastAsia" w:ascii="仿宋" w:hAnsi="仿宋" w:eastAsia="仿宋" w:cs="仿宋"/>
                <w:i w:val="0"/>
                <w:iCs w:val="0"/>
                <w:color w:val="000000"/>
                <w:sz w:val="24"/>
                <w:szCs w:val="24"/>
                <w:highlight w:val="none"/>
                <w:u w:val="none"/>
              </w:rPr>
            </w:pPr>
          </w:p>
        </w:tc>
        <w:tc>
          <w:tcPr>
            <w:tcW w:w="1327" w:type="dxa"/>
            <w:vMerge w:val="restart"/>
            <w:tcBorders>
              <w:top w:val="single" w:color="000000" w:sz="4" w:space="0"/>
              <w:left w:val="single" w:color="000000" w:sz="4" w:space="0"/>
              <w:bottom w:val="single" w:color="000000" w:sz="4" w:space="0"/>
              <w:right w:val="single" w:color="000000" w:sz="4" w:space="0"/>
            </w:tcBorders>
            <w:noWrap w:val="0"/>
            <w:vAlign w:val="center"/>
          </w:tcPr>
          <w:p w14:paraId="3CD4111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★负载均衡模式</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88031E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操作系统支持基于OSI模型的4/7层和链路层的负载均衡模式</w:t>
            </w:r>
          </w:p>
        </w:tc>
      </w:tr>
      <w:tr w14:paraId="53FE8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B759B6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501435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25531D20">
            <w:pPr>
              <w:jc w:val="center"/>
              <w:rPr>
                <w:rFonts w:hint="eastAsia" w:ascii="仿宋" w:hAnsi="仿宋" w:eastAsia="仿宋" w:cs="仿宋"/>
                <w:i w:val="0"/>
                <w:iCs w:val="0"/>
                <w:color w:val="000000"/>
                <w:sz w:val="24"/>
                <w:szCs w:val="24"/>
                <w:highlight w:val="none"/>
                <w:u w:val="none"/>
              </w:rPr>
            </w:pPr>
          </w:p>
        </w:tc>
        <w:tc>
          <w:tcPr>
            <w:tcW w:w="132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365867">
            <w:pPr>
              <w:jc w:val="left"/>
              <w:rPr>
                <w:rFonts w:hint="eastAsia" w:ascii="仿宋" w:hAnsi="仿宋" w:eastAsia="仿宋" w:cs="仿宋"/>
                <w:i w:val="0"/>
                <w:iCs w:val="0"/>
                <w:color w:val="000000"/>
                <w:sz w:val="24"/>
                <w:szCs w:val="24"/>
                <w:highlight w:val="none"/>
                <w:u w:val="none"/>
              </w:rPr>
            </w:pP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8B56E0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操作系统支持基于不同调度算法的负载均衡模式</w:t>
            </w:r>
          </w:p>
        </w:tc>
      </w:tr>
      <w:tr w14:paraId="23407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F44F10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4CCDEB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top"/>
          </w:tcPr>
          <w:p w14:paraId="6CB3FAAE">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FCE09A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★高可用服务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C8908E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操作系统提供对HA的支持，支持多种集群配置模式，包括主主模式、主备模式、N+1模式和N+M模式，支持资源及节点故障检测</w:t>
            </w:r>
          </w:p>
        </w:tc>
      </w:tr>
      <w:tr w14:paraId="2FC8B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CC0241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9AB71C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7AA7382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开源组件</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330E74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开源数据库</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CA8CBD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供应商可通过安装镜像内置、软件仓库或附加光盘等方式提供开源数据库，并对提供的开源组件进行签名认证，确保组件的安全性、稳定性、可靠性</w:t>
            </w:r>
          </w:p>
        </w:tc>
      </w:tr>
      <w:tr w14:paraId="78CB4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BAAB83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EF12CB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141F6E">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4D8D17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开源中间件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ABAF13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供应商可通过安装镜像内置、软件仓库或附加光盘等方式提供开源中间件，并对提供的开源组件进行签名认证，确保组件的安全性、稳定性、可靠性</w:t>
            </w:r>
          </w:p>
        </w:tc>
      </w:tr>
      <w:tr w14:paraId="11D63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358BD6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E411A4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907B14">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51812A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单机虚拟化管理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6D8920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供应商可通过安装镜像内置、软件仓库或附加光盘等方式提供开源单机虚拟化管理软件，并对提供的开源组件进行签名认证，确保组件的安全性、稳定性、可靠性</w:t>
            </w:r>
          </w:p>
        </w:tc>
      </w:tr>
      <w:tr w14:paraId="0C2EF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79948F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329594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BFA469">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C8717C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容器虚拟化软件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016B51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供应商可通过安装镜像内置、软件仓库或附加光盘等方式提供开源容器虚拟化软件，并对提供的开源组件进行签名认证，确保组件的安全性、稳定性、可靠性</w:t>
            </w:r>
          </w:p>
        </w:tc>
      </w:tr>
      <w:tr w14:paraId="62C60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B7A47D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E54D11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F583E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818FF4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容器管理工具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9FE1CF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供应商可通过安装镜像内置、软件仓库或附加光盘等方式提供开源容器管理工具，并对提供的开源组件进行签名认证，确保组件的安全性、稳定性、可靠性</w:t>
            </w:r>
          </w:p>
        </w:tc>
      </w:tr>
      <w:tr w14:paraId="0DB09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AA67BE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DB5E56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0156C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3E78AE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分布式存储软件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8BEED9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供应商可通过安装镜像内置、软件仓库或附加光盘等方式提供开源分布式存储软件，并对提供的开源组件进行签名认证，确保组件的安全性、稳定性、可靠性</w:t>
            </w:r>
          </w:p>
        </w:tc>
      </w:tr>
      <w:tr w14:paraId="7113F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E5B3C1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471039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B6EA1C">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D477CB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云计算管理平台</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792F0C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供应商可通过安装镜像内置、软件仓库或附加光盘等方式提供开源云计算管理平台，并对提供的开源组件进行签名认证，确保组件的安全性、稳定性、可靠性</w:t>
            </w:r>
          </w:p>
        </w:tc>
      </w:tr>
      <w:tr w14:paraId="3E639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3E2BB6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4F7948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5D4E494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虚拟化</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7C2295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★虚拟化部署</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F35818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操作系统支持在KVM、Xen、Hyper-V虚拟机上安装部署操作系统</w:t>
            </w:r>
          </w:p>
        </w:tc>
      </w:tr>
      <w:tr w14:paraId="39A75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B12624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DB87F2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F19FF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DEA457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★内核虚拟化(KVM)</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B92152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KVM虚拟化：对虚拟机进行启、停等管理操作；对虚拟机硬盘做快照并从快照恢复；兼容qemu、libvirt标准接口；支持UEFI或legacyBIOS方式启动；支持虚拟时钟arch-timer；支持虚拟鼠标、键盘、触控板、声卡、显卡、硬盘、CDROM、串口pty/pipe/file等设备；支持Virtio协议下的虚拟设备，包括串口、blk驱动硬盘、SCSI驱动硬盘、不同后端控制器类型的Virtio网卡(包括内核态、用户态、qemu)、GPU、vsock设备等；支持硬盘和网卡选择类型VFIO设备；支持虚拟机CPU、内存、网卡、硬盘等离线调整；支持虚拟机网卡、硬盘、USB设备热插拔；支持PCI/PCIE设备直通；支持虚拟机热迁移和加密传输；支持虚拟机远程访问；支持虚拟机CPU和I/O线程绑定</w:t>
            </w:r>
          </w:p>
        </w:tc>
      </w:tr>
      <w:tr w14:paraId="56B1C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C77C99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2B7274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FE652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CEAB16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★KVM虚拟机管理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A5D62C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虚拟机对主机的访问控制；虚拟机可以拥有独立的物理资源，且各个虚拟机之间严格隔离；支持大页内存运行虚拟机；支持三种CPU型号模拟模式，包括直通、宿主模型、自定义；支持虚拟机资源调配控制，包括Numa、CPU、内存、I/O、网卡；支持CPU拓扑模拟和透传</w:t>
            </w:r>
          </w:p>
        </w:tc>
      </w:tr>
      <w:tr w14:paraId="6B6E0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F634BC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9E9432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63B45D6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容器</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8B2651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★容器虚拟化</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9E66F8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OCI；支持进程命名空间隔离技术包括不限于mnt、pid、ipc、uts、user、network等；支持在同CPU指令架构下的不同规格硬件上无缝分发，保障运行兼容性；支持沙箱扩展；支持面向容器的独立逻辑文件管理，具备在容器创建时指定专用根文件夹，容器内进程文件访问重定向等功能；支持日志查询功能；支持通过控制终端对容器内主进程的标准输入输出对接交互；支持通过控制终端对容器内新建进程的标准输入输出对接交互；支持容器存储卷管理（新增、删除、卷容量配置、自动回收）、卷共享；支持面向容器的网络设备资源分配和使用；支持CNI；支持容器获取物理节点资源信息</w:t>
            </w:r>
          </w:p>
        </w:tc>
      </w:tr>
      <w:tr w14:paraId="09945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84D291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169ADC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58C9BC">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A15FA6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★容器镜像和存储管理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C0BC5B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操作系统支持容器镜像导入、导出；支持容器镜像分层保存、导入</w:t>
            </w:r>
          </w:p>
        </w:tc>
      </w:tr>
      <w:tr w14:paraId="49C17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ED6188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C91C2E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5B501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A863CE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★容器资源隔离和调配</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C85CAB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容器资源在线调整，包括CPU资源、内存资源、I/O资源等；支持文件配额分配、存储带宽资源使用量监控等机制，实现容器级I/O控制能力；支持面向容器的网络带宽调度策略，实现容器级网络带宽分配、使用量监控等机制；支持面向容器的存储空间使用监控、分配机制；支持容器CPU核独占；支持面向容器的CPU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14:paraId="76926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058B2F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108C10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203E8D2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中文支持</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819866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★字符编码集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5740FF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操作系统应符合GB18030的要求</w:t>
            </w:r>
          </w:p>
        </w:tc>
      </w:tr>
      <w:tr w14:paraId="2BE98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379564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D138EA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701365">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84582C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★中文帮助文档</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8358BE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操作系统内置中文帮助文档</w:t>
            </w:r>
          </w:p>
        </w:tc>
      </w:tr>
      <w:tr w14:paraId="5D7A9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26EDFF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145C15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A6EA95">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1E14EF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多语言图形界面</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16C87F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操作系统的多文种图形用户界面应支持GB18030规定</w:t>
            </w:r>
          </w:p>
        </w:tc>
      </w:tr>
      <w:tr w14:paraId="34864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C41E7E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4E4404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BE5916">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69C69B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中文图形界面</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929D0A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操作系统支持中文图形操作界面</w:t>
            </w:r>
          </w:p>
        </w:tc>
      </w:tr>
      <w:tr w14:paraId="218AF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86DE85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9EC0AC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7989828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管理工具</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B9F8B2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★系统信息查看工具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40D8AB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操作系统支持查看系统版本、内核版本、内存容量、CPU型号等信息</w:t>
            </w:r>
          </w:p>
        </w:tc>
      </w:tr>
      <w:tr w14:paraId="227B1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58BE90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BC87B7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706073">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B4DDCB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★网络管理工具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C40226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操作系统支持多网口自动连接、网络地址（常被称为“IP地址”）设置、DNS设置、路由设置；支持多网卡链路聚合，模式类型包括但不仅限于轮询、主备、802.3AD动态链路聚合</w:t>
            </w:r>
          </w:p>
        </w:tc>
      </w:tr>
      <w:tr w14:paraId="09DB3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E87C31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AFA075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559AB4">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39C127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★日期和时间管理工具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5ED4C3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操作系统可设置时间同步服务器地址，支持局域网和广域网的同步设置</w:t>
            </w:r>
          </w:p>
        </w:tc>
      </w:tr>
      <w:tr w14:paraId="12F26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ECC726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F04B5C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3BD5B4">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AFF8B3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★日志服务管理工具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8A9439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操作系统支持收集系统日志</w:t>
            </w:r>
          </w:p>
        </w:tc>
      </w:tr>
      <w:tr w14:paraId="659A3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4B1087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BD4638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A98F44">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906142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★帐户管理工具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281F64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操作系统支持帐户添加、删除、属性修改等</w:t>
            </w:r>
          </w:p>
        </w:tc>
      </w:tr>
      <w:tr w14:paraId="466A1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C8B7AA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10FC25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52376E">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9A0CFC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★用户操作审计工具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94DE83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操作系统支持用户操作痕迹查询</w:t>
            </w:r>
          </w:p>
        </w:tc>
      </w:tr>
      <w:tr w14:paraId="4CD3F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58185D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4E1FCF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800651">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03FF56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★存储管理工具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452B6B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操作系统支持EXT、XFS、NTFS、FAT、SWAP等多种格式的分区管理</w:t>
            </w:r>
          </w:p>
        </w:tc>
      </w:tr>
      <w:tr w14:paraId="62570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7B5550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012AF9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C9AC01">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729D12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★SNMP协议工具包</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F94492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操作系统支持SNMP设备和操作信息检索</w:t>
            </w:r>
          </w:p>
        </w:tc>
      </w:tr>
      <w:tr w14:paraId="5A047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9163DB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E944A5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D9B101">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E86A02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★文本终端连接工具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5F22A6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操作系统支持多终端协同管理</w:t>
            </w:r>
          </w:p>
        </w:tc>
      </w:tr>
      <w:tr w14:paraId="57F30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5BBB71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13AF8A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43EAF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E50FAA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★服务管理工具集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A524E6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操作系统支持服务启动与停止，查看服务状态及日志，查询服务启动顺序及依赖关系</w:t>
            </w:r>
          </w:p>
        </w:tc>
      </w:tr>
      <w:tr w14:paraId="0FDAC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7320C2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869944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1816B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04EA14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★配置管理工具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A71D55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操作系统提供配置管理工具，可以简化任务配置及服务管理</w:t>
            </w:r>
          </w:p>
        </w:tc>
      </w:tr>
      <w:tr w14:paraId="6D724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2D8798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4A7BCC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4E8A40">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B115A7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★监控管理工具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A78B2B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操作系统支持监控系统资源使用情况，包含CPU、内存、存储I/O、网络I/O等</w:t>
            </w:r>
          </w:p>
        </w:tc>
      </w:tr>
      <w:tr w14:paraId="6404B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AD4E99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F056CF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易用性要求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156004">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4125A1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★守护进程</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7096B9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操作系统支持按需启动守护进程，用户可自定义设定需求守护的进程，如遇异常可重新加载，实现应用持续运行</w:t>
            </w:r>
          </w:p>
        </w:tc>
      </w:tr>
      <w:tr w14:paraId="7F1A4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BA4832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3DE690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5772B17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基础组件兼容</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E7132B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★版本兼容</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F3D304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操作系统基础运行库或开发环境向后（向下）兼容，即系统版本升级后，能兼容上一版本所运行的软件与设备</w:t>
            </w:r>
          </w:p>
        </w:tc>
      </w:tr>
      <w:tr w14:paraId="5F149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7C1FD6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98E443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6A889E">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7F07DD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★兼容周期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61258B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操作系统主版本兼容维护时间自发布之日起不低于5年，包括但不限于安全修复、功能升级、新硬件支持等</w:t>
            </w:r>
          </w:p>
        </w:tc>
      </w:tr>
      <w:tr w14:paraId="40F74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870080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6DB720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55A9E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747F17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兼容方式</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CC9BD2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操作系统支持以增量升级包的方式实现版本更新</w:t>
            </w:r>
          </w:p>
        </w:tc>
      </w:tr>
      <w:tr w14:paraId="0EA16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8E0978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D2FF28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5263BE5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运行环境</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259D9F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★文件系统层次结构</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4069A3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供应商应给出长期兼容支持的文件系统层次结构</w:t>
            </w:r>
          </w:p>
        </w:tc>
      </w:tr>
      <w:tr w14:paraId="129B5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DA3A84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E1B110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788126">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772222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★运行库</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A50A2F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供应商应给出长期兼容支持的运行库</w:t>
            </w:r>
          </w:p>
        </w:tc>
      </w:tr>
      <w:tr w14:paraId="72327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C1248B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E162A7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33F47B">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389DE7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★命令</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AEA08F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供应商应给出长期兼容支持的常用命令</w:t>
            </w:r>
          </w:p>
        </w:tc>
      </w:tr>
      <w:tr w14:paraId="231E7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7D7E3B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D41BB1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4A7438C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软件包格式</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538034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软件包格式转换</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DD8CB2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操作系统支持RPM或DEB格式的软件包，当系统不支持RPM或DEB格式的软件包时，提供工具对软件包格式进行转换</w:t>
            </w:r>
          </w:p>
        </w:tc>
      </w:tr>
      <w:tr w14:paraId="05F3C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48E865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9DDE45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3184870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软件兼容</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7B0191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★集群软件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6668B2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供应商提供兼容的集群软件清单，且至少兼容一款产品</w:t>
            </w:r>
          </w:p>
        </w:tc>
      </w:tr>
      <w:tr w14:paraId="778A4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D4FA14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F9107B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BD59DC">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A22970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★虚拟化云平台</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046F32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供应商提供兼容的虚拟化平台软件清单，且至少兼容三款产品</w:t>
            </w:r>
          </w:p>
        </w:tc>
      </w:tr>
      <w:tr w14:paraId="5CEEA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BE131F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91FD6C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952379">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6D05B1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★容器云</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E7120E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供应商提供兼容的容器云软件清单，且至少兼容三款产品</w:t>
            </w:r>
          </w:p>
        </w:tc>
      </w:tr>
      <w:tr w14:paraId="30597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FC6508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CE2B23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8481FC">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10DBE1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★存储软件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81BAC9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供应商提供兼容的存储软件清单，且至少兼容一款产品</w:t>
            </w:r>
          </w:p>
        </w:tc>
      </w:tr>
      <w:tr w14:paraId="13C65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7053BA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090FDA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07E1C0">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4AC9F2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★数据库管理系统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4A1890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供应商提供兼容的数据库软件清单，且至少兼容三款产品</w:t>
            </w:r>
          </w:p>
        </w:tc>
      </w:tr>
      <w:tr w14:paraId="2ACCD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A5940C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1EB513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1C9BC6">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0BF41E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★中间件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ADD987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供应商提供兼容的中间件软件清单，且至少兼容三款产品</w:t>
            </w:r>
          </w:p>
        </w:tc>
      </w:tr>
      <w:tr w14:paraId="3719E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4A9D8C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8E931B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07FFD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3251A2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★运维平台</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54C15E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供应商提供兼容的运维平台软件清单，且至少兼容一款产品</w:t>
            </w:r>
          </w:p>
        </w:tc>
      </w:tr>
      <w:tr w14:paraId="56902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B81853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8C7C0E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8ABCC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CCC18E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★备份软件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CC9E32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供应商提供兼容的备份恢复软件清单，且至少兼容一款产品</w:t>
            </w:r>
          </w:p>
        </w:tc>
      </w:tr>
      <w:tr w14:paraId="0CF3D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9F7E74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37340C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7965A2">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DB597B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★大数据平台</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6440E9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供应商提供兼容的大数据平台软件清单，且至少兼容一款产品</w:t>
            </w:r>
          </w:p>
        </w:tc>
      </w:tr>
      <w:tr w14:paraId="40D9A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FCEE6D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1BD683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7F6F0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54D85E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★终端防护及杀毒</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6D5607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供应商提供兼容的终端防护及杀毒软件清单，且至少兼容一款产品</w:t>
            </w:r>
          </w:p>
        </w:tc>
      </w:tr>
      <w:tr w14:paraId="5A59F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63B082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02D222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EB6CE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CF5ADF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★网络防护</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B883B6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供应商提供兼容的网络防护软件清单，且至少兼容一款产品</w:t>
            </w:r>
          </w:p>
        </w:tc>
      </w:tr>
      <w:tr w14:paraId="46562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B27E44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62877C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75166B">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DE62BF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★身份认证</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FD31CF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供应商提供兼容的身份认证软件清单，且至少兼容一款产品</w:t>
            </w:r>
          </w:p>
        </w:tc>
      </w:tr>
      <w:tr w14:paraId="2C8AE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A95A8A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39A1F0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0AAB004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硬件兼容</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D0BBBC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★服务器整机</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B2B539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供应商提供兼容的服务器整机品牌及型号清单，且至少兼容一款产品</w:t>
            </w:r>
          </w:p>
        </w:tc>
      </w:tr>
      <w:tr w14:paraId="20487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A02C1A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5E1DBF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E88533">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68182F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★AI服务器</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8D406E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供应商提供兼容的AI服务器整机品牌及型号清单，且至少兼容一款产品</w:t>
            </w:r>
          </w:p>
        </w:tc>
      </w:tr>
      <w:tr w14:paraId="29D2F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E4A17F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1F3A61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F1FDF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5F9773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★存储</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060186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供应商提供兼容的存储服务器整机品牌及型号清单，且至少兼容一款产品</w:t>
            </w:r>
          </w:p>
        </w:tc>
      </w:tr>
      <w:tr w14:paraId="42CEE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691F7E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3963DD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530371">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B57619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★部件兼容</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321438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供应商提供兼容的系统总线、HBA卡、RAID卡、网卡、光纤卡、AI加速卡、GPU、NPU等品牌及型号清单</w:t>
            </w:r>
          </w:p>
        </w:tc>
      </w:tr>
      <w:tr w14:paraId="60BA0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DAD3DD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1DC282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7A27A81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稳定性</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786F9F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★操作系统连续运行168小时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139265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操作系统高负载下连续常态运行168小时无故障</w:t>
            </w:r>
          </w:p>
        </w:tc>
      </w:tr>
      <w:tr w14:paraId="7390E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DB092B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17C4FC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4E39303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备份还原</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ACF211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★备份还原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FD88B4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操作系统提供备份还原功能，支持生成系统状态快照及恢复系统状态</w:t>
            </w:r>
          </w:p>
        </w:tc>
      </w:tr>
      <w:tr w14:paraId="462F4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1EDD45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A52F86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6A23176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内存纠错</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074B2E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★内存纠错</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DF4B76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操作系统支持DDR3、DDR4等内存上的ECC查错、纠错</w:t>
            </w:r>
          </w:p>
        </w:tc>
      </w:tr>
      <w:tr w14:paraId="6AF1A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C44DF6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48BC78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3681DA4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热插拔</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55845E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CPU热插拔</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F29FAF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硬件支持时，操作系统支持CPU热插拔</w:t>
            </w:r>
          </w:p>
        </w:tc>
      </w:tr>
      <w:tr w14:paraId="5CE00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4A8C13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3645FE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FFA160">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B42157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内存热插拔</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BA0EF4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硬件支持时，操作系统支持内存热插拔</w:t>
            </w:r>
          </w:p>
        </w:tc>
      </w:tr>
      <w:tr w14:paraId="3D032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518A8F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692CF5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413CD1">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D86454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★硬盘热插拔</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38E693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硬件支持时，操作系统支持硬盘热插拔</w:t>
            </w:r>
          </w:p>
        </w:tc>
      </w:tr>
      <w:tr w14:paraId="3568E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A9CB61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AF05FF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1EA158E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维护工具</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AFC450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★远程维护</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62F9EF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操作系统提供远程控制管理工具，支持RDP、SSH、SPICE、VNC等协议，方便用户进行文本或图形化形式的远程连接及维护</w:t>
            </w:r>
          </w:p>
        </w:tc>
      </w:tr>
      <w:tr w14:paraId="48CD2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DFA8D3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9EDE31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DA4ED5">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81A31A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★文件完整检查</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DC2D8A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操作系统提供文件系统检查工具，对文件系统完整性进行检测和修复</w:t>
            </w:r>
          </w:p>
        </w:tc>
      </w:tr>
      <w:tr w14:paraId="69B1B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5F1729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18EB91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BC93A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C007E9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★内核分析</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23B116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操作系统提供内核性能分析工具，提供性能分析框架，支持对内核函数层面进行分析；提供内核探测工具，支持对内核及用户态程序动态追踪</w:t>
            </w:r>
          </w:p>
        </w:tc>
      </w:tr>
      <w:tr w14:paraId="5703D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7DE732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2E3B58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63D7D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5EF709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IO诊断工具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579D0C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IO诊断工具，具有系统调用追踪（记录系统内核中各种系统调用的信息,包括调用者、参数、返回值等）、IO性能分析（收集iops、延迟、吞吐量等I/O相关的统计数据）等功能，便于快速定位IO问题；提供网络诊断工具，具有内核网络协议栈延时统计、故障诊断、异常检测等功能；提供网络延时探测工具，具有探测网络链路中各节点的时延信息功能，便于快速确定问题边界</w:t>
            </w:r>
          </w:p>
        </w:tc>
      </w:tr>
      <w:tr w14:paraId="2B1FC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028012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82F25F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5A22AE">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ign w:val="center"/>
          </w:tcPr>
          <w:p w14:paraId="118FAD8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场景调优工具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6DB76D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操作系统提供自研场景调优工具，通过执行一条命令，收集服务器的全量性能数据，包含</w:t>
            </w:r>
            <w:r>
              <w:rPr>
                <w:rStyle w:val="48"/>
                <w:rFonts w:hint="eastAsia" w:ascii="仿宋" w:hAnsi="仿宋" w:eastAsia="仿宋" w:cs="仿宋"/>
                <w:highlight w:val="none"/>
                <w:lang w:val="en-US" w:eastAsia="zh-CN" w:bidi="ar"/>
              </w:rPr>
              <w:t>CPU</w:t>
            </w:r>
            <w:r>
              <w:rPr>
                <w:rFonts w:hint="eastAsia" w:ascii="仿宋" w:hAnsi="仿宋" w:eastAsia="仿宋" w:cs="仿宋"/>
                <w:i w:val="0"/>
                <w:iCs w:val="0"/>
                <w:color w:val="000000"/>
                <w:kern w:val="0"/>
                <w:sz w:val="24"/>
                <w:szCs w:val="24"/>
                <w:highlight w:val="none"/>
                <w:u w:val="none"/>
                <w:lang w:val="en-US" w:eastAsia="zh-CN" w:bidi="ar"/>
              </w:rPr>
              <w:t>、内存、网络、</w:t>
            </w:r>
            <w:r>
              <w:rPr>
                <w:rStyle w:val="48"/>
                <w:rFonts w:hint="eastAsia" w:ascii="仿宋" w:hAnsi="仿宋" w:eastAsia="仿宋" w:cs="仿宋"/>
                <w:highlight w:val="none"/>
                <w:lang w:val="en-US" w:eastAsia="zh-CN" w:bidi="ar"/>
              </w:rPr>
              <w:t>IO</w:t>
            </w:r>
            <w:r>
              <w:rPr>
                <w:rFonts w:hint="eastAsia" w:ascii="仿宋" w:hAnsi="仿宋" w:eastAsia="仿宋" w:cs="仿宋"/>
                <w:i w:val="0"/>
                <w:iCs w:val="0"/>
                <w:color w:val="000000"/>
                <w:kern w:val="0"/>
                <w:sz w:val="24"/>
                <w:szCs w:val="24"/>
                <w:highlight w:val="none"/>
                <w:u w:val="none"/>
                <w:lang w:val="en-US" w:eastAsia="zh-CN" w:bidi="ar"/>
              </w:rPr>
              <w:t>、系统配置详细数据，并形成可视化数据报告，用于分析系统性能指标，自动定位系统瓶颈及提供可视化的调优指导，引导客户实施优化，提升场景应用性能；支持智能调优，通过</w:t>
            </w:r>
            <w:r>
              <w:rPr>
                <w:rStyle w:val="48"/>
                <w:rFonts w:hint="eastAsia" w:ascii="仿宋" w:hAnsi="仿宋" w:eastAsia="仿宋" w:cs="仿宋"/>
                <w:highlight w:val="none"/>
                <w:lang w:val="en-US" w:eastAsia="zh-CN" w:bidi="ar"/>
              </w:rPr>
              <w:t>AI</w:t>
            </w:r>
            <w:r>
              <w:rPr>
                <w:rFonts w:hint="eastAsia" w:ascii="仿宋" w:hAnsi="仿宋" w:eastAsia="仿宋" w:cs="仿宋"/>
                <w:i w:val="0"/>
                <w:iCs w:val="0"/>
                <w:color w:val="000000"/>
                <w:kern w:val="0"/>
                <w:sz w:val="24"/>
                <w:szCs w:val="24"/>
                <w:highlight w:val="none"/>
                <w:u w:val="none"/>
                <w:lang w:val="en-US" w:eastAsia="zh-CN" w:bidi="ar"/>
              </w:rPr>
              <w:t>迭代运算得出最佳配置参数组合，提升客户场景应用性能；支持冷热火焰图</w:t>
            </w:r>
          </w:p>
        </w:tc>
      </w:tr>
      <w:tr w14:paraId="4EB1F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C6C0E3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A60A31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BD7FF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ign w:val="center"/>
          </w:tcPr>
          <w:p w14:paraId="2039A92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应用性能监控工具</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24CAF9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操作系统提供自研应用性能监控工具，支持监控应用性能指标、系统资源（</w:t>
            </w:r>
            <w:r>
              <w:rPr>
                <w:rStyle w:val="48"/>
                <w:rFonts w:hint="eastAsia" w:ascii="仿宋" w:hAnsi="仿宋" w:eastAsia="仿宋" w:cs="仿宋"/>
                <w:highlight w:val="none"/>
                <w:lang w:val="en-US" w:eastAsia="zh-CN" w:bidi="ar"/>
              </w:rPr>
              <w:t>CPU</w:t>
            </w:r>
            <w:r>
              <w:rPr>
                <w:rFonts w:hint="eastAsia" w:ascii="仿宋" w:hAnsi="仿宋" w:eastAsia="仿宋" w:cs="仿宋"/>
                <w:i w:val="0"/>
                <w:iCs w:val="0"/>
                <w:color w:val="000000"/>
                <w:kern w:val="0"/>
                <w:sz w:val="24"/>
                <w:szCs w:val="24"/>
                <w:highlight w:val="none"/>
                <w:u w:val="none"/>
                <w:lang w:val="en-US" w:eastAsia="zh-CN" w:bidi="ar"/>
              </w:rPr>
              <w:t>、内存）、进程（进程状态、进程数和僵尸进程）、网络（网卡带宽、网卡使用率）、磁盘（磁盘分区使用、</w:t>
            </w:r>
            <w:r>
              <w:rPr>
                <w:rStyle w:val="48"/>
                <w:rFonts w:hint="eastAsia" w:ascii="仿宋" w:hAnsi="仿宋" w:eastAsia="仿宋" w:cs="仿宋"/>
                <w:highlight w:val="none"/>
                <w:lang w:val="en-US" w:eastAsia="zh-CN" w:bidi="ar"/>
              </w:rPr>
              <w:t>inode</w:t>
            </w:r>
            <w:r>
              <w:rPr>
                <w:rFonts w:hint="eastAsia" w:ascii="仿宋" w:hAnsi="仿宋" w:eastAsia="仿宋" w:cs="仿宋"/>
                <w:i w:val="0"/>
                <w:iCs w:val="0"/>
                <w:color w:val="000000"/>
                <w:kern w:val="0"/>
                <w:sz w:val="24"/>
                <w:szCs w:val="24"/>
                <w:highlight w:val="none"/>
                <w:u w:val="none"/>
                <w:lang w:val="en-US" w:eastAsia="zh-CN" w:bidi="ar"/>
              </w:rPr>
              <w:t>使用和磁盘时延）。支持应用和系统监控联动功能，当监控到应用性能指标异常时，同步实时获取系统监控信息，综合两部分内容，形成最终监控结果，帮助用户判断及分析应用性能问题</w:t>
            </w:r>
          </w:p>
        </w:tc>
      </w:tr>
      <w:tr w14:paraId="3A53E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908686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8CD67F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5C46CA0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日志管理</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95FB79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★日志记录与存储</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57CE9E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14:paraId="68FA6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DC606C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3BF004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0403BE">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5EE938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★日志处理与分析</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B9B79F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操作系统提供系统错误问题回溯分析工具，对系统崩溃问题及错误问题进行回溯；支持日志切分、一键收集、转储、同步机制</w:t>
            </w:r>
          </w:p>
        </w:tc>
      </w:tr>
      <w:tr w14:paraId="72FBA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4238B2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030975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5CEE2BA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脆弱性管理</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3FEFDA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★脆弱性管理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0D69E7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CPU、内存及PCIe设备等硬件的故障；支持诊断/响应组件动态加载机制；提供或支持第三方远程诊断框架及调测工具集，实现远程诊断及调试断点功能；支持物理机、虚拟机中操作系统的故障恢复</w:t>
            </w:r>
          </w:p>
        </w:tc>
      </w:tr>
      <w:tr w14:paraId="7CB65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87113A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0A143C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664E314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热补丁</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86F1B2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★热补丁</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8E87B7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或回溯</w:t>
            </w:r>
          </w:p>
        </w:tc>
      </w:tr>
      <w:tr w14:paraId="6A97F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FD95EA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BF654B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3B88403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系统升级</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980AD2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★升级内容</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3B3734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操作系统支持系统增量升级功能，对系统部件、安全补丁等升级</w:t>
            </w:r>
          </w:p>
        </w:tc>
      </w:tr>
      <w:tr w14:paraId="7B831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401DF5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48A4DE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15DC9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26C204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★升级方式</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02B1A2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操作系统支持在线升级和离线升级</w:t>
            </w:r>
          </w:p>
        </w:tc>
      </w:tr>
      <w:tr w14:paraId="7A2D2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2BD05A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FA8DE0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2B7833">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0B81EB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★数据保护</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43B769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操作系统升级不得修改破坏用户数据</w:t>
            </w:r>
          </w:p>
        </w:tc>
      </w:tr>
      <w:tr w14:paraId="56851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6D0508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B244DE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ECB6D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14C1BE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★兼容性</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8FDF05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操作系统升级不得影响原有软硬件兼容性，如有影响应显示的提示告知用户</w:t>
            </w:r>
          </w:p>
        </w:tc>
      </w:tr>
      <w:tr w14:paraId="31D77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19F30C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1683CE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可维护性要求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3281E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534528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★回退</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BF3183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操作系统提供升级回退机制，能卸载已升级的软件包，恢复系统原有状态，如升级为不可回退，则系统升级前以显式的提示告知用户</w:t>
            </w:r>
          </w:p>
        </w:tc>
      </w:tr>
      <w:tr w14:paraId="5FD00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BDA704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DF528E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5E8A3F4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交付方式</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AB91F7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★交付方式</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E50BA4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供应商提供光盘、USB闪存盘、镜像文件（下载）等交付方式</w:t>
            </w:r>
          </w:p>
        </w:tc>
      </w:tr>
      <w:tr w14:paraId="06431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A5B0E9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0ACA11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2F483EF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服务周期</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4B2DB7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★产品维护周期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174FFD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产品自发布之日起至产品停止功能升级（包含不限于新特性、新硬件支持、问题修复、安全补丁等）之日止≥5年</w:t>
            </w:r>
          </w:p>
        </w:tc>
      </w:tr>
      <w:tr w14:paraId="35F79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30C25F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7FE52B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5E37E6">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F39C7C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★产品延伸服务周期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2D147B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产品停止功能升级之日起至产品停止功能维护（包括问题修复、安全补丁等）之日止≥5年</w:t>
            </w:r>
          </w:p>
        </w:tc>
      </w:tr>
      <w:tr w14:paraId="53E90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E8BDFD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087B7E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67DE3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C5452E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★产品延伸安全服务周期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5CDDCE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≥3年</w:t>
            </w:r>
          </w:p>
        </w:tc>
      </w:tr>
      <w:tr w14:paraId="7A1B2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38150C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C432F8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D0F762">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C08755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★售后服务最小保障期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F6CBB5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≥8年</w:t>
            </w:r>
          </w:p>
        </w:tc>
      </w:tr>
      <w:tr w14:paraId="35AE9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84A063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F0B6D3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1967450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售后服务</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9206BA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★原厂服务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A3BBB8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服务由操作系统厂商的正式员工提供，不由代理商提供</w:t>
            </w:r>
          </w:p>
        </w:tc>
      </w:tr>
      <w:tr w14:paraId="573C8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E16EA8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AA2243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72875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6FC68D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★服务热线电话</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14C86BB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操作系统厂商为最终用户提供工作日每日不少于8h（覆盖一般工作时间，具体时间由企业标准给出）中文技术服务热线</w:t>
            </w:r>
          </w:p>
        </w:tc>
      </w:tr>
      <w:tr w14:paraId="4B318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7A1645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780573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2C99A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1EFCD9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★技术服务标准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0A9AF6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操作系统厂商提供工作日每日不少于8h技术支持服务</w:t>
            </w:r>
          </w:p>
        </w:tc>
      </w:tr>
      <w:tr w14:paraId="1CA75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915C39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4403CE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835333">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9ACF33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★本地服务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B0B452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操作系统厂商在本地应有不少于12人的技术服务团队</w:t>
            </w:r>
          </w:p>
        </w:tc>
      </w:tr>
      <w:tr w14:paraId="4D76D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570BF73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1AB06C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3297B1">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B556BE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★技术服务时效</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7E5B79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操作系统厂商满足同城4h、异地12h响要求，两个工作日解决问题，对于未能解决的问题和故障提供可行的升级方案</w:t>
            </w:r>
          </w:p>
        </w:tc>
      </w:tr>
      <w:tr w14:paraId="78770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A051AF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CFDFC0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7941C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2A96DF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★技术服务保障</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69D0B7F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发生非人为因素故障，在七日内由操作系统厂商原厂人员免费对产品进行补充或更换</w:t>
            </w:r>
          </w:p>
        </w:tc>
      </w:tr>
      <w:tr w14:paraId="68044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179851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EB7CE0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690262D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现场交付与安装调试</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A7DAD1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★现场安装调试</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2F7446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操作系统厂商提供产品安装与现场调试，并提供安装与调试所需的工具和设备</w:t>
            </w:r>
          </w:p>
        </w:tc>
      </w:tr>
      <w:tr w14:paraId="58858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104980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EE33BB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C00215">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4C752C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★配套资料</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8BDF63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交付产品时操作系统厂商提供配套的技术资料，包括但不限于系统说明文件、用户手册（用户安装、操作、维护、故障排除）等</w:t>
            </w:r>
          </w:p>
        </w:tc>
      </w:tr>
      <w:tr w14:paraId="45B62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B0406F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C446B9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3EC504C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系统更换</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86183C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★系统更换</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0F7343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服务期内，操作系统厂商支持版本免费更换（注：更换后不延长服务期）</w:t>
            </w:r>
          </w:p>
        </w:tc>
      </w:tr>
      <w:tr w14:paraId="02539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2607A6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9FED77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3BEA074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厂商能力要求</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BC0C7A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★服务团队</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CCE988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操作系统厂商建立全国技术服务体系和服务团队，为客户提供专业的原厂中文服务</w:t>
            </w:r>
          </w:p>
        </w:tc>
      </w:tr>
      <w:tr w14:paraId="152FD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7AA36E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FD542B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供应保障要求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7BEDE13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数据安全保障</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937171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★数据收集安全保障</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A156C8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除用户授权采集的信息外不采集其他数据，相关信息采集无安全风险，相关数据存储在大陆境内</w:t>
            </w:r>
          </w:p>
        </w:tc>
      </w:tr>
      <w:tr w14:paraId="497EE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67F13E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4502BC5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供应保障要求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CD01EF">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31369D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★数据供给安全保障</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191FA9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涉及数据下载的线上服务物理服务器不出境，包括代码仓库、系统补丁、安全补丁、服务网站等</w:t>
            </w:r>
          </w:p>
        </w:tc>
      </w:tr>
      <w:tr w14:paraId="69DF3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9E9BDB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4AB55A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供应保障要求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4D8E97B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代码无风险</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8FBA5A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★代码无风险</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E80D41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操作系统厂商提供源代码，源代码可供第三方机构审查，开源许可合规，代码知识产权无风险，无恶意安全漏洞或后门，代码可追溯、可重构</w:t>
            </w:r>
          </w:p>
        </w:tc>
      </w:tr>
      <w:tr w14:paraId="4A698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29D9BB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E068C7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45A57F7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基本要求</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D2EB1B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★基本要求</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CEF645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操作系统应当符合安全可靠测评要求</w:t>
            </w:r>
          </w:p>
        </w:tc>
      </w:tr>
      <w:tr w14:paraId="3AB7E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1C10D05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2C83D9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080DA59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密码算法支持</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1A2422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★密码算法实现</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7BECAA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操作系统支持GM/T0002、GM/T0003和GM/T0004规定的密码算法运算</w:t>
            </w:r>
          </w:p>
        </w:tc>
      </w:tr>
      <w:tr w14:paraId="03BD1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059E36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B58F81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D9A7CB">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6DEFEB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★随机数生成</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83BA3D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操作系统随机数质量符合GM/T0005《随机性检测规范》或GB/T32915《信息安全技术二元序列随机性检测方法》</w:t>
            </w:r>
          </w:p>
        </w:tc>
      </w:tr>
      <w:tr w14:paraId="1A6EC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542EB9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651189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A7161A">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06CEC1B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★内置数字证书</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CB7948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操作系统内置国家电子认证根CA的根证书</w:t>
            </w:r>
          </w:p>
        </w:tc>
      </w:tr>
      <w:tr w14:paraId="32913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6BDAA3E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3350891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B4CBD6">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8580FB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★密码协议实现</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64BD55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操作系统支持符合GB/T38636—2020的TLCP</w:t>
            </w:r>
          </w:p>
        </w:tc>
      </w:tr>
      <w:tr w14:paraId="1CACA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D135BF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0661C6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3070D18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安全管理</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7AB335F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★防火墙</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6C3ED4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操作系统提供防火墙配置管理工具，支持基于协议、网络地址、端口的访问控制规则配置，规则修改后立即生效；支持关闭指定服务和端口，包括但不限于关闭远程访问、共享访问等；支持防止ARP欺骗攻击</w:t>
            </w:r>
          </w:p>
        </w:tc>
      </w:tr>
      <w:tr w14:paraId="2F627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519FB6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BBA8BD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895982">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538FBC5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★安全框架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329C84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操作系统提供统一访问控制安全框架</w:t>
            </w:r>
          </w:p>
        </w:tc>
      </w:tr>
      <w:tr w14:paraId="329C3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C92ED2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171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DE0003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66595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10DE5D1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安全架构</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5754194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双体系架构的同品牌自研可信执行环境与通用计算环境，支持可信度量、可信启动、白名单策略、可信根、资源隔离和交互机制、数据安全访问等功能的完整可信信任链。支持图形化界面的监测、设置和度量报告</w:t>
            </w:r>
          </w:p>
        </w:tc>
      </w:tr>
      <w:tr w14:paraId="2361B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7DE235D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172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134078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A6F147">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64C21A0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静态度量</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2ACB14D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操作系统支持基于硬件可信根:TCM1.0、TCM2.0、TPM2.0的静态度量PCR扩展功能。（全架构(X86、ARM、龙芯)支持基于硬件可信根TPM2.0的静态度量PCR扩展功能:S5000c支持基于硬件可信根TCM1.0及TCM2.0的静态度量PCR扩展功能）</w:t>
            </w:r>
          </w:p>
        </w:tc>
      </w:tr>
      <w:tr w14:paraId="763C0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8949DC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173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257464D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BD5354">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60A021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动态度量</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4D9ABC4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动态完整性度量特性通过在程序运行时对内存中的关键数据（如代码段）进行度量，并将度量结果和基准值进行对比，确定内存数据是否被篡改，从而检测攻击行为，并采取应对措施；支持度量用户态进程、内核模块、内核内存代码段数据，系统调用表、中断向量表；支持将度量结果扩展至TPM2.0/TCM1.0/TCM2.0芯片PCR寄存器；支持配置度量策略；支持国密SM3度量算法</w:t>
            </w:r>
          </w:p>
        </w:tc>
      </w:tr>
      <w:tr w14:paraId="2E98A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004599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174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386EDB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6D8B0B">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2E9D50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安全加固</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2F6DCC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安全加固包括安全服务、内核参数、安全网络、系统命令、系统审计、系统设置、潜在危险等16类检查项，提供等保三级、安全默认模板；提供自定义模板，用户可针对139个加固项快速细粒度的自定义并加固，用户也可以根据大类（16个大类）进行粗粒度的自定义和加固。提供简单易用的图形和命令行交互式工具，方便用户进行操作。并能进行加固还原</w:t>
            </w:r>
          </w:p>
        </w:tc>
      </w:tr>
      <w:tr w14:paraId="365BF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C8C4AA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175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0322A9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79F56E0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身份鉴别</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D178B4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★身份鉴别服务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02EC1E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用户标识使用帐户名和帐户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帐户（root）远程登录设置</w:t>
            </w:r>
          </w:p>
        </w:tc>
      </w:tr>
      <w:tr w14:paraId="5C081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3029689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176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0569FE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restart"/>
            <w:tcBorders>
              <w:top w:val="single" w:color="000000" w:sz="4" w:space="0"/>
              <w:left w:val="single" w:color="000000" w:sz="4" w:space="0"/>
              <w:bottom w:val="single" w:color="000000" w:sz="4" w:space="0"/>
              <w:right w:val="single" w:color="000000" w:sz="4" w:space="0"/>
            </w:tcBorders>
            <w:noWrap w:val="0"/>
            <w:vAlign w:val="center"/>
          </w:tcPr>
          <w:p w14:paraId="34B562F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访问控制</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2391D9B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★自主访问控制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2D6295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14:paraId="236FF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79101F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177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F8D716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2406DC">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681919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★强制访问控制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CBBF4D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操作系统支持对应用程序的访问控制与资源限制，包括对文件、网络等客体的访问控制；支持应用安装控制、应用执行控制</w:t>
            </w:r>
          </w:p>
        </w:tc>
      </w:tr>
      <w:tr w14:paraId="58622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2A0C482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178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F21926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2B4B5D">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7D62C2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执行控制</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3019ACD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操作系统提供应用程序的控制功能，可对全系统中的二进制执行程序、动态库进行执行控制，可以对bash、dash、python、perl等脚本的执行进行管控</w:t>
            </w:r>
          </w:p>
        </w:tc>
      </w:tr>
      <w:tr w14:paraId="50872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45EAC0B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179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0523A0B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046C7B">
            <w:pPr>
              <w:jc w:val="center"/>
              <w:rPr>
                <w:rFonts w:hint="eastAsia" w:ascii="仿宋" w:hAnsi="仿宋" w:eastAsia="仿宋" w:cs="仿宋"/>
                <w:i w:val="0"/>
                <w:iCs w:val="0"/>
                <w:color w:val="000000"/>
                <w:sz w:val="24"/>
                <w:szCs w:val="24"/>
                <w:highlight w:val="none"/>
                <w:u w:val="none"/>
              </w:rPr>
            </w:pP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4FC94F1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★安全审计</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7210186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14:paraId="2797B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650" w:type="dxa"/>
            <w:tcBorders>
              <w:top w:val="single" w:color="000000" w:sz="4" w:space="0"/>
              <w:left w:val="single" w:color="000000" w:sz="4" w:space="0"/>
              <w:bottom w:val="single" w:color="000000" w:sz="4" w:space="0"/>
              <w:right w:val="single" w:color="000000" w:sz="4" w:space="0"/>
            </w:tcBorders>
            <w:noWrap w:val="0"/>
            <w:vAlign w:val="center"/>
          </w:tcPr>
          <w:p w14:paraId="02A1686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180 </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1E0FB3C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836" w:type="dxa"/>
            <w:tcBorders>
              <w:top w:val="single" w:color="000000" w:sz="4" w:space="0"/>
              <w:left w:val="single" w:color="000000" w:sz="4" w:space="0"/>
              <w:bottom w:val="single" w:color="000000" w:sz="4" w:space="0"/>
              <w:right w:val="single" w:color="000000" w:sz="4" w:space="0"/>
            </w:tcBorders>
            <w:noWrap w:val="0"/>
            <w:vAlign w:val="center"/>
          </w:tcPr>
          <w:p w14:paraId="1BB7C0A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漏洞管理</w:t>
            </w:r>
          </w:p>
        </w:tc>
        <w:tc>
          <w:tcPr>
            <w:tcW w:w="1327" w:type="dxa"/>
            <w:tcBorders>
              <w:top w:val="single" w:color="000000" w:sz="4" w:space="0"/>
              <w:left w:val="single" w:color="000000" w:sz="4" w:space="0"/>
              <w:bottom w:val="single" w:color="000000" w:sz="4" w:space="0"/>
              <w:right w:val="single" w:color="000000" w:sz="4" w:space="0"/>
            </w:tcBorders>
            <w:noWrap w:val="0"/>
            <w:vAlign w:val="center"/>
          </w:tcPr>
          <w:p w14:paraId="3EBAED6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★漏洞管理</w:t>
            </w:r>
          </w:p>
        </w:tc>
        <w:tc>
          <w:tcPr>
            <w:tcW w:w="4452" w:type="dxa"/>
            <w:tcBorders>
              <w:top w:val="single" w:color="000000" w:sz="4" w:space="0"/>
              <w:left w:val="single" w:color="000000" w:sz="4" w:space="0"/>
              <w:bottom w:val="single" w:color="000000" w:sz="4" w:space="0"/>
              <w:right w:val="single" w:color="000000" w:sz="4" w:space="0"/>
            </w:tcBorders>
            <w:noWrap w:val="0"/>
            <w:vAlign w:val="center"/>
          </w:tcPr>
          <w:p w14:paraId="0E4370A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操作系统支持漏洞编号，每个漏洞独立编号，可直接使用NVDB、CNVD或CVE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14:paraId="2B4D6203">
      <w:pPr>
        <w:pStyle w:val="16"/>
        <w:ind w:left="0" w:leftChars="0" w:firstLine="0" w:firstLineChars="0"/>
        <w:rPr>
          <w:rFonts w:hint="eastAsia" w:ascii="宋体" w:hAnsi="宋体" w:eastAsia="宋体" w:cs="Times New Roman"/>
          <w:sz w:val="28"/>
          <w:szCs w:val="28"/>
          <w:highlight w:val="none"/>
          <w:lang w:val="en-US" w:eastAsia="zh-CN"/>
        </w:rPr>
      </w:pPr>
    </w:p>
    <w:p w14:paraId="467F5CB9">
      <w:pPr>
        <w:pStyle w:val="16"/>
        <w:ind w:left="0" w:leftChars="0" w:firstLine="0" w:firstLineChars="0"/>
        <w:rPr>
          <w:rFonts w:hint="eastAsia" w:ascii="仿宋" w:hAnsi="仿宋" w:eastAsia="仿宋" w:cs="仿宋"/>
          <w:sz w:val="28"/>
          <w:szCs w:val="28"/>
          <w:highlight w:val="none"/>
          <w:lang w:val="en-US"/>
        </w:rPr>
      </w:pPr>
      <w:r>
        <w:rPr>
          <w:rFonts w:hint="eastAsia" w:ascii="仿宋" w:hAnsi="仿宋" w:eastAsia="仿宋" w:cs="仿宋"/>
          <w:sz w:val="28"/>
          <w:szCs w:val="28"/>
          <w:highlight w:val="none"/>
          <w:lang w:val="en-US" w:eastAsia="zh-CN"/>
        </w:rPr>
        <w:t>附件3</w:t>
      </w:r>
    </w:p>
    <w:tbl>
      <w:tblPr>
        <w:tblStyle w:val="17"/>
        <w:tblW w:w="833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28"/>
        <w:gridCol w:w="964"/>
        <w:gridCol w:w="1383"/>
        <w:gridCol w:w="1265"/>
        <w:gridCol w:w="4093"/>
      </w:tblGrid>
      <w:tr w14:paraId="3EE1F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47B54C9">
            <w:pPr>
              <w:keepNext w:val="0"/>
              <w:keepLines w:val="0"/>
              <w:widowControl/>
              <w:suppressLineNumbers w:val="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序号</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FE9F858">
            <w:pPr>
              <w:keepNext w:val="0"/>
              <w:keepLines w:val="0"/>
              <w:widowControl/>
              <w:suppressLineNumbers w:val="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指标分类</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5AB606AC">
            <w:pPr>
              <w:keepNext w:val="0"/>
              <w:keepLines w:val="0"/>
              <w:widowControl/>
              <w:suppressLineNumbers w:val="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一级指标</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189CFF1">
            <w:pPr>
              <w:keepNext w:val="0"/>
              <w:keepLines w:val="0"/>
              <w:widowControl/>
              <w:suppressLineNumbers w:val="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二级指标</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FC63B97">
            <w:pPr>
              <w:keepNext w:val="0"/>
              <w:keepLines w:val="0"/>
              <w:widowControl/>
              <w:suppressLineNumbers w:val="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指标要求</w:t>
            </w:r>
          </w:p>
        </w:tc>
      </w:tr>
      <w:tr w14:paraId="31C96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1A090A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FD5574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66B183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安装与升级</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ACE31F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★数据库安装</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A1CA8B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支持命令行或图形化的安装； b) 支持命令行或图形化的可配置安装能力； c) 依据安装环境提供相应的初始化参数配置值； d) 提供图形化软件组件管理向导工具</w:t>
            </w:r>
          </w:p>
        </w:tc>
      </w:tr>
      <w:tr w14:paraId="6F894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2C2B14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392892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682F79">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004082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★数据库重启</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D994EE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支持命令行或图形化的方式关闭和启动服务； b) 关闭服务后，再启动服务，服务正常</w:t>
            </w:r>
          </w:p>
        </w:tc>
      </w:tr>
      <w:tr w14:paraId="32003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56E0A9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69A619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FF573D">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DB11EA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★安装配置日志</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DF1C9C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提供软件安装的日志记录功能； b) 记录的软件安装信息完整正确； c) 提供安装配置操作的日志记录功能； d) 记录的配置操作信息完整正确</w:t>
            </w:r>
          </w:p>
        </w:tc>
      </w:tr>
      <w:tr w14:paraId="61FA1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A89662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90E22D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8929DD">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92CA49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★升级维护</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227846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支持版本升级，保证版本间功能和数据的兼容性； b) 厂商提供当前版本与历史版本的差异说明文档，包含新版本对软件和硬件的支持情况</w:t>
            </w:r>
          </w:p>
        </w:tc>
      </w:tr>
      <w:tr w14:paraId="273D9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C8C04B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1E6D93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18161C">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4DE9EA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安装和升级的兼容性</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7E3FA0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支持在不同 CPU 架构的节点上安装配置、升级，且安装配置、升级数据库的命令行或图形界面相同或相似</w:t>
            </w:r>
          </w:p>
        </w:tc>
      </w:tr>
      <w:tr w14:paraId="798F5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E0913D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8075C5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E464B0">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3BB304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节点部署</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982B1C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支持节点安装配置； b) 支持通过单一节点发起并将数据库部署在多个节点上</w:t>
            </w:r>
          </w:p>
        </w:tc>
      </w:tr>
      <w:tr w14:paraId="313AF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1DA46C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D71A0E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D6125C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数据配置</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C8FD8A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★参数配置</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4C21EC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依据工作负载和运行环境，提供配置参数修改的能力 b) 修改数据库配置参数后，配置参数立即生效或数据库重新启动生效，立即生效的配置参数和需要数据库重新启动方可生效的配置参数在相关文档中明确</w:t>
            </w:r>
          </w:p>
        </w:tc>
      </w:tr>
      <w:tr w14:paraId="654A4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A1E6CB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239D9A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7B5482">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135FF0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存储配置</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8E3E2D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提供数据库级物理存储位置、逻辑存储参数配置功能； b) 在数据库初始化阶段，提供数据库物理读写块大小的配置功能； c) 提供数据库存储对象空间使用参数的配置功能； d) 提供索引数据存储参数管理功能</w:t>
            </w:r>
          </w:p>
        </w:tc>
      </w:tr>
      <w:tr w14:paraId="371AB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EED314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AEFFE4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6A8EF5">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263651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内存配置</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048B8E5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提供数据库内存规划和配置建议； b) 依据物理内存规划数据库可用内存； c) 依据可用内存或负载情况，自动设置或向用户建议不同数据缓存区大小</w:t>
            </w:r>
          </w:p>
        </w:tc>
      </w:tr>
      <w:tr w14:paraId="680F6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DA103B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CB90C8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5D3B841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SQL 功能</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153634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★基础数据类型</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6C079F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支持数值类型； b) 支持字符类型； c) 支持二进制类型； d) 支持日期和时间类型； e) 支持布尔类型； f) 支持（大）文本类型； g) 支持大对象类型</w:t>
            </w:r>
          </w:p>
        </w:tc>
      </w:tr>
      <w:tr w14:paraId="2D639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215BBB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9D174E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726BB83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SQL 功能</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FAA0B5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扩展数据类型</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D8A208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支持间隔、XML、JSON 等数据类型</w:t>
            </w:r>
          </w:p>
        </w:tc>
      </w:tr>
      <w:tr w14:paraId="31DA0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9B3184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D767DB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9639E9">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BF83F4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自定义数据类型</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04B1561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具备用户自定义数据类型的能力，可支持不同应用场景的数据类型需求</w:t>
            </w:r>
          </w:p>
        </w:tc>
      </w:tr>
      <w:tr w14:paraId="4E1F3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A86FBB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42C2265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808DA0">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1F0967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★数据存储基础功能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120E18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支持基础数据类型</w:t>
            </w:r>
          </w:p>
        </w:tc>
      </w:tr>
      <w:tr w14:paraId="7A8DA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4BE48B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334BD5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FFB518">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4EA559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数据存储增强功能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5D82E8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支持扩展数据类型； b) 支持自定义数据类型</w:t>
            </w:r>
          </w:p>
        </w:tc>
      </w:tr>
      <w:tr w14:paraId="46AAE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613BAE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53BDD3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389764">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7E8D6F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★数据检索基础功能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45E10A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支持基础数据类型</w:t>
            </w:r>
          </w:p>
        </w:tc>
      </w:tr>
      <w:tr w14:paraId="3A62B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9D4FD7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59F413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7D1170">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0004D6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数据检索增强功能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0E0B6FB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支持扩展数据类型； b) 支持自定义数据类型； c) 支持中文检索功能，如使用中国纪年历法进行检索</w:t>
            </w:r>
          </w:p>
        </w:tc>
      </w:tr>
      <w:tr w14:paraId="43B3E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D4FFA7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70AE1C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14C07D">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A6E188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★核心SQL 能力</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FC00E1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支持左外连接； b) 支持右外连接； c) 支持内连接； d) 支持全连接</w:t>
            </w:r>
          </w:p>
        </w:tc>
      </w:tr>
      <w:tr w14:paraId="248C9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FF1872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C9789D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B898AF">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DB0359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★字符集</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016E5A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中文字符集符合 GB 18030 的要求</w:t>
            </w:r>
          </w:p>
        </w:tc>
      </w:tr>
      <w:tr w14:paraId="4F3AE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DAE4AB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61CDFE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9B107A">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3EAD38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★常用操作符</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6526E9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支持逻辑操作符及相关运算； b) 支持比较操作符及相关运算； c) 支持算术运算符及相关运算</w:t>
            </w:r>
          </w:p>
        </w:tc>
      </w:tr>
      <w:tr w14:paraId="4BA11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66E653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1A1FA0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5BF653">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C9B829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★条件表达式</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6A8D99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支持对比条件表达式； b) 支持逻辑条件表达式； c) 支持空值条件表达式； d) 支持等于条件表达式； e) 支持模式匹配条件表达式； f) 支持区间条件表达式； g) 支持 IN 条件表达式； h) 支持存在条件表达式； i) 支持以上条件表达式的复合表达式</w:t>
            </w:r>
          </w:p>
        </w:tc>
      </w:tr>
      <w:tr w14:paraId="49A2C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41214E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8A3FA1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D35F02">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3A84B2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★SQL 执行计划</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BF6B78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 SQL 计划，使 SQL 按照指定的语句执行，并实现预期结果</w:t>
            </w:r>
          </w:p>
        </w:tc>
      </w:tr>
      <w:tr w14:paraId="3BAF6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D3B25B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823122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769CCF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数据库对象</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FF6984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★基础对象类型</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0BE363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支持用户的创建、删除、修改； b) 支持角色的创建、删除、修改； c) 支持存储过程的创建、删除、修改； d) 支持表操作功能； e) 支持自增序列； f) 支持主键约束、外键约束、唯一性约束、检查约束和联合主键约束； g) 支持游标功能； h) 支持视图的创建、删除、修改； i) 支持数值计算函数、字符处理函数、日期时间值函数、间隔函数、类型转换函数、位运算函数、聚合函数、格式化、系统信息等常用函数</w:t>
            </w:r>
          </w:p>
        </w:tc>
      </w:tr>
      <w:tr w14:paraId="01D45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1378C3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D6B2E0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3220DF">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158D39D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扩展对象类型</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CDD146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支持包的创建、删除、修改； b) 支持触发器的创建、删除、修改； c) 支持外部链接的创建、删除，并可以通过外部链接进行外部访问； d) 支持作业的创建、删除、修改； e) 支持全局唯一的自增序列； f) 支持创建函数索引； g) 支持定义同义词</w:t>
            </w:r>
          </w:p>
        </w:tc>
      </w:tr>
      <w:tr w14:paraId="72AAD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0DE81C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6D1E28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9D3780">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149025D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★基础表分区管理</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ABBACC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 哈希分区方式； b) 范围分区方式； c) 列表分区方式</w:t>
            </w:r>
          </w:p>
        </w:tc>
      </w:tr>
      <w:tr w14:paraId="1A9F4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C17445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298374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C371D4">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EFAF97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扩展表分区管理</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F35E64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支持数据库表分区及二级分区能力； b) 支持建立分区索引</w:t>
            </w:r>
          </w:p>
        </w:tc>
      </w:tr>
      <w:tr w14:paraId="60ABF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4449D2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02AAC2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C7DD7D">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868887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查看对象</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98D665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支持查看数据库信息； b) 支持查看表对象信息； c) 支持查看索引对象信息； d) 支持查看字段对象信息； e）支持查看约束对象信息； f）支持查看数据库实例信息； g）支持查看表空间信息</w:t>
            </w:r>
          </w:p>
        </w:tc>
      </w:tr>
      <w:tr w14:paraId="3EAEF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C1F327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586760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B51CF4">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232843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查看日志、系统信息</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F5FC93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 支持查看日志文件的能力；b）厂商提供查看实例数据缓存的视图或图形化管理工具； c）厂商提供查看日志缓存的视图或图形化管理工具； d）厂商提供查看数据字典的视图或图形化管理工具</w:t>
            </w:r>
          </w:p>
        </w:tc>
      </w:tr>
      <w:tr w14:paraId="1557A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438C1E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369918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03EFFD">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F614F8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★对象变更</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DBA073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a)支持数据库的创建、删除、更新以及数据库属性的查询；b)支持在线变更表结构、索引；c)支持数据的增加、删除、修改和查询</w:t>
            </w:r>
          </w:p>
        </w:tc>
      </w:tr>
      <w:tr w14:paraId="04EFC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1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6871E9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29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52FF29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FED86A">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5F0E6C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查看会话系统表/视图</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ADE754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提供查看会话标识的视图或图形化管理工具； b) 提供查看进程/线程标识的视图或图形化管理工具； c) 提供查看用户标识的视图或图形化管理工具； d) 提供查看最近的用户请求命令的视图或图形化管理工具； e) 提供查看缺省模式的视图或图形化管理工具； f) 提供查看登录时间/会话状态的视图或图形化管理工具； g) 提供查看会话状态的视图或图形化管理工具； h) 提供查看等待会话的锁信息的视图或图形化管理工具； i) 提供查看等待时间统计信息的视图或图形化管理工具； j) 提供查看使用时间统计信息的视图或图形化管理工具</w:t>
            </w:r>
          </w:p>
        </w:tc>
      </w:tr>
      <w:tr w14:paraId="65B56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1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A16F78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E0C9F6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86F62B">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7E849A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查看监控连接系统表/视图</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3A55B9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提供查看连接标识的视图或图形化管理工具； b) 提供查看连接状态的视图或图形化管理工具； c) 提供查看连接用户的视图或图形化管理工具； d) 提供查看连接类型的视图或图形化管理工具； e) 提供查看当前事务信息的视图或图形化管理工具</w:t>
            </w:r>
          </w:p>
        </w:tc>
      </w:tr>
      <w:tr w14:paraId="147A9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E6924B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D9E723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04C52A">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796253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异构数据库联机访问</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DE02F8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提供异构数据库数据联机访问功能</w:t>
            </w:r>
          </w:p>
        </w:tc>
      </w:tr>
      <w:tr w14:paraId="62D61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3"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0580C5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4B50D2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44DF9B">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C99A34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完整性管理</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97E425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支持验证表存储完整性； b) 支持验证索引存储完整性； c) 支持验证数据库存储结构完整性； d) 支持查看视图定义完整性；e) 支持查看存储过程/函数定义完整性</w:t>
            </w:r>
          </w:p>
        </w:tc>
      </w:tr>
      <w:tr w14:paraId="5AB92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7E88C5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45C96F6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F24509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事务能力</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808AA0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★事务基础特性</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85814C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支持事务的ACID</w:t>
            </w:r>
          </w:p>
        </w:tc>
      </w:tr>
      <w:tr w14:paraId="334C9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05A310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D56F9E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E7309C">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E1993F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★死锁检测与处理</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777E55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在并发执行过程中，能检测到死锁； b) 提供解决全局死锁的机制； c) 具备死锁处理能力； d) 具备死锁超时回滚的能力； e) 具备死锁检测与处理记录功能</w:t>
            </w:r>
          </w:p>
        </w:tc>
      </w:tr>
      <w:tr w14:paraId="24E22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93E1A6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238D63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4FBABBE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运维</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3DB81E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★运行时统计信息基础功能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D616DE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a）数据库慢 SQL 统计： 1）支持统计 SQL 语句； 2）支持统计用户名； 3）支持统计数据库名； 4）支持统计执行时长； b）数据库性能状态统计： 1）支持统计每秒事务数和查询数； 2）支持统计 SQL 平均响应时间； 3）支持统计高频 SQL</w:t>
            </w:r>
          </w:p>
        </w:tc>
      </w:tr>
      <w:tr w14:paraId="6237A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6F46FE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2C9B3D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38DA35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运维</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FBAD27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运行时统计信息增强功能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EEEDE6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a)支持统计集群节点 CPU 使用情况；b)支持统计集群节点内存使用情况；c)支持统计集群节点磁盘使用情况；d)支持统计集群节点网络使用情况</w:t>
            </w:r>
          </w:p>
        </w:tc>
      </w:tr>
      <w:tr w14:paraId="487C6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9D5AC8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CA8CF8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5FD023">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241471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★日志</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C8484E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具备对各类事件进行日志记录的功能，可通过日志查看操作内容、执行过程和结果； b) 具备提示和警告功能，提示或警告数据库结构修改、数据库运行配置修改等重要操作；c) 日志完整正确，并且提供可读文本的形式；d) 支持中文日志</w:t>
            </w:r>
          </w:p>
        </w:tc>
      </w:tr>
      <w:tr w14:paraId="7F151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BADC39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AB72CB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CBA4C8">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146DED1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★远程运维</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806D16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具备远程维护功能</w:t>
            </w:r>
          </w:p>
        </w:tc>
      </w:tr>
      <w:tr w14:paraId="22C6E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AD72F9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39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BAB66D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E1848A">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12E6FBB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★报警</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531241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厂商提供通知管理员的方法或工具； b) 支持设置报警基线，数据库运行中遇到重要事件、异常事件和状态、超过报警阈值等情况时，通知管理员； c) 提供报警 API； d) 报警发生时，支持报警信息的实时展示</w:t>
            </w:r>
          </w:p>
        </w:tc>
      </w:tr>
      <w:tr w14:paraId="2E0D2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7816C7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83392B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EA765A">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5E4E18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SQL 监测与优化建议</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50E167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实时监测 SQL 执行过程中资源使用情况； b) 提供查询计划的缓存管理功能； c) 提供 SQL 改写的优化建议</w:t>
            </w:r>
          </w:p>
        </w:tc>
      </w:tr>
      <w:tr w14:paraId="5F8E0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E703C3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F626BD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776AF8E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迁移</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48B151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应用迁移</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2BE0EC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 SQL、存储过程等价语法转换，并将转换后的语法在目标库进行校验，转换后语法可编译可执行； b) 对转换出错或校验出错的语法进行定位，引导用户进行错误校正后再次编译校验； c) 尽量减少应用的修改，从源数据库迁移到目标数据库，并可运行</w:t>
            </w:r>
          </w:p>
        </w:tc>
      </w:tr>
      <w:tr w14:paraId="173C4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C2C8D2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701693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2CEA00">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EEA6F9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★数据迁移</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136B31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提供元数据、数据库、数据库对象、表数据快速迁移的功能； b) 支持数据迁移工具实现同构或异构数据库之间的数据迁移； c) 支持全量数据迁移、增量数据持续同步等迁移模式； d) 在数据迁移过程中具备应对传输异常的能力，保障数据迁移的稳定性、连续性和一致性； e) 支持存量数据的一次性迁移和增量数据库的持续同步； f) 支持多种不同类型的源数据库和目标数据库之间的数据迁移</w:t>
            </w:r>
          </w:p>
        </w:tc>
      </w:tr>
      <w:tr w14:paraId="0548F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2FE8F7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47E062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8483B6">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top"/>
          </w:tcPr>
          <w:p w14:paraId="7A55FF7E">
            <w:pPr>
              <w:keepNext w:val="0"/>
              <w:keepLines w:val="0"/>
              <w:widowControl/>
              <w:suppressLineNumbers w:val="0"/>
              <w:jc w:val="center"/>
              <w:textAlignment w:val="top"/>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★数据比对基础功能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CBF0F8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对源数据库和目标数据库之间的数据进行比对，支持数据一致性，并提供一致性比对报告</w:t>
            </w:r>
          </w:p>
        </w:tc>
      </w:tr>
      <w:tr w14:paraId="47958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9FDFC9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C56340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5218EE">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top"/>
          </w:tcPr>
          <w:p w14:paraId="100A6DCE">
            <w:pPr>
              <w:keepNext w:val="0"/>
              <w:keepLines w:val="0"/>
              <w:widowControl/>
              <w:suppressLineNumbers w:val="0"/>
              <w:jc w:val="center"/>
              <w:textAlignment w:val="top"/>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数据比对增强功能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5E3223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数据比对规模是可配置的，用户可根据业务需求，进行库级、表级等级别的比对，提供数据修复功能</w:t>
            </w:r>
          </w:p>
        </w:tc>
      </w:tr>
      <w:tr w14:paraId="18BA7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B608E7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0FE99B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411A6D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备份恢复</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C13003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★数据备份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4DA0F7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运行状态下支持对数据库进行全库备份； b) 运行状态下支持对数据库进行部分备份； c) 运行状态下支持对数据库进行增量备份</w:t>
            </w:r>
          </w:p>
        </w:tc>
      </w:tr>
      <w:tr w14:paraId="15027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83F8A7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54FFDE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094BF4">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5A91A5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备份数据管理</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05E0D2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支持备份数据的加密； b) 支持备份数据的压缩； c) 支持备份数据的存储</w:t>
            </w:r>
          </w:p>
        </w:tc>
      </w:tr>
      <w:tr w14:paraId="05CBF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6E72EF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487A29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C914CF">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A8013A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用户/模式备份、恢复</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F58D57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支持对数据库的所有或指定用户/模式下的数据进行备份； b) 支持对数据库的所有或指定用户/模式下的数据备份进行恢复</w:t>
            </w:r>
          </w:p>
        </w:tc>
      </w:tr>
      <w:tr w14:paraId="5F280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0D212F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4F24C70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D84935">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15EC995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★多种存储媒体备份、还原</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08703D7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支持多种备份存储媒体，支持多种存储媒体的部分、完整数据库数据还原处理能力</w:t>
            </w:r>
          </w:p>
        </w:tc>
      </w:tr>
      <w:tr w14:paraId="55F2C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A49D8A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49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49F01D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C56728">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DDA9B3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★备份还原的一致性校验</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4525D0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提供数据库备份数据一致性校验的命令或工具</w:t>
            </w:r>
          </w:p>
        </w:tc>
      </w:tr>
      <w:tr w14:paraId="18811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0D296C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1C7037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CFE2A6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集群管理</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EF2C14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★集群构建与管理</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5E289C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支持集群的运行环境； b) 支持创建并配置数据库集群； c) 配置信息至少包括日常运维管理、容灾管理、日志管理、备份管理、监控等</w:t>
            </w:r>
          </w:p>
        </w:tc>
      </w:tr>
      <w:tr w14:paraId="0FFF7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7AE79D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51 </w:t>
            </w:r>
          </w:p>
        </w:tc>
        <w:tc>
          <w:tcPr>
            <w:tcW w:w="964" w:type="dxa"/>
            <w:tcBorders>
              <w:top w:val="single" w:color="000000" w:sz="4" w:space="0"/>
              <w:left w:val="single" w:color="000000" w:sz="4" w:space="0"/>
              <w:bottom w:val="single" w:color="000000" w:sz="4" w:space="0"/>
              <w:right w:val="single" w:color="000000" w:sz="4" w:space="0"/>
            </w:tcBorders>
            <w:noWrap w:val="0"/>
            <w:vAlign w:val="top"/>
          </w:tcPr>
          <w:p w14:paraId="5AD3FCDC">
            <w:pPr>
              <w:jc w:val="center"/>
              <w:rPr>
                <w:rFonts w:hint="eastAsia" w:ascii="仿宋" w:hAnsi="仿宋" w:eastAsia="仿宋" w:cs="仿宋"/>
                <w:i w:val="0"/>
                <w:iCs w:val="0"/>
                <w:color w:val="000000"/>
                <w:sz w:val="24"/>
                <w:szCs w:val="24"/>
                <w:highlight w:val="none"/>
                <w:u w:val="none"/>
              </w:rPr>
            </w:pP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641A96">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70C365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集群构建与管理扩展要求</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2FCB00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在读写操作负载差距较大时，提供读写分离能力</w:t>
            </w:r>
          </w:p>
        </w:tc>
      </w:tr>
      <w:tr w14:paraId="1F2DA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221D2D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D283BF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5FBFE3">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716757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共享存储架构下的集群要求</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2E67B7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在共享存储集群架构的基础上： a) 支持管理硬件存储资源，包括为共享存储扩展存储容量； b) 支持集群多个节点同时写入或一写多读，事务支持 ACID 特性； c) 支持节点间的缓存一致性</w:t>
            </w:r>
          </w:p>
        </w:tc>
      </w:tr>
      <w:tr w14:paraId="61C86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35FF20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584B0F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69AEA32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工具</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9638AD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★数据库开发调试工具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B15B09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具备图形化功能，提高易用性； b) 具备导入、编辑、保存、执行 SQL语句和 SQL 脚本功能； c) 具备复制、编辑现有数据库对象功能； d) 具备关键词显示标记、动态语法提示的 SQL 编辑器功能</w:t>
            </w:r>
          </w:p>
        </w:tc>
      </w:tr>
      <w:tr w14:paraId="5A4B2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5A4BE0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1DDB15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8BA491">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EED635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数据库预编译工具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CA942C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厂商提供预编译工具，支持嵌入式 SQL编程</w:t>
            </w:r>
          </w:p>
        </w:tc>
      </w:tr>
      <w:tr w14:paraId="2ED2E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C7614D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4AE182A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FB19E7">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2EABCA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网络配置工具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F0B0E8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 提供客户端、服务器端网络配置向导；b) 支持配置网络连接参数、主机、端口、协议等内容</w:t>
            </w:r>
          </w:p>
        </w:tc>
      </w:tr>
      <w:tr w14:paraId="24545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2CD603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A67309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D5B2CB">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4F3F45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创建、修改、删除工具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5078A9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支持数据库的创建、修改和删除； b) 支持配置数据库数据文件、日志文件、归档文件的存储位置、逻辑空间（如表空间）等参数； c) 支持配置数据库属性相关参数（如最大连接数等）</w:t>
            </w:r>
          </w:p>
        </w:tc>
      </w:tr>
      <w:tr w14:paraId="29891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612862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48AF95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71BE75">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203958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★用户、角色管理工具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43B5DC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支持创建、修改、删除用户的功能； b）提供定义用户的功能； c) 支持创建、修改、删除角色的功能，且提供用户自定义角色的功能</w:t>
            </w:r>
          </w:p>
        </w:tc>
      </w:tr>
      <w:tr w14:paraId="100BE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0898CE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140567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59E1DD">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B546D9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★SQL 执行计划查看工具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1CF1E3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提供与数据库管理系统进行 SQL 交互的工具，方便运维工作； b) 支持查看 SQL 语句查询执行计划与统计信息</w:t>
            </w:r>
          </w:p>
        </w:tc>
      </w:tr>
      <w:tr w14:paraId="34E34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1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5E85BC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59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F394A7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B18103">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33875B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★数据库对象工具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0923B9C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支持创建、修改、删除表的功能，支持定义表结构、约束、存储配置管理的功能； b) 支持创建、修改、删除索引的功能，支持定义索引结构、类型、存储配置管理的功能； c) 支持创建、修改、删除视图的功能，支持视图定义的功能； d) 支持创建、修改、删除约束的功能，支持约束定义的功能</w:t>
            </w:r>
          </w:p>
        </w:tc>
      </w:tr>
      <w:tr w14:paraId="76D0E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7E1300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E90B32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34FE5E">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16C94A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★导入导出工具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3CDF8A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支持导出不同格式，可以将不同格式数据导入到数据库中； b) 支持不同级别和不同数据库对象的导入/导出功能； c) 支持从文本文件或者其他上游数据源将数据导入； d) 支持 SQL 脚本进行导入导出</w:t>
            </w:r>
          </w:p>
        </w:tc>
      </w:tr>
      <w:tr w14:paraId="57AD2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98A5C2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6BE2A1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533903">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4C0A2D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触发器、存储过程/函数工具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E1ED70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支持创建、修改、删除触发器的功能，支持触发条件、事件的设置； b) 支持创建、修改、删除存储过程/函数的功能，提供定义存储过程/函数的工具</w:t>
            </w:r>
          </w:p>
        </w:tc>
      </w:tr>
      <w:tr w14:paraId="3175D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3B0D7A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4C71499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F0280E">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770407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★数据库运维工具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E83BBDD">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支持数据库、数据库存储对象结构、数据、统计信息更新维护； b) 支持数据库创建、数据库修改、数据库删除、数据库模板维护； c) 支持数据库任务自动化调度作业管理； d) 支持图形化展示数据库管理的各种元数据界面，展示的内容具有层次性，包括模式、非模式数据字典信息</w:t>
            </w:r>
          </w:p>
        </w:tc>
      </w:tr>
      <w:tr w14:paraId="656E2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17A554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C613EF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EC797C">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8CD5AC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监控跟踪工具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00C2750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收集和统计数据库某时间段的运行状态及性能信息，判断该时间的数据库运行性能瓶颈； b) 支持系统状态监控能力，包括对集群、服务器和数据库状态的监控等； c) 支持性能瓶颈跟踪、运行过程监测与调优； d) 提供数据库实例、网络通信、数据库对象的跟踪日志，日志数据准确、完整； e) 支持特定事件或事务发生时收集监控数据库活动事务数据； f) 支持跟踪数据库等待事件；g) 提供捕获并记录实例、数据库在特定时间点的状态</w:t>
            </w:r>
          </w:p>
        </w:tc>
      </w:tr>
      <w:tr w14:paraId="23F87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6F0B3D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D57FBD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65476C8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图形化管理</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E0C0EA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图形化远程启动、关闭数据库</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757752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提供数据库资源配置向导； b) 提供远程数据库服务启动、关闭功能</w:t>
            </w:r>
          </w:p>
        </w:tc>
      </w:tr>
      <w:tr w14:paraId="7F89A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F36F3D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0BC265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153DB1">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EE4FFA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★图形化的开发工具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6703B2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厂商提供图形化的开发工具</w:t>
            </w:r>
          </w:p>
        </w:tc>
      </w:tr>
      <w:tr w14:paraId="01104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BAB60B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F61CD1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3596E6">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13AE40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★图形化运维工具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03E17A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厂商提供图形化的运维工具</w:t>
            </w:r>
          </w:p>
        </w:tc>
      </w:tr>
      <w:tr w14:paraId="6DDA4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17B083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D4B876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BA9321">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4B4388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图形化展示工具</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ADE9FE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厂商提供图形化数据展示工具</w:t>
            </w:r>
          </w:p>
        </w:tc>
      </w:tr>
      <w:tr w14:paraId="3ED75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29F62C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A95B46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007F85">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130DC5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图形界面配置参数基础功能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18A492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a）基本配置参数： 1）配置资源使用限额； 2）配置连接数； 3）配置白名单； b）逻辑存储配置： 1）图形界面支持逻辑存储配置； 2）提供图形化界面管理数据库对象逻辑空间分配功能； c）提供图形界面配置参数功能，支持图形界面配置用户口令； d）配置审计： 1）支持图形化界面配置审计策略； 2）支持查看审计数据</w:t>
            </w:r>
          </w:p>
        </w:tc>
      </w:tr>
      <w:tr w14:paraId="0F6B2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0B464C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69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33F2EE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E13F83">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828F1C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图形化管理数据库对象</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D73636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图形化管理统一的数据库实例、数据库日志文件、数据库运行模式、表对象、表数据存储空间、索引定义类型、视图、触发器、存储过程/函数、角色/用户权限、同义词、序列、外部表、物化视图、作业调度、数据库链接、分区表数据、服务器资源分配、自增列</w:t>
            </w:r>
          </w:p>
        </w:tc>
      </w:tr>
      <w:tr w14:paraId="72811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6E7167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F685EF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CDE449">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DA0FB2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图形化监控</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09FC86B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a）支持多实例集成监控与管理；b）支持操作系统和网络资源集成监控与管理</w:t>
            </w:r>
          </w:p>
        </w:tc>
      </w:tr>
      <w:tr w14:paraId="3059B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13A65C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D2D37D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909386">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F9D434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图形化管理归档</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0CD644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支持对归档模式、归档文件位置、归档启用/停用进行管理</w:t>
            </w:r>
          </w:p>
        </w:tc>
      </w:tr>
      <w:tr w14:paraId="27731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61C16B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1FBAB8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80E091">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1D08FF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图形化管理数据的备份、还原/恢复</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D8A0DF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提供图形化管理数据的备份、还原/恢复的功能</w:t>
            </w:r>
          </w:p>
        </w:tc>
      </w:tr>
      <w:tr w14:paraId="7FBF9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1F807A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CE03CE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功能要求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A07AF6">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E07123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图形化界面易用性</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266944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支持浏览器图形界面管理； b) 图形化管理工具界面窗口、选单、图标、文字、快捷键统一并易于理解</w:t>
            </w:r>
          </w:p>
        </w:tc>
      </w:tr>
      <w:tr w14:paraId="12739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BAFF4B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B9C08A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05E82F3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稳定运行</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354D019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★稳定运行</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A83B64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支持连续稳定运行； b) 支持数据库管理系统运行风险的报警能力</w:t>
            </w:r>
          </w:p>
        </w:tc>
      </w:tr>
      <w:tr w14:paraId="67B2C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3"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8EA797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A6478F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3DC6431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故障切换</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2493C3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★快速切换</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6FA753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支持快速切换，在主数据库出现故障时，能够快速切换到备用数据库，保障业务正常运行</w:t>
            </w:r>
          </w:p>
        </w:tc>
      </w:tr>
      <w:tr w14:paraId="55CE4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A36FCC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892B5C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712E9A">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53772F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★恢复无断点</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3E73DA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支持无断点恢复能力</w:t>
            </w:r>
          </w:p>
        </w:tc>
      </w:tr>
      <w:tr w14:paraId="1A4DE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58E170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B925D9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06DFCD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容灾能力</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154F57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★主备备份</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2EA941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支持多副本，支持主副本与从副本之间的数据同步，最低时延由生产厂商提供； b) 提供基于主机的数据库复制技术，包括基于日志的备用数据库远程数据库备份技术，并具备数据副本间的复制能力</w:t>
            </w:r>
          </w:p>
        </w:tc>
      </w:tr>
      <w:tr w14:paraId="47F29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39AD07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59D7DF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4B0A33">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DCA0A4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★实例容灾</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7C750D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在任意数据库实例出现故障时，集群内服务正常运行，数据不丢失，集群整体业务可用； b) 在实例故障、节点故障等单数据库实例故障时，RPO 时间等于 0，RTO 时间小于 30s</w:t>
            </w:r>
          </w:p>
        </w:tc>
      </w:tr>
      <w:tr w14:paraId="61558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1D31D2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79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0A3E8A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6FC22C">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13A147D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★容灾部署</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C5C561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a)提供远程容灾部署与管理功能；b)提供生产中心与备份中心之间的容灾部署与管理功能</w:t>
            </w:r>
          </w:p>
        </w:tc>
      </w:tr>
      <w:tr w14:paraId="7C26A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A02607A">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4214AEC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6DB3BA">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987626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★同城容灾</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0BED58F1">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支持同城双中心部署，当主中心故障时，业务切换到备中心； b) 由于网络、供电等原因造成的可用区级故障，触发集群计划外停机，在同城多可用区场景下，RPO 时间等于 0， RTO 时间小于 1 分钟</w:t>
            </w:r>
          </w:p>
        </w:tc>
      </w:tr>
      <w:tr w14:paraId="403D8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D51867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4920B0B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611FF7">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6580F4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异地容灾</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F2DE20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城市级故障，比如地震，业务可以切换到异地； b) 异地灾备场景支持两地三中心部署架构，在本地建立同城灾备中心，在异地建立异地灾备中心，RPO 时间小于 1分钟，RTO 时间小于 10 分钟</w:t>
            </w:r>
          </w:p>
        </w:tc>
      </w:tr>
      <w:tr w14:paraId="5C874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A33BBC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32707D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A605EE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容错性</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1297B0C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★服务端编程稳定性</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05449D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支持当用户自定义的存储过程、函数运行异常时，数据库稳定运行</w:t>
            </w:r>
          </w:p>
        </w:tc>
      </w:tr>
      <w:tr w14:paraId="67E8B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A94A77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381E42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226BE3">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0D789E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★网络容错</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92B524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支持网络中断时，保障事务一致性</w:t>
            </w:r>
          </w:p>
        </w:tc>
      </w:tr>
      <w:tr w14:paraId="61DD5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71989B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FB8126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71D661">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0D0C8E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★检测报警</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98B679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支持数据库实例启动时错误检测能力； b) 支持加载不同文件格式、不同大小数据出现错误时的故障检测和处理能力； c) 支持数据库备份执行过程中发生故障时报错或者报警能力； d) 支持数据库恢复发生故障时报错或者报警能力</w:t>
            </w:r>
          </w:p>
        </w:tc>
      </w:tr>
      <w:tr w14:paraId="13E69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B8EF66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68B393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C5B7AC">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1D9F9F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★故障恢复</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3418B7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系统故障重启后能正常运行且支持数据一致性； b) 支持完全媒体故障恢复的能力； c) 提供基于时间点故障恢复功能</w:t>
            </w:r>
          </w:p>
        </w:tc>
      </w:tr>
      <w:tr w14:paraId="429DF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571B88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7FCA004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可靠性要求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25163A">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E72392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★不同级别故障可恢复</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FD9851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支持数据库事务故障、系统故障、存储媒体故障不同级别的可恢复能力</w:t>
            </w:r>
          </w:p>
        </w:tc>
      </w:tr>
      <w:tr w14:paraId="28035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3F0F60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1D4680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兼容要求</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1B8E23D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软件兼容</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7538722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云化部署</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C41AD63">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持虚拟化部署或容器化部署等云化部署方式</w:t>
            </w:r>
          </w:p>
        </w:tc>
      </w:tr>
      <w:tr w14:paraId="4824B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3"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8702B1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1EB8C5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兼容要求</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0F22CDA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硬件兼容</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48ABF3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★硬件平台兼容</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AB110C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同源支持以下至少三种 CPU 平台架构： 1) ARM； 2) LoongArch； 3) MIPS； 4) SW64； 5) x86； b) 支持 SMP 和 NUMA 的运行环境</w:t>
            </w:r>
          </w:p>
        </w:tc>
      </w:tr>
      <w:tr w14:paraId="2EBDE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36AD43A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89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C40022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407CD4B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标准兼容</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B70767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★ODBC</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481CEC2">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 ODBC</w:t>
            </w:r>
          </w:p>
        </w:tc>
      </w:tr>
      <w:tr w14:paraId="5A2DE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233542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BEC70C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兼容要求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385D0C">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383682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★JDBC</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9A6DDA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 JDBC</w:t>
            </w:r>
          </w:p>
        </w:tc>
      </w:tr>
      <w:tr w14:paraId="25459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469120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14B825E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5AFD833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交付方式</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78E18C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★交付方式</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C5613E8">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以光盘、便携式移动设备、镜像文件、在线下载等交付方式提供产品交付物</w:t>
            </w:r>
          </w:p>
        </w:tc>
      </w:tr>
      <w:tr w14:paraId="706C4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2B3FF0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EF69B2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2A6A95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服务周期</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1A7A881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★产品维护周期</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3E4A2B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产品自发布之日起至产品停止功能升级（包含不限于新特性、新硬件支持、问题修复、安全补丁等）之日止≥5 年</w:t>
            </w:r>
          </w:p>
        </w:tc>
      </w:tr>
      <w:tr w14:paraId="7A679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2A1648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F3F0C5F">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92DCC1">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DE60C8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★产品延伸服务周期</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371677B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产品停止功能升级之日起至产品停止功能维护（包括问题修复、安全补丁等）之日止≥4 年</w:t>
            </w:r>
          </w:p>
        </w:tc>
      </w:tr>
      <w:tr w14:paraId="5C6D2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A1197B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DE2644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33EAED">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082EA8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★产品延伸安全服务周期</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6881067">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产品功能维护停止之日起至产品停止安全维护（包括中高风险漏洞修复）之日止≥2 年</w:t>
            </w:r>
          </w:p>
        </w:tc>
      </w:tr>
      <w:tr w14:paraId="379F7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776F9B7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BC187B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BFA481">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473E7F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★售后服务最小保障期</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00175C2C">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自销售之日起，产品售后服务周期≥6年</w:t>
            </w:r>
          </w:p>
        </w:tc>
      </w:tr>
      <w:tr w14:paraId="454FE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80AE5A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F8B1DE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727778D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供应链与服    务保障</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7C9D6F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★供应链与服务保障基础要求</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4B21A89">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提供多种形式支持服务，包含电话、电子邮件、远程连接等； b) 提供技术支持服务，支持同城4h、异地 12h 响应要求，两个工作日解决问题，对于未能解决的问题和故障提供可行的升级方案； c) 提供培训材料、产品手册、培训视频等培训相关内容； d) 建立全国技术服务体系和服务团队，符合专业服务体系标准要求，提供原厂中文服务； e) 服务周期内支持版本免费升级； f) 开源产品对获得的社区源代码进行安全性和知识产权审查与管理； g) 提供数据库参数、慢 SQL 语句的性能优化指南，包含性能优化的具体措施、技巧、案例及建议等</w:t>
            </w:r>
          </w:p>
        </w:tc>
      </w:tr>
      <w:tr w14:paraId="33650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610710D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5FA688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71B8C1">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CA3B19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定制服务</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FCB8D3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针对关键客户提供代码级定制优化服务</w:t>
            </w:r>
          </w:p>
        </w:tc>
      </w:tr>
      <w:tr w14:paraId="52B40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F0D2A4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F216A5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114CF5">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E56C8F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驻场服务</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088EE7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提供原厂团队驻场服务</w:t>
            </w:r>
          </w:p>
        </w:tc>
      </w:tr>
      <w:tr w14:paraId="745E9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4FFE2FC1">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99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B50A87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服务要求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3E8261">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156D29E">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在线反馈</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49BFB9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支持在线问题反馈</w:t>
            </w:r>
          </w:p>
        </w:tc>
      </w:tr>
      <w:tr w14:paraId="6158B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7323A8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100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6CAB8F7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1383" w:type="dxa"/>
            <w:tcBorders>
              <w:top w:val="single" w:color="000000" w:sz="4" w:space="0"/>
              <w:left w:val="single" w:color="000000" w:sz="4" w:space="0"/>
              <w:bottom w:val="single" w:color="000000" w:sz="4" w:space="0"/>
              <w:right w:val="single" w:color="000000" w:sz="4" w:space="0"/>
            </w:tcBorders>
            <w:noWrap w:val="0"/>
            <w:vAlign w:val="center"/>
          </w:tcPr>
          <w:p w14:paraId="4EFDAD2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基本要求</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1C5B995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★基本要求</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68FBE8F">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数据库应当符合安全可靠测评要求</w:t>
            </w:r>
          </w:p>
        </w:tc>
      </w:tr>
      <w:tr w14:paraId="5D2F4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BD29659">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101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44F18B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473BE0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基础安全</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1616FB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安全架构</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4C523FB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将系统管理员分为数据库管理员、数据库安全员和数据库审计员三种类型</w:t>
            </w:r>
          </w:p>
        </w:tc>
      </w:tr>
      <w:tr w14:paraId="1AD10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3"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57FF04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102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07F8AD5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0F4D76">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73A743D">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★漏洞管理</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5579C500">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建立漏洞管理机制，及时通过邮件、网站等方式将安全漏洞告知用户，并提供安全补丁对漏洞进行修复</w:t>
            </w:r>
          </w:p>
        </w:tc>
      </w:tr>
      <w:tr w14:paraId="337D8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D876787">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103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4F942C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BDB74F">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7ACB11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★身份鉴别及访问控制</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5FBA155">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提供身份鉴别及访问控制，加解密的密码要求符合GM/T0028 的相关规定</w:t>
            </w:r>
          </w:p>
        </w:tc>
      </w:tr>
      <w:tr w14:paraId="0EB16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5109D69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104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FCE851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13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4E6B9DB">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增强安全</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0610B09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防篡改</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B527E9E">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a) 支持对指定的表开启防篡改能力，开启后，对重要数据的增、删、改操作，记录篡改校验信息，并提供篡改校验能力； b) 支持对指定的表开启追溯能力，开启后，对数据的变更具有全向追溯能力，能够记录数据变更的历史信息以及相应的操作记录</w:t>
            </w:r>
          </w:p>
        </w:tc>
      </w:tr>
      <w:tr w14:paraId="56AEF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304B0D0">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105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4247DF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4F78C4">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50096592">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全密态</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2564B56B">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支持全密态的等值、非等值查询能力</w:t>
            </w:r>
          </w:p>
        </w:tc>
      </w:tr>
      <w:tr w14:paraId="0D9DB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043BB1B4">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106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2DF57A7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86F55A">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20AD1866">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安全扩展要求</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1CA3EC5A">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支持自身数据的动态脱敏和透明加密</w:t>
            </w:r>
          </w:p>
        </w:tc>
      </w:tr>
      <w:tr w14:paraId="6DEA7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18EE3C7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107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5F3E6058">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DDE0A5">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4BAC017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闪回查询</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76800716">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支持数据库闪回查询</w:t>
            </w:r>
          </w:p>
        </w:tc>
      </w:tr>
      <w:tr w14:paraId="3AFA4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628" w:type="dxa"/>
            <w:tcBorders>
              <w:top w:val="single" w:color="000000" w:sz="4" w:space="0"/>
              <w:left w:val="single" w:color="000000" w:sz="4" w:space="0"/>
              <w:bottom w:val="single" w:color="000000" w:sz="4" w:space="0"/>
              <w:right w:val="single" w:color="000000" w:sz="4" w:space="0"/>
            </w:tcBorders>
            <w:noWrap w:val="0"/>
            <w:vAlign w:val="center"/>
          </w:tcPr>
          <w:p w14:paraId="2DCCFA7C">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108 </w:t>
            </w:r>
          </w:p>
        </w:tc>
        <w:tc>
          <w:tcPr>
            <w:tcW w:w="964" w:type="dxa"/>
            <w:tcBorders>
              <w:top w:val="single" w:color="000000" w:sz="4" w:space="0"/>
              <w:left w:val="single" w:color="000000" w:sz="4" w:space="0"/>
              <w:bottom w:val="single" w:color="000000" w:sz="4" w:space="0"/>
              <w:right w:val="single" w:color="000000" w:sz="4" w:space="0"/>
            </w:tcBorders>
            <w:noWrap w:val="0"/>
            <w:vAlign w:val="center"/>
          </w:tcPr>
          <w:p w14:paraId="300DF8E5">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安全要求</w:t>
            </w:r>
          </w:p>
        </w:tc>
        <w:tc>
          <w:tcPr>
            <w:tcW w:w="13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BBF244">
            <w:pPr>
              <w:jc w:val="center"/>
              <w:rPr>
                <w:rFonts w:hint="eastAsia" w:ascii="仿宋" w:hAnsi="仿宋" w:eastAsia="仿宋" w:cs="仿宋"/>
                <w:i w:val="0"/>
                <w:iCs w:val="0"/>
                <w:color w:val="000000"/>
                <w:sz w:val="24"/>
                <w:szCs w:val="24"/>
                <w:highlight w:val="none"/>
                <w:u w:val="none"/>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14:paraId="6E038C83">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闪回恢复</w:t>
            </w:r>
          </w:p>
        </w:tc>
        <w:tc>
          <w:tcPr>
            <w:tcW w:w="4093" w:type="dxa"/>
            <w:tcBorders>
              <w:top w:val="single" w:color="000000" w:sz="4" w:space="0"/>
              <w:left w:val="single" w:color="000000" w:sz="4" w:space="0"/>
              <w:bottom w:val="single" w:color="000000" w:sz="4" w:space="0"/>
              <w:right w:val="single" w:color="000000" w:sz="4" w:space="0"/>
            </w:tcBorders>
            <w:noWrap w:val="0"/>
            <w:vAlign w:val="center"/>
          </w:tcPr>
          <w:p w14:paraId="6BBC17F4">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支持闪回查询实时恢复数据，支持不同级别（如库级、表级等）的闪回恢复</w:t>
            </w:r>
          </w:p>
        </w:tc>
      </w:tr>
    </w:tbl>
    <w:p w14:paraId="25985DEA">
      <w:pPr>
        <w:rPr>
          <w:highlight w:val="none"/>
        </w:rPr>
      </w:pPr>
    </w:p>
    <w:p w14:paraId="59D8040B">
      <w:pPr>
        <w:pStyle w:val="4"/>
        <w:ind w:firstLine="448"/>
        <w:rPr>
          <w:rFonts w:hint="eastAsia" w:ascii="仿宋" w:hAnsi="仿宋" w:eastAsia="仿宋" w:cs="仿宋"/>
          <w:sz w:val="32"/>
          <w:szCs w:val="32"/>
          <w:highlight w:val="none"/>
        </w:rPr>
      </w:pPr>
      <w:r>
        <w:rPr>
          <w:rFonts w:ascii="仿宋" w:hAnsi="仿宋" w:eastAsia="仿宋" w:cs="仿宋"/>
          <w:sz w:val="32"/>
          <w:szCs w:val="32"/>
          <w:highlight w:val="none"/>
        </w:rPr>
        <w:t>10.</w:t>
      </w:r>
      <w:r>
        <w:rPr>
          <w:rFonts w:hint="eastAsia" w:ascii="仿宋" w:hAnsi="仿宋" w:eastAsia="仿宋" w:cs="仿宋"/>
          <w:sz w:val="32"/>
          <w:szCs w:val="32"/>
          <w:highlight w:val="none"/>
          <w:lang w:val="en-US" w:eastAsia="zh-CN"/>
        </w:rPr>
        <w:t>7</w:t>
      </w:r>
      <w:r>
        <w:rPr>
          <w:rFonts w:hint="eastAsia" w:ascii="仿宋" w:hAnsi="仿宋" w:eastAsia="仿宋" w:cs="仿宋"/>
          <w:sz w:val="32"/>
          <w:szCs w:val="32"/>
          <w:highlight w:val="none"/>
        </w:rPr>
        <w:t>专线</w:t>
      </w:r>
    </w:p>
    <w:tbl>
      <w:tblPr>
        <w:tblStyle w:val="17"/>
        <w:tblW w:w="0" w:type="auto"/>
        <w:tblInd w:w="93" w:type="dxa"/>
        <w:tblLayout w:type="autofit"/>
        <w:tblCellMar>
          <w:top w:w="0" w:type="dxa"/>
          <w:left w:w="108" w:type="dxa"/>
          <w:bottom w:w="0" w:type="dxa"/>
          <w:right w:w="108" w:type="dxa"/>
        </w:tblCellMar>
      </w:tblPr>
      <w:tblGrid>
        <w:gridCol w:w="538"/>
        <w:gridCol w:w="538"/>
        <w:gridCol w:w="538"/>
        <w:gridCol w:w="1198"/>
        <w:gridCol w:w="4947"/>
        <w:gridCol w:w="538"/>
        <w:gridCol w:w="670"/>
      </w:tblGrid>
      <w:tr w14:paraId="10E3C6BE">
        <w:tblPrEx>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F200C69">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B88FFFF">
            <w:pPr>
              <w:widowControl/>
              <w:jc w:val="left"/>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大类</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1D1AA08">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模块</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374F14A">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一级功能</w:t>
            </w:r>
          </w:p>
        </w:tc>
        <w:tc>
          <w:tcPr>
            <w:tcW w:w="49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596B71">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技术参数</w:t>
            </w:r>
          </w:p>
        </w:tc>
        <w:tc>
          <w:tcPr>
            <w:tcW w:w="440" w:type="dxa"/>
            <w:tcBorders>
              <w:top w:val="single" w:color="000000" w:sz="4" w:space="0"/>
              <w:left w:val="single" w:color="000000" w:sz="4" w:space="0"/>
              <w:bottom w:val="single" w:color="000000" w:sz="4" w:space="0"/>
              <w:right w:val="single" w:color="000000" w:sz="4" w:space="0"/>
            </w:tcBorders>
            <w:vAlign w:val="center"/>
          </w:tcPr>
          <w:p w14:paraId="697B936F">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数量</w:t>
            </w:r>
          </w:p>
        </w:tc>
        <w:tc>
          <w:tcPr>
            <w:tcW w:w="0" w:type="auto"/>
            <w:tcBorders>
              <w:top w:val="single" w:color="000000" w:sz="4" w:space="0"/>
              <w:left w:val="single" w:color="000000" w:sz="4" w:space="0"/>
              <w:bottom w:val="single" w:color="000000" w:sz="4" w:space="0"/>
              <w:right w:val="single" w:color="000000" w:sz="4" w:space="0"/>
            </w:tcBorders>
            <w:vAlign w:val="center"/>
          </w:tcPr>
          <w:p w14:paraId="44D3EACE">
            <w:pPr>
              <w:widowControl/>
              <w:jc w:val="center"/>
              <w:textAlignment w:val="center"/>
              <w:rPr>
                <w:rFonts w:hint="eastAsia" w:ascii="仿宋" w:hAnsi="仿宋" w:eastAsia="仿宋" w:cs="仿宋"/>
                <w:b/>
                <w:bCs/>
                <w:sz w:val="32"/>
                <w:szCs w:val="32"/>
                <w:highlight w:val="none"/>
              </w:rPr>
            </w:pPr>
            <w:r>
              <w:rPr>
                <w:rFonts w:hint="eastAsia" w:ascii="仿宋" w:hAnsi="仿宋" w:eastAsia="仿宋" w:cs="仿宋"/>
                <w:b/>
                <w:bCs/>
                <w:kern w:val="0"/>
                <w:sz w:val="32"/>
                <w:szCs w:val="32"/>
                <w:highlight w:val="none"/>
                <w:lang w:bidi="ar"/>
              </w:rPr>
              <w:t>单位</w:t>
            </w:r>
          </w:p>
        </w:tc>
      </w:tr>
      <w:tr w14:paraId="3D37396F">
        <w:tblPrEx>
          <w:tblCellMar>
            <w:top w:w="0" w:type="dxa"/>
            <w:left w:w="108" w:type="dxa"/>
            <w:bottom w:w="0" w:type="dxa"/>
            <w:right w:w="108" w:type="dxa"/>
          </w:tblCellMar>
        </w:tblPrEx>
        <w:trPr>
          <w:trHeight w:val="90" w:hRule="atLeast"/>
        </w:trPr>
        <w:tc>
          <w:tcPr>
            <w:tcW w:w="501" w:type="dxa"/>
            <w:vMerge w:val="restart"/>
            <w:tcBorders>
              <w:top w:val="single" w:color="000000" w:sz="4" w:space="0"/>
              <w:left w:val="single" w:color="000000" w:sz="4" w:space="0"/>
              <w:right w:val="single" w:color="000000" w:sz="4" w:space="0"/>
            </w:tcBorders>
            <w:shd w:val="clear" w:color="auto" w:fill="auto"/>
            <w:vAlign w:val="center"/>
          </w:tcPr>
          <w:p w14:paraId="0D4C1BB4">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501" w:type="dxa"/>
            <w:vMerge w:val="restart"/>
            <w:tcBorders>
              <w:top w:val="single" w:color="000000" w:sz="4" w:space="0"/>
              <w:left w:val="single" w:color="000000" w:sz="4" w:space="0"/>
              <w:right w:val="single" w:color="000000" w:sz="4" w:space="0"/>
            </w:tcBorders>
            <w:shd w:val="clear" w:color="auto" w:fill="FFFFFF"/>
            <w:vAlign w:val="center"/>
          </w:tcPr>
          <w:p w14:paraId="3BCF701A">
            <w:pPr>
              <w:jc w:val="center"/>
              <w:rPr>
                <w:rFonts w:hint="eastAsia" w:ascii="仿宋" w:hAnsi="仿宋" w:eastAsia="仿宋" w:cs="仿宋"/>
                <w:sz w:val="32"/>
                <w:szCs w:val="32"/>
                <w:highlight w:val="none"/>
              </w:rPr>
            </w:pPr>
            <w:r>
              <w:rPr>
                <w:rFonts w:hint="eastAsia" w:ascii="仿宋" w:hAnsi="仿宋" w:eastAsia="仿宋" w:cs="仿宋"/>
                <w:sz w:val="32"/>
                <w:szCs w:val="32"/>
                <w:highlight w:val="none"/>
              </w:rPr>
              <w:t>专线</w:t>
            </w:r>
          </w:p>
        </w:tc>
        <w:tc>
          <w:tcPr>
            <w:tcW w:w="501" w:type="dxa"/>
            <w:vMerge w:val="restart"/>
            <w:tcBorders>
              <w:top w:val="single" w:color="000000" w:sz="4" w:space="0"/>
              <w:left w:val="single" w:color="000000" w:sz="4" w:space="0"/>
              <w:right w:val="single" w:color="000000" w:sz="4" w:space="0"/>
            </w:tcBorders>
            <w:shd w:val="clear" w:color="auto" w:fill="FFFFFF"/>
            <w:vAlign w:val="center"/>
          </w:tcPr>
          <w:p w14:paraId="200C79A0">
            <w:pPr>
              <w:jc w:val="center"/>
              <w:rPr>
                <w:rFonts w:hint="eastAsia" w:ascii="仿宋" w:hAnsi="仿宋" w:eastAsia="仿宋" w:cs="仿宋"/>
                <w:sz w:val="32"/>
                <w:szCs w:val="32"/>
                <w:highlight w:val="none"/>
              </w:rPr>
            </w:pPr>
            <w:r>
              <w:rPr>
                <w:rFonts w:hint="eastAsia" w:ascii="仿宋" w:hAnsi="仿宋" w:eastAsia="仿宋" w:cs="仿宋"/>
                <w:sz w:val="32"/>
                <w:szCs w:val="32"/>
                <w:highlight w:val="none"/>
              </w:rPr>
              <w:t>专线</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9A2C359">
            <w:pPr>
              <w:widowControl/>
              <w:jc w:val="center"/>
              <w:textAlignment w:val="center"/>
              <w:rPr>
                <w:rFonts w:hint="eastAsia" w:ascii="仿宋" w:hAnsi="仿宋" w:eastAsia="仿宋" w:cs="仿宋"/>
                <w:sz w:val="32"/>
                <w:szCs w:val="32"/>
                <w:highlight w:val="none"/>
              </w:rPr>
            </w:pPr>
            <w:r>
              <w:rPr>
                <w:rFonts w:hint="eastAsia" w:ascii="仿宋" w:hAnsi="仿宋" w:eastAsia="仿宋" w:cs="仿宋"/>
                <w:kern w:val="0"/>
                <w:sz w:val="32"/>
                <w:szCs w:val="32"/>
                <w:highlight w:val="none"/>
                <w:lang w:bidi="ar"/>
              </w:rPr>
              <w:t>业务区专线</w:t>
            </w:r>
          </w:p>
        </w:tc>
        <w:tc>
          <w:tcPr>
            <w:tcW w:w="49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2CE71B">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链接核心业务区至教育科研网，带宽速率要求≥</w:t>
            </w:r>
            <w:r>
              <w:rPr>
                <w:rFonts w:ascii="仿宋" w:hAnsi="仿宋" w:eastAsia="仿宋" w:cs="仿宋"/>
                <w:kern w:val="0"/>
                <w:sz w:val="32"/>
                <w:szCs w:val="32"/>
                <w:highlight w:val="none"/>
                <w:lang w:bidi="ar"/>
              </w:rPr>
              <w:t>100M。</w:t>
            </w:r>
          </w:p>
          <w:p w14:paraId="19AAAC03">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1.提供保护通道，保护倒换时间小于25ms。</w:t>
            </w:r>
          </w:p>
          <w:p w14:paraId="4395A138">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2.线路需与互联网物理隔离。</w:t>
            </w:r>
          </w:p>
          <w:p w14:paraId="5E56A8AD">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3.提供多路由冗余备份，核心节点广域网光路双环路保护，保证网络各节点电路接入的高可靠性。</w:t>
            </w:r>
          </w:p>
        </w:tc>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1CBB1">
            <w:pPr>
              <w:widowControl/>
              <w:jc w:val="center"/>
              <w:textAlignment w:val="center"/>
              <w:rPr>
                <w:rFonts w:hint="eastAsia" w:ascii="仿宋" w:hAnsi="仿宋" w:eastAsia="仿宋" w:cs="仿宋"/>
                <w:sz w:val="32"/>
                <w:szCs w:val="32"/>
                <w:highlight w:val="none"/>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400CC9">
            <w:pPr>
              <w:widowControl/>
              <w:jc w:val="center"/>
              <w:textAlignment w:val="center"/>
              <w:rPr>
                <w:rFonts w:hint="eastAsia" w:ascii="仿宋" w:hAnsi="仿宋" w:eastAsia="仿宋" w:cs="仿宋"/>
                <w:sz w:val="32"/>
                <w:szCs w:val="32"/>
                <w:highlight w:val="none"/>
              </w:rPr>
            </w:pPr>
            <w:r>
              <w:rPr>
                <w:rFonts w:hint="eastAsia" w:ascii="仿宋" w:hAnsi="仿宋" w:eastAsia="仿宋" w:cs="仿宋"/>
                <w:sz w:val="32"/>
                <w:szCs w:val="32"/>
                <w:highlight w:val="none"/>
              </w:rPr>
              <w:t>条</w:t>
            </w:r>
          </w:p>
        </w:tc>
      </w:tr>
      <w:tr w14:paraId="62AAE91A">
        <w:tblPrEx>
          <w:tblCellMar>
            <w:top w:w="0" w:type="dxa"/>
            <w:left w:w="108" w:type="dxa"/>
            <w:bottom w:w="0" w:type="dxa"/>
            <w:right w:w="108" w:type="dxa"/>
          </w:tblCellMar>
        </w:tblPrEx>
        <w:trPr>
          <w:trHeight w:val="90" w:hRule="atLeast"/>
        </w:trPr>
        <w:tc>
          <w:tcPr>
            <w:tcW w:w="501" w:type="dxa"/>
            <w:vMerge w:val="continue"/>
            <w:tcBorders>
              <w:left w:val="single" w:color="000000" w:sz="4" w:space="0"/>
              <w:right w:val="single" w:color="000000" w:sz="4" w:space="0"/>
            </w:tcBorders>
            <w:shd w:val="clear" w:color="auto" w:fill="auto"/>
            <w:vAlign w:val="center"/>
          </w:tcPr>
          <w:p w14:paraId="0AA33CEE">
            <w:pPr>
              <w:widowControl/>
              <w:jc w:val="center"/>
              <w:textAlignment w:val="center"/>
              <w:rPr>
                <w:rFonts w:hint="eastAsia" w:ascii="仿宋" w:hAnsi="仿宋" w:eastAsia="仿宋" w:cs="仿宋"/>
                <w:kern w:val="0"/>
                <w:sz w:val="32"/>
                <w:szCs w:val="32"/>
                <w:highlight w:val="none"/>
                <w:lang w:bidi="ar"/>
              </w:rPr>
            </w:pPr>
          </w:p>
        </w:tc>
        <w:tc>
          <w:tcPr>
            <w:tcW w:w="501" w:type="dxa"/>
            <w:vMerge w:val="continue"/>
            <w:tcBorders>
              <w:left w:val="single" w:color="000000" w:sz="4" w:space="0"/>
              <w:right w:val="single" w:color="000000" w:sz="4" w:space="0"/>
            </w:tcBorders>
            <w:shd w:val="clear" w:color="auto" w:fill="FFFFFF"/>
            <w:vAlign w:val="center"/>
          </w:tcPr>
          <w:p w14:paraId="336535A0">
            <w:pPr>
              <w:jc w:val="center"/>
              <w:rPr>
                <w:rFonts w:hint="eastAsia" w:ascii="仿宋" w:hAnsi="仿宋" w:eastAsia="仿宋" w:cs="仿宋"/>
                <w:sz w:val="32"/>
                <w:szCs w:val="32"/>
                <w:highlight w:val="none"/>
              </w:rPr>
            </w:pPr>
          </w:p>
        </w:tc>
        <w:tc>
          <w:tcPr>
            <w:tcW w:w="501" w:type="dxa"/>
            <w:vMerge w:val="continue"/>
            <w:tcBorders>
              <w:left w:val="single" w:color="000000" w:sz="4" w:space="0"/>
              <w:right w:val="single" w:color="000000" w:sz="4" w:space="0"/>
            </w:tcBorders>
            <w:shd w:val="clear" w:color="auto" w:fill="FFFFFF"/>
            <w:vAlign w:val="center"/>
          </w:tcPr>
          <w:p w14:paraId="4CC719AF">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D313142">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敏感数据专线</w:t>
            </w:r>
          </w:p>
        </w:tc>
        <w:tc>
          <w:tcPr>
            <w:tcW w:w="49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3B6CEC">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链接核心业务区至敏感数据存储区，带宽速率要求≥</w:t>
            </w:r>
            <w:r>
              <w:rPr>
                <w:rFonts w:ascii="仿宋" w:hAnsi="仿宋" w:eastAsia="仿宋" w:cs="仿宋"/>
                <w:kern w:val="0"/>
                <w:sz w:val="32"/>
                <w:szCs w:val="32"/>
                <w:highlight w:val="none"/>
                <w:lang w:bidi="ar"/>
              </w:rPr>
              <w:t>100M。</w:t>
            </w:r>
          </w:p>
          <w:p w14:paraId="09CE5934">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1.提供保护通道，保护倒换时间小于25ms。</w:t>
            </w:r>
          </w:p>
          <w:p w14:paraId="4C40CD99">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2.线路需与互联网物理隔离。</w:t>
            </w:r>
          </w:p>
          <w:p w14:paraId="6D1C38C7">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sz w:val="32"/>
                <w:szCs w:val="32"/>
                <w:highlight w:val="none"/>
              </w:rPr>
              <w:t>3.提供多路由冗余备份，核心节点广域网光路双环路保护，保证网络各节点电路接入的高可靠性。</w:t>
            </w:r>
          </w:p>
        </w:tc>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B0E18">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18ACD3">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sz w:val="32"/>
                <w:szCs w:val="32"/>
                <w:highlight w:val="none"/>
              </w:rPr>
              <w:t>条</w:t>
            </w:r>
          </w:p>
        </w:tc>
      </w:tr>
      <w:tr w14:paraId="59BC32DB">
        <w:tblPrEx>
          <w:tblCellMar>
            <w:top w:w="0" w:type="dxa"/>
            <w:left w:w="108" w:type="dxa"/>
            <w:bottom w:w="0" w:type="dxa"/>
            <w:right w:w="108" w:type="dxa"/>
          </w:tblCellMar>
        </w:tblPrEx>
        <w:trPr>
          <w:trHeight w:val="90" w:hRule="atLeast"/>
        </w:trPr>
        <w:tc>
          <w:tcPr>
            <w:tcW w:w="501" w:type="dxa"/>
            <w:vMerge w:val="continue"/>
            <w:tcBorders>
              <w:left w:val="single" w:color="000000" w:sz="4" w:space="0"/>
              <w:bottom w:val="single" w:color="000000" w:sz="4" w:space="0"/>
              <w:right w:val="single" w:color="000000" w:sz="4" w:space="0"/>
            </w:tcBorders>
            <w:shd w:val="clear" w:color="auto" w:fill="auto"/>
            <w:vAlign w:val="center"/>
          </w:tcPr>
          <w:p w14:paraId="51BD6B1A">
            <w:pPr>
              <w:widowControl/>
              <w:jc w:val="center"/>
              <w:textAlignment w:val="center"/>
              <w:rPr>
                <w:rFonts w:hint="eastAsia" w:ascii="仿宋" w:hAnsi="仿宋" w:eastAsia="仿宋" w:cs="仿宋"/>
                <w:kern w:val="0"/>
                <w:sz w:val="32"/>
                <w:szCs w:val="32"/>
                <w:highlight w:val="none"/>
                <w:lang w:bidi="ar"/>
              </w:rPr>
            </w:pPr>
          </w:p>
        </w:tc>
        <w:tc>
          <w:tcPr>
            <w:tcW w:w="501" w:type="dxa"/>
            <w:vMerge w:val="continue"/>
            <w:tcBorders>
              <w:left w:val="single" w:color="000000" w:sz="4" w:space="0"/>
              <w:bottom w:val="single" w:color="000000" w:sz="4" w:space="0"/>
              <w:right w:val="single" w:color="000000" w:sz="4" w:space="0"/>
            </w:tcBorders>
            <w:shd w:val="clear" w:color="auto" w:fill="FFFFFF"/>
            <w:vAlign w:val="center"/>
          </w:tcPr>
          <w:p w14:paraId="6AC2AA6C">
            <w:pPr>
              <w:jc w:val="center"/>
              <w:rPr>
                <w:rFonts w:hint="eastAsia" w:ascii="仿宋" w:hAnsi="仿宋" w:eastAsia="仿宋" w:cs="仿宋"/>
                <w:sz w:val="32"/>
                <w:szCs w:val="32"/>
                <w:highlight w:val="none"/>
              </w:rPr>
            </w:pPr>
          </w:p>
        </w:tc>
        <w:tc>
          <w:tcPr>
            <w:tcW w:w="501" w:type="dxa"/>
            <w:vMerge w:val="continue"/>
            <w:tcBorders>
              <w:left w:val="single" w:color="000000" w:sz="4" w:space="0"/>
              <w:bottom w:val="single" w:color="000000" w:sz="4" w:space="0"/>
              <w:right w:val="single" w:color="000000" w:sz="4" w:space="0"/>
            </w:tcBorders>
            <w:shd w:val="clear" w:color="auto" w:fill="FFFFFF"/>
            <w:vAlign w:val="center"/>
          </w:tcPr>
          <w:p w14:paraId="4910D33E">
            <w:pPr>
              <w:jc w:val="center"/>
              <w:rPr>
                <w:rFonts w:hint="eastAsia" w:ascii="仿宋" w:hAnsi="仿宋" w:eastAsia="仿宋" w:cs="仿宋"/>
                <w:sz w:val="32"/>
                <w:szCs w:val="32"/>
                <w:highlight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584BB7B">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政务内网专线</w:t>
            </w:r>
          </w:p>
        </w:tc>
        <w:tc>
          <w:tcPr>
            <w:tcW w:w="49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191BDF">
            <w:pPr>
              <w:widowControl/>
              <w:jc w:val="left"/>
              <w:textAlignment w:val="center"/>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bidi="ar"/>
              </w:rPr>
              <w:t>链接核心业务区至天津市统一数据共享交换平台，带宽速率要求≥</w:t>
            </w:r>
            <w:r>
              <w:rPr>
                <w:rFonts w:ascii="仿宋" w:hAnsi="仿宋" w:eastAsia="仿宋" w:cs="仿宋"/>
                <w:kern w:val="0"/>
                <w:sz w:val="32"/>
                <w:szCs w:val="32"/>
                <w:highlight w:val="none"/>
                <w:lang w:bidi="ar"/>
              </w:rPr>
              <w:t>100M。</w:t>
            </w:r>
          </w:p>
          <w:p w14:paraId="0E4F3113">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1.提供保护通道，保护倒换时间小于25ms。</w:t>
            </w:r>
          </w:p>
          <w:p w14:paraId="0F1A7182">
            <w:pPr>
              <w:widowControl/>
              <w:jc w:val="left"/>
              <w:textAlignment w:val="center"/>
              <w:rPr>
                <w:rFonts w:hint="eastAsia" w:ascii="仿宋" w:hAnsi="仿宋" w:eastAsia="仿宋" w:cs="仿宋"/>
                <w:sz w:val="32"/>
                <w:szCs w:val="32"/>
                <w:highlight w:val="none"/>
              </w:rPr>
            </w:pPr>
            <w:r>
              <w:rPr>
                <w:rFonts w:ascii="仿宋" w:hAnsi="仿宋" w:eastAsia="仿宋" w:cs="仿宋"/>
                <w:sz w:val="32"/>
                <w:szCs w:val="32"/>
                <w:highlight w:val="none"/>
              </w:rPr>
              <w:t>2.线路需与互联网物理隔离。</w:t>
            </w:r>
          </w:p>
          <w:p w14:paraId="04814645">
            <w:pPr>
              <w:widowControl/>
              <w:jc w:val="left"/>
              <w:textAlignment w:val="center"/>
              <w:rPr>
                <w:rFonts w:hint="eastAsia" w:ascii="仿宋" w:hAnsi="仿宋" w:eastAsia="仿宋" w:cs="仿宋"/>
                <w:kern w:val="0"/>
                <w:sz w:val="32"/>
                <w:szCs w:val="32"/>
                <w:highlight w:val="none"/>
                <w:lang w:bidi="ar"/>
              </w:rPr>
            </w:pPr>
            <w:r>
              <w:rPr>
                <w:rFonts w:ascii="仿宋" w:hAnsi="仿宋" w:eastAsia="仿宋" w:cs="仿宋"/>
                <w:sz w:val="32"/>
                <w:szCs w:val="32"/>
                <w:highlight w:val="none"/>
              </w:rPr>
              <w:t>3.提供多路由冗余备份，核心节点广域网光路双环路保护，保证网络各节点电路接入的高可靠性。</w:t>
            </w:r>
          </w:p>
        </w:tc>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187D3">
            <w:pPr>
              <w:widowControl/>
              <w:jc w:val="center"/>
              <w:textAlignment w:val="center"/>
              <w:rPr>
                <w:rFonts w:hint="eastAsia" w:ascii="仿宋" w:hAnsi="仿宋" w:eastAsia="仿宋" w:cs="仿宋"/>
                <w:kern w:val="0"/>
                <w:sz w:val="32"/>
                <w:szCs w:val="32"/>
                <w:highlight w:val="none"/>
                <w:lang w:bidi="ar"/>
              </w:rPr>
            </w:pPr>
            <w:r>
              <w:rPr>
                <w:rFonts w:ascii="仿宋" w:hAnsi="仿宋" w:eastAsia="仿宋" w:cs="仿宋"/>
                <w:kern w:val="0"/>
                <w:sz w:val="32"/>
                <w:szCs w:val="32"/>
                <w:highlight w:val="none"/>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74A3CA">
            <w:pPr>
              <w:widowControl/>
              <w:jc w:val="center"/>
              <w:textAlignment w:val="center"/>
              <w:rPr>
                <w:rFonts w:hint="eastAsia" w:ascii="仿宋" w:hAnsi="仿宋" w:eastAsia="仿宋" w:cs="仿宋"/>
                <w:kern w:val="0"/>
                <w:sz w:val="32"/>
                <w:szCs w:val="32"/>
                <w:highlight w:val="none"/>
                <w:lang w:bidi="ar"/>
              </w:rPr>
            </w:pPr>
            <w:r>
              <w:rPr>
                <w:rFonts w:hint="eastAsia" w:ascii="仿宋" w:hAnsi="仿宋" w:eastAsia="仿宋" w:cs="仿宋"/>
                <w:sz w:val="32"/>
                <w:szCs w:val="32"/>
                <w:highlight w:val="none"/>
              </w:rPr>
              <w:t>条</w:t>
            </w:r>
          </w:p>
        </w:tc>
      </w:tr>
    </w:tbl>
    <w:p w14:paraId="23F7D76C">
      <w:pPr>
        <w:jc w:val="left"/>
        <w:rPr>
          <w:highlight w:val="none"/>
        </w:rPr>
      </w:pPr>
    </w:p>
    <w:p w14:paraId="2E1B0B64">
      <w:pPr>
        <w:jc w:val="left"/>
        <w:rPr>
          <w:highlight w:val="none"/>
        </w:rPr>
      </w:pPr>
    </w:p>
    <w:p w14:paraId="7610183B">
      <w:pPr>
        <w:spacing w:line="360" w:lineRule="auto"/>
        <w:ind w:firstLine="480"/>
        <w:rPr>
          <w:rFonts w:hint="eastAsia" w:ascii="仿宋" w:hAnsi="仿宋" w:eastAsia="仿宋" w:cs="仿宋"/>
          <w:sz w:val="32"/>
          <w:szCs w:val="32"/>
          <w:highlight w:val="none"/>
        </w:rPr>
      </w:pPr>
      <w:r>
        <w:rPr>
          <w:rFonts w:hint="eastAsia" w:ascii="仿宋" w:hAnsi="仿宋" w:eastAsia="仿宋" w:cs="仿宋"/>
          <w:sz w:val="32"/>
          <w:szCs w:val="32"/>
          <w:highlight w:val="none"/>
        </w:rPr>
        <w:t>注：标记为“▲”的为重要参数，负偏离将导致不得分；</w:t>
      </w:r>
    </w:p>
    <w:p w14:paraId="627E9302">
      <w:pPr>
        <w:spacing w:line="360" w:lineRule="auto"/>
        <w:ind w:firstLine="480"/>
        <w:rPr>
          <w:rFonts w:hint="eastAsia" w:ascii="仿宋" w:hAnsi="仿宋" w:eastAsia="仿宋" w:cs="仿宋"/>
          <w:sz w:val="32"/>
          <w:szCs w:val="32"/>
          <w:highlight w:val="none"/>
          <w:u w:val="single"/>
        </w:rPr>
      </w:pPr>
      <w:r>
        <w:rPr>
          <w:rFonts w:hint="eastAsia" w:ascii="仿宋" w:hAnsi="仿宋" w:eastAsia="仿宋" w:cs="仿宋"/>
          <w:sz w:val="32"/>
          <w:szCs w:val="32"/>
          <w:highlight w:val="none"/>
        </w:rPr>
        <w:t>最终需求以采购人确认的需求规格说明书为准。</w:t>
      </w:r>
    </w:p>
    <w:p w14:paraId="2CDA8C12">
      <w:pPr>
        <w:spacing w:line="560" w:lineRule="exact"/>
        <w:ind w:left="0"/>
        <w:outlineLvl w:val="3"/>
        <w:rPr>
          <w:rFonts w:hint="eastAsia" w:ascii="仿宋" w:hAnsi="仿宋" w:eastAsia="仿宋" w:cs="宋体"/>
          <w:sz w:val="32"/>
          <w:szCs w:val="32"/>
          <w:highlight w:val="none"/>
          <w:u w:val="single"/>
        </w:rPr>
      </w:pPr>
      <w:r>
        <w:rPr>
          <w:rFonts w:hint="eastAsia" w:ascii="仿宋" w:hAnsi="仿宋" w:eastAsia="仿宋" w:cs="宋体"/>
          <w:sz w:val="32"/>
          <w:szCs w:val="32"/>
          <w:highlight w:val="none"/>
          <w:u w:val="single"/>
        </w:rPr>
        <w:t>（2）商务要求（实质性要求）</w:t>
      </w:r>
    </w:p>
    <w:p w14:paraId="573C47EF">
      <w:pPr>
        <w:pStyle w:val="3"/>
        <w:ind w:firstLine="448"/>
        <w:rPr>
          <w:rFonts w:hint="eastAsia" w:ascii="仿宋" w:hAnsi="仿宋" w:eastAsia="仿宋" w:cs="仿宋"/>
          <w:sz w:val="32"/>
          <w:szCs w:val="32"/>
          <w:highlight w:val="none"/>
        </w:rPr>
      </w:pPr>
      <w:r>
        <w:rPr>
          <w:rFonts w:hint="eastAsia" w:ascii="仿宋" w:hAnsi="仿宋" w:eastAsia="仿宋" w:cs="仿宋"/>
          <w:sz w:val="32"/>
          <w:szCs w:val="32"/>
          <w:highlight w:val="none"/>
        </w:rPr>
        <w:t>（一）投标要求</w:t>
      </w:r>
    </w:p>
    <w:p w14:paraId="3EA07AE9">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投标人须具备《中华人民共和国政府采购法》第二十二条第一款规定的条件，提供以下材料：</w:t>
      </w:r>
    </w:p>
    <w:p w14:paraId="2D980361">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营业执照副本或事业单位法人证书或民办非企业单位登记证书或社会团体法人登记证书或基金会法人登记证书扫描件或自然人的身份证明扫描件。</w:t>
      </w:r>
    </w:p>
    <w:p w14:paraId="3BC665B3">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财务状况报告等相关材料：</w:t>
      </w:r>
    </w:p>
    <w:p w14:paraId="4538461D">
      <w:pPr>
        <w:ind w:firstLine="446"/>
        <w:rPr>
          <w:rFonts w:hint="eastAsia" w:ascii="仿宋" w:hAnsi="仿宋" w:eastAsia="仿宋" w:cs="仿宋"/>
          <w:sz w:val="32"/>
          <w:szCs w:val="32"/>
          <w:highlight w:val="none"/>
        </w:rPr>
      </w:pPr>
      <w:r>
        <w:rPr>
          <w:rFonts w:ascii="仿宋" w:hAnsi="仿宋" w:eastAsia="仿宋" w:cs="仿宋"/>
          <w:sz w:val="32"/>
          <w:szCs w:val="32"/>
          <w:highlight w:val="none"/>
        </w:rPr>
        <w:t>A.经第三方会计师事务所审计的2024</w:t>
      </w:r>
      <w:r>
        <w:rPr>
          <w:rFonts w:hint="eastAsia" w:ascii="仿宋" w:hAnsi="仿宋" w:eastAsia="仿宋" w:cs="仿宋"/>
          <w:sz w:val="32"/>
          <w:szCs w:val="32"/>
          <w:highlight w:val="none"/>
        </w:rPr>
        <w:t>年度财务报告扫描件，财务报告需包含附注页。</w:t>
      </w:r>
    </w:p>
    <w:p w14:paraId="1AE6A852">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B. </w:t>
      </w:r>
      <w:r>
        <w:rPr>
          <w:rFonts w:hint="eastAsia" w:ascii="仿宋" w:hAnsi="仿宋" w:eastAsia="仿宋" w:cs="仿宋"/>
          <w:sz w:val="32"/>
          <w:szCs w:val="32"/>
          <w:highlight w:val="none"/>
        </w:rPr>
        <w:t>具有良好的商业信誉和健全的财务会计制度的书面声明。</w:t>
      </w:r>
    </w:p>
    <w:p w14:paraId="1DD406D7">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注：</w:t>
      </w:r>
      <w:r>
        <w:rPr>
          <w:rFonts w:ascii="仿宋" w:hAnsi="仿宋" w:eastAsia="仿宋" w:cs="仿宋"/>
          <w:sz w:val="32"/>
          <w:szCs w:val="32"/>
          <w:highlight w:val="none"/>
        </w:rPr>
        <w:t>A、B两项提供任意一项均可。</w:t>
      </w:r>
    </w:p>
    <w:p w14:paraId="6A1730A8">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3. </w:t>
      </w:r>
      <w:r>
        <w:rPr>
          <w:rFonts w:hint="eastAsia" w:ascii="仿宋" w:hAnsi="仿宋" w:eastAsia="仿宋" w:cs="仿宋"/>
          <w:sz w:val="32"/>
          <w:szCs w:val="32"/>
          <w:highlight w:val="none"/>
        </w:rPr>
        <w:t>依法缴纳税收和社会保障资金的书面声明。</w:t>
      </w:r>
    </w:p>
    <w:p w14:paraId="16B292F9">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4. </w:t>
      </w:r>
      <w:r>
        <w:rPr>
          <w:rFonts w:hint="eastAsia" w:ascii="仿宋" w:hAnsi="仿宋" w:eastAsia="仿宋" w:cs="仿宋"/>
          <w:sz w:val="32"/>
          <w:szCs w:val="32"/>
          <w:highlight w:val="none"/>
        </w:rPr>
        <w:t>投标截止日前</w:t>
      </w:r>
      <w:r>
        <w:rPr>
          <w:rFonts w:ascii="仿宋" w:hAnsi="仿宋" w:eastAsia="仿宋" w:cs="仿宋"/>
          <w:sz w:val="32"/>
          <w:szCs w:val="32"/>
          <w:highlight w:val="none"/>
        </w:rPr>
        <w:t>3年在经营活动中没有重大违法记录的书面声明（截至开标日成立不足3年的供应商可提供自成立以来无重大违法记录的书面声明）。</w:t>
      </w:r>
    </w:p>
    <w:p w14:paraId="5BBD0A2F">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5. </w:t>
      </w:r>
      <w:r>
        <w:rPr>
          <w:rFonts w:hint="eastAsia" w:ascii="仿宋" w:hAnsi="仿宋" w:eastAsia="仿宋" w:cs="仿宋"/>
          <w:sz w:val="32"/>
          <w:szCs w:val="32"/>
          <w:highlight w:val="none"/>
        </w:rPr>
        <w:t>提交具备履行合同所必需的设备和专业技术能力证明材料。</w:t>
      </w:r>
    </w:p>
    <w:p w14:paraId="5628B1B6">
      <w:pPr>
        <w:pStyle w:val="3"/>
        <w:ind w:firstLine="448"/>
        <w:rPr>
          <w:rFonts w:hint="eastAsia" w:ascii="仿宋" w:hAnsi="仿宋" w:eastAsia="仿宋" w:cs="仿宋"/>
          <w:sz w:val="32"/>
          <w:highlight w:val="none"/>
        </w:rPr>
      </w:pPr>
      <w:r>
        <w:rPr>
          <w:rFonts w:hint="eastAsia" w:ascii="仿宋" w:hAnsi="仿宋" w:eastAsia="仿宋" w:cs="仿宋"/>
          <w:sz w:val="32"/>
          <w:highlight w:val="none"/>
        </w:rPr>
        <w:t>（三）服务要求</w:t>
      </w:r>
    </w:p>
    <w:p w14:paraId="723665FC">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详见项目详细设计方案。</w:t>
      </w:r>
    </w:p>
    <w:p w14:paraId="3537827B">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中标后，中标供应商须与采购人就</w:t>
      </w:r>
      <w:r>
        <w:rPr>
          <w:rFonts w:hint="eastAsia" w:ascii="仿宋" w:hAnsi="仿宋" w:eastAsia="仿宋" w:cs="仿宋"/>
          <w:sz w:val="32"/>
          <w:szCs w:val="32"/>
          <w:highlight w:val="none"/>
          <w:lang w:eastAsia="zh-CN"/>
        </w:rPr>
        <w:t>网络和</w:t>
      </w:r>
      <w:r>
        <w:rPr>
          <w:rFonts w:hint="eastAsia" w:ascii="仿宋" w:hAnsi="仿宋" w:eastAsia="仿宋" w:cs="仿宋"/>
          <w:sz w:val="32"/>
          <w:szCs w:val="32"/>
          <w:highlight w:val="none"/>
        </w:rPr>
        <w:t>数据安全签署保密协议。</w:t>
      </w:r>
    </w:p>
    <w:p w14:paraId="2D958166">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3. </w:t>
      </w:r>
      <w:r>
        <w:rPr>
          <w:rFonts w:hint="eastAsia" w:ascii="仿宋" w:hAnsi="仿宋" w:eastAsia="仿宋" w:cs="仿宋"/>
          <w:sz w:val="32"/>
          <w:szCs w:val="32"/>
          <w:highlight w:val="none"/>
        </w:rPr>
        <w:t>本项目产生的所有应用系统知识产权均归采购人所有，承建单位需提供系统源代码，免费为采购人申请相关系统的软件著作权。（投标人需在投标文件中提供承诺函）。</w:t>
      </w:r>
    </w:p>
    <w:p w14:paraId="5B92024A">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4. </w:t>
      </w:r>
      <w:r>
        <w:rPr>
          <w:rFonts w:hint="eastAsia" w:ascii="仿宋" w:hAnsi="仿宋" w:eastAsia="仿宋" w:cs="仿宋"/>
          <w:sz w:val="32"/>
          <w:szCs w:val="32"/>
          <w:highlight w:val="none"/>
        </w:rPr>
        <w:t>投标人须在投标文件中承诺，若其为中标供应商，将对采购人已有或将来的各业务系统免费提供数据采集和接口开发服务及相关资料。</w:t>
      </w:r>
    </w:p>
    <w:p w14:paraId="0B6EC1BA">
      <w:pPr>
        <w:ind w:firstLine="446"/>
        <w:rPr>
          <w:rFonts w:hint="eastAsia" w:ascii="仿宋" w:hAnsi="仿宋" w:eastAsia="仿宋" w:cs="仿宋"/>
          <w:sz w:val="32"/>
          <w:szCs w:val="32"/>
          <w:highlight w:val="none"/>
        </w:rPr>
      </w:pPr>
      <w:r>
        <w:rPr>
          <w:rFonts w:ascii="仿宋" w:hAnsi="仿宋" w:eastAsia="仿宋" w:cs="仿宋"/>
          <w:sz w:val="32"/>
          <w:szCs w:val="32"/>
          <w:highlight w:val="none"/>
        </w:rPr>
        <w:t>5.成交供应商成立项目运行维护小组提供7*24小时远程在线运维保障，运维技术人员4小时内到现场进行故障处置。制定本项目的运维管理规范，对项目运维服务进行组织管理。</w:t>
      </w:r>
    </w:p>
    <w:p w14:paraId="330AC52D">
      <w:pPr>
        <w:pStyle w:val="3"/>
        <w:ind w:firstLine="448"/>
        <w:rPr>
          <w:rFonts w:hint="eastAsia" w:ascii="仿宋" w:hAnsi="仿宋" w:eastAsia="仿宋" w:cs="仿宋"/>
          <w:sz w:val="32"/>
          <w:highlight w:val="none"/>
        </w:rPr>
      </w:pPr>
      <w:r>
        <w:rPr>
          <w:rFonts w:hint="eastAsia" w:ascii="仿宋" w:hAnsi="仿宋" w:eastAsia="仿宋" w:cs="仿宋"/>
          <w:sz w:val="32"/>
          <w:highlight w:val="none"/>
        </w:rPr>
        <w:t>（四）时间、地点要求</w:t>
      </w:r>
    </w:p>
    <w:p w14:paraId="3F3B2990">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时间要求：自中标通知书要求签订合同之日起</w:t>
      </w:r>
      <w:r>
        <w:rPr>
          <w:rFonts w:ascii="仿宋" w:hAnsi="仿宋" w:eastAsia="仿宋" w:cs="仿宋"/>
          <w:sz w:val="32"/>
          <w:szCs w:val="32"/>
          <w:highlight w:val="none"/>
        </w:rPr>
        <w:t>6个月内完成项目平台建设；系统试运行期6个月，在试运行期间完成对使用该系统的相关人员培训。（投标人须提供承诺函并加盖公章）</w:t>
      </w:r>
    </w:p>
    <w:p w14:paraId="5BB64776">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服务地点：</w:t>
      </w:r>
      <w:r>
        <w:rPr>
          <w:rFonts w:ascii="仿宋" w:hAnsi="仿宋" w:eastAsia="仿宋" w:cs="仿宋"/>
          <w:sz w:val="32"/>
          <w:szCs w:val="32"/>
          <w:highlight w:val="none"/>
        </w:rPr>
        <w:t xml:space="preserve"> </w:t>
      </w:r>
      <w:r>
        <w:rPr>
          <w:rFonts w:hint="eastAsia" w:ascii="仿宋" w:hAnsi="仿宋" w:eastAsia="仿宋" w:cs="仿宋"/>
          <w:sz w:val="32"/>
          <w:szCs w:val="32"/>
          <w:highlight w:val="none"/>
        </w:rPr>
        <w:t>采购人指定地点。</w:t>
      </w:r>
    </w:p>
    <w:p w14:paraId="7AE06503">
      <w:pPr>
        <w:ind w:firstLine="446"/>
        <w:rPr>
          <w:rFonts w:hint="eastAsia" w:ascii="仿宋" w:hAnsi="仿宋" w:eastAsia="仿宋" w:cs="仿宋"/>
          <w:sz w:val="32"/>
          <w:szCs w:val="32"/>
          <w:highlight w:val="none"/>
        </w:rPr>
      </w:pPr>
      <w:r>
        <w:rPr>
          <w:rFonts w:ascii="仿宋" w:hAnsi="仿宋" w:eastAsia="仿宋" w:cs="仿宋"/>
          <w:sz w:val="32"/>
          <w:szCs w:val="32"/>
          <w:highlight w:val="none"/>
        </w:rPr>
        <w:t>3.</w:t>
      </w:r>
      <w:r>
        <w:rPr>
          <w:rFonts w:hint="eastAsia" w:ascii="仿宋" w:hAnsi="仿宋" w:eastAsia="仿宋" w:cs="仿宋"/>
          <w:sz w:val="32"/>
          <w:szCs w:val="32"/>
          <w:highlight w:val="none"/>
        </w:rPr>
        <w:t>质保期限：自项目验收合格之日起，免费提供三年软件维保服务。质保期内提供三年驻场服务。</w:t>
      </w:r>
    </w:p>
    <w:p w14:paraId="2852C814">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4.敏感数据区服务服务期36个月，政务云服务期12个月（特殊情况以合同为准）</w:t>
      </w:r>
    </w:p>
    <w:p w14:paraId="0D901A8E">
      <w:pPr>
        <w:pStyle w:val="3"/>
        <w:ind w:firstLine="448"/>
        <w:rPr>
          <w:rFonts w:hint="eastAsia" w:ascii="仿宋" w:hAnsi="仿宋" w:eastAsia="仿宋" w:cs="仿宋"/>
          <w:sz w:val="32"/>
          <w:highlight w:val="none"/>
        </w:rPr>
      </w:pPr>
      <w:r>
        <w:rPr>
          <w:rFonts w:hint="eastAsia" w:ascii="仿宋" w:hAnsi="仿宋" w:eastAsia="仿宋" w:cs="仿宋"/>
          <w:sz w:val="32"/>
          <w:highlight w:val="none"/>
        </w:rPr>
        <w:t>（五）付款方式</w:t>
      </w:r>
    </w:p>
    <w:p w14:paraId="6C5773CE">
      <w:pPr>
        <w:ind w:firstLine="446"/>
        <w:rPr>
          <w:rFonts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1）合同签订生效</w:t>
      </w:r>
      <w:r>
        <w:rPr>
          <w:rFonts w:hint="eastAsia" w:ascii="仿宋" w:hAnsi="仿宋" w:eastAsia="仿宋" w:cs="仿宋"/>
          <w:sz w:val="32"/>
          <w:szCs w:val="32"/>
          <w:highlight w:val="none"/>
          <w:lang w:val="en-US" w:eastAsia="zh-CN"/>
        </w:rPr>
        <w:t>且财政资金到账</w:t>
      </w:r>
      <w:r>
        <w:rPr>
          <w:rFonts w:ascii="仿宋" w:hAnsi="仿宋" w:eastAsia="仿宋" w:cs="仿宋"/>
          <w:sz w:val="32"/>
          <w:szCs w:val="32"/>
          <w:highlight w:val="none"/>
        </w:rPr>
        <w:t>后10个工作日内，采购人向中标人支付合同款的40%；</w:t>
      </w:r>
    </w:p>
    <w:p w14:paraId="35D857A5">
      <w:pPr>
        <w:ind w:firstLine="446"/>
        <w:rPr>
          <w:rFonts w:hint="eastAsia" w:ascii="仿宋" w:hAnsi="仿宋" w:eastAsia="仿宋" w:cs="仿宋"/>
          <w:b/>
          <w:bCs/>
          <w:sz w:val="32"/>
          <w:szCs w:val="32"/>
          <w:highlight w:val="none"/>
          <w:lang w:val="en-US" w:eastAsia="zh-CN"/>
        </w:rPr>
      </w:pP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完成敏感数据区搭建和数据采集服务且财政资金到账后，</w:t>
      </w:r>
      <w:r>
        <w:rPr>
          <w:rFonts w:ascii="仿宋" w:hAnsi="仿宋" w:eastAsia="仿宋" w:cs="仿宋"/>
          <w:sz w:val="32"/>
          <w:szCs w:val="32"/>
          <w:highlight w:val="none"/>
        </w:rPr>
        <w:t>采购人向中标人支付合同款的40%</w:t>
      </w:r>
      <w:r>
        <w:rPr>
          <w:rFonts w:hint="eastAsia" w:ascii="仿宋" w:hAnsi="仿宋" w:eastAsia="仿宋" w:cs="仿宋"/>
          <w:sz w:val="32"/>
          <w:szCs w:val="32"/>
          <w:highlight w:val="none"/>
          <w:lang w:eastAsia="zh-CN"/>
        </w:rPr>
        <w:t>。</w:t>
      </w:r>
    </w:p>
    <w:p w14:paraId="720284D8">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3</w:t>
      </w:r>
      <w:r>
        <w:rPr>
          <w:rFonts w:ascii="仿宋" w:hAnsi="仿宋" w:eastAsia="仿宋" w:cs="仿宋"/>
          <w:sz w:val="32"/>
          <w:szCs w:val="32"/>
          <w:highlight w:val="none"/>
        </w:rPr>
        <w:t>）完成项目建设并通过初验</w:t>
      </w:r>
      <w:r>
        <w:rPr>
          <w:rFonts w:hint="eastAsia" w:ascii="仿宋" w:hAnsi="仿宋" w:eastAsia="仿宋" w:cs="仿宋"/>
          <w:sz w:val="32"/>
          <w:szCs w:val="32"/>
          <w:highlight w:val="none"/>
          <w:lang w:val="en-US" w:eastAsia="zh-CN"/>
        </w:rPr>
        <w:t>且财政资金到账后</w:t>
      </w:r>
      <w:r>
        <w:rPr>
          <w:rFonts w:ascii="仿宋" w:hAnsi="仿宋" w:eastAsia="仿宋" w:cs="仿宋"/>
          <w:sz w:val="32"/>
          <w:szCs w:val="32"/>
          <w:highlight w:val="none"/>
        </w:rPr>
        <w:t>，采购人向中标人支付合同款的</w:t>
      </w:r>
      <w:r>
        <w:rPr>
          <w:rFonts w:hint="eastAsia" w:ascii="仿宋" w:hAnsi="仿宋" w:eastAsia="仿宋" w:cs="仿宋"/>
          <w:sz w:val="32"/>
          <w:szCs w:val="32"/>
          <w:highlight w:val="none"/>
          <w:lang w:val="en-US" w:eastAsia="zh-CN"/>
        </w:rPr>
        <w:t>1</w:t>
      </w:r>
      <w:r>
        <w:rPr>
          <w:rFonts w:ascii="仿宋" w:hAnsi="仿宋" w:eastAsia="仿宋" w:cs="仿宋"/>
          <w:sz w:val="32"/>
          <w:szCs w:val="32"/>
          <w:highlight w:val="none"/>
        </w:rPr>
        <w:t>0%；</w:t>
      </w:r>
    </w:p>
    <w:p w14:paraId="65AF3898">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4</w:t>
      </w:r>
      <w:r>
        <w:rPr>
          <w:rFonts w:ascii="仿宋" w:hAnsi="仿宋" w:eastAsia="仿宋" w:cs="仿宋"/>
          <w:sz w:val="32"/>
          <w:szCs w:val="32"/>
          <w:highlight w:val="none"/>
        </w:rPr>
        <w:t>）系统试运行时间6个月，系统运行稳定并通过终验</w:t>
      </w:r>
      <w:r>
        <w:rPr>
          <w:rFonts w:hint="eastAsia" w:ascii="仿宋" w:hAnsi="仿宋" w:eastAsia="仿宋" w:cs="仿宋"/>
          <w:sz w:val="32"/>
          <w:szCs w:val="32"/>
          <w:highlight w:val="none"/>
          <w:lang w:val="en-US" w:eastAsia="zh-CN"/>
        </w:rPr>
        <w:t>且财政资金到账后</w:t>
      </w:r>
      <w:r>
        <w:rPr>
          <w:rFonts w:ascii="仿宋" w:hAnsi="仿宋" w:eastAsia="仿宋" w:cs="仿宋"/>
          <w:sz w:val="32"/>
          <w:szCs w:val="32"/>
          <w:highlight w:val="none"/>
        </w:rPr>
        <w:t>，采购人向中标人支付合同款的20%。</w:t>
      </w:r>
    </w:p>
    <w:p w14:paraId="0E1B0F3D">
      <w:pPr>
        <w:pStyle w:val="3"/>
        <w:ind w:firstLine="448"/>
        <w:rPr>
          <w:rFonts w:hint="eastAsia" w:ascii="仿宋" w:hAnsi="仿宋" w:eastAsia="仿宋" w:cs="仿宋"/>
          <w:sz w:val="32"/>
          <w:highlight w:val="none"/>
        </w:rPr>
      </w:pPr>
      <w:r>
        <w:rPr>
          <w:rFonts w:hint="eastAsia" w:ascii="仿宋" w:hAnsi="仿宋" w:eastAsia="仿宋" w:cs="仿宋"/>
          <w:sz w:val="32"/>
          <w:highlight w:val="none"/>
        </w:rPr>
        <w:t>（</w:t>
      </w:r>
      <w:r>
        <w:rPr>
          <w:rFonts w:hint="eastAsia" w:ascii="仿宋" w:hAnsi="仿宋" w:eastAsia="仿宋" w:cs="仿宋"/>
          <w:sz w:val="32"/>
          <w:highlight w:val="none"/>
          <w:lang w:val="en-US" w:eastAsia="zh-CN"/>
        </w:rPr>
        <w:t>六</w:t>
      </w:r>
      <w:r>
        <w:rPr>
          <w:rFonts w:hint="eastAsia" w:ascii="仿宋" w:hAnsi="仿宋" w:eastAsia="仿宋" w:cs="仿宋"/>
          <w:sz w:val="32"/>
          <w:highlight w:val="none"/>
        </w:rPr>
        <w:t>）投标保证金和履约保证金</w:t>
      </w:r>
    </w:p>
    <w:p w14:paraId="3F245FD7">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本项目不收取投标保证金和履约保证金。</w:t>
      </w:r>
    </w:p>
    <w:p w14:paraId="717D9C49">
      <w:pPr>
        <w:pStyle w:val="3"/>
        <w:ind w:firstLine="448"/>
        <w:rPr>
          <w:rFonts w:hint="eastAsia" w:ascii="仿宋" w:hAnsi="仿宋" w:eastAsia="仿宋" w:cs="仿宋"/>
          <w:sz w:val="32"/>
          <w:highlight w:val="none"/>
        </w:rPr>
      </w:pPr>
      <w:r>
        <w:rPr>
          <w:rFonts w:hint="eastAsia" w:ascii="仿宋" w:hAnsi="仿宋" w:eastAsia="仿宋" w:cs="仿宋"/>
          <w:sz w:val="32"/>
          <w:highlight w:val="none"/>
        </w:rPr>
        <w:t>（</w:t>
      </w:r>
      <w:r>
        <w:rPr>
          <w:rFonts w:hint="eastAsia" w:ascii="仿宋" w:hAnsi="仿宋" w:eastAsia="仿宋" w:cs="仿宋"/>
          <w:sz w:val="32"/>
          <w:highlight w:val="none"/>
          <w:lang w:val="en-US" w:eastAsia="zh-CN"/>
        </w:rPr>
        <w:t>七</w:t>
      </w:r>
      <w:r>
        <w:rPr>
          <w:rFonts w:hint="eastAsia" w:ascii="仿宋" w:hAnsi="仿宋" w:eastAsia="仿宋" w:cs="仿宋"/>
          <w:sz w:val="32"/>
          <w:highlight w:val="none"/>
        </w:rPr>
        <w:t>）验收方法及标准</w:t>
      </w:r>
    </w:p>
    <w:p w14:paraId="7AE18CE9">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验收依据：</w:t>
      </w:r>
    </w:p>
    <w:p w14:paraId="39E7B22B">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根据合同内容、需求说明书、招标文件等为依据，对项目系统进行验收。</w:t>
      </w:r>
    </w:p>
    <w:p w14:paraId="08AAE847">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验收标准：</w:t>
      </w:r>
    </w:p>
    <w:p w14:paraId="1F9D984D">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1）中标人需按照采购人聘请的第三方监理单位要求，进行项目实施和管理。中标人应在验收开始前制定验收计划，提交采购人。</w:t>
      </w:r>
    </w:p>
    <w:p w14:paraId="7BE897C3">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2）中标人提交系统开发过程文档，包括但不限于项目实施方案、需求说明书、概要设计说明书、软件产品源代码、详细设计说明书、数据库设计说明书、测试方案、测试报告、操作手册、培训方案等。</w:t>
      </w:r>
    </w:p>
    <w:p w14:paraId="25131338">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3）本项目详细需求以采购人签字确认的需求规格说明书为准。</w:t>
      </w:r>
    </w:p>
    <w:p w14:paraId="67D51D17">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ascii="仿宋" w:hAnsi="仿宋" w:eastAsia="仿宋" w:cs="仿宋"/>
          <w:sz w:val="32"/>
          <w:szCs w:val="32"/>
          <w:highlight w:val="none"/>
        </w:rPr>
        <w:t>4</w:t>
      </w:r>
      <w:r>
        <w:rPr>
          <w:rFonts w:hint="eastAsia" w:ascii="仿宋" w:hAnsi="仿宋" w:eastAsia="仿宋" w:cs="仿宋"/>
          <w:sz w:val="32"/>
          <w:szCs w:val="32"/>
          <w:highlight w:val="none"/>
        </w:rPr>
        <w:t>）在验收前，中标人需完成第三方软件评测工作，并配合采购人完成等保测评及商用密码安全性评估工作。</w:t>
      </w:r>
    </w:p>
    <w:p w14:paraId="24FB0F40">
      <w:pPr>
        <w:spacing w:line="560" w:lineRule="exact"/>
        <w:ind w:firstLine="640" w:firstLineChars="200"/>
        <w:jc w:val="left"/>
        <w:outlineLvl w:val="2"/>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.包</w:t>
      </w:r>
      <w:r>
        <w:rPr>
          <w:rFonts w:hint="eastAsia" w:ascii="仿宋" w:hAnsi="仿宋" w:eastAsia="仿宋"/>
          <w:sz w:val="32"/>
          <w:szCs w:val="32"/>
          <w:highlight w:val="none"/>
          <w:lang w:val="en-US" w:eastAsia="zh-CN"/>
        </w:rPr>
        <w:t>2</w:t>
      </w:r>
    </w:p>
    <w:p w14:paraId="65A0FABD">
      <w:pPr>
        <w:spacing w:line="560" w:lineRule="exact"/>
        <w:ind w:left="0"/>
        <w:outlineLvl w:val="3"/>
        <w:rPr>
          <w:rFonts w:hint="eastAsia" w:ascii="仿宋" w:hAnsi="仿宋" w:eastAsia="仿宋" w:cs="宋体"/>
          <w:sz w:val="32"/>
          <w:szCs w:val="32"/>
          <w:highlight w:val="none"/>
          <w:u w:val="single"/>
          <w:lang w:eastAsia="zh-CN"/>
        </w:rPr>
      </w:pPr>
      <w:r>
        <w:rPr>
          <w:rFonts w:hint="eastAsia" w:ascii="仿宋" w:hAnsi="仿宋" w:eastAsia="仿宋" w:cs="宋体"/>
          <w:sz w:val="32"/>
          <w:szCs w:val="32"/>
          <w:highlight w:val="none"/>
          <w:u w:val="single"/>
          <w:lang w:eastAsia="zh-CN"/>
        </w:rPr>
        <w:t>（</w:t>
      </w:r>
      <w:r>
        <w:rPr>
          <w:rFonts w:hint="eastAsia" w:ascii="仿宋" w:hAnsi="仿宋" w:eastAsia="仿宋" w:cs="宋体"/>
          <w:sz w:val="32"/>
          <w:szCs w:val="32"/>
          <w:highlight w:val="none"/>
          <w:u w:val="single"/>
          <w:lang w:val="en-US" w:eastAsia="zh-CN"/>
        </w:rPr>
        <w:t>1</w:t>
      </w:r>
      <w:r>
        <w:rPr>
          <w:rFonts w:hint="eastAsia" w:ascii="仿宋" w:hAnsi="仿宋" w:eastAsia="仿宋" w:cs="宋体"/>
          <w:sz w:val="32"/>
          <w:szCs w:val="32"/>
          <w:highlight w:val="none"/>
          <w:u w:val="single"/>
          <w:lang w:eastAsia="zh-CN"/>
        </w:rPr>
        <w:t>）</w:t>
      </w:r>
      <w:r>
        <w:rPr>
          <w:rFonts w:hint="eastAsia" w:ascii="仿宋" w:hAnsi="仿宋" w:eastAsia="仿宋" w:cs="宋体"/>
          <w:sz w:val="32"/>
          <w:szCs w:val="32"/>
          <w:highlight w:val="none"/>
          <w:u w:val="single"/>
          <w:lang w:val="en-US" w:eastAsia="zh-CN"/>
        </w:rPr>
        <w:t>技术要求</w:t>
      </w:r>
    </w:p>
    <w:p w14:paraId="146BADF6">
      <w:pPr>
        <w:pStyle w:val="4"/>
        <w:ind w:firstLine="448"/>
        <w:rPr>
          <w:rFonts w:hint="eastAsia" w:ascii="仿宋" w:hAnsi="仿宋" w:eastAsia="仿宋" w:cs="仿宋"/>
          <w:sz w:val="32"/>
          <w:szCs w:val="32"/>
          <w:highlight w:val="none"/>
          <w:lang w:eastAsia="zh-CN"/>
        </w:rPr>
      </w:pPr>
      <w:bookmarkStart w:id="5" w:name="OLE_LINK26"/>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lang w:eastAsia="zh-CN"/>
        </w:rPr>
        <w:t>网络安全等级保护测评</w:t>
      </w:r>
      <w:r>
        <w:rPr>
          <w:rFonts w:hint="eastAsia" w:ascii="仿宋" w:hAnsi="仿宋" w:eastAsia="仿宋" w:cs="仿宋"/>
          <w:sz w:val="32"/>
          <w:szCs w:val="32"/>
          <w:highlight w:val="none"/>
          <w:lang w:val="en-US" w:eastAsia="zh-CN"/>
        </w:rPr>
        <w:t>范围</w:t>
      </w:r>
      <w:r>
        <w:rPr>
          <w:rFonts w:hint="eastAsia" w:ascii="仿宋" w:hAnsi="仿宋" w:eastAsia="仿宋" w:cs="仿宋"/>
          <w:sz w:val="32"/>
          <w:szCs w:val="32"/>
          <w:highlight w:val="none"/>
          <w:lang w:eastAsia="zh-CN"/>
        </w:rPr>
        <w:t xml:space="preserve"> </w:t>
      </w:r>
      <w:bookmarkEnd w:id="5"/>
      <w:r>
        <w:rPr>
          <w:rFonts w:hint="eastAsia" w:ascii="仿宋" w:hAnsi="仿宋" w:eastAsia="仿宋" w:cs="仿宋"/>
          <w:sz w:val="32"/>
          <w:szCs w:val="32"/>
          <w:highlight w:val="none"/>
          <w:lang w:eastAsia="zh-CN"/>
        </w:rPr>
        <w:t xml:space="preserve"> </w:t>
      </w:r>
    </w:p>
    <w:tbl>
      <w:tblPr>
        <w:tblStyle w:val="1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0"/>
        <w:gridCol w:w="2448"/>
        <w:gridCol w:w="3272"/>
        <w:gridCol w:w="1785"/>
      </w:tblGrid>
      <w:tr w14:paraId="332BB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856" w:type="pct"/>
            <w:noWrap w:val="0"/>
            <w:vAlign w:val="center"/>
          </w:tcPr>
          <w:p w14:paraId="318FE926">
            <w:pPr>
              <w:spacing w:line="560" w:lineRule="exact"/>
              <w:jc w:val="center"/>
              <w:rPr>
                <w:rFonts w:hint="eastAsia" w:ascii="仿宋" w:hAnsi="仿宋" w:eastAsia="仿宋" w:cs="Times New Roman"/>
                <w:b/>
                <w:color w:val="000000"/>
                <w:sz w:val="28"/>
                <w:szCs w:val="28"/>
                <w:highlight w:val="none"/>
                <w:lang w:val="en-US" w:eastAsia="zh-CN"/>
              </w:rPr>
            </w:pPr>
            <w:r>
              <w:rPr>
                <w:rFonts w:hint="eastAsia" w:ascii="仿宋" w:hAnsi="仿宋" w:eastAsia="仿宋" w:cs="Times New Roman"/>
                <w:b/>
                <w:color w:val="000000"/>
                <w:sz w:val="28"/>
                <w:szCs w:val="28"/>
                <w:highlight w:val="none"/>
                <w:lang w:val="en-US" w:eastAsia="zh-CN"/>
              </w:rPr>
              <w:t>序号</w:t>
            </w:r>
          </w:p>
        </w:tc>
        <w:tc>
          <w:tcPr>
            <w:tcW w:w="1351" w:type="pct"/>
            <w:noWrap w:val="0"/>
            <w:vAlign w:val="center"/>
          </w:tcPr>
          <w:p w14:paraId="35FE99F9">
            <w:pPr>
              <w:spacing w:line="560" w:lineRule="exact"/>
              <w:jc w:val="center"/>
              <w:rPr>
                <w:rFonts w:hint="default" w:ascii="仿宋" w:hAnsi="仿宋" w:eastAsia="仿宋" w:cs="Times New Roman"/>
                <w:b/>
                <w:color w:val="000000"/>
                <w:sz w:val="28"/>
                <w:szCs w:val="28"/>
                <w:highlight w:val="none"/>
                <w:lang w:val="en-US" w:eastAsia="zh-CN"/>
              </w:rPr>
            </w:pPr>
            <w:r>
              <w:rPr>
                <w:rFonts w:hint="eastAsia" w:ascii="仿宋" w:hAnsi="仿宋" w:eastAsia="仿宋" w:cs="Times New Roman"/>
                <w:b/>
                <w:color w:val="000000"/>
                <w:sz w:val="28"/>
                <w:szCs w:val="28"/>
                <w:highlight w:val="none"/>
                <w:lang w:val="en-US" w:eastAsia="zh-CN"/>
              </w:rPr>
              <w:t>被测单位名称</w:t>
            </w:r>
          </w:p>
        </w:tc>
        <w:tc>
          <w:tcPr>
            <w:tcW w:w="1806" w:type="pct"/>
            <w:noWrap w:val="0"/>
            <w:vAlign w:val="center"/>
          </w:tcPr>
          <w:p w14:paraId="23D5F003">
            <w:pPr>
              <w:spacing w:line="560" w:lineRule="exact"/>
              <w:jc w:val="center"/>
              <w:rPr>
                <w:rFonts w:hint="default" w:ascii="仿宋" w:hAnsi="仿宋" w:eastAsia="仿宋" w:cs="Times New Roman"/>
                <w:b/>
                <w:color w:val="000000"/>
                <w:sz w:val="28"/>
                <w:szCs w:val="28"/>
                <w:highlight w:val="none"/>
                <w:lang w:val="en-US" w:eastAsia="zh-CN"/>
              </w:rPr>
            </w:pPr>
            <w:r>
              <w:rPr>
                <w:rFonts w:hint="eastAsia" w:ascii="仿宋" w:hAnsi="仿宋" w:eastAsia="仿宋" w:cs="Times New Roman"/>
                <w:b/>
                <w:color w:val="000000"/>
                <w:sz w:val="28"/>
                <w:szCs w:val="28"/>
                <w:highlight w:val="none"/>
                <w:lang w:val="en-US" w:eastAsia="zh-CN"/>
              </w:rPr>
              <w:t>被测系统名称</w:t>
            </w:r>
          </w:p>
        </w:tc>
        <w:tc>
          <w:tcPr>
            <w:tcW w:w="985" w:type="pct"/>
            <w:noWrap w:val="0"/>
            <w:vAlign w:val="center"/>
          </w:tcPr>
          <w:p w14:paraId="4FD34727">
            <w:pPr>
              <w:spacing w:line="560" w:lineRule="exact"/>
              <w:jc w:val="center"/>
              <w:rPr>
                <w:rFonts w:hint="default" w:ascii="仿宋" w:hAnsi="仿宋" w:eastAsia="仿宋" w:cs="Times New Roman"/>
                <w:b/>
                <w:color w:val="000000"/>
                <w:sz w:val="28"/>
                <w:szCs w:val="28"/>
                <w:highlight w:val="none"/>
                <w:lang w:val="en-US" w:eastAsia="zh-CN"/>
              </w:rPr>
            </w:pPr>
            <w:r>
              <w:rPr>
                <w:rFonts w:hint="eastAsia" w:ascii="仿宋" w:hAnsi="仿宋" w:eastAsia="仿宋" w:cs="Times New Roman"/>
                <w:b/>
                <w:color w:val="000000"/>
                <w:sz w:val="28"/>
                <w:szCs w:val="28"/>
                <w:highlight w:val="none"/>
                <w:lang w:val="en-US" w:eastAsia="zh-CN"/>
              </w:rPr>
              <w:t>安全保护等级</w:t>
            </w:r>
          </w:p>
        </w:tc>
      </w:tr>
      <w:tr w14:paraId="1AFBB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56" w:type="pct"/>
            <w:noWrap w:val="0"/>
            <w:vAlign w:val="center"/>
          </w:tcPr>
          <w:p w14:paraId="3C25B1CA">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bookmarkStart w:id="6" w:name="OLE_LINK28" w:colFirst="1" w:colLast="2"/>
            <w:r>
              <w:rPr>
                <w:rFonts w:hint="eastAsia" w:ascii="仿宋_GB2312" w:hAnsi="仿宋" w:eastAsia="仿宋_GB2312" w:cs="Times New Roman"/>
                <w:color w:val="000000"/>
                <w:sz w:val="32"/>
                <w:szCs w:val="32"/>
                <w:highlight w:val="none"/>
                <w:lang w:val="en-US" w:eastAsia="zh-CN"/>
              </w:rPr>
              <w:t>1</w:t>
            </w:r>
          </w:p>
        </w:tc>
        <w:tc>
          <w:tcPr>
            <w:tcW w:w="1351" w:type="pct"/>
            <w:noWrap w:val="0"/>
            <w:vAlign w:val="center"/>
          </w:tcPr>
          <w:p w14:paraId="761FE4E4">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天津市教育委员会</w:t>
            </w:r>
          </w:p>
        </w:tc>
        <w:tc>
          <w:tcPr>
            <w:tcW w:w="1806" w:type="pct"/>
            <w:noWrap w:val="0"/>
            <w:vAlign w:val="center"/>
          </w:tcPr>
          <w:p w14:paraId="44AC8778">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天津市教育数据平台建设项目一期</w:t>
            </w:r>
          </w:p>
        </w:tc>
        <w:tc>
          <w:tcPr>
            <w:tcW w:w="985" w:type="pct"/>
            <w:noWrap w:val="0"/>
            <w:vAlign w:val="center"/>
          </w:tcPr>
          <w:p w14:paraId="569A75C8">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en-US"/>
              </w:rPr>
            </w:pPr>
            <w:r>
              <w:rPr>
                <w:rFonts w:hint="eastAsia" w:ascii="仿宋_GB2312" w:hAnsi="仿宋" w:eastAsia="仿宋_GB2312" w:cs="Times New Roman"/>
                <w:color w:val="000000"/>
                <w:sz w:val="32"/>
                <w:szCs w:val="32"/>
                <w:highlight w:val="none"/>
                <w:lang w:val="en-US" w:eastAsia="en-US"/>
              </w:rPr>
              <w:t>三级</w:t>
            </w:r>
          </w:p>
        </w:tc>
      </w:tr>
      <w:bookmarkEnd w:id="6"/>
    </w:tbl>
    <w:p w14:paraId="7DC94FAA">
      <w:pPr>
        <w:pStyle w:val="4"/>
        <w:ind w:firstLine="448"/>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2等级保护测评标准  </w:t>
      </w:r>
    </w:p>
    <w:p w14:paraId="415D4DB3">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中标人应依据国家网络安全等级保护相关标准开展工作，依据标准包括但不限于如下国家标准：</w:t>
      </w:r>
    </w:p>
    <w:p w14:paraId="4E55D9D1">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GB/T 22239-2019 《信息安全技术 网络安全等级保护基本要求》</w:t>
      </w:r>
    </w:p>
    <w:p w14:paraId="5AD7A78D">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GB/T 28448-2019 《信息安全技术 网络安全等级保护测评要求》</w:t>
      </w:r>
    </w:p>
    <w:p w14:paraId="6800AA15">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GB 17859-1999 《计算机信息系统安全保护等级划分准则》</w:t>
      </w:r>
    </w:p>
    <w:p w14:paraId="0494C475">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GB/T 28449-2018《信息安全技术 网络安全等级保护测评过程指南》</w:t>
      </w:r>
    </w:p>
    <w:p w14:paraId="1B828C14">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GB/T 20984-2007《信息安全技术 信息安全风险评估规范》</w:t>
      </w:r>
    </w:p>
    <w:p w14:paraId="51EF71EA">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GB/T 25070-2019《信息安全技术 网络安全等级保护安全设计技术要求》</w:t>
      </w:r>
    </w:p>
    <w:p w14:paraId="43EAF03C">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根据国家网络安全等级保护测评相关标准，中标人对</w:t>
      </w:r>
      <w:r>
        <w:rPr>
          <w:rFonts w:hint="eastAsia" w:ascii="仿宋_GB2312" w:hAnsi="仿宋" w:eastAsia="仿宋_GB2312" w:cs="Times New Roman"/>
          <w:color w:val="000000"/>
          <w:sz w:val="32"/>
          <w:szCs w:val="32"/>
          <w:highlight w:val="none"/>
          <w:u w:val="single"/>
          <w:lang w:eastAsia="zh-CN"/>
        </w:rPr>
        <w:t>天津市教育委员会</w:t>
      </w:r>
      <w:r>
        <w:rPr>
          <w:rFonts w:hint="eastAsia" w:ascii="仿宋_GB2312" w:hAnsi="仿宋" w:eastAsia="仿宋_GB2312" w:cs="Times New Roman"/>
          <w:color w:val="000000"/>
          <w:sz w:val="32"/>
          <w:szCs w:val="32"/>
          <w:highlight w:val="none"/>
          <w:lang w:eastAsia="zh-CN"/>
        </w:rPr>
        <w:t>的信息系统</w:t>
      </w:r>
      <w:r>
        <w:rPr>
          <w:rFonts w:hint="eastAsia" w:ascii="仿宋_GB2312" w:hAnsi="仿宋" w:eastAsia="仿宋_GB2312" w:cs="Times New Roman"/>
          <w:color w:val="000000"/>
          <w:sz w:val="32"/>
          <w:szCs w:val="32"/>
          <w:highlight w:val="none"/>
          <w:lang w:val="en-US" w:eastAsia="zh-CN"/>
        </w:rPr>
        <w:t>进行</w:t>
      </w:r>
      <w:r>
        <w:rPr>
          <w:rFonts w:hint="eastAsia" w:ascii="仿宋_GB2312" w:hAnsi="仿宋" w:eastAsia="仿宋_GB2312" w:cs="Times New Roman"/>
          <w:color w:val="000000"/>
          <w:sz w:val="32"/>
          <w:szCs w:val="32"/>
          <w:highlight w:val="none"/>
          <w:lang w:eastAsia="zh-CN"/>
        </w:rPr>
        <w:t xml:space="preserve">网络安全等级保护测评的内容包括但不限于以下内容：  </w:t>
      </w:r>
    </w:p>
    <w:p w14:paraId="109832FE">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安全技术测评：安全物理环境、安全通信网络、安全区域边界、安全计算环境、安全管理中心；</w:t>
      </w:r>
    </w:p>
    <w:p w14:paraId="5F9F0ECA">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安全管理测评：安全管理制度、安全管理机构、安全管理人员、安全建设管理、安全运维管理。</w:t>
      </w:r>
    </w:p>
    <w:p w14:paraId="6C22AC93">
      <w:pPr>
        <w:pStyle w:val="4"/>
        <w:ind w:firstLine="448"/>
        <w:rPr>
          <w:rFonts w:hint="eastAsia" w:ascii="仿宋_GB2312" w:hAnsi="仿宋" w:eastAsia="仿宋_GB2312" w:cs="Times New Roman"/>
          <w:color w:val="000000"/>
          <w:sz w:val="32"/>
          <w:szCs w:val="32"/>
          <w:highlight w:val="none"/>
          <w:lang w:eastAsia="zh-CN"/>
        </w:rPr>
      </w:pPr>
      <w:bookmarkStart w:id="7" w:name="OLE_LINK23"/>
      <w:r>
        <w:rPr>
          <w:rFonts w:hint="eastAsia" w:ascii="仿宋_GB2312" w:hAnsi="仿宋" w:eastAsia="仿宋_GB2312" w:cs="Times New Roman"/>
          <w:color w:val="000000"/>
          <w:sz w:val="32"/>
          <w:szCs w:val="32"/>
          <w:highlight w:val="none"/>
          <w:lang w:val="en-US" w:eastAsia="zh-CN"/>
        </w:rPr>
        <w:t>3</w:t>
      </w:r>
      <w:r>
        <w:rPr>
          <w:rFonts w:hint="eastAsia" w:ascii="仿宋_GB2312" w:hAnsi="仿宋" w:eastAsia="仿宋_GB2312" w:cs="Times New Roman"/>
          <w:color w:val="000000"/>
          <w:sz w:val="32"/>
          <w:szCs w:val="32"/>
          <w:highlight w:val="none"/>
          <w:lang w:eastAsia="zh-CN"/>
        </w:rPr>
        <w:t>网络安全等级保护测评</w:t>
      </w:r>
      <w:r>
        <w:rPr>
          <w:rFonts w:hint="eastAsia" w:ascii="仿宋" w:hAnsi="仿宋" w:eastAsia="仿宋" w:cs="仿宋"/>
          <w:sz w:val="32"/>
          <w:szCs w:val="32"/>
          <w:highlight w:val="none"/>
          <w:lang w:val="en-US" w:eastAsia="zh-CN"/>
        </w:rPr>
        <w:t xml:space="preserve">要求  </w:t>
      </w:r>
    </w:p>
    <w:bookmarkEnd w:id="7"/>
    <w:p w14:paraId="0D343E83">
      <w:pPr>
        <w:numPr>
          <w:ilvl w:val="0"/>
          <w:numId w:val="22"/>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中标人应详细描述本次网络安全等级保护测评的整体实施方案，包括项目概述、等保测评方案、项目实施方案、测试过程中需使用测试设备清单、时间安排、阶段性文档提交和验收标准等。</w:t>
      </w:r>
    </w:p>
    <w:p w14:paraId="2C6FD61C">
      <w:pPr>
        <w:numPr>
          <w:ilvl w:val="0"/>
          <w:numId w:val="22"/>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 xml:space="preserve">中标人应详细描述测评人员的组成、资质及各自职责的划分。中标人应配置有经验的测评人员进行本次等级保护测评工作。 </w:t>
      </w:r>
    </w:p>
    <w:p w14:paraId="0F69559D">
      <w:pPr>
        <w:numPr>
          <w:ilvl w:val="0"/>
          <w:numId w:val="22"/>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对于在测评过程中采用的测评方法、测评所使用的工具、测评所覆盖的各方面，需要符合信息安全等级保护主管部门要求，包括但不仅仅包括网络隐患检测工具、数据库漏洞检测工具、应用安全检测工具、网站安全检测工具等。</w:t>
      </w:r>
    </w:p>
    <w:p w14:paraId="648FA08D">
      <w:pPr>
        <w:numPr>
          <w:ilvl w:val="0"/>
          <w:numId w:val="22"/>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安全测评工具软件运行可能需要的硬件平台（如笔记本电脑、PC、工作站等）和操作系统软件等由中标人推荐，经采购人确认后由中标人提供并在测评中使用。</w:t>
      </w:r>
    </w:p>
    <w:p w14:paraId="626D9D48">
      <w:pPr>
        <w:numPr>
          <w:ilvl w:val="0"/>
          <w:numId w:val="22"/>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安全测评需要的运行环境（如场地、网络环境等）由采购人提供，中标人应详细描述需要的运行环境的具体要求。</w:t>
      </w:r>
    </w:p>
    <w:p w14:paraId="77192226">
      <w:pPr>
        <w:numPr>
          <w:ilvl w:val="0"/>
          <w:numId w:val="22"/>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中标人应在合同签订后</w:t>
      </w:r>
      <w:r>
        <w:rPr>
          <w:rFonts w:hint="eastAsia" w:ascii="仿宋_GB2312" w:hAnsi="仿宋" w:eastAsia="仿宋_GB2312" w:cs="Times New Roman"/>
          <w:color w:val="000000"/>
          <w:sz w:val="32"/>
          <w:szCs w:val="32"/>
          <w:highlight w:val="none"/>
          <w:u w:val="single"/>
          <w:lang w:val="en-US" w:eastAsia="zh-CN"/>
        </w:rPr>
        <w:t>6</w:t>
      </w:r>
      <w:r>
        <w:rPr>
          <w:rFonts w:hint="eastAsia" w:ascii="仿宋_GB2312" w:hAnsi="仿宋" w:eastAsia="仿宋_GB2312" w:cs="Times New Roman"/>
          <w:color w:val="000000"/>
          <w:sz w:val="32"/>
          <w:szCs w:val="32"/>
          <w:highlight w:val="none"/>
          <w:u w:val="single"/>
          <w:lang w:eastAsia="zh-CN"/>
        </w:rPr>
        <w:t>个月</w:t>
      </w:r>
      <w:r>
        <w:rPr>
          <w:rFonts w:hint="eastAsia" w:ascii="仿宋_GB2312" w:hAnsi="仿宋" w:eastAsia="仿宋_GB2312" w:cs="Times New Roman"/>
          <w:color w:val="000000"/>
          <w:sz w:val="32"/>
          <w:szCs w:val="32"/>
          <w:highlight w:val="none"/>
          <w:lang w:eastAsia="zh-CN"/>
        </w:rPr>
        <w:t>内完成所有项目的网络安全等级保护评测工作，提交公安部门进行备案，并完成成果移交。因采购人原因影响项目进度的，服务期顺延。</w:t>
      </w:r>
    </w:p>
    <w:p w14:paraId="7B111AB7">
      <w:pPr>
        <w:numPr>
          <w:ilvl w:val="0"/>
          <w:numId w:val="22"/>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 xml:space="preserve">测评及现场检测工作所使用的测评工具需采购人同意后方可使用。 </w:t>
      </w:r>
    </w:p>
    <w:p w14:paraId="15085702">
      <w:pPr>
        <w:numPr>
          <w:ilvl w:val="0"/>
          <w:numId w:val="22"/>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本次需要测评的</w:t>
      </w:r>
      <w:r>
        <w:rPr>
          <w:rFonts w:hint="eastAsia" w:ascii="仿宋_GB2312" w:hAnsi="仿宋" w:eastAsia="仿宋_GB2312" w:cs="Times New Roman"/>
          <w:color w:val="000000"/>
          <w:sz w:val="32"/>
          <w:szCs w:val="32"/>
          <w:highlight w:val="none"/>
          <w:u w:val="single"/>
          <w:lang w:eastAsia="zh-CN"/>
        </w:rPr>
        <w:t>天津市教育数据平台建设项目一期</w:t>
      </w:r>
      <w:r>
        <w:rPr>
          <w:rFonts w:hint="eastAsia" w:ascii="仿宋_GB2312" w:hAnsi="仿宋" w:eastAsia="仿宋_GB2312" w:cs="Times New Roman"/>
          <w:color w:val="000000"/>
          <w:sz w:val="32"/>
          <w:szCs w:val="32"/>
          <w:highlight w:val="none"/>
          <w:lang w:eastAsia="zh-CN"/>
        </w:rPr>
        <w:t>系统内容如果需要变更，中标人需要协助变更备案流程，完成备案。</w:t>
      </w:r>
    </w:p>
    <w:p w14:paraId="0CFF4FD4">
      <w:pPr>
        <w:spacing w:line="560" w:lineRule="exact"/>
        <w:ind w:left="0"/>
        <w:outlineLvl w:val="3"/>
        <w:rPr>
          <w:rFonts w:hint="eastAsia" w:ascii="仿宋" w:hAnsi="仿宋" w:eastAsia="仿宋" w:cs="宋体"/>
          <w:sz w:val="32"/>
          <w:szCs w:val="32"/>
          <w:highlight w:val="none"/>
          <w:u w:val="single"/>
        </w:rPr>
      </w:pPr>
      <w:r>
        <w:rPr>
          <w:rFonts w:hint="eastAsia" w:ascii="仿宋" w:hAnsi="仿宋" w:eastAsia="仿宋" w:cs="宋体"/>
          <w:sz w:val="32"/>
          <w:szCs w:val="32"/>
          <w:highlight w:val="none"/>
          <w:u w:val="single"/>
        </w:rPr>
        <w:t>（2）商务要求（实质性要求）</w:t>
      </w:r>
    </w:p>
    <w:p w14:paraId="1793B50C">
      <w:pPr>
        <w:pStyle w:val="3"/>
        <w:ind w:firstLine="448"/>
        <w:rPr>
          <w:rFonts w:hint="eastAsia" w:ascii="仿宋" w:hAnsi="仿宋" w:eastAsia="仿宋" w:cs="仿宋"/>
          <w:sz w:val="32"/>
          <w:szCs w:val="32"/>
          <w:highlight w:val="none"/>
        </w:rPr>
      </w:pPr>
      <w:r>
        <w:rPr>
          <w:rFonts w:hint="eastAsia" w:ascii="仿宋" w:hAnsi="仿宋" w:eastAsia="仿宋" w:cs="仿宋"/>
          <w:sz w:val="32"/>
          <w:szCs w:val="32"/>
          <w:highlight w:val="none"/>
        </w:rPr>
        <w:t>（一）投标要求</w:t>
      </w:r>
    </w:p>
    <w:p w14:paraId="604AD893">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投标人须具备《中华人民共和国政府采购法》第二十二条第一款规定的条件，提供以下材料：</w:t>
      </w:r>
    </w:p>
    <w:p w14:paraId="4A4C6143">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营业执照副本或事业单位法人证书或民办非企业单位登记证书或社会团体法人登记证书或基金会法人登记证书扫描件或自然人的身份证明扫描件。</w:t>
      </w:r>
    </w:p>
    <w:p w14:paraId="30612036">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财务状况报告等相关材料：</w:t>
      </w:r>
    </w:p>
    <w:p w14:paraId="4330B4D9">
      <w:pPr>
        <w:ind w:firstLine="446"/>
        <w:rPr>
          <w:rFonts w:hint="eastAsia" w:ascii="仿宋" w:hAnsi="仿宋" w:eastAsia="仿宋" w:cs="仿宋"/>
          <w:sz w:val="32"/>
          <w:szCs w:val="32"/>
          <w:highlight w:val="none"/>
        </w:rPr>
      </w:pPr>
      <w:r>
        <w:rPr>
          <w:rFonts w:ascii="仿宋" w:hAnsi="仿宋" w:eastAsia="仿宋" w:cs="仿宋"/>
          <w:sz w:val="32"/>
          <w:szCs w:val="32"/>
          <w:highlight w:val="none"/>
        </w:rPr>
        <w:t>A.经第三方会计师事务所审计的2024</w:t>
      </w:r>
      <w:r>
        <w:rPr>
          <w:rFonts w:hint="eastAsia" w:ascii="仿宋" w:hAnsi="仿宋" w:eastAsia="仿宋" w:cs="仿宋"/>
          <w:sz w:val="32"/>
          <w:szCs w:val="32"/>
          <w:highlight w:val="none"/>
        </w:rPr>
        <w:t>年度财务报告扫描件，财务报告需包含附注页。</w:t>
      </w:r>
    </w:p>
    <w:p w14:paraId="36166D6E">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B. </w:t>
      </w:r>
      <w:r>
        <w:rPr>
          <w:rFonts w:hint="eastAsia" w:ascii="仿宋" w:hAnsi="仿宋" w:eastAsia="仿宋" w:cs="仿宋"/>
          <w:sz w:val="32"/>
          <w:szCs w:val="32"/>
          <w:highlight w:val="none"/>
        </w:rPr>
        <w:t>具有良好的商业信誉和健全的财务会计制度的书面声明。</w:t>
      </w:r>
    </w:p>
    <w:p w14:paraId="01556A9D">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注：</w:t>
      </w:r>
      <w:r>
        <w:rPr>
          <w:rFonts w:ascii="仿宋" w:hAnsi="仿宋" w:eastAsia="仿宋" w:cs="仿宋"/>
          <w:sz w:val="32"/>
          <w:szCs w:val="32"/>
          <w:highlight w:val="none"/>
        </w:rPr>
        <w:t>A、B两项提供任意一项均可。</w:t>
      </w:r>
    </w:p>
    <w:p w14:paraId="37C5120A">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3. </w:t>
      </w:r>
      <w:r>
        <w:rPr>
          <w:rFonts w:hint="eastAsia" w:ascii="仿宋" w:hAnsi="仿宋" w:eastAsia="仿宋" w:cs="仿宋"/>
          <w:sz w:val="32"/>
          <w:szCs w:val="32"/>
          <w:highlight w:val="none"/>
        </w:rPr>
        <w:t>依法缴纳税收和社会保障资金的书面声明。</w:t>
      </w:r>
    </w:p>
    <w:p w14:paraId="36679775">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4. </w:t>
      </w:r>
      <w:r>
        <w:rPr>
          <w:rFonts w:hint="eastAsia" w:ascii="仿宋" w:hAnsi="仿宋" w:eastAsia="仿宋" w:cs="仿宋"/>
          <w:sz w:val="32"/>
          <w:szCs w:val="32"/>
          <w:highlight w:val="none"/>
        </w:rPr>
        <w:t>投标截止日前</w:t>
      </w:r>
      <w:r>
        <w:rPr>
          <w:rFonts w:ascii="仿宋" w:hAnsi="仿宋" w:eastAsia="仿宋" w:cs="仿宋"/>
          <w:sz w:val="32"/>
          <w:szCs w:val="32"/>
          <w:highlight w:val="none"/>
        </w:rPr>
        <w:t>3年在经营活动中没有重大违法记录的书面声明（截至开标日成立不足3年的供应商可提供自成立以来无重大违法记录的书面声明）。</w:t>
      </w:r>
    </w:p>
    <w:p w14:paraId="0A3FC91B">
      <w:pPr>
        <w:numPr>
          <w:ilvl w:val="-1"/>
          <w:numId w:val="0"/>
        </w:numPr>
        <w:spacing w:line="240" w:lineRule="auto"/>
        <w:ind w:left="0" w:leftChars="0" w:firstLine="446" w:firstLineChars="0"/>
        <w:rPr>
          <w:rFonts w:hint="eastAsia" w:ascii="仿宋_GB2312" w:hAnsi="仿宋" w:eastAsia="仿宋_GB2312" w:cs="Times New Roman"/>
          <w:color w:val="000000"/>
          <w:sz w:val="32"/>
          <w:szCs w:val="32"/>
          <w:highlight w:val="none"/>
          <w:lang w:eastAsia="zh-CN"/>
        </w:rPr>
      </w:pPr>
      <w:r>
        <w:rPr>
          <w:rFonts w:ascii="仿宋" w:hAnsi="仿宋" w:eastAsia="仿宋" w:cs="仿宋"/>
          <w:sz w:val="32"/>
          <w:szCs w:val="32"/>
          <w:highlight w:val="none"/>
        </w:rPr>
        <w:t xml:space="preserve">5. </w:t>
      </w:r>
      <w:r>
        <w:rPr>
          <w:rFonts w:hint="eastAsia" w:ascii="仿宋" w:hAnsi="仿宋" w:eastAsia="仿宋" w:cs="仿宋"/>
          <w:sz w:val="32"/>
          <w:szCs w:val="32"/>
          <w:highlight w:val="none"/>
        </w:rPr>
        <w:t>提交具备履行合同所必需的设备和专业技术能力证明材料。</w:t>
      </w:r>
    </w:p>
    <w:p w14:paraId="26689CEC">
      <w:pPr>
        <w:widowControl w:val="0"/>
        <w:numPr>
          <w:ilvl w:val="0"/>
          <w:numId w:val="0"/>
        </w:numPr>
        <w:jc w:val="both"/>
        <w:rPr>
          <w:rFonts w:hint="eastAsia"/>
          <w:highlight w:val="none"/>
        </w:rPr>
      </w:pPr>
    </w:p>
    <w:p w14:paraId="7C98B2E0">
      <w:pPr>
        <w:pStyle w:val="3"/>
        <w:numPr>
          <w:ilvl w:val="0"/>
          <w:numId w:val="23"/>
        </w:numPr>
        <w:ind w:left="0" w:leftChars="0" w:firstLine="448" w:firstLineChars="0"/>
        <w:rPr>
          <w:rFonts w:hint="eastAsia" w:ascii="仿宋" w:hAnsi="仿宋" w:eastAsia="仿宋" w:cs="仿宋"/>
          <w:sz w:val="32"/>
          <w:highlight w:val="none"/>
        </w:rPr>
      </w:pPr>
      <w:r>
        <w:rPr>
          <w:rFonts w:hint="eastAsia" w:ascii="仿宋" w:hAnsi="仿宋" w:eastAsia="仿宋" w:cs="仿宋"/>
          <w:sz w:val="32"/>
          <w:highlight w:val="none"/>
        </w:rPr>
        <w:t>服务要求</w:t>
      </w:r>
    </w:p>
    <w:p w14:paraId="0FADB1EC">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1测评实施要求</w:t>
      </w:r>
    </w:p>
    <w:p w14:paraId="66443A72">
      <w:pPr>
        <w:numPr>
          <w:ilvl w:val="0"/>
          <w:numId w:val="24"/>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中标人应保证本项目在采购人条件成熟时应立即开展实施；</w:t>
      </w:r>
    </w:p>
    <w:p w14:paraId="0F6B356E">
      <w:pPr>
        <w:numPr>
          <w:ilvl w:val="0"/>
          <w:numId w:val="24"/>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在项目实施过程中应服从采购人的统一领导和协调，采购人有权裁决中标人的责任范围，中标人必须执行，在采购人限定的时间内解决问题。如果中标人不能按时完成测评内容，采购人有权中止项目、索赔或拒付款项；</w:t>
      </w:r>
    </w:p>
    <w:p w14:paraId="535EFACB">
      <w:pPr>
        <w:numPr>
          <w:ilvl w:val="0"/>
          <w:numId w:val="24"/>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中标人应根据采购人工作需求、进度要求、实际情况制定详细的项目实施管理规范和项目实施计划，对工程目标、工作任务、阶段性工作、项目组织机构、职责分工、项目进度、质量控制等内容进行详细的说明，</w:t>
      </w:r>
      <w:r>
        <w:rPr>
          <w:rFonts w:hint="eastAsia" w:ascii="仿宋_GB2312" w:hAnsi="仿宋" w:eastAsia="仿宋_GB2312" w:cs="Times New Roman"/>
          <w:color w:val="000000"/>
          <w:sz w:val="32"/>
          <w:szCs w:val="32"/>
          <w:highlight w:val="none"/>
          <w:lang w:val="en-US" w:eastAsia="zh-CN"/>
        </w:rPr>
        <w:t>并制定</w:t>
      </w:r>
      <w:r>
        <w:rPr>
          <w:rFonts w:hint="eastAsia" w:ascii="仿宋_GB2312" w:hAnsi="仿宋" w:eastAsia="仿宋_GB2312" w:cs="Times New Roman"/>
          <w:color w:val="000000"/>
          <w:sz w:val="32"/>
          <w:szCs w:val="32"/>
          <w:highlight w:val="none"/>
          <w:lang w:eastAsia="zh-CN"/>
        </w:rPr>
        <w:t>项目突发事件应急方案及保障措施，以确保工程实施按时保质的完成；</w:t>
      </w:r>
    </w:p>
    <w:p w14:paraId="36CFDAC2">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2测评报告要求</w:t>
      </w:r>
    </w:p>
    <w:p w14:paraId="40431C67">
      <w:pPr>
        <w:numPr>
          <w:ilvl w:val="0"/>
          <w:numId w:val="25"/>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中标人在测评完成后，应对采购人的各个信息系统出具符合等级保护主管部门要求的《</w:t>
      </w:r>
      <w:r>
        <w:rPr>
          <w:rFonts w:hint="eastAsia" w:ascii="仿宋_GB2312" w:hAnsi="仿宋" w:eastAsia="仿宋_GB2312" w:cs="Times New Roman"/>
          <w:color w:val="000000"/>
          <w:sz w:val="32"/>
          <w:szCs w:val="32"/>
          <w:highlight w:val="none"/>
          <w:lang w:val="en-US" w:eastAsia="zh-CN"/>
        </w:rPr>
        <w:t>网络安全</w:t>
      </w:r>
      <w:r>
        <w:rPr>
          <w:rFonts w:hint="eastAsia" w:ascii="仿宋_GB2312" w:hAnsi="仿宋" w:eastAsia="仿宋_GB2312" w:cs="Times New Roman"/>
          <w:color w:val="000000"/>
          <w:sz w:val="32"/>
          <w:szCs w:val="32"/>
          <w:highlight w:val="none"/>
          <w:lang w:eastAsia="zh-CN"/>
        </w:rPr>
        <w:t>等级保护测评报告》。</w:t>
      </w:r>
    </w:p>
    <w:p w14:paraId="36B79F4B">
      <w:pPr>
        <w:numPr>
          <w:ilvl w:val="0"/>
          <w:numId w:val="25"/>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对不符合信息安全等级保护有关管理规范和技术标准的，中标人出具可行的系统整改建议报告，指导采购人完成整改。如测评后，采购人存在制度等不完善的情况，中标人需协助采购人完善制度等。</w:t>
      </w:r>
    </w:p>
    <w:p w14:paraId="1218AB66">
      <w:pPr>
        <w:numPr>
          <w:ilvl w:val="0"/>
          <w:numId w:val="25"/>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bookmarkStart w:id="8" w:name="OLE_LINK20"/>
      <w:r>
        <w:rPr>
          <w:rFonts w:hint="eastAsia" w:ascii="仿宋_GB2312" w:hAnsi="仿宋" w:eastAsia="仿宋_GB2312" w:cs="Times New Roman"/>
          <w:color w:val="000000"/>
          <w:sz w:val="32"/>
          <w:szCs w:val="32"/>
          <w:highlight w:val="none"/>
          <w:lang w:eastAsia="zh-CN"/>
        </w:rPr>
        <w:t>中标人</w:t>
      </w:r>
      <w:bookmarkEnd w:id="8"/>
      <w:r>
        <w:rPr>
          <w:rFonts w:hint="eastAsia" w:ascii="仿宋_GB2312" w:hAnsi="仿宋" w:eastAsia="仿宋_GB2312" w:cs="Times New Roman"/>
          <w:color w:val="000000"/>
          <w:sz w:val="32"/>
          <w:szCs w:val="32"/>
          <w:highlight w:val="none"/>
          <w:lang w:eastAsia="zh-CN"/>
        </w:rPr>
        <w:t>需提供信息系统安全等级保护测评问题的具体解决方案，包括但不仅限于缺少的网络安全设备种类，对于中标人出具的</w:t>
      </w:r>
      <w:r>
        <w:rPr>
          <w:rFonts w:hint="eastAsia" w:ascii="仿宋_GB2312" w:hAnsi="仿宋" w:eastAsia="仿宋_GB2312" w:cs="Times New Roman"/>
          <w:color w:val="000000"/>
          <w:sz w:val="32"/>
          <w:szCs w:val="32"/>
          <w:highlight w:val="none"/>
          <w:lang w:val="en-US" w:eastAsia="zh-CN"/>
        </w:rPr>
        <w:t>中高低风险问题、重大风险隐患问题以及安全</w:t>
      </w:r>
      <w:r>
        <w:rPr>
          <w:rFonts w:hint="eastAsia" w:ascii="仿宋_GB2312" w:hAnsi="仿宋" w:eastAsia="仿宋_GB2312" w:cs="Times New Roman"/>
          <w:color w:val="000000"/>
          <w:sz w:val="32"/>
          <w:szCs w:val="32"/>
          <w:highlight w:val="none"/>
          <w:lang w:eastAsia="zh-CN"/>
        </w:rPr>
        <w:t>整改建议进行专业术语和专业指导意见的解读等。</w:t>
      </w:r>
    </w:p>
    <w:p w14:paraId="2206F645">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3项目承诺</w:t>
      </w:r>
    </w:p>
    <w:p w14:paraId="723511D0">
      <w:pPr>
        <w:numPr>
          <w:ilvl w:val="0"/>
          <w:numId w:val="26"/>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保密性要求：中标人必须和采购人签订保密协议和非侵害性协议，中标人必须要与参加此次测评项目的所有项目组成员签订保密协议和非侵害性协议，在合同签定时一并提供给采购人。</w:t>
      </w:r>
    </w:p>
    <w:p w14:paraId="23B6C7F5">
      <w:pPr>
        <w:numPr>
          <w:ilvl w:val="0"/>
          <w:numId w:val="26"/>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中标人具体网络安全等级保护测评工作和等级保护测评报告的编写，必须在采购人的指定地点进行。对于测评中的重要资料和结果，在测评期间和测评结束后，中标人不得带离该地点。</w:t>
      </w:r>
    </w:p>
    <w:p w14:paraId="27739632">
      <w:pPr>
        <w:numPr>
          <w:ilvl w:val="0"/>
          <w:numId w:val="26"/>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中标人对本规范书中的内容及在应标过程中接触的设备信息、数据资料等负有保密责任，不得泄露给任何第三方。无论中标人中标与否，其对上述内容的保密责任将长期存在。</w:t>
      </w:r>
    </w:p>
    <w:p w14:paraId="6854CFFA">
      <w:pPr>
        <w:numPr>
          <w:ilvl w:val="0"/>
          <w:numId w:val="26"/>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网络安全等级保护测评的品质保证：中标人应承诺指派工作经验丰富、技术实力雄厚的安全顾问，结合技术领先、结论可靠的测评工具为客户作全面等级保护测评。承诺测评过程按照国家标准进行，并保证对客户的资料严格保密。</w:t>
      </w:r>
    </w:p>
    <w:p w14:paraId="43EC1A3A">
      <w:pPr>
        <w:numPr>
          <w:ilvl w:val="0"/>
          <w:numId w:val="26"/>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项目验收完成后，要求提供为期一年的免费技术咨询服务，以保证项目正常运行。售后服务要求响应时间为：提供7×24小时电话技术咨询支持，在收到用户通知后，2小时内须作出有效响应，如非现场响应无法解决问题的，双方提前协商好进行现场解决。</w:t>
      </w:r>
    </w:p>
    <w:p w14:paraId="0C4D0DB0">
      <w:pPr>
        <w:numPr>
          <w:ilvl w:val="0"/>
          <w:numId w:val="0"/>
        </w:numPr>
        <w:ind w:left="448" w:leftChars="0"/>
        <w:rPr>
          <w:rFonts w:hint="eastAsia"/>
          <w:highlight w:val="none"/>
        </w:rPr>
      </w:pPr>
    </w:p>
    <w:p w14:paraId="4F59EE4D">
      <w:pPr>
        <w:pStyle w:val="3"/>
        <w:numPr>
          <w:ilvl w:val="0"/>
          <w:numId w:val="23"/>
        </w:numPr>
        <w:ind w:left="0" w:leftChars="0" w:firstLine="448" w:firstLineChars="0"/>
        <w:rPr>
          <w:rFonts w:hint="eastAsia" w:ascii="仿宋" w:hAnsi="仿宋" w:eastAsia="仿宋" w:cs="仿宋"/>
          <w:sz w:val="32"/>
          <w:highlight w:val="none"/>
        </w:rPr>
      </w:pPr>
      <w:r>
        <w:rPr>
          <w:rFonts w:hint="eastAsia" w:ascii="仿宋" w:hAnsi="仿宋" w:eastAsia="仿宋" w:cs="仿宋"/>
          <w:sz w:val="32"/>
          <w:highlight w:val="none"/>
        </w:rPr>
        <w:t>时间、地点要求</w:t>
      </w:r>
    </w:p>
    <w:p w14:paraId="6B529139">
      <w:pPr>
        <w:ind w:firstLine="446"/>
        <w:rPr>
          <w:rFonts w:hint="default" w:ascii="仿宋" w:hAnsi="仿宋" w:eastAsia="仿宋" w:cs="仿宋"/>
          <w:sz w:val="32"/>
          <w:szCs w:val="32"/>
          <w:highlight w:val="none"/>
          <w:lang w:val="en-US" w:eastAsia="zh-CN"/>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时间要求：</w:t>
      </w:r>
      <w:r>
        <w:rPr>
          <w:rFonts w:hint="eastAsia" w:ascii="仿宋" w:hAnsi="仿宋" w:eastAsia="仿宋" w:cs="仿宋"/>
          <w:sz w:val="32"/>
          <w:szCs w:val="32"/>
          <w:highlight w:val="none"/>
          <w:lang w:val="en-US" w:eastAsia="zh-CN"/>
        </w:rPr>
        <w:t>自甲方通知之日起90天内完成相关服务。</w:t>
      </w:r>
    </w:p>
    <w:p w14:paraId="291F227F">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服务地点：</w:t>
      </w:r>
      <w:r>
        <w:rPr>
          <w:rFonts w:ascii="仿宋" w:hAnsi="仿宋" w:eastAsia="仿宋" w:cs="仿宋"/>
          <w:sz w:val="32"/>
          <w:szCs w:val="32"/>
          <w:highlight w:val="none"/>
        </w:rPr>
        <w:t xml:space="preserve"> </w:t>
      </w:r>
      <w:r>
        <w:rPr>
          <w:rFonts w:hint="eastAsia" w:ascii="仿宋" w:hAnsi="仿宋" w:eastAsia="仿宋" w:cs="仿宋"/>
          <w:sz w:val="32"/>
          <w:szCs w:val="32"/>
          <w:highlight w:val="none"/>
        </w:rPr>
        <w:t>采购人指定地点。</w:t>
      </w:r>
    </w:p>
    <w:p w14:paraId="6F4077CA">
      <w:pPr>
        <w:widowControl w:val="0"/>
        <w:numPr>
          <w:ilvl w:val="0"/>
          <w:numId w:val="0"/>
        </w:numPr>
        <w:jc w:val="both"/>
        <w:rPr>
          <w:rFonts w:hint="eastAsia"/>
          <w:highlight w:val="none"/>
        </w:rPr>
      </w:pPr>
    </w:p>
    <w:p w14:paraId="46C697DF">
      <w:pPr>
        <w:pStyle w:val="3"/>
        <w:ind w:firstLine="448"/>
        <w:rPr>
          <w:rFonts w:hint="eastAsia" w:ascii="仿宋" w:hAnsi="仿宋" w:eastAsia="仿宋" w:cs="仿宋"/>
          <w:sz w:val="32"/>
          <w:highlight w:val="none"/>
        </w:rPr>
      </w:pPr>
      <w:r>
        <w:rPr>
          <w:rFonts w:hint="eastAsia" w:ascii="仿宋" w:hAnsi="仿宋" w:eastAsia="仿宋" w:cs="仿宋"/>
          <w:sz w:val="32"/>
          <w:highlight w:val="none"/>
        </w:rPr>
        <w:t>（五）付款方式</w:t>
      </w:r>
    </w:p>
    <w:p w14:paraId="18833F60">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签订合同</w:t>
      </w:r>
      <w:r>
        <w:rPr>
          <w:rFonts w:hint="eastAsia" w:ascii="仿宋_GB2312" w:hAnsi="仿宋" w:eastAsia="仿宋_GB2312" w:cs="Times New Roman"/>
          <w:color w:val="000000"/>
          <w:sz w:val="32"/>
          <w:szCs w:val="32"/>
          <w:highlight w:val="none"/>
          <w:lang w:val="en-US" w:eastAsia="zh-CN"/>
        </w:rPr>
        <w:t>且财政资金到账后，</w:t>
      </w:r>
      <w:r>
        <w:rPr>
          <w:rFonts w:hint="eastAsia" w:ascii="仿宋_GB2312" w:hAnsi="仿宋" w:eastAsia="仿宋_GB2312" w:cs="Times New Roman"/>
          <w:color w:val="000000"/>
          <w:sz w:val="32"/>
          <w:szCs w:val="32"/>
          <w:highlight w:val="none"/>
          <w:u w:val="none"/>
          <w:lang w:val="en-US" w:eastAsia="zh-CN"/>
        </w:rPr>
        <w:t>供应商</w:t>
      </w:r>
      <w:r>
        <w:rPr>
          <w:rFonts w:hint="eastAsia" w:ascii="仿宋" w:hAnsi="仿宋" w:eastAsia="仿宋" w:cs="Times New Roman"/>
          <w:color w:val="auto"/>
          <w:kern w:val="2"/>
          <w:sz w:val="32"/>
          <w:szCs w:val="32"/>
          <w:highlight w:val="none"/>
          <w:u w:val="none"/>
          <w:lang w:val="en-US" w:eastAsia="zh-CN"/>
        </w:rPr>
        <w:t>与采购人沟通项目启动时间；项目正式启动前</w:t>
      </w:r>
      <w:r>
        <w:rPr>
          <w:rFonts w:hint="eastAsia" w:ascii="仿宋_GB2312" w:hAnsi="仿宋" w:eastAsia="仿宋_GB2312" w:cs="Times New Roman"/>
          <w:color w:val="000000"/>
          <w:sz w:val="32"/>
          <w:szCs w:val="32"/>
          <w:highlight w:val="none"/>
          <w:u w:val="none"/>
          <w:lang w:eastAsia="zh-CN"/>
        </w:rPr>
        <w:t>15个工作日内，</w:t>
      </w:r>
      <w:r>
        <w:rPr>
          <w:rFonts w:hint="eastAsia" w:ascii="仿宋" w:hAnsi="仿宋" w:eastAsia="仿宋" w:cs="Times New Roman"/>
          <w:color w:val="auto"/>
          <w:kern w:val="2"/>
          <w:sz w:val="32"/>
          <w:szCs w:val="32"/>
          <w:highlight w:val="none"/>
          <w:u w:val="none"/>
          <w:lang w:val="en-US" w:eastAsia="zh-CN"/>
        </w:rPr>
        <w:t>采购人</w:t>
      </w:r>
      <w:r>
        <w:rPr>
          <w:rFonts w:hint="eastAsia" w:ascii="仿宋_GB2312" w:hAnsi="仿宋" w:eastAsia="仿宋_GB2312" w:cs="Times New Roman"/>
          <w:color w:val="000000"/>
          <w:sz w:val="32"/>
          <w:szCs w:val="32"/>
          <w:highlight w:val="none"/>
          <w:u w:val="none"/>
          <w:lang w:eastAsia="zh-CN"/>
        </w:rPr>
        <w:t>支付合</w:t>
      </w:r>
      <w:r>
        <w:rPr>
          <w:rFonts w:hint="eastAsia" w:ascii="仿宋_GB2312" w:hAnsi="仿宋" w:eastAsia="仿宋_GB2312" w:cs="Times New Roman"/>
          <w:color w:val="000000"/>
          <w:sz w:val="32"/>
          <w:szCs w:val="32"/>
          <w:highlight w:val="none"/>
          <w:lang w:eastAsia="zh-CN"/>
        </w:rPr>
        <w:t>同总额的</w:t>
      </w:r>
      <w:r>
        <w:rPr>
          <w:rFonts w:hint="eastAsia" w:ascii="仿宋_GB2312" w:hAnsi="仿宋" w:eastAsia="仿宋_GB2312" w:cs="Times New Roman"/>
          <w:color w:val="000000"/>
          <w:sz w:val="32"/>
          <w:szCs w:val="32"/>
          <w:highlight w:val="none"/>
          <w:lang w:val="en-US" w:eastAsia="zh-CN"/>
        </w:rPr>
        <w:t>7</w:t>
      </w:r>
      <w:r>
        <w:rPr>
          <w:rFonts w:hint="eastAsia" w:ascii="仿宋_GB2312" w:hAnsi="仿宋" w:eastAsia="仿宋_GB2312" w:cs="Times New Roman"/>
          <w:color w:val="000000"/>
          <w:sz w:val="32"/>
          <w:szCs w:val="32"/>
          <w:highlight w:val="none"/>
          <w:lang w:eastAsia="zh-CN"/>
        </w:rPr>
        <w:t>0%,验收合格之日起15个工作日内支付合同总额的</w:t>
      </w:r>
      <w:r>
        <w:rPr>
          <w:rFonts w:hint="eastAsia" w:ascii="仿宋_GB2312" w:hAnsi="仿宋" w:eastAsia="仿宋_GB2312" w:cs="Times New Roman"/>
          <w:color w:val="000000"/>
          <w:sz w:val="32"/>
          <w:szCs w:val="32"/>
          <w:highlight w:val="none"/>
          <w:lang w:val="en-US" w:eastAsia="zh-CN"/>
        </w:rPr>
        <w:t>3</w:t>
      </w:r>
      <w:r>
        <w:rPr>
          <w:rFonts w:hint="eastAsia" w:ascii="仿宋_GB2312" w:hAnsi="仿宋" w:eastAsia="仿宋_GB2312" w:cs="Times New Roman"/>
          <w:color w:val="000000"/>
          <w:sz w:val="32"/>
          <w:szCs w:val="32"/>
          <w:highlight w:val="none"/>
          <w:lang w:eastAsia="zh-CN"/>
        </w:rPr>
        <w:t>0%。(特殊情况以合同为准)</w:t>
      </w:r>
    </w:p>
    <w:p w14:paraId="0BE6D225">
      <w:pPr>
        <w:rPr>
          <w:rFonts w:hint="eastAsia"/>
          <w:highlight w:val="none"/>
        </w:rPr>
      </w:pPr>
    </w:p>
    <w:p w14:paraId="3F3A2AB3">
      <w:pPr>
        <w:pStyle w:val="3"/>
        <w:numPr>
          <w:ilvl w:val="0"/>
          <w:numId w:val="0"/>
        </w:numPr>
        <w:ind w:left="448" w:leftChars="0"/>
        <w:rPr>
          <w:rFonts w:hint="eastAsia" w:ascii="仿宋" w:hAnsi="仿宋" w:eastAsia="仿宋" w:cs="仿宋"/>
          <w:sz w:val="32"/>
          <w:highlight w:val="none"/>
        </w:rPr>
      </w:pPr>
      <w:r>
        <w:rPr>
          <w:rFonts w:hint="eastAsia" w:ascii="仿宋" w:hAnsi="仿宋" w:eastAsia="仿宋" w:cs="仿宋"/>
          <w:sz w:val="32"/>
          <w:highlight w:val="none"/>
          <w:lang w:eastAsia="zh-CN"/>
        </w:rPr>
        <w:t>（</w:t>
      </w:r>
      <w:r>
        <w:rPr>
          <w:rFonts w:hint="eastAsia" w:ascii="仿宋" w:hAnsi="仿宋" w:eastAsia="仿宋" w:cs="仿宋"/>
          <w:sz w:val="32"/>
          <w:highlight w:val="none"/>
          <w:lang w:val="en-US" w:eastAsia="zh-CN"/>
        </w:rPr>
        <w:t>六</w:t>
      </w:r>
      <w:r>
        <w:rPr>
          <w:rFonts w:hint="eastAsia" w:ascii="仿宋" w:hAnsi="仿宋" w:eastAsia="仿宋" w:cs="仿宋"/>
          <w:sz w:val="32"/>
          <w:highlight w:val="none"/>
          <w:lang w:eastAsia="zh-CN"/>
        </w:rPr>
        <w:t>）</w:t>
      </w:r>
      <w:r>
        <w:rPr>
          <w:rFonts w:hint="eastAsia" w:ascii="仿宋" w:hAnsi="仿宋" w:eastAsia="仿宋" w:cs="仿宋"/>
          <w:sz w:val="32"/>
          <w:highlight w:val="none"/>
        </w:rPr>
        <w:t>投标保证金和履约保证金</w:t>
      </w:r>
    </w:p>
    <w:p w14:paraId="5C674AD9">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 w:hAnsi="仿宋" w:eastAsia="仿宋" w:cs="仿宋"/>
          <w:sz w:val="32"/>
          <w:szCs w:val="32"/>
          <w:highlight w:val="none"/>
        </w:rPr>
        <w:t>本项目不收取投标保证金和履约保证金。</w:t>
      </w:r>
    </w:p>
    <w:p w14:paraId="6AC82325">
      <w:pPr>
        <w:pStyle w:val="3"/>
        <w:ind w:firstLine="448"/>
        <w:rPr>
          <w:rFonts w:hint="eastAsia" w:ascii="仿宋" w:hAnsi="仿宋" w:eastAsia="仿宋" w:cs="仿宋"/>
          <w:sz w:val="32"/>
          <w:highlight w:val="none"/>
        </w:rPr>
      </w:pPr>
      <w:r>
        <w:rPr>
          <w:rFonts w:hint="eastAsia" w:ascii="仿宋" w:hAnsi="仿宋" w:eastAsia="仿宋" w:cs="仿宋"/>
          <w:sz w:val="32"/>
          <w:highlight w:val="none"/>
        </w:rPr>
        <w:t>（</w:t>
      </w:r>
      <w:r>
        <w:rPr>
          <w:rFonts w:hint="eastAsia" w:ascii="仿宋" w:hAnsi="仿宋" w:eastAsia="仿宋" w:cs="仿宋"/>
          <w:sz w:val="32"/>
          <w:highlight w:val="none"/>
          <w:lang w:val="en-US" w:eastAsia="zh-CN"/>
        </w:rPr>
        <w:t>七</w:t>
      </w:r>
      <w:r>
        <w:rPr>
          <w:rFonts w:hint="eastAsia" w:ascii="仿宋" w:hAnsi="仿宋" w:eastAsia="仿宋" w:cs="仿宋"/>
          <w:sz w:val="32"/>
          <w:highlight w:val="none"/>
        </w:rPr>
        <w:t>）验收方法及标准</w:t>
      </w:r>
    </w:p>
    <w:p w14:paraId="57B7742A">
      <w:pPr>
        <w:numPr>
          <w:ilvl w:val="0"/>
          <w:numId w:val="27"/>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本项目输出包括且不仅仅包括以下成果：《</w:t>
      </w:r>
      <w:r>
        <w:rPr>
          <w:rFonts w:hint="eastAsia" w:ascii="仿宋_GB2312" w:hAnsi="仿宋" w:eastAsia="仿宋_GB2312" w:cs="Times New Roman"/>
          <w:color w:val="000000"/>
          <w:sz w:val="32"/>
          <w:szCs w:val="32"/>
          <w:highlight w:val="none"/>
          <w:lang w:val="en-US" w:eastAsia="zh-CN"/>
        </w:rPr>
        <w:t>网络安全</w:t>
      </w:r>
      <w:r>
        <w:rPr>
          <w:rFonts w:hint="eastAsia" w:ascii="仿宋_GB2312" w:hAnsi="仿宋" w:eastAsia="仿宋_GB2312" w:cs="Times New Roman"/>
          <w:color w:val="000000"/>
          <w:sz w:val="32"/>
          <w:szCs w:val="32"/>
          <w:highlight w:val="none"/>
          <w:lang w:eastAsia="zh-CN"/>
        </w:rPr>
        <w:t>等级保护测评报告》、《定级备案表》、《</w:t>
      </w:r>
      <w:r>
        <w:rPr>
          <w:rFonts w:hint="eastAsia" w:ascii="仿宋_GB2312" w:hAnsi="仿宋" w:eastAsia="仿宋_GB2312" w:cs="Times New Roman"/>
          <w:color w:val="000000"/>
          <w:sz w:val="32"/>
          <w:szCs w:val="32"/>
          <w:highlight w:val="none"/>
          <w:lang w:val="en-US" w:eastAsia="zh-CN"/>
        </w:rPr>
        <w:t>网络安全</w:t>
      </w:r>
      <w:r>
        <w:rPr>
          <w:rFonts w:hint="eastAsia" w:ascii="仿宋_GB2312" w:hAnsi="仿宋" w:eastAsia="仿宋_GB2312" w:cs="Times New Roman"/>
          <w:color w:val="000000"/>
          <w:sz w:val="32"/>
          <w:szCs w:val="32"/>
          <w:highlight w:val="none"/>
          <w:lang w:eastAsia="zh-CN"/>
        </w:rPr>
        <w:t>安全等级保护定级报告》等，并配合办理信息系统安全保护测评备案手续，该项目将产生一定数量的文档。</w:t>
      </w:r>
    </w:p>
    <w:p w14:paraId="45A0CDEA">
      <w:pPr>
        <w:numPr>
          <w:ilvl w:val="0"/>
          <w:numId w:val="27"/>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中标人测评工作结束后，提出整改意见并配合实施整改，最后出具符合公安机关要求的信息系统安全保护等级测评报告；</w:t>
      </w:r>
    </w:p>
    <w:p w14:paraId="39A12BCC">
      <w:pPr>
        <w:numPr>
          <w:ilvl w:val="0"/>
          <w:numId w:val="27"/>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在服务期内系统发生等级变更或重新定级等情况，</w:t>
      </w:r>
      <w:r>
        <w:rPr>
          <w:rFonts w:hint="eastAsia" w:ascii="仿宋_GB2312" w:hAnsi="仿宋" w:eastAsia="仿宋_GB2312" w:cs="Times New Roman"/>
          <w:color w:val="000000"/>
          <w:sz w:val="32"/>
          <w:szCs w:val="32"/>
          <w:highlight w:val="none"/>
          <w:lang w:val="en-US" w:eastAsia="zh-CN"/>
        </w:rPr>
        <w:t>中标人</w:t>
      </w:r>
      <w:r>
        <w:rPr>
          <w:rFonts w:hint="eastAsia" w:ascii="仿宋_GB2312" w:hAnsi="仿宋" w:eastAsia="仿宋_GB2312" w:cs="Times New Roman"/>
          <w:color w:val="000000"/>
          <w:sz w:val="32"/>
          <w:szCs w:val="32"/>
          <w:highlight w:val="none"/>
          <w:lang w:eastAsia="zh-CN"/>
        </w:rPr>
        <w:t>提供免费咨询和备案协助等服务，协助天津市教育委员会完成信息系统安全保护等级备案工作。</w:t>
      </w:r>
    </w:p>
    <w:p w14:paraId="460BDFFF">
      <w:pPr>
        <w:numPr>
          <w:ilvl w:val="0"/>
          <w:numId w:val="27"/>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中标人应对所有正式交付件的综合质量审查负责，指定各交付件的相关责任人，明确相关职责。</w:t>
      </w:r>
    </w:p>
    <w:p w14:paraId="1C222D4F">
      <w:pPr>
        <w:numPr>
          <w:ilvl w:val="0"/>
          <w:numId w:val="27"/>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中标人应提交验收方案，供采购人参考。</w:t>
      </w:r>
    </w:p>
    <w:p w14:paraId="5DE718B6">
      <w:pPr>
        <w:numPr>
          <w:ilvl w:val="0"/>
          <w:numId w:val="27"/>
        </w:numPr>
        <w:spacing w:line="560" w:lineRule="exact"/>
        <w:ind w:left="0" w:leftChars="0" w:firstLine="400" w:firstLineChars="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采购人将依据本项目的要求，组织相关部门或单位的技术专家对供应商提交的项目成果进行验收。</w:t>
      </w:r>
    </w:p>
    <w:p w14:paraId="64094FBC">
      <w:pPr>
        <w:spacing w:line="560" w:lineRule="exact"/>
        <w:ind w:firstLine="640" w:firstLineChars="200"/>
        <w:jc w:val="left"/>
        <w:outlineLvl w:val="2"/>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.包</w:t>
      </w:r>
      <w:r>
        <w:rPr>
          <w:rFonts w:hint="eastAsia" w:ascii="仿宋" w:hAnsi="仿宋" w:eastAsia="仿宋"/>
          <w:sz w:val="32"/>
          <w:szCs w:val="32"/>
          <w:highlight w:val="none"/>
          <w:lang w:val="en-US" w:eastAsia="zh-CN"/>
        </w:rPr>
        <w:t>3</w:t>
      </w:r>
    </w:p>
    <w:p w14:paraId="1678A445">
      <w:pPr>
        <w:spacing w:line="560" w:lineRule="exact"/>
        <w:ind w:left="0"/>
        <w:outlineLvl w:val="3"/>
        <w:rPr>
          <w:rFonts w:hint="eastAsia" w:ascii="仿宋" w:hAnsi="仿宋" w:eastAsia="仿宋" w:cs="宋体"/>
          <w:sz w:val="32"/>
          <w:szCs w:val="32"/>
          <w:highlight w:val="none"/>
          <w:u w:val="single"/>
          <w:lang w:eastAsia="zh-CN"/>
        </w:rPr>
      </w:pPr>
      <w:bookmarkStart w:id="9" w:name="OLE_LINK35"/>
      <w:r>
        <w:rPr>
          <w:rFonts w:hint="eastAsia" w:ascii="仿宋" w:hAnsi="仿宋" w:eastAsia="仿宋" w:cs="宋体"/>
          <w:sz w:val="32"/>
          <w:szCs w:val="32"/>
          <w:highlight w:val="none"/>
          <w:u w:val="single"/>
          <w:lang w:eastAsia="zh-CN"/>
        </w:rPr>
        <w:t>（</w:t>
      </w:r>
      <w:r>
        <w:rPr>
          <w:rFonts w:hint="eastAsia" w:ascii="仿宋" w:hAnsi="仿宋" w:eastAsia="仿宋" w:cs="宋体"/>
          <w:sz w:val="32"/>
          <w:szCs w:val="32"/>
          <w:highlight w:val="none"/>
          <w:u w:val="single"/>
          <w:lang w:val="en-US" w:eastAsia="zh-CN"/>
        </w:rPr>
        <w:t>1</w:t>
      </w:r>
      <w:r>
        <w:rPr>
          <w:rFonts w:hint="eastAsia" w:ascii="仿宋" w:hAnsi="仿宋" w:eastAsia="仿宋" w:cs="宋体"/>
          <w:sz w:val="32"/>
          <w:szCs w:val="32"/>
          <w:highlight w:val="none"/>
          <w:u w:val="single"/>
          <w:lang w:eastAsia="zh-CN"/>
        </w:rPr>
        <w:t>）</w:t>
      </w:r>
      <w:r>
        <w:rPr>
          <w:rFonts w:hint="eastAsia" w:ascii="仿宋" w:hAnsi="仿宋" w:eastAsia="仿宋" w:cs="宋体"/>
          <w:sz w:val="32"/>
          <w:szCs w:val="32"/>
          <w:highlight w:val="none"/>
          <w:u w:val="single"/>
          <w:lang w:val="en-US" w:eastAsia="zh-CN"/>
        </w:rPr>
        <w:t>技术要求</w:t>
      </w:r>
    </w:p>
    <w:p w14:paraId="5E93E5EA">
      <w:pPr>
        <w:pStyle w:val="4"/>
        <w:ind w:firstLine="448"/>
        <w:rPr>
          <w:rFonts w:hint="eastAsia" w:ascii="仿宋_GB2312" w:hAnsi="仿宋" w:eastAsia="仿宋_GB2312" w:cs="Times New Roman"/>
          <w:color w:val="000000"/>
          <w:sz w:val="32"/>
          <w:szCs w:val="32"/>
          <w:highlight w:val="none"/>
          <w:lang w:val="en-US" w:eastAsia="zh-CN"/>
        </w:rPr>
      </w:pPr>
      <w:bookmarkStart w:id="10" w:name="OLE_LINK21"/>
      <w:r>
        <w:rPr>
          <w:rFonts w:hint="eastAsia" w:ascii="仿宋_GB2312" w:hAnsi="仿宋" w:eastAsia="仿宋_GB2312" w:cs="Times New Roman"/>
          <w:color w:val="000000"/>
          <w:sz w:val="32"/>
          <w:szCs w:val="32"/>
          <w:highlight w:val="none"/>
          <w:lang w:val="en-US" w:eastAsia="zh-CN"/>
        </w:rPr>
        <w:t>1商用密码应用安全性评估</w:t>
      </w:r>
      <w:bookmarkEnd w:id="10"/>
      <w:r>
        <w:rPr>
          <w:rFonts w:hint="eastAsia" w:ascii="仿宋_GB2312" w:hAnsi="仿宋" w:eastAsia="仿宋_GB2312" w:cs="Times New Roman"/>
          <w:color w:val="000000"/>
          <w:sz w:val="32"/>
          <w:szCs w:val="32"/>
          <w:highlight w:val="none"/>
          <w:lang w:val="en-US" w:eastAsia="zh-CN"/>
        </w:rPr>
        <w:t xml:space="preserve">范围 </w:t>
      </w:r>
    </w:p>
    <w:bookmarkEnd w:id="9"/>
    <w:tbl>
      <w:tblPr>
        <w:tblStyle w:val="17"/>
        <w:tblW w:w="4998" w:type="pct"/>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478"/>
        <w:gridCol w:w="2914"/>
        <w:gridCol w:w="3049"/>
        <w:gridCol w:w="2609"/>
      </w:tblGrid>
      <w:tr w14:paraId="29F67EC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64" w:type="pct"/>
            <w:tcBorders>
              <w:top w:val="single" w:color="000000" w:sz="4"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5470AC5B">
            <w:pPr>
              <w:pStyle w:val="46"/>
              <w:jc w:val="center"/>
              <w:rPr>
                <w:rFonts w:ascii="仿宋_GB2312" w:hAnsi="仿宋_GB2312" w:eastAsia="仿宋_GB2312" w:cs="仿宋_GB2312"/>
                <w:b/>
                <w:sz w:val="24"/>
                <w:highlight w:val="none"/>
              </w:rPr>
            </w:pPr>
            <w:bookmarkStart w:id="11" w:name="OLE_LINK36" w:colFirst="0" w:colLast="2"/>
            <w:r>
              <w:rPr>
                <w:rFonts w:ascii="仿宋_GB2312" w:hAnsi="仿宋_GB2312" w:eastAsia="仿宋_GB2312" w:cs="仿宋_GB2312"/>
                <w:b/>
                <w:sz w:val="24"/>
                <w:highlight w:val="none"/>
              </w:rPr>
              <w:t>序号</w:t>
            </w:r>
          </w:p>
        </w:tc>
        <w:tc>
          <w:tcPr>
            <w:tcW w:w="1609" w:type="pct"/>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199CF124">
            <w:pPr>
              <w:pStyle w:val="46"/>
              <w:jc w:val="center"/>
              <w:rPr>
                <w:rFonts w:hint="default" w:ascii="仿宋_GB2312" w:hAnsi="仿宋_GB2312" w:eastAsia="仿宋_GB2312" w:cs="仿宋_GB2312"/>
                <w:b/>
                <w:sz w:val="24"/>
                <w:highlight w:val="none"/>
                <w:lang w:val="en-US" w:eastAsia="zh-CN"/>
              </w:rPr>
            </w:pPr>
            <w:r>
              <w:rPr>
                <w:rFonts w:hint="eastAsia" w:ascii="仿宋_GB2312" w:hAnsi="仿宋_GB2312" w:eastAsia="仿宋_GB2312" w:cs="仿宋_GB2312"/>
                <w:b/>
                <w:sz w:val="24"/>
                <w:highlight w:val="none"/>
                <w:lang w:val="en-US" w:eastAsia="zh-CN"/>
              </w:rPr>
              <w:t>被测单位名称</w:t>
            </w:r>
          </w:p>
        </w:tc>
        <w:tc>
          <w:tcPr>
            <w:tcW w:w="1684" w:type="pct"/>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638141F0">
            <w:pPr>
              <w:pStyle w:val="46"/>
              <w:jc w:val="center"/>
              <w:rPr>
                <w:rFonts w:ascii="仿宋_GB2312" w:hAnsi="仿宋_GB2312" w:eastAsia="仿宋_GB2312" w:cs="仿宋_GB2312"/>
                <w:b/>
                <w:sz w:val="24"/>
                <w:highlight w:val="none"/>
              </w:rPr>
            </w:pPr>
            <w:r>
              <w:rPr>
                <w:rFonts w:ascii="仿宋_GB2312" w:hAnsi="仿宋_GB2312" w:eastAsia="仿宋_GB2312" w:cs="仿宋_GB2312"/>
                <w:b/>
                <w:sz w:val="24"/>
                <w:highlight w:val="none"/>
              </w:rPr>
              <w:t>系统名称</w:t>
            </w:r>
          </w:p>
        </w:tc>
        <w:tc>
          <w:tcPr>
            <w:tcW w:w="1441" w:type="pct"/>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04B96E56">
            <w:pPr>
              <w:pStyle w:val="46"/>
              <w:jc w:val="center"/>
              <w:rPr>
                <w:highlight w:val="none"/>
              </w:rPr>
            </w:pPr>
            <w:r>
              <w:rPr>
                <w:rFonts w:ascii="仿宋_GB2312" w:hAnsi="仿宋_GB2312" w:eastAsia="仿宋_GB2312" w:cs="仿宋_GB2312"/>
                <w:b/>
                <w:sz w:val="24"/>
                <w:highlight w:val="none"/>
              </w:rPr>
              <w:t>拟定</w:t>
            </w:r>
            <w:bookmarkStart w:id="12" w:name="OLE_LINK27"/>
            <w:r>
              <w:rPr>
                <w:rFonts w:ascii="仿宋_GB2312" w:hAnsi="仿宋_GB2312" w:eastAsia="仿宋_GB2312" w:cs="仿宋_GB2312"/>
                <w:b/>
                <w:sz w:val="24"/>
                <w:highlight w:val="none"/>
              </w:rPr>
              <w:t>商用密码应用安全性评估</w:t>
            </w:r>
            <w:bookmarkEnd w:id="12"/>
            <w:r>
              <w:rPr>
                <w:rFonts w:ascii="仿宋_GB2312" w:hAnsi="仿宋_GB2312" w:eastAsia="仿宋_GB2312" w:cs="仿宋_GB2312"/>
                <w:b/>
                <w:sz w:val="24"/>
                <w:highlight w:val="none"/>
              </w:rPr>
              <w:t>等级</w:t>
            </w:r>
          </w:p>
        </w:tc>
      </w:tr>
      <w:tr w14:paraId="38834D5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504" w:hRule="atLeast"/>
        </w:trPr>
        <w:tc>
          <w:tcPr>
            <w:tcW w:w="264" w:type="pct"/>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235D0202">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1</w:t>
            </w:r>
          </w:p>
        </w:tc>
        <w:tc>
          <w:tcPr>
            <w:tcW w:w="1609" w:type="pct"/>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61364A76">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天津市教育委员会</w:t>
            </w:r>
          </w:p>
        </w:tc>
        <w:tc>
          <w:tcPr>
            <w:tcW w:w="1684" w:type="pct"/>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4B3DC4BE">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天津市教育数据平台建设项目一期</w:t>
            </w:r>
          </w:p>
        </w:tc>
        <w:tc>
          <w:tcPr>
            <w:tcW w:w="1441" w:type="pct"/>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08F34750">
            <w:pPr>
              <w:pStyle w:val="45"/>
              <w:spacing w:before="152" w:line="227" w:lineRule="auto"/>
              <w:ind w:left="35" w:leftChars="0"/>
              <w:jc w:val="center"/>
              <w:rPr>
                <w:rFonts w:hint="default"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三级</w:t>
            </w:r>
          </w:p>
        </w:tc>
      </w:tr>
      <w:bookmarkEnd w:id="11"/>
    </w:tbl>
    <w:p w14:paraId="54E9F482">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2商用密码应用安全性评估依据</w:t>
      </w:r>
    </w:p>
    <w:p w14:paraId="0252DC20">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商用密码应用安全性评估依据的标准包括但不限于以下内容：</w:t>
      </w:r>
    </w:p>
    <w:p w14:paraId="7E514DFB">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《中华人民共和国网络安全法》</w:t>
      </w:r>
    </w:p>
    <w:p w14:paraId="2AFCE10B">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《中华人民共和国密码法》</w:t>
      </w:r>
    </w:p>
    <w:p w14:paraId="2E627064">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《商用密码管理条例》</w:t>
      </w:r>
    </w:p>
    <w:p w14:paraId="0A717634">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《商用密码应用安全性评估管理办法》</w:t>
      </w:r>
    </w:p>
    <w:p w14:paraId="057C8A30">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《信息安全技术信息系统密码应用基本要求》GB/T 39786—2021</w:t>
      </w:r>
    </w:p>
    <w:p w14:paraId="3B81E705">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《信息安全技术信息系统密码应用测评要求》GB/T 43206—2023</w:t>
      </w:r>
    </w:p>
    <w:p w14:paraId="4622394E">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《信息系统密码应用测评过程指南》GM/T 0116—2021</w:t>
      </w:r>
    </w:p>
    <w:p w14:paraId="3F00B3F4">
      <w:pPr>
        <w:pStyle w:val="4"/>
        <w:ind w:firstLine="448"/>
        <w:rPr>
          <w:rFonts w:hint="eastAsia" w:ascii="仿宋_GB2312" w:hAnsi="仿宋" w:eastAsia="仿宋_GB2312" w:cs="Times New Roman"/>
          <w:color w:val="000000"/>
          <w:sz w:val="32"/>
          <w:szCs w:val="32"/>
          <w:highlight w:val="none"/>
          <w:lang w:val="en-US" w:eastAsia="zh-CN"/>
        </w:rPr>
      </w:pPr>
      <w:bookmarkStart w:id="13" w:name="OLE_LINK29"/>
      <w:r>
        <w:rPr>
          <w:rFonts w:hint="eastAsia" w:ascii="仿宋_GB2312" w:hAnsi="仿宋" w:eastAsia="仿宋_GB2312" w:cs="Times New Roman"/>
          <w:color w:val="000000"/>
          <w:sz w:val="32"/>
          <w:szCs w:val="32"/>
          <w:highlight w:val="none"/>
          <w:lang w:val="en-US" w:eastAsia="zh-CN"/>
        </w:rPr>
        <w:t>3商用密码应用安全性评估要求</w:t>
      </w:r>
    </w:p>
    <w:p w14:paraId="00B03244">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供应商对信息化测试及评估服务按照密码应用要求开展密码测评工作,依据GB/T 39786-2021《信息安全技术 信息系统密码应用基本要求》从密码应用技术要求、密码应用管理要求两个角度出发，围绕信息系统的物理和环境安全、网络和通信安全、设备和计算安全、应用和数据安全、管理制度、人员管理、建设运行、应急处置八个方面开展密码测评工作，通过现场测评逐项比较信息系统与其相应安全等级要求之间的差距，进行逐项分析、整体分析、量化评估、风险分析，为信息系统的密码应用建设提供工作建议，保障信息系统密码合规、正确、有效地应用。供应商需提供符合相关要求的商用密码应用安全性评估报告，并协助在当地密码管理局备案。</w:t>
      </w:r>
    </w:p>
    <w:p w14:paraId="181D689D">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4密评应用技术要求</w:t>
      </w:r>
    </w:p>
    <w:p w14:paraId="3801B2C7">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密码测评的目的是通过对采购单位指定的信息系统在密码应用技术要求和密码应用管理要求方面的测评，对这些信息系统的密码应用情况与其相应级别的密码应用要求进行差距分析和测评,深入查找密码应用的薄弱环节和安全隐患，分析面临的风险，测评结果作为采购单位进一步完善系统安全策略及安全技术防护措施依据。</w:t>
      </w:r>
    </w:p>
    <w:p w14:paraId="0B34E979">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依据 GB/T 39786—2021《信息安全技术 信息系统密码应用基本要求》、GM/T0115-2021《信息系统密码应用测评要求》、GM/T 0116-2021《信息系统密码应用测评过程指南》、《信息系统密码应用高风险判定指引》标准和系统自身的安全需求，对被测系统进行密评工作，密码应用安全性评估的技术服务包括以下内容:</w:t>
      </w:r>
    </w:p>
    <w:p w14:paraId="06EF5894">
      <w:pPr>
        <w:numPr>
          <w:ilvl w:val="0"/>
          <w:numId w:val="28"/>
        </w:numPr>
        <w:spacing w:line="560" w:lineRule="exact"/>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通用测评要求</w:t>
      </w:r>
    </w:p>
    <w:p w14:paraId="1A5725B8">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核查信息系统中使用的密码算法、密码技术、密码产品和密码服务是否满足国家密码管理的相关标准或规范要求。</w:t>
      </w:r>
    </w:p>
    <w:p w14:paraId="4860FB50">
      <w:pPr>
        <w:numPr>
          <w:ilvl w:val="0"/>
          <w:numId w:val="28"/>
        </w:numPr>
        <w:spacing w:line="560" w:lineRule="exact"/>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密码应用技术要求测评</w:t>
      </w:r>
    </w:p>
    <w:p w14:paraId="4EF81751">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具体包括:物理和环境安全测评、网络和通信安全测评、设备和计算安全测评、应用和数据安全测评，制定安全验证性测评工作方案，验证不同安全等级信息系统的密码应用是否达到相应安全等级的安全保护能力、是否满足相应安全等级的保护要求。</w:t>
      </w:r>
    </w:p>
    <w:p w14:paraId="0F856882">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5质量控制方案要求</w:t>
      </w:r>
    </w:p>
    <w:p w14:paraId="6F496E3D">
      <w:pPr>
        <w:pStyle w:val="8"/>
        <w:numPr>
          <w:ilvl w:val="0"/>
          <w:numId w:val="29"/>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 xml:space="preserve">进度管理方案：包含完成测评调研、测评报告、测评整改、测评结果的里程碑，提供针对关键里程碑的定期汇报计划； </w:t>
      </w:r>
    </w:p>
    <w:p w14:paraId="3A8ABC26">
      <w:pPr>
        <w:pStyle w:val="8"/>
        <w:numPr>
          <w:ilvl w:val="0"/>
          <w:numId w:val="29"/>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 xml:space="preserve">质量管理方案：包含测评实施质量控制和时间安排质量 控制计划； </w:t>
      </w:r>
    </w:p>
    <w:p w14:paraId="6E17EA97">
      <w:pPr>
        <w:pStyle w:val="8"/>
        <w:numPr>
          <w:ilvl w:val="0"/>
          <w:numId w:val="29"/>
        </w:numPr>
        <w:ind w:left="0" w:leftChars="0" w:firstLine="400" w:firstLineChars="0"/>
        <w:rPr>
          <w:rFonts w:hint="eastAsia"/>
          <w:highlight w:val="none"/>
          <w:lang w:val="en-US" w:eastAsia="zh-CN"/>
        </w:rPr>
      </w:pPr>
      <w:r>
        <w:rPr>
          <w:rFonts w:hint="eastAsia" w:ascii="仿宋_GB2312" w:hAnsi="仿宋" w:eastAsia="仿宋_GB2312" w:cs="Times New Roman"/>
          <w:color w:val="000000"/>
          <w:sz w:val="32"/>
          <w:szCs w:val="32"/>
          <w:highlight w:val="none"/>
          <w:lang w:val="en-US" w:eastAsia="zh-CN"/>
        </w:rPr>
        <w:t xml:space="preserve">风险管理方案：包含测评实施风险管理、验收风险管理，并提供对应的应急预案； </w:t>
      </w:r>
    </w:p>
    <w:p w14:paraId="7C532567">
      <w:pPr>
        <w:numPr>
          <w:ilvl w:val="-1"/>
          <w:numId w:val="0"/>
        </w:numPr>
        <w:spacing w:line="560" w:lineRule="exact"/>
        <w:ind w:left="0" w:leftChars="0" w:firstLine="0" w:firstLineChars="0"/>
        <w:outlineLvl w:val="3"/>
        <w:rPr>
          <w:rFonts w:hint="eastAsia" w:ascii="仿宋_GB2312" w:hAnsi="仿宋" w:eastAsia="仿宋_GB2312" w:cs="Times New Roman"/>
          <w:color w:val="000000"/>
          <w:sz w:val="32"/>
          <w:szCs w:val="32"/>
          <w:highlight w:val="none"/>
          <w:lang w:eastAsia="zh-CN"/>
        </w:rPr>
      </w:pPr>
      <w:r>
        <w:rPr>
          <w:rFonts w:hint="eastAsia" w:ascii="仿宋" w:hAnsi="仿宋" w:eastAsia="仿宋" w:cs="宋体"/>
          <w:sz w:val="32"/>
          <w:szCs w:val="32"/>
          <w:highlight w:val="none"/>
          <w:u w:val="single"/>
        </w:rPr>
        <w:t>（2）商务要求（实质性要求）</w:t>
      </w:r>
    </w:p>
    <w:p w14:paraId="6461AD2E">
      <w:pPr>
        <w:pStyle w:val="3"/>
        <w:ind w:firstLine="448"/>
        <w:rPr>
          <w:rFonts w:hint="eastAsia" w:ascii="仿宋" w:hAnsi="仿宋" w:eastAsia="仿宋" w:cs="仿宋"/>
          <w:sz w:val="32"/>
          <w:szCs w:val="32"/>
          <w:highlight w:val="none"/>
        </w:rPr>
      </w:pPr>
      <w:r>
        <w:rPr>
          <w:rFonts w:hint="eastAsia" w:ascii="仿宋" w:hAnsi="仿宋" w:eastAsia="仿宋" w:cs="仿宋"/>
          <w:sz w:val="32"/>
          <w:szCs w:val="32"/>
          <w:highlight w:val="none"/>
        </w:rPr>
        <w:t>（一）投标要求</w:t>
      </w:r>
    </w:p>
    <w:p w14:paraId="5983AD93">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投标人须具备《中华人民共和国政府采购法》第二十二条第一款规定的条件，提供以下材料：</w:t>
      </w:r>
    </w:p>
    <w:p w14:paraId="76D7842E">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营业执照副本或事业单位法人证书或民办非企业单位登记证书或社会团体法人登记证书或基金会法人登记证书扫描件或自然人的身份证明扫描件。</w:t>
      </w:r>
    </w:p>
    <w:p w14:paraId="1DF9EC62">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财务状况报告等相关材料：</w:t>
      </w:r>
    </w:p>
    <w:p w14:paraId="70F71C72">
      <w:pPr>
        <w:ind w:firstLine="446"/>
        <w:rPr>
          <w:rFonts w:hint="eastAsia" w:ascii="仿宋" w:hAnsi="仿宋" w:eastAsia="仿宋" w:cs="仿宋"/>
          <w:sz w:val="32"/>
          <w:szCs w:val="32"/>
          <w:highlight w:val="none"/>
        </w:rPr>
      </w:pPr>
      <w:r>
        <w:rPr>
          <w:rFonts w:ascii="仿宋" w:hAnsi="仿宋" w:eastAsia="仿宋" w:cs="仿宋"/>
          <w:sz w:val="32"/>
          <w:szCs w:val="32"/>
          <w:highlight w:val="none"/>
        </w:rPr>
        <w:t>A.经第三方会计师事务所审计的2024</w:t>
      </w:r>
      <w:r>
        <w:rPr>
          <w:rFonts w:hint="eastAsia" w:ascii="仿宋" w:hAnsi="仿宋" w:eastAsia="仿宋" w:cs="仿宋"/>
          <w:sz w:val="32"/>
          <w:szCs w:val="32"/>
          <w:highlight w:val="none"/>
        </w:rPr>
        <w:t>年度财务报告扫描件，财务报告需包含附注页。</w:t>
      </w:r>
    </w:p>
    <w:p w14:paraId="02DADCBC">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B. </w:t>
      </w:r>
      <w:r>
        <w:rPr>
          <w:rFonts w:hint="eastAsia" w:ascii="仿宋" w:hAnsi="仿宋" w:eastAsia="仿宋" w:cs="仿宋"/>
          <w:sz w:val="32"/>
          <w:szCs w:val="32"/>
          <w:highlight w:val="none"/>
        </w:rPr>
        <w:t>具有良好的商业信誉和健全的财务会计制度的书面声明。</w:t>
      </w:r>
    </w:p>
    <w:p w14:paraId="7325E106">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注：</w:t>
      </w:r>
      <w:r>
        <w:rPr>
          <w:rFonts w:ascii="仿宋" w:hAnsi="仿宋" w:eastAsia="仿宋" w:cs="仿宋"/>
          <w:sz w:val="32"/>
          <w:szCs w:val="32"/>
          <w:highlight w:val="none"/>
        </w:rPr>
        <w:t>A、B两项提供任意一项均可。</w:t>
      </w:r>
    </w:p>
    <w:p w14:paraId="123785B7">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3. </w:t>
      </w:r>
      <w:r>
        <w:rPr>
          <w:rFonts w:hint="eastAsia" w:ascii="仿宋" w:hAnsi="仿宋" w:eastAsia="仿宋" w:cs="仿宋"/>
          <w:sz w:val="32"/>
          <w:szCs w:val="32"/>
          <w:highlight w:val="none"/>
        </w:rPr>
        <w:t>依法缴纳税收和社会保障资金的书面声明。</w:t>
      </w:r>
    </w:p>
    <w:p w14:paraId="12752481">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4. </w:t>
      </w:r>
      <w:r>
        <w:rPr>
          <w:rFonts w:hint="eastAsia" w:ascii="仿宋" w:hAnsi="仿宋" w:eastAsia="仿宋" w:cs="仿宋"/>
          <w:sz w:val="32"/>
          <w:szCs w:val="32"/>
          <w:highlight w:val="none"/>
        </w:rPr>
        <w:t>投标截止日前</w:t>
      </w:r>
      <w:r>
        <w:rPr>
          <w:rFonts w:ascii="仿宋" w:hAnsi="仿宋" w:eastAsia="仿宋" w:cs="仿宋"/>
          <w:sz w:val="32"/>
          <w:szCs w:val="32"/>
          <w:highlight w:val="none"/>
        </w:rPr>
        <w:t>3年在经营活动中没有重大违法记录的书面声明（截至开标日成立不足3年的供应商可提供自成立以来无重大违法记录的书面声明）。</w:t>
      </w:r>
    </w:p>
    <w:p w14:paraId="51D08E4F">
      <w:pPr>
        <w:spacing w:line="560" w:lineRule="exact"/>
        <w:ind w:firstLine="0" w:firstLineChars="0"/>
        <w:rPr>
          <w:rFonts w:hint="eastAsia" w:ascii="仿宋_GB2312" w:hAnsi="仿宋" w:eastAsia="仿宋_GB2312" w:cs="Times New Roman"/>
          <w:color w:val="000000"/>
          <w:sz w:val="32"/>
          <w:szCs w:val="32"/>
          <w:highlight w:val="none"/>
          <w:lang w:val="en-US" w:eastAsia="zh-CN"/>
        </w:rPr>
      </w:pPr>
      <w:r>
        <w:rPr>
          <w:rFonts w:ascii="仿宋" w:hAnsi="仿宋" w:eastAsia="仿宋" w:cs="仿宋"/>
          <w:sz w:val="32"/>
          <w:szCs w:val="32"/>
          <w:highlight w:val="none"/>
        </w:rPr>
        <w:t xml:space="preserve">5. </w:t>
      </w:r>
      <w:r>
        <w:rPr>
          <w:rFonts w:hint="eastAsia" w:ascii="仿宋" w:hAnsi="仿宋" w:eastAsia="仿宋" w:cs="仿宋"/>
          <w:sz w:val="32"/>
          <w:szCs w:val="32"/>
          <w:highlight w:val="none"/>
        </w:rPr>
        <w:t>提交具备履行合同所必需的设备和专业技术能力证明材料。</w:t>
      </w:r>
    </w:p>
    <w:p w14:paraId="6654A189">
      <w:pPr>
        <w:pStyle w:val="9"/>
        <w:rPr>
          <w:rFonts w:hint="eastAsia"/>
          <w:highlight w:val="none"/>
          <w:lang w:val="en-US" w:eastAsia="zh-CN"/>
        </w:rPr>
      </w:pPr>
    </w:p>
    <w:p w14:paraId="5E5A6B84">
      <w:pPr>
        <w:pStyle w:val="3"/>
        <w:numPr>
          <w:ilvl w:val="0"/>
          <w:numId w:val="0"/>
        </w:numPr>
        <w:ind w:left="448" w:leftChars="0"/>
        <w:rPr>
          <w:rFonts w:hint="eastAsia"/>
          <w:highlight w:val="none"/>
          <w:lang w:val="en-US" w:eastAsia="zh-CN"/>
        </w:rPr>
      </w:pPr>
      <w:r>
        <w:rPr>
          <w:rFonts w:hint="eastAsia" w:ascii="仿宋" w:hAnsi="仿宋" w:eastAsia="仿宋" w:cs="仿宋"/>
          <w:sz w:val="32"/>
          <w:highlight w:val="none"/>
          <w:lang w:eastAsia="zh-CN"/>
        </w:rPr>
        <w:t>（</w:t>
      </w:r>
      <w:r>
        <w:rPr>
          <w:rFonts w:hint="eastAsia" w:ascii="仿宋" w:hAnsi="仿宋" w:eastAsia="仿宋" w:cs="仿宋"/>
          <w:sz w:val="32"/>
          <w:highlight w:val="none"/>
          <w:lang w:val="en-US" w:eastAsia="zh-CN"/>
        </w:rPr>
        <w:t>三</w:t>
      </w:r>
      <w:r>
        <w:rPr>
          <w:rFonts w:hint="eastAsia" w:ascii="仿宋" w:hAnsi="仿宋" w:eastAsia="仿宋" w:cs="仿宋"/>
          <w:sz w:val="32"/>
          <w:highlight w:val="none"/>
          <w:lang w:eastAsia="zh-CN"/>
        </w:rPr>
        <w:t>）</w:t>
      </w:r>
      <w:r>
        <w:rPr>
          <w:rFonts w:hint="eastAsia" w:ascii="仿宋" w:hAnsi="仿宋" w:eastAsia="仿宋" w:cs="仿宋"/>
          <w:sz w:val="32"/>
          <w:highlight w:val="none"/>
        </w:rPr>
        <w:t>服务要求</w:t>
      </w:r>
    </w:p>
    <w:bookmarkEnd w:id="13"/>
    <w:p w14:paraId="3E57A5AD">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商用密码应用安全性评估过程分为四个基本测评活动：测评准备活动、方案编制活动、现场测评活动、分析与报告编制活动。供应商和采购方之间的沟通与洽谈贯穿整个密码应用安全性评估过程。</w:t>
      </w:r>
    </w:p>
    <w:p w14:paraId="3277DBF3">
      <w:pPr>
        <w:numPr>
          <w:ilvl w:val="0"/>
          <w:numId w:val="30"/>
        </w:numPr>
        <w:spacing w:line="560" w:lineRule="exact"/>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测评准备活动</w:t>
      </w:r>
    </w:p>
    <w:p w14:paraId="64EBD5D7">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根据供应商和采购方签订的委托测评协议书和被测信息系统规模，供应商组建测评项目组，从人员方面做好准备，并编制项目计划书。供应商通过查阅被测系统已有资料并使用调查表格的方式，了解整个系统的构成和密码保护情况，为编写密评方案和开展现场测评工作奠定基础。测评项目组成员在进行现场测评之前，熟悉与被测信息系统相关的各种组件、调试测评工具、准备各种表单。</w:t>
      </w:r>
    </w:p>
    <w:p w14:paraId="3E7C7A3F">
      <w:pPr>
        <w:numPr>
          <w:ilvl w:val="0"/>
          <w:numId w:val="30"/>
        </w:numPr>
        <w:spacing w:line="560" w:lineRule="exact"/>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方案编制活动</w:t>
      </w:r>
    </w:p>
    <w:p w14:paraId="751D5B01">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根据已经了解到的被测信息系统情况，分析整个被测系统及其涉及的业务应用系统，以及与此相关的密码应用情况，确定出本次测评的测评对象；根据已经了解到的被测系统定级结果，确定出本次测评的测评指标；确认测评过程中需要现场检查的关键安全点，并且充分考虑到检查的可行性和风险，最大限度的避免对被测系统，尤其是在线运行业务系统的影响；确定现场测评的具体实施内容；最终完成测评方案的编制。</w:t>
      </w:r>
    </w:p>
    <w:p w14:paraId="071A4736">
      <w:pPr>
        <w:numPr>
          <w:ilvl w:val="0"/>
          <w:numId w:val="30"/>
        </w:numPr>
        <w:spacing w:line="560" w:lineRule="exact"/>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现场测评活动</w:t>
      </w:r>
    </w:p>
    <w:p w14:paraId="738F1268">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现场测评准备：召开测评现场首次会，供应商介绍测评工作，交流测评信息，进一步明确测评计划和测评方案中的内容，说明测评过程中具体的实施工作内容，测评时间安排，测评过程中可能存在的安全风险，以便于后面的测评工作开展。供应商和采购方确认现场测评需要的各种资源，包括采购方的配合人员和需要提供的测评条件，确认被测信息系统已备份过系统及数据。采购方签署现场测评授权书。密评人员根据会议沟通结果，对测评结果记录表单和测评程序进行必要的更新。测评项目组根据密评方案以及现场测评准备的结果，安排密评人员在现场完成测评工作，汇总现场测评的测评记录；召开测评现场结束会，供应商和采购方对测评过程中发现的问题进行现场确认；密评机构归还测评过程中借阅的所有文档资料，并由采购方文档资料提供者签字确认。</w:t>
      </w:r>
    </w:p>
    <w:p w14:paraId="72007A82">
      <w:pPr>
        <w:numPr>
          <w:ilvl w:val="0"/>
          <w:numId w:val="30"/>
        </w:numPr>
        <w:spacing w:line="560" w:lineRule="exact"/>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分析与报告编制活动</w:t>
      </w:r>
    </w:p>
    <w:p w14:paraId="41D9CDBD">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在现场测评工作结束后，供应商对现场测评获得的测评结果进行汇总分析，形成评估结论，并编制评估报告。密评人员在初步判定各测评单元涉及的各个测评对象的测评结果后，还需进行单元测评、整体测评、量化评估和风险分析。经过整体测评后，有的测评对象的测评结果可能会有所变化，需进一步修订测评结果，而后进行量化评估和风险分析，最后形成评估结论。</w:t>
      </w:r>
    </w:p>
    <w:p w14:paraId="34E986FB">
      <w:pPr>
        <w:pStyle w:val="3"/>
        <w:numPr>
          <w:ilvl w:val="0"/>
          <w:numId w:val="0"/>
        </w:numPr>
        <w:ind w:left="448" w:leftChars="0"/>
        <w:rPr>
          <w:rFonts w:hint="eastAsia" w:ascii="仿宋" w:hAnsi="仿宋" w:eastAsia="仿宋" w:cs="仿宋"/>
          <w:sz w:val="32"/>
          <w:highlight w:val="none"/>
        </w:rPr>
      </w:pPr>
      <w:r>
        <w:rPr>
          <w:rFonts w:hint="eastAsia" w:ascii="仿宋" w:hAnsi="仿宋" w:eastAsia="仿宋" w:cs="仿宋"/>
          <w:sz w:val="32"/>
          <w:highlight w:val="none"/>
          <w:lang w:eastAsia="zh-CN"/>
        </w:rPr>
        <w:t>（</w:t>
      </w:r>
      <w:r>
        <w:rPr>
          <w:rFonts w:hint="eastAsia" w:ascii="仿宋" w:hAnsi="仿宋" w:eastAsia="仿宋" w:cs="仿宋"/>
          <w:sz w:val="32"/>
          <w:highlight w:val="none"/>
          <w:lang w:val="en-US" w:eastAsia="zh-CN"/>
        </w:rPr>
        <w:t>四</w:t>
      </w:r>
      <w:r>
        <w:rPr>
          <w:rFonts w:hint="eastAsia" w:ascii="仿宋" w:hAnsi="仿宋" w:eastAsia="仿宋" w:cs="仿宋"/>
          <w:sz w:val="32"/>
          <w:highlight w:val="none"/>
          <w:lang w:eastAsia="zh-CN"/>
        </w:rPr>
        <w:t>）</w:t>
      </w:r>
      <w:r>
        <w:rPr>
          <w:rFonts w:hint="eastAsia" w:ascii="仿宋" w:hAnsi="仿宋" w:eastAsia="仿宋" w:cs="仿宋"/>
          <w:sz w:val="32"/>
          <w:highlight w:val="none"/>
        </w:rPr>
        <w:t>时间、地点要求</w:t>
      </w:r>
    </w:p>
    <w:p w14:paraId="5973B9C2">
      <w:pPr>
        <w:ind w:firstLine="446"/>
        <w:rPr>
          <w:rFonts w:hint="default" w:ascii="仿宋" w:hAnsi="仿宋" w:eastAsia="仿宋" w:cs="仿宋"/>
          <w:sz w:val="32"/>
          <w:szCs w:val="32"/>
          <w:highlight w:val="none"/>
          <w:lang w:val="en-US" w:eastAsia="zh-CN"/>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时间要求：</w:t>
      </w:r>
      <w:r>
        <w:rPr>
          <w:rFonts w:hint="eastAsia" w:ascii="仿宋" w:hAnsi="仿宋" w:eastAsia="仿宋" w:cs="仿宋"/>
          <w:sz w:val="32"/>
          <w:szCs w:val="32"/>
          <w:highlight w:val="none"/>
          <w:lang w:val="en-US" w:eastAsia="zh-CN"/>
        </w:rPr>
        <w:t>自甲方通知之日起90天内完成相关服务。</w:t>
      </w:r>
    </w:p>
    <w:p w14:paraId="7E39944E">
      <w:pPr>
        <w:ind w:firstLine="446"/>
        <w:rPr>
          <w:rFonts w:hint="eastAsia"/>
          <w:highlight w:val="none"/>
          <w:lang w:val="en-US" w:eastAsia="zh-CN"/>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服务地点：</w:t>
      </w:r>
      <w:r>
        <w:rPr>
          <w:rFonts w:ascii="仿宋" w:hAnsi="仿宋" w:eastAsia="仿宋" w:cs="仿宋"/>
          <w:sz w:val="32"/>
          <w:szCs w:val="32"/>
          <w:highlight w:val="none"/>
        </w:rPr>
        <w:t xml:space="preserve"> </w:t>
      </w:r>
      <w:r>
        <w:rPr>
          <w:rFonts w:hint="eastAsia" w:ascii="仿宋" w:hAnsi="仿宋" w:eastAsia="仿宋" w:cs="仿宋"/>
          <w:sz w:val="32"/>
          <w:szCs w:val="32"/>
          <w:highlight w:val="none"/>
        </w:rPr>
        <w:t>采购人指定地点。</w:t>
      </w:r>
    </w:p>
    <w:p w14:paraId="67377214">
      <w:pPr>
        <w:pStyle w:val="3"/>
        <w:ind w:firstLine="448"/>
        <w:rPr>
          <w:rFonts w:hint="eastAsia" w:ascii="仿宋" w:hAnsi="仿宋" w:eastAsia="仿宋" w:cs="仿宋"/>
          <w:sz w:val="32"/>
          <w:highlight w:val="none"/>
        </w:rPr>
      </w:pPr>
      <w:r>
        <w:rPr>
          <w:rFonts w:hint="eastAsia" w:ascii="仿宋" w:hAnsi="仿宋" w:eastAsia="仿宋" w:cs="仿宋"/>
          <w:sz w:val="32"/>
          <w:highlight w:val="none"/>
        </w:rPr>
        <w:t>（五）付款方式</w:t>
      </w:r>
    </w:p>
    <w:p w14:paraId="7FFB5508">
      <w:pPr>
        <w:ind w:firstLine="960" w:firstLineChars="300"/>
        <w:rPr>
          <w:rFonts w:hint="eastAsia"/>
          <w:highlight w:val="none"/>
        </w:rPr>
      </w:pPr>
      <w:r>
        <w:rPr>
          <w:rFonts w:hint="eastAsia" w:ascii="仿宋_GB2312" w:hAnsi="仿宋" w:eastAsia="仿宋_GB2312"/>
          <w:color w:val="000000"/>
          <w:sz w:val="32"/>
          <w:szCs w:val="32"/>
          <w:highlight w:val="none"/>
        </w:rPr>
        <w:t>签订合同</w:t>
      </w:r>
      <w:r>
        <w:rPr>
          <w:rFonts w:hint="eastAsia" w:ascii="仿宋_GB2312" w:hAnsi="仿宋" w:eastAsia="仿宋_GB2312" w:cs="Times New Roman"/>
          <w:color w:val="000000"/>
          <w:sz w:val="32"/>
          <w:szCs w:val="32"/>
          <w:highlight w:val="none"/>
          <w:lang w:val="en-US" w:eastAsia="zh-CN"/>
        </w:rPr>
        <w:t>且财政资金到账</w:t>
      </w:r>
      <w:r>
        <w:rPr>
          <w:rFonts w:hint="eastAsia" w:ascii="仿宋_GB2312" w:hAnsi="仿宋" w:eastAsia="仿宋_GB2312"/>
          <w:color w:val="000000"/>
          <w:sz w:val="32"/>
          <w:szCs w:val="32"/>
          <w:highlight w:val="none"/>
        </w:rPr>
        <w:t>后，供应商与采购人沟通项目启动时间；项目正式启动前15个工作日内，采购人支付合同总额的70%,验收合格之日起15个工作日内支付合同总额的30%。(特殊情况以合同为准)</w:t>
      </w:r>
    </w:p>
    <w:p w14:paraId="2E3500F5">
      <w:pPr>
        <w:pStyle w:val="3"/>
        <w:numPr>
          <w:ilvl w:val="0"/>
          <w:numId w:val="0"/>
        </w:numPr>
        <w:ind w:left="448" w:leftChars="0"/>
        <w:rPr>
          <w:rFonts w:hint="eastAsia" w:ascii="仿宋" w:hAnsi="仿宋" w:eastAsia="仿宋" w:cs="仿宋"/>
          <w:sz w:val="32"/>
          <w:highlight w:val="none"/>
        </w:rPr>
      </w:pPr>
      <w:r>
        <w:rPr>
          <w:rFonts w:hint="eastAsia" w:ascii="仿宋" w:hAnsi="仿宋" w:eastAsia="仿宋" w:cs="仿宋"/>
          <w:sz w:val="32"/>
          <w:highlight w:val="none"/>
          <w:lang w:eastAsia="zh-CN"/>
        </w:rPr>
        <w:t>（</w:t>
      </w:r>
      <w:r>
        <w:rPr>
          <w:rFonts w:hint="eastAsia" w:ascii="仿宋" w:hAnsi="仿宋" w:eastAsia="仿宋" w:cs="仿宋"/>
          <w:sz w:val="32"/>
          <w:highlight w:val="none"/>
          <w:lang w:val="en-US" w:eastAsia="zh-CN"/>
        </w:rPr>
        <w:t>六</w:t>
      </w:r>
      <w:r>
        <w:rPr>
          <w:rFonts w:hint="eastAsia" w:ascii="仿宋" w:hAnsi="仿宋" w:eastAsia="仿宋" w:cs="仿宋"/>
          <w:sz w:val="32"/>
          <w:highlight w:val="none"/>
          <w:lang w:eastAsia="zh-CN"/>
        </w:rPr>
        <w:t>）</w:t>
      </w:r>
      <w:r>
        <w:rPr>
          <w:rFonts w:hint="eastAsia" w:ascii="仿宋" w:hAnsi="仿宋" w:eastAsia="仿宋" w:cs="仿宋"/>
          <w:sz w:val="32"/>
          <w:highlight w:val="none"/>
        </w:rPr>
        <w:t>投标保证金和履约保证金</w:t>
      </w:r>
    </w:p>
    <w:p w14:paraId="438AE4DA">
      <w:pPr>
        <w:widowControl w:val="0"/>
        <w:numPr>
          <w:ilvl w:val="0"/>
          <w:numId w:val="0"/>
        </w:numPr>
        <w:jc w:val="both"/>
        <w:rPr>
          <w:rFonts w:hint="eastAsia" w:eastAsia="宋体"/>
          <w:highlight w:val="none"/>
          <w:lang w:val="en-US" w:eastAsia="zh-CN"/>
        </w:rPr>
      </w:pPr>
      <w:r>
        <w:rPr>
          <w:rFonts w:hint="eastAsia" w:ascii="仿宋" w:hAnsi="仿宋" w:eastAsia="仿宋" w:cs="仿宋"/>
          <w:sz w:val="32"/>
          <w:szCs w:val="32"/>
          <w:highlight w:val="none"/>
        </w:rPr>
        <w:t>本项目不收取投标保证金和履约保证金。</w:t>
      </w:r>
    </w:p>
    <w:p w14:paraId="57B63242">
      <w:pPr>
        <w:pStyle w:val="3"/>
        <w:ind w:firstLine="448"/>
        <w:rPr>
          <w:rFonts w:hint="eastAsia" w:ascii="仿宋" w:hAnsi="仿宋" w:eastAsia="仿宋" w:cs="仿宋"/>
          <w:sz w:val="32"/>
          <w:highlight w:val="none"/>
        </w:rPr>
      </w:pPr>
      <w:r>
        <w:rPr>
          <w:rFonts w:hint="eastAsia" w:ascii="仿宋" w:hAnsi="仿宋" w:eastAsia="仿宋" w:cs="仿宋"/>
          <w:sz w:val="32"/>
          <w:highlight w:val="none"/>
        </w:rPr>
        <w:t>（</w:t>
      </w:r>
      <w:r>
        <w:rPr>
          <w:rFonts w:hint="eastAsia" w:ascii="仿宋" w:hAnsi="仿宋" w:eastAsia="仿宋" w:cs="仿宋"/>
          <w:sz w:val="32"/>
          <w:highlight w:val="none"/>
          <w:lang w:val="en-US" w:eastAsia="zh-CN"/>
        </w:rPr>
        <w:t>七</w:t>
      </w:r>
      <w:r>
        <w:rPr>
          <w:rFonts w:hint="eastAsia" w:ascii="仿宋" w:hAnsi="仿宋" w:eastAsia="仿宋" w:cs="仿宋"/>
          <w:sz w:val="32"/>
          <w:highlight w:val="none"/>
        </w:rPr>
        <w:t>）验收方法及标准</w:t>
      </w:r>
    </w:p>
    <w:p w14:paraId="1DA011A7">
      <w:pPr>
        <w:pStyle w:val="8"/>
        <w:numPr>
          <w:ilvl w:val="0"/>
          <w:numId w:val="0"/>
        </w:numPr>
        <w:ind w:left="400" w:leftChars="0"/>
        <w:rPr>
          <w:rFonts w:hint="eastAsia"/>
          <w:highlight w:val="none"/>
          <w:lang w:val="en-US" w:eastAsia="zh-CN"/>
        </w:rPr>
      </w:pPr>
      <w:r>
        <w:rPr>
          <w:rFonts w:hint="eastAsia" w:ascii="仿宋_GB2312" w:hAnsi="仿宋" w:eastAsia="仿宋_GB2312" w:cs="Times New Roman"/>
          <w:color w:val="000000"/>
          <w:sz w:val="32"/>
          <w:szCs w:val="32"/>
          <w:highlight w:val="none"/>
          <w:lang w:val="en-US" w:eastAsia="zh-CN"/>
        </w:rPr>
        <w:t>服务完成后，应提供《信息系统密码应用方案商用密码应用安全性评估报告》和《信息系统商用密码应用安全性评估报告》。</w:t>
      </w:r>
    </w:p>
    <w:p w14:paraId="72637768">
      <w:pPr>
        <w:spacing w:line="560" w:lineRule="exact"/>
        <w:ind w:firstLine="640" w:firstLineChars="200"/>
        <w:jc w:val="left"/>
        <w:outlineLvl w:val="2"/>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.包</w:t>
      </w:r>
      <w:r>
        <w:rPr>
          <w:rFonts w:hint="eastAsia" w:ascii="仿宋" w:hAnsi="仿宋" w:eastAsia="仿宋"/>
          <w:sz w:val="32"/>
          <w:szCs w:val="32"/>
          <w:highlight w:val="none"/>
          <w:lang w:val="en-US" w:eastAsia="zh-CN"/>
        </w:rPr>
        <w:t>4</w:t>
      </w:r>
    </w:p>
    <w:p w14:paraId="2A350128">
      <w:pPr>
        <w:spacing w:line="560" w:lineRule="exact"/>
        <w:ind w:left="0"/>
        <w:outlineLvl w:val="3"/>
        <w:rPr>
          <w:rFonts w:hint="eastAsia" w:ascii="仿宋" w:hAnsi="仿宋" w:eastAsia="仿宋" w:cs="宋体"/>
          <w:sz w:val="32"/>
          <w:szCs w:val="32"/>
          <w:highlight w:val="none"/>
          <w:u w:val="single"/>
          <w:lang w:eastAsia="zh-CN"/>
        </w:rPr>
      </w:pPr>
      <w:r>
        <w:rPr>
          <w:rFonts w:hint="eastAsia" w:ascii="仿宋" w:hAnsi="仿宋" w:eastAsia="仿宋" w:cs="宋体"/>
          <w:sz w:val="32"/>
          <w:szCs w:val="32"/>
          <w:highlight w:val="none"/>
          <w:u w:val="single"/>
          <w:lang w:eastAsia="zh-CN"/>
        </w:rPr>
        <w:t>（</w:t>
      </w:r>
      <w:r>
        <w:rPr>
          <w:rFonts w:hint="eastAsia" w:ascii="仿宋" w:hAnsi="仿宋" w:eastAsia="仿宋" w:cs="宋体"/>
          <w:sz w:val="32"/>
          <w:szCs w:val="32"/>
          <w:highlight w:val="none"/>
          <w:u w:val="single"/>
          <w:lang w:val="en-US" w:eastAsia="zh-CN"/>
        </w:rPr>
        <w:t>1</w:t>
      </w:r>
      <w:r>
        <w:rPr>
          <w:rFonts w:hint="eastAsia" w:ascii="仿宋" w:hAnsi="仿宋" w:eastAsia="仿宋" w:cs="宋体"/>
          <w:sz w:val="32"/>
          <w:szCs w:val="32"/>
          <w:highlight w:val="none"/>
          <w:u w:val="single"/>
          <w:lang w:eastAsia="zh-CN"/>
        </w:rPr>
        <w:t>）</w:t>
      </w:r>
      <w:r>
        <w:rPr>
          <w:rFonts w:hint="eastAsia" w:ascii="仿宋" w:hAnsi="仿宋" w:eastAsia="仿宋" w:cs="宋体"/>
          <w:sz w:val="32"/>
          <w:szCs w:val="32"/>
          <w:highlight w:val="none"/>
          <w:u w:val="single"/>
          <w:lang w:val="en-US" w:eastAsia="zh-CN"/>
        </w:rPr>
        <w:t>技术要求</w:t>
      </w:r>
    </w:p>
    <w:p w14:paraId="1194EB04">
      <w:pPr>
        <w:pStyle w:val="4"/>
        <w:ind w:firstLine="448"/>
        <w:rPr>
          <w:rFonts w:hint="eastAsia" w:ascii="仿宋_GB2312" w:hAnsi="仿宋" w:eastAsia="仿宋_GB2312"/>
          <w:color w:val="000000"/>
          <w:sz w:val="32"/>
          <w:szCs w:val="32"/>
          <w:highlight w:val="none"/>
        </w:rPr>
      </w:pPr>
      <w:bookmarkStart w:id="14" w:name="OLE_LINK42"/>
      <w:r>
        <w:rPr>
          <w:rFonts w:hint="eastAsia" w:ascii="仿宋_GB2312" w:hAnsi="仿宋" w:eastAsia="仿宋_GB2312" w:cs="Times New Roman"/>
          <w:color w:val="000000"/>
          <w:sz w:val="32"/>
          <w:szCs w:val="32"/>
          <w:highlight w:val="none"/>
          <w:lang w:val="en-US" w:eastAsia="zh-CN"/>
        </w:rPr>
        <w:t>1.软件评测范围</w:t>
      </w:r>
      <w:r>
        <w:rPr>
          <w:rFonts w:hint="eastAsia" w:ascii="仿宋_GB2312" w:hAnsi="仿宋" w:eastAsia="仿宋_GB2312" w:cs="Times New Roman"/>
          <w:color w:val="000000"/>
          <w:sz w:val="32"/>
          <w:szCs w:val="32"/>
          <w:highlight w:val="none"/>
          <w:lang w:eastAsia="zh-CN"/>
        </w:rPr>
        <w:t xml:space="preserve"> </w:t>
      </w:r>
    </w:p>
    <w:tbl>
      <w:tblPr>
        <w:tblStyle w:val="17"/>
        <w:tblW w:w="4998" w:type="pct"/>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186"/>
        <w:gridCol w:w="3580"/>
        <w:gridCol w:w="4284"/>
      </w:tblGrid>
      <w:tr w14:paraId="2367DAE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55" w:type="pct"/>
            <w:tcBorders>
              <w:top w:val="single" w:color="000000" w:sz="4"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7DFBECBF">
            <w:pPr>
              <w:pStyle w:val="46"/>
              <w:jc w:val="center"/>
              <w:rPr>
                <w:rFonts w:ascii="仿宋_GB2312" w:hAnsi="仿宋_GB2312" w:eastAsia="仿宋_GB2312" w:cs="仿宋_GB2312"/>
                <w:b/>
                <w:sz w:val="24"/>
                <w:highlight w:val="none"/>
              </w:rPr>
            </w:pPr>
            <w:r>
              <w:rPr>
                <w:rFonts w:ascii="仿宋_GB2312" w:hAnsi="仿宋_GB2312" w:eastAsia="仿宋_GB2312" w:cs="仿宋_GB2312"/>
                <w:b/>
                <w:sz w:val="24"/>
                <w:highlight w:val="none"/>
              </w:rPr>
              <w:t>序号</w:t>
            </w:r>
          </w:p>
        </w:tc>
        <w:tc>
          <w:tcPr>
            <w:tcW w:w="1977" w:type="pct"/>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04011E2B">
            <w:pPr>
              <w:pStyle w:val="46"/>
              <w:jc w:val="center"/>
              <w:rPr>
                <w:rFonts w:hint="default" w:ascii="仿宋_GB2312" w:hAnsi="仿宋_GB2312" w:eastAsia="仿宋_GB2312" w:cs="仿宋_GB2312"/>
                <w:b/>
                <w:sz w:val="24"/>
                <w:highlight w:val="none"/>
                <w:lang w:val="en-US" w:eastAsia="zh-CN"/>
              </w:rPr>
            </w:pPr>
            <w:r>
              <w:rPr>
                <w:rFonts w:hint="eastAsia" w:ascii="仿宋_GB2312" w:hAnsi="仿宋_GB2312" w:eastAsia="仿宋_GB2312" w:cs="仿宋_GB2312"/>
                <w:b/>
                <w:sz w:val="24"/>
                <w:highlight w:val="none"/>
                <w:lang w:val="en-US" w:eastAsia="zh-CN"/>
              </w:rPr>
              <w:t>被测单位名称</w:t>
            </w:r>
          </w:p>
        </w:tc>
        <w:tc>
          <w:tcPr>
            <w:tcW w:w="2366" w:type="pct"/>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039E5342">
            <w:pPr>
              <w:pStyle w:val="46"/>
              <w:jc w:val="center"/>
              <w:rPr>
                <w:rFonts w:ascii="仿宋_GB2312" w:hAnsi="仿宋_GB2312" w:eastAsia="仿宋_GB2312" w:cs="仿宋_GB2312"/>
                <w:b/>
                <w:sz w:val="24"/>
                <w:highlight w:val="none"/>
              </w:rPr>
            </w:pPr>
            <w:r>
              <w:rPr>
                <w:rFonts w:ascii="仿宋_GB2312" w:hAnsi="仿宋_GB2312" w:eastAsia="仿宋_GB2312" w:cs="仿宋_GB2312"/>
                <w:b/>
                <w:sz w:val="24"/>
                <w:highlight w:val="none"/>
              </w:rPr>
              <w:t>系统名称</w:t>
            </w:r>
          </w:p>
        </w:tc>
      </w:tr>
      <w:tr w14:paraId="624AA45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89" w:hRule="atLeast"/>
        </w:trPr>
        <w:tc>
          <w:tcPr>
            <w:tcW w:w="655" w:type="pct"/>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44B7F8E3">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1</w:t>
            </w:r>
          </w:p>
        </w:tc>
        <w:tc>
          <w:tcPr>
            <w:tcW w:w="1977" w:type="pct"/>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67A44DDF">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天津市教育委员会</w:t>
            </w:r>
          </w:p>
        </w:tc>
        <w:tc>
          <w:tcPr>
            <w:tcW w:w="2366" w:type="pct"/>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0AE44E64">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天津市教育数据平台建设项目一期</w:t>
            </w:r>
          </w:p>
        </w:tc>
      </w:tr>
      <w:bookmarkEnd w:id="14"/>
    </w:tbl>
    <w:p w14:paraId="23A2786A">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2.测评服务依据标准</w:t>
      </w:r>
    </w:p>
    <w:p w14:paraId="6F74084E">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GB/T 25000.51-2016《系统与软件工程 系统与软件质量要求和评价（SQuaRE）第51部分：就绪可用软件产品（RUSP）的质量要求和测试细则》。</w:t>
      </w:r>
    </w:p>
    <w:p w14:paraId="5DC24C2F">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GB  8567-1988《计算机软件产品开发文件编制指南》</w:t>
      </w:r>
    </w:p>
    <w:p w14:paraId="371D7E14">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GB/T 12504-1990《计算机软件质量保证计划规范》</w:t>
      </w:r>
    </w:p>
    <w:p w14:paraId="523E74FE">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GB/T 1988-1998 《信息技术信息交换用七位编码字符集》</w:t>
      </w:r>
    </w:p>
    <w:p w14:paraId="2BC5ADDC">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GB/T 11457-1995 《软件工程术语》</w:t>
      </w:r>
    </w:p>
    <w:p w14:paraId="5595C7AD">
      <w:pPr>
        <w:pStyle w:val="4"/>
        <w:ind w:firstLine="448"/>
        <w:rPr>
          <w:rFonts w:hint="default"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3.测评内容</w:t>
      </w:r>
    </w:p>
    <w:p w14:paraId="3D1647B0">
      <w:pPr>
        <w:pStyle w:val="8"/>
        <w:numPr>
          <w:ilvl w:val="0"/>
          <w:numId w:val="31"/>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功能测试</w:t>
      </w:r>
    </w:p>
    <w:p w14:paraId="588D2A6D">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功能测试的目的是在系统集成之后，通过设计测试用例、执行用例、获取结果，对系统的功能、可靠性、易用性、业务流程、用户文档等分别进行测试，保证系统功能符合用户的业务需求；</w:t>
      </w:r>
    </w:p>
    <w:p w14:paraId="14D99985">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分析被测信息系统功能需求，依据《软件需求规格说明书》、《系统详细设计文档》和软件产品质量要求验证系统实现了全部需求和设计，测试覆盖所有功能点，确保各项功能是可正确执行的；</w:t>
      </w:r>
    </w:p>
    <w:p w14:paraId="655BCD5F">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根据系统《软件需求规格说明书》和《系统详细设计文档》，分析各功能点测试的优先级别。用户经常使用、关系到系统核心功能、优先级别较高的功能点应予以重点关注，尤其在回归测试时应优先执行；</w:t>
      </w:r>
    </w:p>
    <w:p w14:paraId="5D8919A7">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分析信息系统业务需求，对业务流程进行数据流向测试，确保关键业务流程正确执行；必须既包括正常输入和正常业务流程测试，也包括对非法数据输入和异常处理的测试，对系统非正常操作的测试用例一般应占到总数的20%-30%。同时要求测试内容覆盖整个业务周期；</w:t>
      </w:r>
    </w:p>
    <w:p w14:paraId="5BF5822D">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分析信息系统数据处理需求，对系统业务数据进行严格的正确性测试（包括数据是否超出正常的值范围、报表数据准确性等），确保系统即时数据和历史数据准确无误；</w:t>
      </w:r>
    </w:p>
    <w:p w14:paraId="2C0AE8AE">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信息系统遵循可维护性原则，具备监控运行状态和故障诊断的能力，能够通过维护向导或监控指标快速判断故障发生点，系统故障易分析、易定位、易修复性和可测试性，并能够出具真实可验证的依据；</w:t>
      </w:r>
    </w:p>
    <w:p w14:paraId="073DF8CA">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依据用户视觉感受和使用习惯，信息系统人机交互友好，界面风格一致，简洁美观，有关系统执行过程中的各种中断操作的问题、提示消息和操作结果都有相应的提示信息，并且信息内容易理解。</w:t>
      </w:r>
    </w:p>
    <w:p w14:paraId="0F273A6F">
      <w:pPr>
        <w:pStyle w:val="8"/>
        <w:numPr>
          <w:ilvl w:val="0"/>
          <w:numId w:val="31"/>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性能测试</w:t>
      </w:r>
    </w:p>
    <w:p w14:paraId="6A371E3F">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使用先进的性能测试工具，对系统进行压力负载、疲劳强度、大数据量等测试，验证系统的性能是否满足用户的业务需求；</w:t>
      </w:r>
    </w:p>
    <w:p w14:paraId="1F685117">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各信息系统的数据存储能力、存储周期、并发访问量、性能指标根据《软件需求规格说明书》和《系统详细设计文档》确定；</w:t>
      </w:r>
    </w:p>
    <w:p w14:paraId="0373D678">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时间特性和资源利用特性；</w:t>
      </w:r>
    </w:p>
    <w:p w14:paraId="44AA9271">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分析系统用户行为，依据性能需求验证分级部署的信息系统支持高并发处理业务的能力；</w:t>
      </w:r>
    </w:p>
    <w:p w14:paraId="5045730D">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系统的关键业务，诸如数据采集、数据同步、数据统计等，具备快速响应能力；</w:t>
      </w:r>
    </w:p>
    <w:p w14:paraId="25724089">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系统数据容量在设计值范围内，响应时间满足用户性能需求；</w:t>
      </w:r>
    </w:p>
    <w:p w14:paraId="60DF8A38">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系统资源利用在合理的数值范围，不超过资源指标的预警值；</w:t>
      </w:r>
    </w:p>
    <w:p w14:paraId="5C319943">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测试在大用户量、大并发量、大数据量和长时间连续运行等条件下，系统的响应时间和稳定运行情况；</w:t>
      </w:r>
    </w:p>
    <w:p w14:paraId="407D87F9">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确认信息系统软件与相关的各种硬件设备、操作系统、相关支撑软件以及其他相关信息系统的兼容性。</w:t>
      </w:r>
    </w:p>
    <w:p w14:paraId="1D505F1C">
      <w:pPr>
        <w:pStyle w:val="8"/>
        <w:numPr>
          <w:ilvl w:val="0"/>
          <w:numId w:val="31"/>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安全测试</w:t>
      </w:r>
    </w:p>
    <w:p w14:paraId="444E4770">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测试验证系统软件实现的保密性、完整性、抗抵赖性、可核查性、真实性等信息安全性指标是否满足项目建设需求，包含系统保密性：测试软件及其数据访问的可控制性；系统完整性：验证对软件产品是否具有对未授权用户非法访问的控制能力；系统抗抵赖性：测试软件是否具有在请求的情况下为数据原发者提供数据原发证据的功能；系统可核查性：测试系统是否将用户进程与所有者用户相关联，使用户进程的行为可以追溯到进程的所有者用户；系统真实性：验证软件是否具有当前使用系统的用户列表和配置表。</w:t>
      </w:r>
    </w:p>
    <w:p w14:paraId="59B46B70">
      <w:pPr>
        <w:spacing w:line="560" w:lineRule="exact"/>
        <w:ind w:left="0"/>
        <w:outlineLvl w:val="3"/>
        <w:rPr>
          <w:rFonts w:hint="eastAsia" w:ascii="仿宋" w:hAnsi="仿宋" w:eastAsia="仿宋" w:cs="宋体"/>
          <w:sz w:val="32"/>
          <w:szCs w:val="32"/>
          <w:highlight w:val="none"/>
          <w:u w:val="single"/>
        </w:rPr>
      </w:pPr>
      <w:r>
        <w:rPr>
          <w:rFonts w:hint="eastAsia" w:ascii="仿宋" w:hAnsi="仿宋" w:eastAsia="仿宋" w:cs="宋体"/>
          <w:sz w:val="32"/>
          <w:szCs w:val="32"/>
          <w:highlight w:val="none"/>
          <w:u w:val="single"/>
        </w:rPr>
        <w:t>（2）商务要求（实质性要求）</w:t>
      </w:r>
    </w:p>
    <w:p w14:paraId="631D69DF">
      <w:pPr>
        <w:pStyle w:val="3"/>
        <w:ind w:firstLine="448"/>
        <w:rPr>
          <w:rFonts w:hint="eastAsia" w:ascii="仿宋" w:hAnsi="仿宋" w:eastAsia="仿宋" w:cs="仿宋"/>
          <w:sz w:val="32"/>
          <w:szCs w:val="32"/>
          <w:highlight w:val="none"/>
        </w:rPr>
      </w:pPr>
      <w:r>
        <w:rPr>
          <w:rFonts w:hint="eastAsia" w:ascii="仿宋" w:hAnsi="仿宋" w:eastAsia="仿宋" w:cs="仿宋"/>
          <w:sz w:val="32"/>
          <w:szCs w:val="32"/>
          <w:highlight w:val="none"/>
        </w:rPr>
        <w:t>（一）投标要求</w:t>
      </w:r>
    </w:p>
    <w:p w14:paraId="6AEAFF66">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投标人须具备《中华人民共和国政府采购法》第二十二条第一款规定的条件，提供以下材料：</w:t>
      </w:r>
    </w:p>
    <w:p w14:paraId="34883366">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营业执照副本或事业单位法人证书或民办非企业单位登记证书或社会团体法人登记证书或基金会法人登记证书扫描件或自然人的身份证明扫描件。</w:t>
      </w:r>
    </w:p>
    <w:p w14:paraId="38DF38B6">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财务状况报告等相关材料：</w:t>
      </w:r>
    </w:p>
    <w:p w14:paraId="50BE0881">
      <w:pPr>
        <w:ind w:firstLine="446"/>
        <w:rPr>
          <w:rFonts w:hint="eastAsia" w:ascii="仿宋" w:hAnsi="仿宋" w:eastAsia="仿宋" w:cs="仿宋"/>
          <w:sz w:val="32"/>
          <w:szCs w:val="32"/>
          <w:highlight w:val="none"/>
        </w:rPr>
      </w:pPr>
      <w:r>
        <w:rPr>
          <w:rFonts w:ascii="仿宋" w:hAnsi="仿宋" w:eastAsia="仿宋" w:cs="仿宋"/>
          <w:sz w:val="32"/>
          <w:szCs w:val="32"/>
          <w:highlight w:val="none"/>
        </w:rPr>
        <w:t>A.经第三方会计师事务所审计的2024</w:t>
      </w:r>
      <w:r>
        <w:rPr>
          <w:rFonts w:hint="eastAsia" w:ascii="仿宋" w:hAnsi="仿宋" w:eastAsia="仿宋" w:cs="仿宋"/>
          <w:sz w:val="32"/>
          <w:szCs w:val="32"/>
          <w:highlight w:val="none"/>
        </w:rPr>
        <w:t>年度财务报告扫描件，财务报告需包含附注页。</w:t>
      </w:r>
    </w:p>
    <w:p w14:paraId="4A0D090F">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B. </w:t>
      </w:r>
      <w:r>
        <w:rPr>
          <w:rFonts w:hint="eastAsia" w:ascii="仿宋" w:hAnsi="仿宋" w:eastAsia="仿宋" w:cs="仿宋"/>
          <w:sz w:val="32"/>
          <w:szCs w:val="32"/>
          <w:highlight w:val="none"/>
        </w:rPr>
        <w:t>具有良好的商业信誉和健全的财务会计制度的书面声明。</w:t>
      </w:r>
    </w:p>
    <w:p w14:paraId="30254D2B">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注：</w:t>
      </w:r>
      <w:r>
        <w:rPr>
          <w:rFonts w:ascii="仿宋" w:hAnsi="仿宋" w:eastAsia="仿宋" w:cs="仿宋"/>
          <w:sz w:val="32"/>
          <w:szCs w:val="32"/>
          <w:highlight w:val="none"/>
        </w:rPr>
        <w:t>A、B两项提供任意一项均可。</w:t>
      </w:r>
    </w:p>
    <w:p w14:paraId="1BE32594">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3. </w:t>
      </w:r>
      <w:r>
        <w:rPr>
          <w:rFonts w:hint="eastAsia" w:ascii="仿宋" w:hAnsi="仿宋" w:eastAsia="仿宋" w:cs="仿宋"/>
          <w:sz w:val="32"/>
          <w:szCs w:val="32"/>
          <w:highlight w:val="none"/>
        </w:rPr>
        <w:t>依法缴纳税收和社会保障资金的书面声明。</w:t>
      </w:r>
    </w:p>
    <w:p w14:paraId="55E62E71">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4. </w:t>
      </w:r>
      <w:r>
        <w:rPr>
          <w:rFonts w:hint="eastAsia" w:ascii="仿宋" w:hAnsi="仿宋" w:eastAsia="仿宋" w:cs="仿宋"/>
          <w:sz w:val="32"/>
          <w:szCs w:val="32"/>
          <w:highlight w:val="none"/>
        </w:rPr>
        <w:t>投标截止日前</w:t>
      </w:r>
      <w:r>
        <w:rPr>
          <w:rFonts w:ascii="仿宋" w:hAnsi="仿宋" w:eastAsia="仿宋" w:cs="仿宋"/>
          <w:sz w:val="32"/>
          <w:szCs w:val="32"/>
          <w:highlight w:val="none"/>
        </w:rPr>
        <w:t>3年在经营活动中没有重大违法记录的书面声明（截至开标日成立不足3年的供应商可提供自成立以来无重大违法记录的书面声明）。</w:t>
      </w:r>
    </w:p>
    <w:p w14:paraId="3E0A33C8">
      <w:pPr>
        <w:spacing w:line="560" w:lineRule="exact"/>
        <w:ind w:firstLine="0" w:firstLineChars="0"/>
        <w:rPr>
          <w:rFonts w:hint="eastAsia" w:ascii="仿宋_GB2312" w:hAnsi="仿宋" w:eastAsia="仿宋_GB2312" w:cs="Times New Roman"/>
          <w:color w:val="000000"/>
          <w:sz w:val="32"/>
          <w:szCs w:val="32"/>
          <w:highlight w:val="none"/>
          <w:lang w:val="en-US" w:eastAsia="zh-CN"/>
        </w:rPr>
      </w:pPr>
      <w:r>
        <w:rPr>
          <w:rFonts w:ascii="仿宋" w:hAnsi="仿宋" w:eastAsia="仿宋" w:cs="仿宋"/>
          <w:sz w:val="32"/>
          <w:szCs w:val="32"/>
          <w:highlight w:val="none"/>
        </w:rPr>
        <w:t xml:space="preserve">5. </w:t>
      </w:r>
      <w:r>
        <w:rPr>
          <w:rFonts w:hint="eastAsia" w:ascii="仿宋" w:hAnsi="仿宋" w:eastAsia="仿宋" w:cs="仿宋"/>
          <w:sz w:val="32"/>
          <w:szCs w:val="32"/>
          <w:highlight w:val="none"/>
        </w:rPr>
        <w:t>提交具备履行合同所必需的设备和专业技术能力证明材料。</w:t>
      </w:r>
    </w:p>
    <w:p w14:paraId="271827DC">
      <w:pPr>
        <w:widowControl w:val="0"/>
        <w:numPr>
          <w:ilvl w:val="0"/>
          <w:numId w:val="0"/>
        </w:numPr>
        <w:jc w:val="both"/>
        <w:rPr>
          <w:rFonts w:hint="eastAsia"/>
          <w:highlight w:val="none"/>
          <w:lang w:eastAsia="zh-CN"/>
        </w:rPr>
      </w:pPr>
    </w:p>
    <w:p w14:paraId="67132FEB">
      <w:pPr>
        <w:pStyle w:val="3"/>
        <w:numPr>
          <w:ilvl w:val="0"/>
          <w:numId w:val="32"/>
        </w:numPr>
        <w:ind w:left="0" w:leftChars="0" w:firstLine="448" w:firstLineChars="0"/>
        <w:rPr>
          <w:rFonts w:hint="eastAsia" w:ascii="仿宋" w:hAnsi="仿宋" w:eastAsia="仿宋" w:cs="仿宋"/>
          <w:sz w:val="32"/>
          <w:highlight w:val="none"/>
        </w:rPr>
      </w:pPr>
      <w:r>
        <w:rPr>
          <w:rFonts w:hint="eastAsia" w:ascii="仿宋" w:hAnsi="仿宋" w:eastAsia="仿宋" w:cs="仿宋"/>
          <w:sz w:val="32"/>
          <w:highlight w:val="none"/>
        </w:rPr>
        <w:t>服务要求</w:t>
      </w:r>
    </w:p>
    <w:p w14:paraId="59CFB10F">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1.软测要求</w:t>
      </w:r>
    </w:p>
    <w:p w14:paraId="672CAA5C">
      <w:pPr>
        <w:pStyle w:val="8"/>
        <w:numPr>
          <w:ilvl w:val="0"/>
          <w:numId w:val="33"/>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规范各系统文档资料，协调测试计划时间安排，组织完成测试业务需求分析、编写测试方案计划，并组织实施测试。根据测试结果，编写并提交测试报告，保证测试内容与测试方案一致；</w:t>
      </w:r>
    </w:p>
    <w:p w14:paraId="012D444C">
      <w:pPr>
        <w:pStyle w:val="8"/>
        <w:numPr>
          <w:ilvl w:val="0"/>
          <w:numId w:val="33"/>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严格管理项目参加人员，把控方案、计划、实施工作，确保测试工作按时保质完成；根据各信息系统上线和部署要求，合理安排软件测试计划。</w:t>
      </w:r>
    </w:p>
    <w:p w14:paraId="41605895">
      <w:pPr>
        <w:pStyle w:val="8"/>
        <w:numPr>
          <w:ilvl w:val="0"/>
          <w:numId w:val="33"/>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根据信息系统需求、系统设计编写测试方案、测试计划、测试用例、测试报告等相关文档，确保文档质量；</w:t>
      </w:r>
    </w:p>
    <w:p w14:paraId="5969C80A">
      <w:pPr>
        <w:pStyle w:val="8"/>
        <w:numPr>
          <w:ilvl w:val="0"/>
          <w:numId w:val="33"/>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在测试过程中报告发现的缺陷并实时提出优化建议；在承建单位完成整改后进行回归测试，验证缺陷和优化建议已得到正确处理且未引入新的缺陷；要求每次测试至少含一轮回归测试；</w:t>
      </w:r>
    </w:p>
    <w:p w14:paraId="05B57A9E">
      <w:pPr>
        <w:pStyle w:val="8"/>
        <w:numPr>
          <w:ilvl w:val="0"/>
          <w:numId w:val="33"/>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通过实施软件测试，发现和找出系统开发阶段未满足项目设计要求并且影响上线使用的开发设计缺陷，对被测试系统进行评估，为系统上线并最后总体验收使用提供质量保证；</w:t>
      </w:r>
    </w:p>
    <w:p w14:paraId="10A8E8F1">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2.软测应遵循的原则</w:t>
      </w:r>
    </w:p>
    <w:p w14:paraId="7C6DCB51">
      <w:pPr>
        <w:pStyle w:val="8"/>
        <w:numPr>
          <w:ilvl w:val="0"/>
          <w:numId w:val="34"/>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公平原则：实施方应遵循“面向应用、保证质量、客观公正、诚信守诺”的原则开展软件测试工作。</w:t>
      </w:r>
    </w:p>
    <w:p w14:paraId="3BF32CB8">
      <w:pPr>
        <w:pStyle w:val="8"/>
        <w:numPr>
          <w:ilvl w:val="0"/>
          <w:numId w:val="34"/>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标准性原则：实施方应依据相关国家标准、行业标准开展测试工作。本测试要求所使用的标准和规范如与实施方所执行的标准不一致时，按较高标准执行。</w:t>
      </w:r>
    </w:p>
    <w:p w14:paraId="395D08E3">
      <w:pPr>
        <w:pStyle w:val="8"/>
        <w:numPr>
          <w:ilvl w:val="0"/>
          <w:numId w:val="34"/>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优质服务原则：本测试要求实施方提供的是最低限度的要求，实施方应保证提供符合本测试要求和有关标准的优质服务，并确保测试报告符合项目验收的所有要求。</w:t>
      </w:r>
    </w:p>
    <w:p w14:paraId="38498874">
      <w:pPr>
        <w:pStyle w:val="8"/>
        <w:numPr>
          <w:ilvl w:val="0"/>
          <w:numId w:val="34"/>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保密原则：对测试服务过程中接触到的各种信息，不得泄漏给任何单位和个人，未经允许不得利用这些信息从事与服务无关的活动。</w:t>
      </w:r>
    </w:p>
    <w:p w14:paraId="42265D6D">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3.软测质量</w:t>
      </w:r>
    </w:p>
    <w:p w14:paraId="3A744498">
      <w:pPr>
        <w:pStyle w:val="8"/>
        <w:numPr>
          <w:ilvl w:val="0"/>
          <w:numId w:val="35"/>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测评准确性：测评结果准确无误，能够正确发现软件中的各类问题，包括功能缺陷、性能瓶颈、安全漏洞等</w:t>
      </w:r>
    </w:p>
    <w:p w14:paraId="1FBFA63F">
      <w:pPr>
        <w:pStyle w:val="8"/>
        <w:numPr>
          <w:ilvl w:val="0"/>
          <w:numId w:val="35"/>
        </w:numPr>
        <w:ind w:left="0" w:leftChars="0" w:firstLine="400" w:firstLineChars="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测评完整性：按照测评相关标准，对软件的所有规定功能、性能指标、安全要求等进行全面测评，无遗漏重要测试点；</w:t>
      </w:r>
    </w:p>
    <w:p w14:paraId="25EF338F">
      <w:pPr>
        <w:pStyle w:val="8"/>
        <w:numPr>
          <w:ilvl w:val="0"/>
          <w:numId w:val="35"/>
        </w:numPr>
        <w:ind w:left="0" w:leftChars="0" w:firstLine="400" w:firstLineChars="0"/>
        <w:rPr>
          <w:rFonts w:hint="eastAsia"/>
          <w:highlight w:val="none"/>
        </w:rPr>
      </w:pPr>
      <w:r>
        <w:rPr>
          <w:rFonts w:hint="eastAsia" w:ascii="仿宋_GB2312" w:hAnsi="仿宋" w:eastAsia="仿宋_GB2312" w:cs="Times New Roman"/>
          <w:color w:val="000000"/>
          <w:sz w:val="32"/>
          <w:szCs w:val="32"/>
          <w:highlight w:val="none"/>
          <w:lang w:val="en-US" w:eastAsia="zh-CN"/>
        </w:rPr>
        <w:t>测评规范性：测评过程严格遵循相关国家标准、行业标准和测评规范，包括测试用例设计、测试执行、问题记录与报告等环节，操作规范、流程合规；</w:t>
      </w:r>
    </w:p>
    <w:p w14:paraId="2738A3E9">
      <w:pPr>
        <w:pStyle w:val="3"/>
        <w:numPr>
          <w:ilvl w:val="0"/>
          <w:numId w:val="32"/>
        </w:numPr>
        <w:ind w:left="0" w:leftChars="0" w:firstLine="448" w:firstLineChars="0"/>
        <w:rPr>
          <w:rFonts w:hint="eastAsia" w:ascii="仿宋" w:hAnsi="仿宋" w:eastAsia="仿宋" w:cs="仿宋"/>
          <w:sz w:val="32"/>
          <w:highlight w:val="none"/>
        </w:rPr>
      </w:pPr>
      <w:r>
        <w:rPr>
          <w:rFonts w:hint="eastAsia" w:ascii="仿宋" w:hAnsi="仿宋" w:eastAsia="仿宋" w:cs="仿宋"/>
          <w:sz w:val="32"/>
          <w:highlight w:val="none"/>
        </w:rPr>
        <w:t>时间、地点要求</w:t>
      </w:r>
    </w:p>
    <w:p w14:paraId="4CD7CC32">
      <w:pPr>
        <w:ind w:firstLine="446"/>
        <w:rPr>
          <w:rFonts w:hint="default" w:ascii="仿宋" w:hAnsi="仿宋" w:eastAsia="仿宋" w:cs="仿宋"/>
          <w:sz w:val="32"/>
          <w:szCs w:val="32"/>
          <w:highlight w:val="none"/>
          <w:lang w:val="en-US" w:eastAsia="zh-CN"/>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时间要求：</w:t>
      </w:r>
      <w:r>
        <w:rPr>
          <w:rFonts w:hint="eastAsia" w:ascii="仿宋" w:hAnsi="仿宋" w:eastAsia="仿宋" w:cs="仿宋"/>
          <w:sz w:val="32"/>
          <w:szCs w:val="32"/>
          <w:highlight w:val="none"/>
          <w:lang w:val="en-US" w:eastAsia="zh-CN"/>
        </w:rPr>
        <w:t>自甲方通知之日起60天内完成相关服务。</w:t>
      </w:r>
    </w:p>
    <w:p w14:paraId="55935330">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服务地点：</w:t>
      </w:r>
      <w:r>
        <w:rPr>
          <w:rFonts w:ascii="仿宋" w:hAnsi="仿宋" w:eastAsia="仿宋" w:cs="仿宋"/>
          <w:sz w:val="32"/>
          <w:szCs w:val="32"/>
          <w:highlight w:val="none"/>
        </w:rPr>
        <w:t xml:space="preserve"> </w:t>
      </w:r>
      <w:r>
        <w:rPr>
          <w:rFonts w:hint="eastAsia" w:ascii="仿宋" w:hAnsi="仿宋" w:eastAsia="仿宋" w:cs="仿宋"/>
          <w:sz w:val="32"/>
          <w:szCs w:val="32"/>
          <w:highlight w:val="none"/>
        </w:rPr>
        <w:t>采购人指定地点。</w:t>
      </w:r>
    </w:p>
    <w:p w14:paraId="6E788510">
      <w:pPr>
        <w:widowControl w:val="0"/>
        <w:numPr>
          <w:ilvl w:val="0"/>
          <w:numId w:val="0"/>
        </w:numPr>
        <w:jc w:val="both"/>
        <w:rPr>
          <w:rFonts w:hint="eastAsia"/>
          <w:highlight w:val="none"/>
        </w:rPr>
      </w:pPr>
    </w:p>
    <w:p w14:paraId="5E6E6396">
      <w:pPr>
        <w:pStyle w:val="3"/>
        <w:ind w:firstLine="448"/>
        <w:rPr>
          <w:rFonts w:hint="eastAsia" w:ascii="仿宋" w:hAnsi="仿宋" w:eastAsia="仿宋" w:cs="仿宋"/>
          <w:sz w:val="32"/>
          <w:highlight w:val="none"/>
        </w:rPr>
      </w:pPr>
      <w:r>
        <w:rPr>
          <w:rFonts w:hint="eastAsia" w:ascii="仿宋" w:hAnsi="仿宋" w:eastAsia="仿宋" w:cs="仿宋"/>
          <w:sz w:val="32"/>
          <w:highlight w:val="none"/>
        </w:rPr>
        <w:t>（五）付款方式</w:t>
      </w:r>
    </w:p>
    <w:p w14:paraId="220F9CAF">
      <w:pPr>
        <w:ind w:firstLine="960" w:firstLineChars="300"/>
        <w:rPr>
          <w:rFonts w:hint="eastAsia"/>
          <w:highlight w:val="none"/>
        </w:rPr>
      </w:pPr>
      <w:r>
        <w:rPr>
          <w:rFonts w:hint="eastAsia" w:ascii="仿宋_GB2312" w:hAnsi="仿宋" w:eastAsia="仿宋_GB2312"/>
          <w:color w:val="000000"/>
          <w:sz w:val="32"/>
          <w:szCs w:val="32"/>
          <w:highlight w:val="none"/>
        </w:rPr>
        <w:t>签订合同</w:t>
      </w:r>
      <w:r>
        <w:rPr>
          <w:rFonts w:hint="eastAsia" w:ascii="仿宋_GB2312" w:hAnsi="仿宋" w:eastAsia="仿宋_GB2312" w:cs="Times New Roman"/>
          <w:color w:val="000000"/>
          <w:sz w:val="32"/>
          <w:szCs w:val="32"/>
          <w:highlight w:val="none"/>
          <w:lang w:val="en-US" w:eastAsia="zh-CN"/>
        </w:rPr>
        <w:t>且财政资金到账后</w:t>
      </w:r>
      <w:r>
        <w:rPr>
          <w:rFonts w:hint="eastAsia" w:ascii="仿宋_GB2312" w:hAnsi="仿宋" w:eastAsia="仿宋_GB2312"/>
          <w:color w:val="000000"/>
          <w:sz w:val="32"/>
          <w:szCs w:val="32"/>
          <w:highlight w:val="none"/>
        </w:rPr>
        <w:t>，供应商与采购人沟通项目启动时间；项目正式启动前15个工作日内，采购人支付合同总额的70%,验收合格之日起15个工作日内支付合同总额的30%。(特殊情况以合同为准)</w:t>
      </w:r>
    </w:p>
    <w:p w14:paraId="634B15E8">
      <w:pPr>
        <w:pStyle w:val="3"/>
        <w:ind w:firstLine="448"/>
        <w:rPr>
          <w:rFonts w:hint="eastAsia" w:ascii="仿宋" w:hAnsi="仿宋" w:eastAsia="仿宋" w:cs="仿宋"/>
          <w:sz w:val="32"/>
          <w:highlight w:val="none"/>
        </w:rPr>
      </w:pPr>
      <w:r>
        <w:rPr>
          <w:rFonts w:hint="eastAsia" w:ascii="仿宋" w:hAnsi="仿宋" w:eastAsia="仿宋" w:cs="仿宋"/>
          <w:sz w:val="32"/>
          <w:highlight w:val="none"/>
        </w:rPr>
        <w:t>（</w:t>
      </w:r>
      <w:r>
        <w:rPr>
          <w:rFonts w:hint="eastAsia" w:ascii="仿宋" w:hAnsi="仿宋" w:eastAsia="仿宋" w:cs="仿宋"/>
          <w:sz w:val="32"/>
          <w:highlight w:val="none"/>
          <w:lang w:val="en-US" w:eastAsia="zh-CN"/>
        </w:rPr>
        <w:t>六</w:t>
      </w:r>
      <w:r>
        <w:rPr>
          <w:rFonts w:hint="eastAsia" w:ascii="仿宋" w:hAnsi="仿宋" w:eastAsia="仿宋" w:cs="仿宋"/>
          <w:sz w:val="32"/>
          <w:highlight w:val="none"/>
        </w:rPr>
        <w:t>）投标保证金和履约保证金</w:t>
      </w:r>
    </w:p>
    <w:p w14:paraId="1E0ED68D">
      <w:pPr>
        <w:rPr>
          <w:rFonts w:hint="eastAsia" w:eastAsia="仿宋"/>
          <w:highlight w:val="none"/>
          <w:lang w:val="en-US" w:eastAsia="zh-CN"/>
        </w:rPr>
      </w:pPr>
      <w:r>
        <w:rPr>
          <w:rFonts w:hint="eastAsia" w:ascii="仿宋" w:hAnsi="仿宋" w:eastAsia="仿宋" w:cs="仿宋"/>
          <w:sz w:val="32"/>
          <w:highlight w:val="none"/>
          <w:lang w:val="en-US" w:eastAsia="zh-CN"/>
        </w:rPr>
        <w:t>本项目不收取投标保证金和履约保证金。</w:t>
      </w:r>
    </w:p>
    <w:p w14:paraId="6999EF6F">
      <w:pPr>
        <w:pStyle w:val="3"/>
        <w:ind w:firstLine="448"/>
        <w:rPr>
          <w:rFonts w:hint="eastAsia" w:ascii="仿宋" w:hAnsi="仿宋" w:eastAsia="仿宋" w:cs="仿宋"/>
          <w:sz w:val="32"/>
          <w:highlight w:val="none"/>
        </w:rPr>
      </w:pPr>
      <w:r>
        <w:rPr>
          <w:rFonts w:hint="eastAsia" w:ascii="仿宋" w:hAnsi="仿宋" w:eastAsia="仿宋" w:cs="仿宋"/>
          <w:sz w:val="32"/>
          <w:highlight w:val="none"/>
        </w:rPr>
        <w:t>（</w:t>
      </w:r>
      <w:r>
        <w:rPr>
          <w:rFonts w:hint="eastAsia" w:ascii="仿宋" w:hAnsi="仿宋" w:eastAsia="仿宋" w:cs="仿宋"/>
          <w:sz w:val="32"/>
          <w:highlight w:val="none"/>
          <w:lang w:val="en-US" w:eastAsia="zh-CN"/>
        </w:rPr>
        <w:t>七</w:t>
      </w:r>
      <w:r>
        <w:rPr>
          <w:rFonts w:hint="eastAsia" w:ascii="仿宋" w:hAnsi="仿宋" w:eastAsia="仿宋" w:cs="仿宋"/>
          <w:sz w:val="32"/>
          <w:highlight w:val="none"/>
        </w:rPr>
        <w:t>）验收方法及标准</w:t>
      </w:r>
    </w:p>
    <w:p w14:paraId="24382FBF">
      <w:pPr>
        <w:pStyle w:val="8"/>
        <w:ind w:firstLine="320" w:firstLineChars="1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需在服务后输出《软件测评报告》。</w:t>
      </w:r>
    </w:p>
    <w:p w14:paraId="453DE6A7">
      <w:pP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br w:type="page"/>
      </w:r>
    </w:p>
    <w:p w14:paraId="4375CE3C">
      <w:pPr>
        <w:spacing w:line="560" w:lineRule="exact"/>
        <w:ind w:firstLine="640" w:firstLineChars="200"/>
        <w:jc w:val="left"/>
        <w:outlineLvl w:val="2"/>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.包</w:t>
      </w:r>
      <w:r>
        <w:rPr>
          <w:rFonts w:hint="eastAsia" w:ascii="仿宋" w:hAnsi="仿宋" w:eastAsia="仿宋"/>
          <w:sz w:val="32"/>
          <w:szCs w:val="32"/>
          <w:highlight w:val="none"/>
          <w:lang w:val="en-US" w:eastAsia="zh-CN"/>
        </w:rPr>
        <w:t>5</w:t>
      </w:r>
    </w:p>
    <w:p w14:paraId="1CE27571">
      <w:pPr>
        <w:spacing w:line="560" w:lineRule="exact"/>
        <w:ind w:left="0"/>
        <w:outlineLvl w:val="3"/>
        <w:rPr>
          <w:rFonts w:hint="eastAsia" w:ascii="仿宋" w:hAnsi="仿宋" w:eastAsia="仿宋" w:cs="宋体"/>
          <w:sz w:val="32"/>
          <w:szCs w:val="32"/>
          <w:highlight w:val="none"/>
          <w:u w:val="single"/>
          <w:lang w:val="en-US" w:eastAsia="zh-CN"/>
        </w:rPr>
      </w:pPr>
      <w:r>
        <w:rPr>
          <w:rFonts w:hint="eastAsia" w:ascii="仿宋" w:hAnsi="仿宋" w:eastAsia="仿宋" w:cs="宋体"/>
          <w:sz w:val="32"/>
          <w:szCs w:val="32"/>
          <w:highlight w:val="none"/>
          <w:u w:val="single"/>
          <w:lang w:eastAsia="zh-CN"/>
        </w:rPr>
        <w:t>（</w:t>
      </w:r>
      <w:r>
        <w:rPr>
          <w:rFonts w:hint="eastAsia" w:ascii="仿宋" w:hAnsi="仿宋" w:eastAsia="仿宋" w:cs="宋体"/>
          <w:sz w:val="32"/>
          <w:szCs w:val="32"/>
          <w:highlight w:val="none"/>
          <w:u w:val="single"/>
          <w:lang w:val="en-US" w:eastAsia="zh-CN"/>
        </w:rPr>
        <w:t>1</w:t>
      </w:r>
      <w:r>
        <w:rPr>
          <w:rFonts w:hint="eastAsia" w:ascii="仿宋" w:hAnsi="仿宋" w:eastAsia="仿宋" w:cs="宋体"/>
          <w:sz w:val="32"/>
          <w:szCs w:val="32"/>
          <w:highlight w:val="none"/>
          <w:u w:val="single"/>
          <w:lang w:eastAsia="zh-CN"/>
        </w:rPr>
        <w:t>）</w:t>
      </w:r>
      <w:r>
        <w:rPr>
          <w:rFonts w:hint="eastAsia" w:ascii="仿宋" w:hAnsi="仿宋" w:eastAsia="仿宋" w:cs="宋体"/>
          <w:sz w:val="32"/>
          <w:szCs w:val="32"/>
          <w:highlight w:val="none"/>
          <w:u w:val="single"/>
          <w:lang w:val="en-US" w:eastAsia="zh-CN"/>
        </w:rPr>
        <w:t>技术要求</w:t>
      </w:r>
    </w:p>
    <w:p w14:paraId="6986D1FD">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1.</w:t>
      </w:r>
      <w:r>
        <w:rPr>
          <w:rFonts w:hint="eastAsia" w:ascii="仿宋" w:hAnsi="仿宋" w:eastAsia="仿宋" w:cs="Times New Roman"/>
          <w:color w:val="000000"/>
          <w:sz w:val="32"/>
          <w:szCs w:val="32"/>
          <w:highlight w:val="none"/>
          <w:lang w:val="en-US" w:eastAsia="zh-CN"/>
        </w:rPr>
        <w:t>项目审计</w:t>
      </w:r>
      <w:r>
        <w:rPr>
          <w:rFonts w:hint="eastAsia" w:ascii="仿宋_GB2312" w:hAnsi="仿宋" w:eastAsia="仿宋_GB2312" w:cs="Times New Roman"/>
          <w:color w:val="000000"/>
          <w:sz w:val="32"/>
          <w:szCs w:val="32"/>
          <w:highlight w:val="none"/>
          <w:lang w:val="en-US" w:eastAsia="zh-CN"/>
        </w:rPr>
        <w:t xml:space="preserve">范围 </w:t>
      </w:r>
    </w:p>
    <w:tbl>
      <w:tblPr>
        <w:tblStyle w:val="17"/>
        <w:tblW w:w="4998" w:type="pct"/>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186"/>
        <w:gridCol w:w="3580"/>
        <w:gridCol w:w="4284"/>
      </w:tblGrid>
      <w:tr w14:paraId="41B2C97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55" w:type="pct"/>
            <w:tcBorders>
              <w:top w:val="single" w:color="000000" w:sz="4"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74341434">
            <w:pPr>
              <w:pStyle w:val="46"/>
              <w:jc w:val="center"/>
              <w:rPr>
                <w:rFonts w:ascii="仿宋_GB2312" w:hAnsi="仿宋_GB2312" w:eastAsia="仿宋_GB2312" w:cs="仿宋_GB2312"/>
                <w:b/>
                <w:sz w:val="24"/>
                <w:highlight w:val="none"/>
              </w:rPr>
            </w:pPr>
            <w:r>
              <w:rPr>
                <w:rFonts w:ascii="仿宋_GB2312" w:hAnsi="仿宋_GB2312" w:eastAsia="仿宋_GB2312" w:cs="仿宋_GB2312"/>
                <w:b/>
                <w:sz w:val="24"/>
                <w:highlight w:val="none"/>
              </w:rPr>
              <w:t>序号</w:t>
            </w:r>
          </w:p>
        </w:tc>
        <w:tc>
          <w:tcPr>
            <w:tcW w:w="1977" w:type="pct"/>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6280756A">
            <w:pPr>
              <w:pStyle w:val="46"/>
              <w:jc w:val="center"/>
              <w:rPr>
                <w:rFonts w:hint="default" w:ascii="仿宋_GB2312" w:hAnsi="仿宋_GB2312" w:eastAsia="仿宋_GB2312" w:cs="仿宋_GB2312"/>
                <w:b/>
                <w:sz w:val="24"/>
                <w:highlight w:val="none"/>
                <w:lang w:val="en-US" w:eastAsia="zh-CN"/>
              </w:rPr>
            </w:pPr>
            <w:r>
              <w:rPr>
                <w:rFonts w:hint="eastAsia" w:ascii="仿宋_GB2312" w:hAnsi="仿宋_GB2312" w:eastAsia="仿宋_GB2312" w:cs="仿宋_GB2312"/>
                <w:b/>
                <w:sz w:val="24"/>
                <w:highlight w:val="none"/>
                <w:lang w:val="en-US" w:eastAsia="zh-CN"/>
              </w:rPr>
              <w:t>被审计单位名称</w:t>
            </w:r>
          </w:p>
        </w:tc>
        <w:tc>
          <w:tcPr>
            <w:tcW w:w="2366" w:type="pct"/>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444FA605">
            <w:pPr>
              <w:pStyle w:val="46"/>
              <w:jc w:val="center"/>
              <w:rPr>
                <w:rFonts w:ascii="仿宋_GB2312" w:hAnsi="仿宋_GB2312" w:eastAsia="仿宋_GB2312" w:cs="仿宋_GB2312"/>
                <w:b/>
                <w:sz w:val="24"/>
                <w:highlight w:val="none"/>
              </w:rPr>
            </w:pPr>
            <w:r>
              <w:rPr>
                <w:rFonts w:ascii="仿宋_GB2312" w:hAnsi="仿宋_GB2312" w:eastAsia="仿宋_GB2312" w:cs="仿宋_GB2312"/>
                <w:b/>
                <w:sz w:val="24"/>
                <w:highlight w:val="none"/>
              </w:rPr>
              <w:t>系统名称</w:t>
            </w:r>
          </w:p>
        </w:tc>
      </w:tr>
      <w:tr w14:paraId="201EB3C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89" w:hRule="atLeast"/>
        </w:trPr>
        <w:tc>
          <w:tcPr>
            <w:tcW w:w="655" w:type="pct"/>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3E0DBAD7">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1</w:t>
            </w:r>
          </w:p>
        </w:tc>
        <w:tc>
          <w:tcPr>
            <w:tcW w:w="1977" w:type="pct"/>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3A173BC0">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天津市教育委员会</w:t>
            </w:r>
          </w:p>
        </w:tc>
        <w:tc>
          <w:tcPr>
            <w:tcW w:w="2366" w:type="pct"/>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7E2DBB1F">
            <w:pPr>
              <w:pStyle w:val="45"/>
              <w:spacing w:before="152" w:line="227" w:lineRule="auto"/>
              <w:ind w:left="35" w:leftChars="0"/>
              <w:jc w:val="cente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天津市教育数据平台建设项目一期</w:t>
            </w:r>
          </w:p>
        </w:tc>
      </w:tr>
    </w:tbl>
    <w:p w14:paraId="44C741BC">
      <w:pPr>
        <w:pStyle w:val="4"/>
        <w:ind w:firstLine="448"/>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2.项目主要内容</w:t>
      </w:r>
    </w:p>
    <w:p w14:paraId="2CFEAF64">
      <w:pPr>
        <w:spacing w:line="560" w:lineRule="exact"/>
        <w:ind w:firstLine="640" w:firstLineChars="200"/>
        <w:rPr>
          <w:rFonts w:hint="default"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1）全过程审计</w:t>
      </w:r>
    </w:p>
    <w:p w14:paraId="0C093174">
      <w:pPr>
        <w:rPr>
          <w:rFonts w:hint="eastAsia"/>
          <w:highlight w:val="none"/>
          <w:lang w:val="en-US" w:eastAsia="zh-CN"/>
        </w:rPr>
      </w:pPr>
    </w:p>
    <w:tbl>
      <w:tblPr>
        <w:tblStyle w:val="17"/>
        <w:tblW w:w="852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0"/>
        <w:gridCol w:w="960"/>
        <w:gridCol w:w="6600"/>
      </w:tblGrid>
      <w:tr w14:paraId="58D9A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3A16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序号</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670E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阶段</w:t>
            </w:r>
          </w:p>
        </w:tc>
        <w:tc>
          <w:tcPr>
            <w:tcW w:w="6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5405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审计重点</w:t>
            </w:r>
          </w:p>
        </w:tc>
      </w:tr>
      <w:tr w14:paraId="05192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B952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AB1B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前期决策</w:t>
            </w:r>
          </w:p>
        </w:tc>
        <w:tc>
          <w:tcPr>
            <w:tcW w:w="6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1168C">
            <w:pPr>
              <w:keepNext w:val="0"/>
              <w:keepLines w:val="0"/>
              <w:widowControl/>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立项程序合规性、可行性论证充分性、预算编制合理性</w:t>
            </w:r>
          </w:p>
        </w:tc>
      </w:tr>
      <w:tr w14:paraId="42D4C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2324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B764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开发过程</w:t>
            </w:r>
          </w:p>
        </w:tc>
        <w:tc>
          <w:tcPr>
            <w:tcW w:w="6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715B9">
            <w:pPr>
              <w:keepNext w:val="0"/>
              <w:keepLines w:val="0"/>
              <w:widowControl/>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需求变更控制、开发进度与计划一致性、代码质量（抽查）、第三方组件合规性</w:t>
            </w:r>
          </w:p>
        </w:tc>
      </w:tr>
      <w:tr w14:paraId="2C797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6134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C650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测试验收</w:t>
            </w:r>
          </w:p>
        </w:tc>
        <w:tc>
          <w:tcPr>
            <w:tcW w:w="6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2FEE6">
            <w:pPr>
              <w:keepNext w:val="0"/>
              <w:keepLines w:val="0"/>
              <w:widowControl/>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测试用例覆盖率、缺陷修复有效性、验收文档完整性</w:t>
            </w:r>
          </w:p>
        </w:tc>
      </w:tr>
      <w:tr w14:paraId="69F88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1DF8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BD9B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上线运维</w:t>
            </w:r>
          </w:p>
        </w:tc>
        <w:tc>
          <w:tcPr>
            <w:tcW w:w="6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9DE6D">
            <w:pPr>
              <w:keepNext w:val="0"/>
              <w:keepLines w:val="0"/>
              <w:widowControl/>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系统稳定性评估、数据迁移准确性、运维制度健全性</w:t>
            </w:r>
          </w:p>
        </w:tc>
      </w:tr>
      <w:tr w14:paraId="0491D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D248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C35D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成本管理</w:t>
            </w:r>
          </w:p>
        </w:tc>
        <w:tc>
          <w:tcPr>
            <w:tcW w:w="6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E0DA0">
            <w:pPr>
              <w:keepNext w:val="0"/>
              <w:keepLines w:val="0"/>
              <w:widowControl/>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合同执行合规性、支出与预算匹配度、资源利用率分析</w:t>
            </w:r>
          </w:p>
        </w:tc>
      </w:tr>
    </w:tbl>
    <w:p w14:paraId="3A6F48F3">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2）专项审计</w:t>
      </w:r>
    </w:p>
    <w:p w14:paraId="2AAD38B2">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数据安全审计：检查敏感数据加密、权限控制、日志完整性（符合等保3.0/ISO 27001）</w:t>
      </w:r>
    </w:p>
    <w:p w14:paraId="25D20DE3">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知识产权审计：源代码/第三方库版权合规性确认</w:t>
      </w:r>
    </w:p>
    <w:p w14:paraId="28A07B71">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绩效审计：系统使用率、故障率、业务目标达成率分析</w:t>
      </w:r>
    </w:p>
    <w:p w14:paraId="650AADAA">
      <w:pPr>
        <w:spacing w:line="560" w:lineRule="exact"/>
        <w:ind w:left="0"/>
        <w:outlineLvl w:val="3"/>
        <w:rPr>
          <w:rFonts w:hint="eastAsia" w:ascii="仿宋" w:hAnsi="仿宋" w:eastAsia="仿宋" w:cs="宋体"/>
          <w:sz w:val="32"/>
          <w:szCs w:val="32"/>
          <w:highlight w:val="none"/>
          <w:u w:val="single"/>
        </w:rPr>
      </w:pPr>
      <w:r>
        <w:rPr>
          <w:rFonts w:hint="eastAsia" w:ascii="仿宋" w:hAnsi="仿宋" w:eastAsia="仿宋" w:cs="宋体"/>
          <w:sz w:val="32"/>
          <w:szCs w:val="32"/>
          <w:highlight w:val="none"/>
          <w:u w:val="single"/>
        </w:rPr>
        <w:t>（2）商务要求（实质性要求）</w:t>
      </w:r>
    </w:p>
    <w:p w14:paraId="6647EB7C">
      <w:pPr>
        <w:pStyle w:val="3"/>
        <w:ind w:firstLine="448"/>
        <w:rPr>
          <w:rFonts w:hint="eastAsia" w:ascii="仿宋" w:hAnsi="仿宋" w:eastAsia="仿宋" w:cs="仿宋"/>
          <w:sz w:val="32"/>
          <w:szCs w:val="32"/>
          <w:highlight w:val="none"/>
        </w:rPr>
      </w:pPr>
      <w:r>
        <w:rPr>
          <w:rFonts w:hint="eastAsia" w:ascii="仿宋" w:hAnsi="仿宋" w:eastAsia="仿宋" w:cs="仿宋"/>
          <w:sz w:val="32"/>
          <w:szCs w:val="32"/>
          <w:highlight w:val="none"/>
        </w:rPr>
        <w:t>（一）投标要求</w:t>
      </w:r>
    </w:p>
    <w:p w14:paraId="34C8C06C">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投标人须具备《中华人民共和国政府采购法》第二十二条第一款规定的条件，提供以下材料：</w:t>
      </w:r>
    </w:p>
    <w:p w14:paraId="71920E9C">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营业执照副本或事业单位法人证书或民办非企业单位登记证书或社会团体法人登记证书或基金会法人登记证书扫描件或自然人的身份证明扫描件。</w:t>
      </w:r>
    </w:p>
    <w:p w14:paraId="6007E365">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财务状况报告等相关材料：</w:t>
      </w:r>
    </w:p>
    <w:p w14:paraId="33DBC8B7">
      <w:pPr>
        <w:ind w:firstLine="446"/>
        <w:rPr>
          <w:rFonts w:hint="eastAsia" w:ascii="仿宋" w:hAnsi="仿宋" w:eastAsia="仿宋" w:cs="仿宋"/>
          <w:sz w:val="32"/>
          <w:szCs w:val="32"/>
          <w:highlight w:val="none"/>
        </w:rPr>
      </w:pPr>
      <w:r>
        <w:rPr>
          <w:rFonts w:ascii="仿宋" w:hAnsi="仿宋" w:eastAsia="仿宋" w:cs="仿宋"/>
          <w:sz w:val="32"/>
          <w:szCs w:val="32"/>
          <w:highlight w:val="none"/>
        </w:rPr>
        <w:t>A.经第三方会计师事务所审计的2024</w:t>
      </w:r>
      <w:r>
        <w:rPr>
          <w:rFonts w:hint="eastAsia" w:ascii="仿宋" w:hAnsi="仿宋" w:eastAsia="仿宋" w:cs="仿宋"/>
          <w:sz w:val="32"/>
          <w:szCs w:val="32"/>
          <w:highlight w:val="none"/>
        </w:rPr>
        <w:t>年度财务报告扫描件，财务报告需包含附注页。</w:t>
      </w:r>
    </w:p>
    <w:p w14:paraId="278D46DD">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B. </w:t>
      </w:r>
      <w:r>
        <w:rPr>
          <w:rFonts w:hint="eastAsia" w:ascii="仿宋" w:hAnsi="仿宋" w:eastAsia="仿宋" w:cs="仿宋"/>
          <w:sz w:val="32"/>
          <w:szCs w:val="32"/>
          <w:highlight w:val="none"/>
        </w:rPr>
        <w:t>具有良好的商业信誉和健全的财务会计制度的书面声明。</w:t>
      </w:r>
    </w:p>
    <w:p w14:paraId="2257C4C7">
      <w:pPr>
        <w:ind w:firstLine="446"/>
        <w:rPr>
          <w:rFonts w:hint="eastAsia" w:ascii="仿宋" w:hAnsi="仿宋" w:eastAsia="仿宋" w:cs="仿宋"/>
          <w:sz w:val="32"/>
          <w:szCs w:val="32"/>
          <w:highlight w:val="none"/>
        </w:rPr>
      </w:pPr>
      <w:r>
        <w:rPr>
          <w:rFonts w:hint="eastAsia" w:ascii="仿宋" w:hAnsi="仿宋" w:eastAsia="仿宋" w:cs="仿宋"/>
          <w:sz w:val="32"/>
          <w:szCs w:val="32"/>
          <w:highlight w:val="none"/>
        </w:rPr>
        <w:t>注：</w:t>
      </w:r>
      <w:r>
        <w:rPr>
          <w:rFonts w:ascii="仿宋" w:hAnsi="仿宋" w:eastAsia="仿宋" w:cs="仿宋"/>
          <w:sz w:val="32"/>
          <w:szCs w:val="32"/>
          <w:highlight w:val="none"/>
        </w:rPr>
        <w:t>A、B两项提供任意一项均可。</w:t>
      </w:r>
    </w:p>
    <w:p w14:paraId="1F82123F">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3. </w:t>
      </w:r>
      <w:r>
        <w:rPr>
          <w:rFonts w:hint="eastAsia" w:ascii="仿宋" w:hAnsi="仿宋" w:eastAsia="仿宋" w:cs="仿宋"/>
          <w:sz w:val="32"/>
          <w:szCs w:val="32"/>
          <w:highlight w:val="none"/>
        </w:rPr>
        <w:t>依法缴纳税收和社会保障资金的书面声明。</w:t>
      </w:r>
    </w:p>
    <w:p w14:paraId="06175CB5">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4. </w:t>
      </w:r>
      <w:r>
        <w:rPr>
          <w:rFonts w:hint="eastAsia" w:ascii="仿宋" w:hAnsi="仿宋" w:eastAsia="仿宋" w:cs="仿宋"/>
          <w:sz w:val="32"/>
          <w:szCs w:val="32"/>
          <w:highlight w:val="none"/>
        </w:rPr>
        <w:t>投标截止日前</w:t>
      </w:r>
      <w:r>
        <w:rPr>
          <w:rFonts w:ascii="仿宋" w:hAnsi="仿宋" w:eastAsia="仿宋" w:cs="仿宋"/>
          <w:sz w:val="32"/>
          <w:szCs w:val="32"/>
          <w:highlight w:val="none"/>
        </w:rPr>
        <w:t>3年在经营活动中没有重大违法记录的书面声明（截至开标日成立不足3年的供应商可提供自成立以来无重大违法记录的书面声明）。</w:t>
      </w:r>
    </w:p>
    <w:p w14:paraId="6170ED47">
      <w:pPr>
        <w:numPr>
          <w:ilvl w:val="-1"/>
          <w:numId w:val="0"/>
        </w:numPr>
        <w:spacing w:line="240" w:lineRule="auto"/>
        <w:ind w:left="0" w:leftChars="0" w:firstLine="446" w:firstLineChars="0"/>
        <w:rPr>
          <w:rFonts w:hint="eastAsia" w:ascii="仿宋_GB2312" w:hAnsi="仿宋" w:eastAsia="仿宋_GB2312" w:cs="Times New Roman"/>
          <w:color w:val="000000"/>
          <w:sz w:val="32"/>
          <w:szCs w:val="32"/>
          <w:highlight w:val="none"/>
          <w:lang w:eastAsia="zh-CN"/>
        </w:rPr>
      </w:pPr>
      <w:r>
        <w:rPr>
          <w:rFonts w:ascii="仿宋" w:hAnsi="仿宋" w:eastAsia="仿宋" w:cs="仿宋"/>
          <w:sz w:val="32"/>
          <w:szCs w:val="32"/>
          <w:highlight w:val="none"/>
        </w:rPr>
        <w:t xml:space="preserve">5. </w:t>
      </w:r>
      <w:r>
        <w:rPr>
          <w:rFonts w:hint="eastAsia" w:ascii="仿宋" w:hAnsi="仿宋" w:eastAsia="仿宋" w:cs="仿宋"/>
          <w:sz w:val="32"/>
          <w:szCs w:val="32"/>
          <w:highlight w:val="none"/>
        </w:rPr>
        <w:t>提交具备履行合同所必需的设备和专业技术能力证明材料。</w:t>
      </w:r>
    </w:p>
    <w:p w14:paraId="7B6FF377">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p>
    <w:p w14:paraId="5E9465D0">
      <w:pPr>
        <w:widowControl w:val="0"/>
        <w:numPr>
          <w:ilvl w:val="0"/>
          <w:numId w:val="0"/>
        </w:numPr>
        <w:jc w:val="both"/>
        <w:rPr>
          <w:rFonts w:hint="eastAsia"/>
          <w:highlight w:val="none"/>
        </w:rPr>
      </w:pPr>
    </w:p>
    <w:p w14:paraId="1D156AA4">
      <w:pPr>
        <w:pStyle w:val="3"/>
        <w:numPr>
          <w:ilvl w:val="0"/>
          <w:numId w:val="0"/>
        </w:numPr>
        <w:rPr>
          <w:rFonts w:hint="eastAsia" w:ascii="仿宋" w:hAnsi="仿宋" w:eastAsia="仿宋" w:cs="仿宋"/>
          <w:sz w:val="32"/>
          <w:highlight w:val="none"/>
        </w:rPr>
      </w:pPr>
      <w:r>
        <w:rPr>
          <w:rFonts w:hint="eastAsia" w:ascii="仿宋" w:hAnsi="仿宋" w:eastAsia="仿宋" w:cs="仿宋"/>
          <w:sz w:val="32"/>
          <w:highlight w:val="none"/>
          <w:lang w:eastAsia="zh-CN"/>
        </w:rPr>
        <w:t>（</w:t>
      </w:r>
      <w:r>
        <w:rPr>
          <w:rFonts w:hint="eastAsia" w:ascii="仿宋" w:hAnsi="仿宋" w:eastAsia="仿宋" w:cs="仿宋"/>
          <w:sz w:val="32"/>
          <w:highlight w:val="none"/>
          <w:lang w:val="en-US" w:eastAsia="zh-CN"/>
        </w:rPr>
        <w:t>三</w:t>
      </w:r>
      <w:r>
        <w:rPr>
          <w:rFonts w:hint="eastAsia" w:ascii="仿宋" w:hAnsi="仿宋" w:eastAsia="仿宋" w:cs="仿宋"/>
          <w:sz w:val="32"/>
          <w:highlight w:val="none"/>
          <w:lang w:eastAsia="zh-CN"/>
        </w:rPr>
        <w:t>）</w:t>
      </w:r>
      <w:r>
        <w:rPr>
          <w:rFonts w:hint="eastAsia" w:ascii="仿宋" w:hAnsi="仿宋" w:eastAsia="仿宋" w:cs="仿宋"/>
          <w:sz w:val="32"/>
          <w:highlight w:val="none"/>
        </w:rPr>
        <w:t>服务要求</w:t>
      </w:r>
    </w:p>
    <w:p w14:paraId="6AAD2913">
      <w:pPr>
        <w:ind w:firstLine="446"/>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符合《中华人民共和国审计法》、《中华人民共和国国家审计准则》及《中华人民共和国审计法实施条例》等法律法规，涵盖规定中的审计内容。</w:t>
      </w:r>
    </w:p>
    <w:p w14:paraId="41770B6E">
      <w:pPr>
        <w:pStyle w:val="3"/>
        <w:numPr>
          <w:ilvl w:val="0"/>
          <w:numId w:val="0"/>
        </w:numPr>
        <w:rPr>
          <w:rFonts w:hint="eastAsia" w:ascii="仿宋" w:hAnsi="仿宋" w:eastAsia="仿宋" w:cs="仿宋"/>
          <w:sz w:val="32"/>
          <w:highlight w:val="none"/>
          <w:lang w:eastAsia="zh-CN"/>
        </w:rPr>
      </w:pPr>
      <w:r>
        <w:rPr>
          <w:rFonts w:hint="eastAsia" w:ascii="仿宋" w:hAnsi="仿宋" w:eastAsia="仿宋" w:cs="仿宋"/>
          <w:sz w:val="32"/>
          <w:highlight w:val="none"/>
          <w:lang w:eastAsia="zh-CN"/>
        </w:rPr>
        <w:t>（</w:t>
      </w:r>
      <w:r>
        <w:rPr>
          <w:rFonts w:hint="eastAsia" w:ascii="仿宋" w:hAnsi="仿宋" w:eastAsia="仿宋" w:cs="仿宋"/>
          <w:sz w:val="32"/>
          <w:highlight w:val="none"/>
          <w:lang w:val="en-US" w:eastAsia="zh-CN"/>
        </w:rPr>
        <w:t>五</w:t>
      </w:r>
      <w:r>
        <w:rPr>
          <w:rFonts w:hint="eastAsia" w:ascii="仿宋" w:hAnsi="仿宋" w:eastAsia="仿宋" w:cs="仿宋"/>
          <w:sz w:val="32"/>
          <w:highlight w:val="none"/>
          <w:lang w:eastAsia="zh-CN"/>
        </w:rPr>
        <w:t>）</w:t>
      </w:r>
      <w:r>
        <w:rPr>
          <w:rFonts w:hint="eastAsia" w:ascii="仿宋" w:hAnsi="仿宋" w:eastAsia="仿宋" w:cs="仿宋"/>
          <w:sz w:val="32"/>
          <w:highlight w:val="none"/>
          <w:lang w:val="en-US" w:eastAsia="zh-CN"/>
        </w:rPr>
        <w:t>付款方式</w:t>
      </w:r>
    </w:p>
    <w:p w14:paraId="7D122199">
      <w:pPr>
        <w:spacing w:line="560" w:lineRule="exact"/>
        <w:ind w:firstLine="640" w:firstLineChars="200"/>
        <w:rPr>
          <w:rFonts w:hint="eastAsia" w:ascii="仿宋_GB2312" w:hAnsi="仿宋" w:eastAsia="仿宋_GB2312" w:cs="Times New Roman"/>
          <w:color w:val="000000"/>
          <w:sz w:val="32"/>
          <w:szCs w:val="32"/>
          <w:highlight w:val="none"/>
          <w:lang w:eastAsia="zh-CN"/>
        </w:rPr>
      </w:pPr>
      <w:r>
        <w:rPr>
          <w:rFonts w:hint="eastAsia" w:ascii="仿宋_GB2312" w:hAnsi="仿宋" w:eastAsia="仿宋_GB2312" w:cs="Times New Roman"/>
          <w:color w:val="000000"/>
          <w:sz w:val="32"/>
          <w:szCs w:val="32"/>
          <w:highlight w:val="none"/>
          <w:lang w:eastAsia="zh-CN"/>
        </w:rPr>
        <w:t>签订合同</w:t>
      </w:r>
      <w:r>
        <w:rPr>
          <w:rFonts w:hint="eastAsia" w:ascii="仿宋_GB2312" w:hAnsi="仿宋" w:eastAsia="仿宋_GB2312" w:cs="Times New Roman"/>
          <w:color w:val="000000"/>
          <w:sz w:val="32"/>
          <w:szCs w:val="32"/>
          <w:highlight w:val="none"/>
          <w:lang w:val="en-US" w:eastAsia="zh-CN"/>
        </w:rPr>
        <w:t>且财政资金到账后</w:t>
      </w:r>
      <w:r>
        <w:rPr>
          <w:rFonts w:hint="eastAsia" w:ascii="仿宋_GB2312" w:hAnsi="仿宋" w:eastAsia="仿宋_GB2312" w:cs="Times New Roman"/>
          <w:color w:val="000000"/>
          <w:sz w:val="32"/>
          <w:szCs w:val="32"/>
          <w:highlight w:val="none"/>
          <w:lang w:eastAsia="zh-CN"/>
        </w:rPr>
        <w:t>15个工作日内支付合同总额的</w:t>
      </w:r>
      <w:r>
        <w:rPr>
          <w:rFonts w:hint="eastAsia" w:ascii="仿宋_GB2312" w:hAnsi="仿宋" w:eastAsia="仿宋_GB2312" w:cs="Times New Roman"/>
          <w:color w:val="000000"/>
          <w:sz w:val="32"/>
          <w:szCs w:val="32"/>
          <w:highlight w:val="none"/>
          <w:lang w:val="en-US" w:eastAsia="zh-CN"/>
        </w:rPr>
        <w:t>7</w:t>
      </w:r>
      <w:r>
        <w:rPr>
          <w:rFonts w:hint="eastAsia" w:ascii="仿宋_GB2312" w:hAnsi="仿宋" w:eastAsia="仿宋_GB2312" w:cs="Times New Roman"/>
          <w:color w:val="000000"/>
          <w:sz w:val="32"/>
          <w:szCs w:val="32"/>
          <w:highlight w:val="none"/>
          <w:lang w:eastAsia="zh-CN"/>
        </w:rPr>
        <w:t>0%,甲方验收合格之日起15个工作日内支付合同总额的</w:t>
      </w:r>
      <w:r>
        <w:rPr>
          <w:rFonts w:hint="eastAsia" w:ascii="仿宋_GB2312" w:hAnsi="仿宋" w:eastAsia="仿宋_GB2312" w:cs="Times New Roman"/>
          <w:color w:val="000000"/>
          <w:sz w:val="32"/>
          <w:szCs w:val="32"/>
          <w:highlight w:val="none"/>
          <w:lang w:val="en-US" w:eastAsia="zh-CN"/>
        </w:rPr>
        <w:t>3</w:t>
      </w:r>
      <w:r>
        <w:rPr>
          <w:rFonts w:hint="eastAsia" w:ascii="仿宋_GB2312" w:hAnsi="仿宋" w:eastAsia="仿宋_GB2312" w:cs="Times New Roman"/>
          <w:color w:val="000000"/>
          <w:sz w:val="32"/>
          <w:szCs w:val="32"/>
          <w:highlight w:val="none"/>
          <w:lang w:eastAsia="zh-CN"/>
        </w:rPr>
        <w:t>0%。(特殊情况以合同为准)</w:t>
      </w:r>
    </w:p>
    <w:p w14:paraId="4ACE1A60">
      <w:pPr>
        <w:pStyle w:val="3"/>
        <w:numPr>
          <w:ilvl w:val="0"/>
          <w:numId w:val="0"/>
        </w:numPr>
        <w:ind w:leftChars="0"/>
        <w:rPr>
          <w:rFonts w:hint="eastAsia" w:ascii="仿宋" w:hAnsi="仿宋" w:eastAsia="仿宋" w:cs="仿宋"/>
          <w:sz w:val="32"/>
          <w:highlight w:val="none"/>
        </w:rPr>
      </w:pPr>
      <w:r>
        <w:rPr>
          <w:rFonts w:hint="eastAsia" w:ascii="仿宋" w:hAnsi="仿宋" w:eastAsia="仿宋" w:cs="仿宋"/>
          <w:sz w:val="32"/>
          <w:highlight w:val="none"/>
          <w:lang w:eastAsia="zh-CN"/>
        </w:rPr>
        <w:t>（</w:t>
      </w:r>
      <w:r>
        <w:rPr>
          <w:rFonts w:hint="eastAsia" w:ascii="仿宋" w:hAnsi="仿宋" w:eastAsia="仿宋" w:cs="仿宋"/>
          <w:sz w:val="32"/>
          <w:highlight w:val="none"/>
          <w:lang w:val="en-US" w:eastAsia="zh-CN"/>
        </w:rPr>
        <w:t>四</w:t>
      </w:r>
      <w:r>
        <w:rPr>
          <w:rFonts w:hint="eastAsia" w:ascii="仿宋" w:hAnsi="仿宋" w:eastAsia="仿宋" w:cs="仿宋"/>
          <w:sz w:val="32"/>
          <w:highlight w:val="none"/>
          <w:lang w:eastAsia="zh-CN"/>
        </w:rPr>
        <w:t>）</w:t>
      </w:r>
      <w:r>
        <w:rPr>
          <w:rFonts w:hint="eastAsia" w:ascii="仿宋" w:hAnsi="仿宋" w:eastAsia="仿宋" w:cs="仿宋"/>
          <w:sz w:val="32"/>
          <w:highlight w:val="none"/>
        </w:rPr>
        <w:t>时间、地点要求</w:t>
      </w:r>
    </w:p>
    <w:p w14:paraId="176C3D7C">
      <w:pPr>
        <w:ind w:firstLine="446"/>
        <w:rPr>
          <w:rFonts w:hint="default" w:ascii="仿宋" w:hAnsi="仿宋" w:eastAsia="仿宋" w:cs="仿宋"/>
          <w:sz w:val="32"/>
          <w:szCs w:val="32"/>
          <w:highlight w:val="none"/>
          <w:lang w:val="en-US" w:eastAsia="zh-CN"/>
        </w:rPr>
      </w:pPr>
      <w:r>
        <w:rPr>
          <w:rFonts w:ascii="仿宋" w:hAnsi="仿宋" w:eastAsia="仿宋" w:cs="仿宋"/>
          <w:sz w:val="32"/>
          <w:szCs w:val="32"/>
          <w:highlight w:val="none"/>
        </w:rPr>
        <w:t xml:space="preserve">1. </w:t>
      </w:r>
      <w:r>
        <w:rPr>
          <w:rFonts w:hint="eastAsia" w:ascii="仿宋" w:hAnsi="仿宋" w:eastAsia="仿宋" w:cs="仿宋"/>
          <w:sz w:val="32"/>
          <w:szCs w:val="32"/>
          <w:highlight w:val="none"/>
        </w:rPr>
        <w:t>时间要求：</w:t>
      </w:r>
      <w:r>
        <w:rPr>
          <w:rFonts w:hint="eastAsia" w:ascii="仿宋" w:hAnsi="仿宋" w:eastAsia="仿宋" w:cs="仿宋"/>
          <w:sz w:val="32"/>
          <w:szCs w:val="32"/>
          <w:highlight w:val="none"/>
          <w:lang w:val="en-US" w:eastAsia="zh-CN"/>
        </w:rPr>
        <w:t>审计进场：合同签订后5个工作日内；终审报告：项目验收后30日内提交。</w:t>
      </w:r>
    </w:p>
    <w:p w14:paraId="17E94B77">
      <w:pPr>
        <w:ind w:firstLine="446"/>
        <w:rPr>
          <w:rFonts w:hint="eastAsia" w:ascii="仿宋" w:hAnsi="仿宋" w:eastAsia="仿宋" w:cs="仿宋"/>
          <w:sz w:val="32"/>
          <w:szCs w:val="32"/>
          <w:highlight w:val="none"/>
        </w:rPr>
      </w:pPr>
      <w:r>
        <w:rPr>
          <w:rFonts w:ascii="仿宋" w:hAnsi="仿宋" w:eastAsia="仿宋" w:cs="仿宋"/>
          <w:sz w:val="32"/>
          <w:szCs w:val="32"/>
          <w:highlight w:val="none"/>
        </w:rPr>
        <w:t xml:space="preserve">2. </w:t>
      </w:r>
      <w:r>
        <w:rPr>
          <w:rFonts w:hint="eastAsia" w:ascii="仿宋" w:hAnsi="仿宋" w:eastAsia="仿宋" w:cs="仿宋"/>
          <w:sz w:val="32"/>
          <w:szCs w:val="32"/>
          <w:highlight w:val="none"/>
        </w:rPr>
        <w:t>服务地点：</w:t>
      </w:r>
      <w:r>
        <w:rPr>
          <w:rFonts w:ascii="仿宋" w:hAnsi="仿宋" w:eastAsia="仿宋" w:cs="仿宋"/>
          <w:sz w:val="32"/>
          <w:szCs w:val="32"/>
          <w:highlight w:val="none"/>
        </w:rPr>
        <w:t xml:space="preserve"> </w:t>
      </w:r>
      <w:r>
        <w:rPr>
          <w:rFonts w:hint="eastAsia" w:ascii="仿宋" w:hAnsi="仿宋" w:eastAsia="仿宋" w:cs="仿宋"/>
          <w:sz w:val="32"/>
          <w:szCs w:val="32"/>
          <w:highlight w:val="none"/>
        </w:rPr>
        <w:t>采购人指定地点。</w:t>
      </w:r>
    </w:p>
    <w:p w14:paraId="294B6E3F">
      <w:pPr>
        <w:pStyle w:val="3"/>
        <w:ind w:firstLine="448"/>
        <w:rPr>
          <w:rFonts w:hint="eastAsia" w:ascii="仿宋" w:hAnsi="仿宋" w:eastAsia="仿宋" w:cs="仿宋"/>
          <w:sz w:val="32"/>
          <w:highlight w:val="none"/>
        </w:rPr>
      </w:pPr>
      <w:r>
        <w:rPr>
          <w:rFonts w:hint="eastAsia" w:ascii="仿宋" w:hAnsi="仿宋" w:eastAsia="仿宋" w:cs="仿宋"/>
          <w:sz w:val="32"/>
          <w:highlight w:val="none"/>
        </w:rPr>
        <w:t>（</w:t>
      </w:r>
      <w:r>
        <w:rPr>
          <w:rFonts w:hint="eastAsia" w:ascii="仿宋" w:hAnsi="仿宋" w:eastAsia="仿宋" w:cs="仿宋"/>
          <w:sz w:val="32"/>
          <w:highlight w:val="none"/>
          <w:lang w:val="en-US" w:eastAsia="zh-CN"/>
        </w:rPr>
        <w:t>六</w:t>
      </w:r>
      <w:r>
        <w:rPr>
          <w:rFonts w:hint="eastAsia" w:ascii="仿宋" w:hAnsi="仿宋" w:eastAsia="仿宋" w:cs="仿宋"/>
          <w:sz w:val="32"/>
          <w:highlight w:val="none"/>
        </w:rPr>
        <w:t>）投标保证金和履约保证金</w:t>
      </w:r>
    </w:p>
    <w:p w14:paraId="7A52E888">
      <w:pPr>
        <w:rPr>
          <w:rFonts w:hint="eastAsia" w:eastAsia="仿宋"/>
          <w:highlight w:val="none"/>
          <w:lang w:val="en-US" w:eastAsia="zh-CN"/>
        </w:rPr>
      </w:pPr>
      <w:r>
        <w:rPr>
          <w:rFonts w:hint="eastAsia" w:ascii="仿宋" w:hAnsi="仿宋" w:eastAsia="仿宋" w:cs="仿宋"/>
          <w:sz w:val="32"/>
          <w:highlight w:val="none"/>
          <w:lang w:val="en-US" w:eastAsia="zh-CN"/>
        </w:rPr>
        <w:t>本项目不收取投标保证金和履约保证金。</w:t>
      </w:r>
    </w:p>
    <w:p w14:paraId="619CB743">
      <w:pPr>
        <w:pStyle w:val="3"/>
        <w:ind w:firstLine="448"/>
        <w:rPr>
          <w:rFonts w:hint="eastAsia" w:ascii="仿宋" w:hAnsi="仿宋" w:eastAsia="仿宋" w:cs="仿宋"/>
          <w:sz w:val="32"/>
          <w:highlight w:val="none"/>
        </w:rPr>
      </w:pPr>
      <w:r>
        <w:rPr>
          <w:rFonts w:hint="eastAsia" w:ascii="仿宋" w:hAnsi="仿宋" w:eastAsia="仿宋" w:cs="仿宋"/>
          <w:sz w:val="32"/>
          <w:highlight w:val="none"/>
        </w:rPr>
        <w:t>（</w:t>
      </w:r>
      <w:r>
        <w:rPr>
          <w:rFonts w:hint="eastAsia" w:ascii="仿宋" w:hAnsi="仿宋" w:eastAsia="仿宋" w:cs="仿宋"/>
          <w:sz w:val="32"/>
          <w:highlight w:val="none"/>
          <w:lang w:val="en-US" w:eastAsia="zh-CN"/>
        </w:rPr>
        <w:t>七</w:t>
      </w:r>
      <w:r>
        <w:rPr>
          <w:rFonts w:hint="eastAsia" w:ascii="仿宋" w:hAnsi="仿宋" w:eastAsia="仿宋" w:cs="仿宋"/>
          <w:sz w:val="32"/>
          <w:highlight w:val="none"/>
        </w:rPr>
        <w:t>）验收方法及标准</w:t>
      </w:r>
    </w:p>
    <w:p w14:paraId="5AC937A7">
      <w:pPr>
        <w:spacing w:line="560" w:lineRule="exact"/>
        <w:ind w:firstLine="640" w:firstLineChars="200"/>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t>需在服务后输出阶段性审计报告、终审报告（含风险清单及整改建议）、数据证据包（审计底稿、抽样记录、访谈纪要）。</w:t>
      </w:r>
    </w:p>
    <w:p w14:paraId="4015A2E2">
      <w:pPr>
        <w:rPr>
          <w:rFonts w:hint="eastAsia" w:ascii="仿宋_GB2312" w:hAnsi="仿宋" w:eastAsia="仿宋_GB2312" w:cs="Times New Roman"/>
          <w:color w:val="000000"/>
          <w:sz w:val="32"/>
          <w:szCs w:val="32"/>
          <w:highlight w:val="none"/>
          <w:lang w:val="en-US" w:eastAsia="zh-CN"/>
        </w:rPr>
      </w:pPr>
      <w:r>
        <w:rPr>
          <w:rFonts w:hint="eastAsia" w:ascii="仿宋_GB2312" w:hAnsi="仿宋" w:eastAsia="仿宋_GB2312" w:cs="Times New Roman"/>
          <w:color w:val="000000"/>
          <w:sz w:val="32"/>
          <w:szCs w:val="32"/>
          <w:highlight w:val="none"/>
          <w:lang w:val="en-US" w:eastAsia="zh-CN"/>
        </w:rPr>
        <w:br w:type="page"/>
      </w:r>
    </w:p>
    <w:p w14:paraId="7AA370FA">
      <w:pPr>
        <w:spacing w:line="560" w:lineRule="exact"/>
        <w:jc w:val="left"/>
        <w:outlineLvl w:val="2"/>
        <w:rPr>
          <w:rFonts w:hint="default" w:ascii="仿宋" w:hAnsi="仿宋" w:eastAsia="仿宋"/>
          <w:sz w:val="32"/>
          <w:szCs w:val="32"/>
          <w:highlight w:val="none"/>
          <w:lang w:val="en-US" w:eastAsia="zh-CN"/>
        </w:rPr>
      </w:pPr>
    </w:p>
    <w:bookmarkEnd w:id="0"/>
    <w:p w14:paraId="2EFA1671">
      <w:pPr>
        <w:rPr>
          <w:rFonts w:ascii="仿宋_GB2312" w:eastAsia="仿宋_GB2312"/>
          <w:sz w:val="32"/>
          <w:szCs w:val="32"/>
          <w:highlight w:val="none"/>
        </w:rPr>
      </w:pPr>
      <w:bookmarkStart w:id="15" w:name="_GoBack"/>
      <w:bookmarkEnd w:id="15"/>
    </w:p>
    <w:sectPr>
      <w:footerReference r:id="rId3" w:type="default"/>
      <w:footerReference r:id="rId4" w:type="even"/>
      <w:pgSz w:w="11906" w:h="16838"/>
      <w:pgMar w:top="2098" w:right="1474" w:bottom="1985" w:left="1588" w:header="851" w:footer="158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8"/>
    <w:family w:val="script"/>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erif">
    <w:altName w:val="Arial Unicode MS"/>
    <w:panose1 w:val="00000000000000000000"/>
    <w:charset w:val="00"/>
    <w:family w:val="auto"/>
    <w:pitch w:val="default"/>
    <w:sig w:usb0="00000000" w:usb1="00000000" w:usb2="00000000" w:usb3="00000000" w:csb0="00040001" w:csb1="00000000"/>
  </w:font>
  <w:font w:name="Noto Serif SC">
    <w:altName w:val="宋体"/>
    <w:panose1 w:val="02020200000000000000"/>
    <w:charset w:val="86"/>
    <w:family w:val="auto"/>
    <w:pitch w:val="default"/>
    <w:sig w:usb0="00000000" w:usb1="00000000" w:usb2="00000016" w:usb3="00000000" w:csb0="60060107" w:csb1="00000000"/>
  </w:font>
  <w:font w:name=".......">
    <w:altName w:val="宋体"/>
    <w:panose1 w:val="00000000000000000000"/>
    <w:charset w:val="86"/>
    <w:family w:val="roman"/>
    <w:pitch w:val="default"/>
    <w:sig w:usb0="00000000" w:usb1="00000000" w:usb2="0000001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MS Mincho">
    <w:altName w:val="Yu Gothic UI"/>
    <w:panose1 w:val="02020609040205080304"/>
    <w:charset w:val="80"/>
    <w:family w:val="modern"/>
    <w:pitch w:val="default"/>
    <w:sig w:usb0="00000000" w:usb1="00000000" w:usb2="00000012" w:usb3="00000000" w:csb0="4002009F" w:csb1="DFD70000"/>
  </w:font>
  <w:font w:name="Yu Gothic UI">
    <w:panose1 w:val="020B0500000000000000"/>
    <w:charset w:val="80"/>
    <w:family w:val="auto"/>
    <w:pitch w:val="default"/>
    <w:sig w:usb0="E00002FF" w:usb1="2AC7FDFF" w:usb2="00000016" w:usb3="00000000" w:csb0="2002009F"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EE53F">
    <w:pPr>
      <w:pStyle w:val="12"/>
      <w:framePr w:wrap="around" w:vAnchor="text" w:hAnchor="margin" w:xAlign="outside" w:y="1"/>
      <w:rPr>
        <w:rStyle w:val="21"/>
        <w:rFonts w:hint="eastAsia" w:ascii="宋体" w:hAnsi="宋体"/>
        <w:sz w:val="28"/>
        <w:szCs w:val="28"/>
      </w:rPr>
    </w:pPr>
    <w:r>
      <w:rPr>
        <w:rStyle w:val="21"/>
        <w:rFonts w:hint="eastAsia" w:ascii="宋体" w:hAnsi="宋体"/>
        <w:sz w:val="28"/>
        <w:szCs w:val="28"/>
      </w:rPr>
      <w:t xml:space="preserve">— </w:t>
    </w:r>
    <w:r>
      <w:rPr>
        <w:rFonts w:ascii="宋体" w:hAnsi="宋体"/>
        <w:sz w:val="28"/>
        <w:szCs w:val="28"/>
      </w:rPr>
      <w:fldChar w:fldCharType="begin"/>
    </w:r>
    <w:r>
      <w:rPr>
        <w:rStyle w:val="21"/>
        <w:rFonts w:ascii="宋体" w:hAnsi="宋体"/>
        <w:sz w:val="28"/>
        <w:szCs w:val="28"/>
      </w:rPr>
      <w:instrText xml:space="preserve">PAGE  </w:instrText>
    </w:r>
    <w:r>
      <w:rPr>
        <w:rFonts w:ascii="宋体" w:hAnsi="宋体"/>
        <w:sz w:val="28"/>
        <w:szCs w:val="28"/>
      </w:rPr>
      <w:fldChar w:fldCharType="separate"/>
    </w:r>
    <w:r>
      <w:rPr>
        <w:rStyle w:val="21"/>
        <w:rFonts w:ascii="宋体" w:hAnsi="宋体"/>
        <w:sz w:val="28"/>
        <w:szCs w:val="28"/>
      </w:rPr>
      <w:t>73</w:t>
    </w:r>
    <w:r>
      <w:rPr>
        <w:rFonts w:ascii="宋体" w:hAnsi="宋体"/>
        <w:sz w:val="28"/>
        <w:szCs w:val="28"/>
      </w:rPr>
      <w:fldChar w:fldCharType="end"/>
    </w:r>
    <w:r>
      <w:rPr>
        <w:rStyle w:val="21"/>
        <w:rFonts w:hint="eastAsia" w:ascii="宋体" w:hAnsi="宋体"/>
        <w:sz w:val="28"/>
        <w:szCs w:val="28"/>
      </w:rPr>
      <w:t xml:space="preserve"> — </w:t>
    </w:r>
  </w:p>
  <w:p w14:paraId="24AD8684">
    <w:pPr>
      <w:pStyle w:val="12"/>
      <w:ind w:right="360" w:firstLine="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7ED2BE">
    <w:pPr>
      <w:pStyle w:val="12"/>
      <w:framePr w:wrap="around" w:vAnchor="text" w:hAnchor="margin" w:xAlign="outside" w:y="1"/>
      <w:rPr>
        <w:rStyle w:val="21"/>
        <w:rFonts w:hint="eastAsia" w:ascii="宋体" w:hAnsi="宋体"/>
        <w:sz w:val="28"/>
        <w:szCs w:val="28"/>
      </w:rPr>
    </w:pPr>
    <w:r>
      <w:rPr>
        <w:rStyle w:val="21"/>
        <w:rFonts w:hint="eastAsia" w:ascii="宋体" w:hAnsi="宋体"/>
        <w:sz w:val="28"/>
        <w:szCs w:val="28"/>
      </w:rPr>
      <w:t xml:space="preserve">— </w:t>
    </w:r>
    <w:r>
      <w:rPr>
        <w:rFonts w:ascii="宋体" w:hAnsi="宋体"/>
        <w:sz w:val="28"/>
        <w:szCs w:val="28"/>
      </w:rPr>
      <w:fldChar w:fldCharType="begin"/>
    </w:r>
    <w:r>
      <w:rPr>
        <w:rStyle w:val="21"/>
        <w:rFonts w:ascii="宋体" w:hAnsi="宋体"/>
        <w:sz w:val="28"/>
        <w:szCs w:val="28"/>
      </w:rPr>
      <w:instrText xml:space="preserve">PAGE  </w:instrText>
    </w:r>
    <w:r>
      <w:rPr>
        <w:rFonts w:ascii="宋体" w:hAnsi="宋体"/>
        <w:sz w:val="28"/>
        <w:szCs w:val="28"/>
      </w:rPr>
      <w:fldChar w:fldCharType="separate"/>
    </w:r>
    <w:r>
      <w:rPr>
        <w:rStyle w:val="21"/>
        <w:rFonts w:ascii="宋体" w:hAnsi="宋体"/>
        <w:sz w:val="28"/>
        <w:szCs w:val="28"/>
      </w:rPr>
      <w:t>74</w:t>
    </w:r>
    <w:r>
      <w:rPr>
        <w:rFonts w:ascii="宋体" w:hAnsi="宋体"/>
        <w:sz w:val="28"/>
        <w:szCs w:val="28"/>
      </w:rPr>
      <w:fldChar w:fldCharType="end"/>
    </w:r>
    <w:r>
      <w:rPr>
        <w:rStyle w:val="21"/>
        <w:rFonts w:hint="eastAsia" w:ascii="宋体" w:hAnsi="宋体"/>
        <w:sz w:val="28"/>
        <w:szCs w:val="28"/>
      </w:rPr>
      <w:t xml:space="preserve"> —</w:t>
    </w:r>
  </w:p>
  <w:p w14:paraId="6A6791FF">
    <w:pPr>
      <w:pStyle w:val="1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457A90"/>
    <w:multiLevelType w:val="singleLevel"/>
    <w:tmpl w:val="87457A90"/>
    <w:lvl w:ilvl="0" w:tentative="0">
      <w:start w:val="1"/>
      <w:numFmt w:val="decimal"/>
      <w:lvlText w:val="%1."/>
      <w:lvlJc w:val="left"/>
      <w:pPr>
        <w:ind w:left="425" w:hanging="425"/>
      </w:pPr>
      <w:rPr>
        <w:rFonts w:hint="default"/>
      </w:rPr>
    </w:lvl>
  </w:abstractNum>
  <w:abstractNum w:abstractNumId="1">
    <w:nsid w:val="8754B8A7"/>
    <w:multiLevelType w:val="singleLevel"/>
    <w:tmpl w:val="8754B8A7"/>
    <w:lvl w:ilvl="0" w:tentative="0">
      <w:start w:val="1"/>
      <w:numFmt w:val="decimal"/>
      <w:lvlText w:val="%1."/>
      <w:lvlJc w:val="left"/>
      <w:pPr>
        <w:ind w:left="425" w:hanging="425"/>
      </w:pPr>
      <w:rPr>
        <w:rFonts w:hint="default"/>
      </w:rPr>
    </w:lvl>
  </w:abstractNum>
  <w:abstractNum w:abstractNumId="2">
    <w:nsid w:val="95F69CF8"/>
    <w:multiLevelType w:val="singleLevel"/>
    <w:tmpl w:val="95F69CF8"/>
    <w:lvl w:ilvl="0" w:tentative="0">
      <w:start w:val="1"/>
      <w:numFmt w:val="decimalEnclosedCircleChinese"/>
      <w:suff w:val="nothing"/>
      <w:lvlText w:val="%1　"/>
      <w:lvlJc w:val="left"/>
      <w:pPr>
        <w:ind w:left="0" w:firstLine="400"/>
      </w:pPr>
      <w:rPr>
        <w:rFonts w:hint="eastAsia"/>
      </w:rPr>
    </w:lvl>
  </w:abstractNum>
  <w:abstractNum w:abstractNumId="3">
    <w:nsid w:val="9A55637C"/>
    <w:multiLevelType w:val="singleLevel"/>
    <w:tmpl w:val="9A55637C"/>
    <w:lvl w:ilvl="0" w:tentative="0">
      <w:start w:val="11"/>
      <w:numFmt w:val="decimal"/>
      <w:suff w:val="nothing"/>
      <w:lvlText w:val="%1、"/>
      <w:lvlJc w:val="left"/>
    </w:lvl>
  </w:abstractNum>
  <w:abstractNum w:abstractNumId="4">
    <w:nsid w:val="9D826861"/>
    <w:multiLevelType w:val="singleLevel"/>
    <w:tmpl w:val="9D826861"/>
    <w:lvl w:ilvl="0" w:tentative="0">
      <w:start w:val="1"/>
      <w:numFmt w:val="decimalEnclosedCircleChinese"/>
      <w:suff w:val="nothing"/>
      <w:lvlText w:val="%1　"/>
      <w:lvlJc w:val="left"/>
      <w:pPr>
        <w:ind w:left="0" w:firstLine="400"/>
      </w:pPr>
      <w:rPr>
        <w:rFonts w:hint="eastAsia"/>
      </w:rPr>
    </w:lvl>
  </w:abstractNum>
  <w:abstractNum w:abstractNumId="5">
    <w:nsid w:val="A24A4912"/>
    <w:multiLevelType w:val="singleLevel"/>
    <w:tmpl w:val="A24A4912"/>
    <w:lvl w:ilvl="0" w:tentative="0">
      <w:start w:val="2"/>
      <w:numFmt w:val="chineseCounting"/>
      <w:suff w:val="nothing"/>
      <w:lvlText w:val="（%1）"/>
      <w:lvlJc w:val="left"/>
      <w:rPr>
        <w:rFonts w:hint="eastAsia"/>
      </w:rPr>
    </w:lvl>
  </w:abstractNum>
  <w:abstractNum w:abstractNumId="6">
    <w:nsid w:val="A4C12121"/>
    <w:multiLevelType w:val="singleLevel"/>
    <w:tmpl w:val="A4C12121"/>
    <w:lvl w:ilvl="0" w:tentative="0">
      <w:start w:val="1"/>
      <w:numFmt w:val="decimal"/>
      <w:suff w:val="nothing"/>
      <w:lvlText w:val="（%1）"/>
      <w:lvlJc w:val="left"/>
    </w:lvl>
  </w:abstractNum>
  <w:abstractNum w:abstractNumId="7">
    <w:nsid w:val="A9346C97"/>
    <w:multiLevelType w:val="singleLevel"/>
    <w:tmpl w:val="A9346C97"/>
    <w:lvl w:ilvl="0" w:tentative="0">
      <w:start w:val="1"/>
      <w:numFmt w:val="decimal"/>
      <w:lvlText w:val="%1."/>
      <w:lvlJc w:val="left"/>
      <w:pPr>
        <w:ind w:left="425" w:hanging="425"/>
      </w:pPr>
      <w:rPr>
        <w:rFonts w:hint="default"/>
      </w:rPr>
    </w:lvl>
  </w:abstractNum>
  <w:abstractNum w:abstractNumId="8">
    <w:nsid w:val="BA7F28AB"/>
    <w:multiLevelType w:val="singleLevel"/>
    <w:tmpl w:val="BA7F28AB"/>
    <w:lvl w:ilvl="0" w:tentative="0">
      <w:start w:val="1"/>
      <w:numFmt w:val="decimal"/>
      <w:lvlText w:val="%1."/>
      <w:lvlJc w:val="left"/>
      <w:pPr>
        <w:ind w:left="425" w:hanging="425"/>
      </w:pPr>
      <w:rPr>
        <w:rFonts w:hint="default"/>
      </w:rPr>
    </w:lvl>
  </w:abstractNum>
  <w:abstractNum w:abstractNumId="9">
    <w:nsid w:val="CA8B8590"/>
    <w:multiLevelType w:val="singleLevel"/>
    <w:tmpl w:val="CA8B8590"/>
    <w:lvl w:ilvl="0" w:tentative="0">
      <w:start w:val="1"/>
      <w:numFmt w:val="decimalEnclosedCircleChinese"/>
      <w:suff w:val="nothing"/>
      <w:lvlText w:val="%1　"/>
      <w:lvlJc w:val="left"/>
      <w:pPr>
        <w:ind w:left="0" w:firstLine="400"/>
      </w:pPr>
      <w:rPr>
        <w:rFonts w:hint="eastAsia"/>
      </w:rPr>
    </w:lvl>
  </w:abstractNum>
  <w:abstractNum w:abstractNumId="10">
    <w:nsid w:val="CAFB0A2E"/>
    <w:multiLevelType w:val="singleLevel"/>
    <w:tmpl w:val="CAFB0A2E"/>
    <w:lvl w:ilvl="0" w:tentative="0">
      <w:start w:val="1"/>
      <w:numFmt w:val="decimal"/>
      <w:lvlText w:val="%1."/>
      <w:lvlJc w:val="left"/>
      <w:pPr>
        <w:ind w:left="425" w:hanging="425"/>
      </w:pPr>
      <w:rPr>
        <w:rFonts w:hint="default"/>
      </w:rPr>
    </w:lvl>
  </w:abstractNum>
  <w:abstractNum w:abstractNumId="11">
    <w:nsid w:val="D22D6633"/>
    <w:multiLevelType w:val="singleLevel"/>
    <w:tmpl w:val="D22D6633"/>
    <w:lvl w:ilvl="0" w:tentative="0">
      <w:start w:val="2"/>
      <w:numFmt w:val="chineseCounting"/>
      <w:suff w:val="nothing"/>
      <w:lvlText w:val="（%1）"/>
      <w:lvlJc w:val="left"/>
      <w:rPr>
        <w:rFonts w:hint="eastAsia"/>
      </w:rPr>
    </w:lvl>
  </w:abstractNum>
  <w:abstractNum w:abstractNumId="12">
    <w:nsid w:val="DDC78557"/>
    <w:multiLevelType w:val="singleLevel"/>
    <w:tmpl w:val="DDC78557"/>
    <w:lvl w:ilvl="0" w:tentative="0">
      <w:start w:val="1"/>
      <w:numFmt w:val="decimal"/>
      <w:lvlText w:val="%1."/>
      <w:lvlJc w:val="left"/>
      <w:pPr>
        <w:ind w:left="425" w:hanging="425"/>
      </w:pPr>
      <w:rPr>
        <w:rFonts w:hint="default"/>
      </w:rPr>
    </w:lvl>
  </w:abstractNum>
  <w:abstractNum w:abstractNumId="13">
    <w:nsid w:val="DEAE6185"/>
    <w:multiLevelType w:val="singleLevel"/>
    <w:tmpl w:val="DEAE6185"/>
    <w:lvl w:ilvl="0" w:tentative="0">
      <w:start w:val="1"/>
      <w:numFmt w:val="decimal"/>
      <w:lvlText w:val="%1."/>
      <w:lvlJc w:val="left"/>
      <w:pPr>
        <w:ind w:left="425" w:hanging="425"/>
      </w:pPr>
      <w:rPr>
        <w:rFonts w:hint="default"/>
      </w:rPr>
    </w:lvl>
  </w:abstractNum>
  <w:abstractNum w:abstractNumId="14">
    <w:nsid w:val="E27A220C"/>
    <w:multiLevelType w:val="singleLevel"/>
    <w:tmpl w:val="E27A220C"/>
    <w:lvl w:ilvl="0" w:tentative="0">
      <w:start w:val="1"/>
      <w:numFmt w:val="decimalEnclosedCircleChinese"/>
      <w:suff w:val="nothing"/>
      <w:lvlText w:val="%1　"/>
      <w:lvlJc w:val="left"/>
      <w:pPr>
        <w:ind w:left="0" w:firstLine="400"/>
      </w:pPr>
      <w:rPr>
        <w:rFonts w:hint="eastAsia"/>
      </w:rPr>
    </w:lvl>
  </w:abstractNum>
  <w:abstractNum w:abstractNumId="15">
    <w:nsid w:val="F021C1B4"/>
    <w:multiLevelType w:val="singleLevel"/>
    <w:tmpl w:val="F021C1B4"/>
    <w:lvl w:ilvl="0" w:tentative="0">
      <w:start w:val="1"/>
      <w:numFmt w:val="decimalEnclosedCircleChinese"/>
      <w:suff w:val="nothing"/>
      <w:lvlText w:val="%1　"/>
      <w:lvlJc w:val="left"/>
      <w:pPr>
        <w:ind w:left="0" w:firstLine="400"/>
      </w:pPr>
      <w:rPr>
        <w:rFonts w:hint="eastAsia"/>
      </w:rPr>
    </w:lvl>
  </w:abstractNum>
  <w:abstractNum w:abstractNumId="16">
    <w:nsid w:val="F4135849"/>
    <w:multiLevelType w:val="singleLevel"/>
    <w:tmpl w:val="F4135849"/>
    <w:lvl w:ilvl="0" w:tentative="0">
      <w:start w:val="1"/>
      <w:numFmt w:val="decimal"/>
      <w:lvlText w:val="%1."/>
      <w:lvlJc w:val="left"/>
      <w:pPr>
        <w:ind w:left="425" w:hanging="425"/>
      </w:pPr>
      <w:rPr>
        <w:rFonts w:hint="default"/>
      </w:rPr>
    </w:lvl>
  </w:abstractNum>
  <w:abstractNum w:abstractNumId="17">
    <w:nsid w:val="025119FA"/>
    <w:multiLevelType w:val="singleLevel"/>
    <w:tmpl w:val="025119FA"/>
    <w:lvl w:ilvl="0" w:tentative="0">
      <w:start w:val="1"/>
      <w:numFmt w:val="decimalEnclosedCircleChinese"/>
      <w:suff w:val="nothing"/>
      <w:lvlText w:val="%1　"/>
      <w:lvlJc w:val="left"/>
      <w:pPr>
        <w:ind w:left="0" w:firstLine="400"/>
      </w:pPr>
      <w:rPr>
        <w:rFonts w:hint="eastAsia"/>
      </w:rPr>
    </w:lvl>
  </w:abstractNum>
  <w:abstractNum w:abstractNumId="18">
    <w:nsid w:val="0C4B69AD"/>
    <w:multiLevelType w:val="singleLevel"/>
    <w:tmpl w:val="0C4B69AD"/>
    <w:lvl w:ilvl="0" w:tentative="0">
      <w:start w:val="1"/>
      <w:numFmt w:val="decimal"/>
      <w:lvlText w:val="%1."/>
      <w:lvlJc w:val="left"/>
      <w:pPr>
        <w:ind w:left="425" w:hanging="425"/>
      </w:pPr>
      <w:rPr>
        <w:rFonts w:hint="default"/>
      </w:rPr>
    </w:lvl>
  </w:abstractNum>
  <w:abstractNum w:abstractNumId="19">
    <w:nsid w:val="0DB6CF4E"/>
    <w:multiLevelType w:val="singleLevel"/>
    <w:tmpl w:val="0DB6CF4E"/>
    <w:lvl w:ilvl="0" w:tentative="0">
      <w:start w:val="1"/>
      <w:numFmt w:val="decimal"/>
      <w:suff w:val="nothing"/>
      <w:lvlText w:val="（%1）"/>
      <w:lvlJc w:val="left"/>
    </w:lvl>
  </w:abstractNum>
  <w:abstractNum w:abstractNumId="20">
    <w:nsid w:val="0E50808C"/>
    <w:multiLevelType w:val="singleLevel"/>
    <w:tmpl w:val="0E50808C"/>
    <w:lvl w:ilvl="0" w:tentative="0">
      <w:start w:val="1"/>
      <w:numFmt w:val="decimal"/>
      <w:lvlText w:val="%1."/>
      <w:lvlJc w:val="left"/>
      <w:pPr>
        <w:ind w:left="425" w:hanging="425"/>
      </w:pPr>
      <w:rPr>
        <w:rFonts w:hint="default"/>
      </w:rPr>
    </w:lvl>
  </w:abstractNum>
  <w:abstractNum w:abstractNumId="21">
    <w:nsid w:val="19B2BF32"/>
    <w:multiLevelType w:val="singleLevel"/>
    <w:tmpl w:val="19B2BF32"/>
    <w:lvl w:ilvl="0" w:tentative="0">
      <w:start w:val="1"/>
      <w:numFmt w:val="decimalEnclosedCircleChinese"/>
      <w:suff w:val="nothing"/>
      <w:lvlText w:val="%1　"/>
      <w:lvlJc w:val="left"/>
      <w:pPr>
        <w:ind w:left="0" w:firstLine="400"/>
      </w:pPr>
      <w:rPr>
        <w:rFonts w:hint="eastAsia"/>
      </w:rPr>
    </w:lvl>
  </w:abstractNum>
  <w:abstractNum w:abstractNumId="22">
    <w:nsid w:val="1FEB8468"/>
    <w:multiLevelType w:val="singleLevel"/>
    <w:tmpl w:val="1FEB8468"/>
    <w:lvl w:ilvl="0" w:tentative="0">
      <w:start w:val="1"/>
      <w:numFmt w:val="decimalEnclosedCircleChinese"/>
      <w:suff w:val="nothing"/>
      <w:lvlText w:val="%1　"/>
      <w:lvlJc w:val="left"/>
      <w:pPr>
        <w:ind w:left="0" w:firstLine="400"/>
      </w:pPr>
      <w:rPr>
        <w:rFonts w:hint="eastAsia"/>
      </w:rPr>
    </w:lvl>
  </w:abstractNum>
  <w:abstractNum w:abstractNumId="23">
    <w:nsid w:val="20E4AFDA"/>
    <w:multiLevelType w:val="singleLevel"/>
    <w:tmpl w:val="20E4AFDA"/>
    <w:lvl w:ilvl="0" w:tentative="0">
      <w:start w:val="1"/>
      <w:numFmt w:val="decimal"/>
      <w:lvlText w:val="%1."/>
      <w:lvlJc w:val="left"/>
      <w:pPr>
        <w:ind w:left="425" w:hanging="425"/>
      </w:pPr>
      <w:rPr>
        <w:rFonts w:hint="default"/>
      </w:rPr>
    </w:lvl>
  </w:abstractNum>
  <w:abstractNum w:abstractNumId="24">
    <w:nsid w:val="33333B6A"/>
    <w:multiLevelType w:val="singleLevel"/>
    <w:tmpl w:val="33333B6A"/>
    <w:lvl w:ilvl="0" w:tentative="0">
      <w:start w:val="1"/>
      <w:numFmt w:val="decimal"/>
      <w:lvlText w:val="%1."/>
      <w:lvlJc w:val="left"/>
      <w:pPr>
        <w:ind w:left="425" w:hanging="425"/>
      </w:pPr>
      <w:rPr>
        <w:rFonts w:hint="default"/>
      </w:rPr>
    </w:lvl>
  </w:abstractNum>
  <w:abstractNum w:abstractNumId="25">
    <w:nsid w:val="386015E5"/>
    <w:multiLevelType w:val="singleLevel"/>
    <w:tmpl w:val="386015E5"/>
    <w:lvl w:ilvl="0" w:tentative="0">
      <w:start w:val="1"/>
      <w:numFmt w:val="decimal"/>
      <w:lvlText w:val="%1"/>
      <w:lvlJc w:val="left"/>
      <w:pPr>
        <w:tabs>
          <w:tab w:val="left" w:pos="420"/>
        </w:tabs>
        <w:ind w:left="425" w:hanging="425"/>
      </w:pPr>
      <w:rPr>
        <w:rFonts w:hint="default"/>
      </w:rPr>
    </w:lvl>
  </w:abstractNum>
  <w:abstractNum w:abstractNumId="26">
    <w:nsid w:val="3880CD26"/>
    <w:multiLevelType w:val="singleLevel"/>
    <w:tmpl w:val="3880CD26"/>
    <w:lvl w:ilvl="0" w:tentative="0">
      <w:start w:val="1"/>
      <w:numFmt w:val="decimal"/>
      <w:suff w:val="nothing"/>
      <w:lvlText w:val="（%1）"/>
      <w:lvlJc w:val="left"/>
    </w:lvl>
  </w:abstractNum>
  <w:abstractNum w:abstractNumId="27">
    <w:nsid w:val="396F714F"/>
    <w:multiLevelType w:val="singleLevel"/>
    <w:tmpl w:val="396F714F"/>
    <w:lvl w:ilvl="0" w:tentative="0">
      <w:start w:val="1"/>
      <w:numFmt w:val="decimalEnclosedCircleChinese"/>
      <w:suff w:val="nothing"/>
      <w:lvlText w:val="%1　"/>
      <w:lvlJc w:val="left"/>
      <w:pPr>
        <w:ind w:left="0" w:firstLine="400"/>
      </w:pPr>
      <w:rPr>
        <w:rFonts w:hint="eastAsia"/>
      </w:rPr>
    </w:lvl>
  </w:abstractNum>
  <w:abstractNum w:abstractNumId="28">
    <w:nsid w:val="39704B55"/>
    <w:multiLevelType w:val="singleLevel"/>
    <w:tmpl w:val="39704B55"/>
    <w:lvl w:ilvl="0" w:tentative="0">
      <w:start w:val="1"/>
      <w:numFmt w:val="decimal"/>
      <w:lvlText w:val="%1."/>
      <w:lvlJc w:val="left"/>
      <w:pPr>
        <w:ind w:left="425" w:hanging="425"/>
      </w:pPr>
      <w:rPr>
        <w:rFonts w:hint="default"/>
      </w:rPr>
    </w:lvl>
  </w:abstractNum>
  <w:abstractNum w:abstractNumId="29">
    <w:nsid w:val="540E1572"/>
    <w:multiLevelType w:val="singleLevel"/>
    <w:tmpl w:val="540E1572"/>
    <w:lvl w:ilvl="0" w:tentative="0">
      <w:start w:val="1"/>
      <w:numFmt w:val="decimal"/>
      <w:lvlText w:val="%1."/>
      <w:lvlJc w:val="left"/>
      <w:pPr>
        <w:ind w:left="425" w:hanging="425"/>
      </w:pPr>
      <w:rPr>
        <w:rFonts w:hint="default"/>
      </w:rPr>
    </w:lvl>
  </w:abstractNum>
  <w:abstractNum w:abstractNumId="30">
    <w:nsid w:val="5776D2FE"/>
    <w:multiLevelType w:val="singleLevel"/>
    <w:tmpl w:val="5776D2FE"/>
    <w:lvl w:ilvl="0" w:tentative="0">
      <w:start w:val="1"/>
      <w:numFmt w:val="decimalEnclosedCircleChinese"/>
      <w:suff w:val="nothing"/>
      <w:lvlText w:val="%1　"/>
      <w:lvlJc w:val="left"/>
      <w:pPr>
        <w:ind w:left="0" w:firstLine="400"/>
      </w:pPr>
      <w:rPr>
        <w:rFonts w:hint="eastAsia"/>
      </w:rPr>
    </w:lvl>
  </w:abstractNum>
  <w:abstractNum w:abstractNumId="31">
    <w:nsid w:val="69C038D8"/>
    <w:multiLevelType w:val="singleLevel"/>
    <w:tmpl w:val="69C038D8"/>
    <w:lvl w:ilvl="0" w:tentative="0">
      <w:start w:val="1"/>
      <w:numFmt w:val="decimalEnclosedCircleChinese"/>
      <w:suff w:val="nothing"/>
      <w:lvlText w:val="%1　"/>
      <w:lvlJc w:val="left"/>
      <w:pPr>
        <w:ind w:left="0" w:firstLine="400"/>
      </w:pPr>
      <w:rPr>
        <w:rFonts w:hint="eastAsia"/>
      </w:rPr>
    </w:lvl>
  </w:abstractNum>
  <w:abstractNum w:abstractNumId="32">
    <w:nsid w:val="75BF831A"/>
    <w:multiLevelType w:val="singleLevel"/>
    <w:tmpl w:val="75BF831A"/>
    <w:lvl w:ilvl="0" w:tentative="0">
      <w:start w:val="1"/>
      <w:numFmt w:val="decimalEnclosedCircleChinese"/>
      <w:suff w:val="nothing"/>
      <w:lvlText w:val="%1　"/>
      <w:lvlJc w:val="left"/>
      <w:pPr>
        <w:ind w:left="0" w:firstLine="400"/>
      </w:pPr>
      <w:rPr>
        <w:rFonts w:hint="eastAsia"/>
      </w:rPr>
    </w:lvl>
  </w:abstractNum>
  <w:abstractNum w:abstractNumId="33">
    <w:nsid w:val="79393685"/>
    <w:multiLevelType w:val="singleLevel"/>
    <w:tmpl w:val="79393685"/>
    <w:lvl w:ilvl="0" w:tentative="0">
      <w:start w:val="1"/>
      <w:numFmt w:val="decimal"/>
      <w:lvlText w:val="%1."/>
      <w:lvlJc w:val="left"/>
      <w:pPr>
        <w:ind w:left="425" w:hanging="425"/>
      </w:pPr>
      <w:rPr>
        <w:rFonts w:hint="default"/>
      </w:rPr>
    </w:lvl>
  </w:abstractNum>
  <w:abstractNum w:abstractNumId="34">
    <w:nsid w:val="79CB8C20"/>
    <w:multiLevelType w:val="singleLevel"/>
    <w:tmpl w:val="79CB8C20"/>
    <w:lvl w:ilvl="0" w:tentative="0">
      <w:start w:val="1"/>
      <w:numFmt w:val="decimal"/>
      <w:lvlText w:val="%1."/>
      <w:lvlJc w:val="left"/>
      <w:pPr>
        <w:ind w:left="425" w:hanging="425"/>
      </w:pPr>
      <w:rPr>
        <w:rFonts w:hint="default"/>
      </w:rPr>
    </w:lvl>
  </w:abstractNum>
  <w:num w:numId="1">
    <w:abstractNumId w:val="26"/>
  </w:num>
  <w:num w:numId="2">
    <w:abstractNumId w:val="6"/>
  </w:num>
  <w:num w:numId="3">
    <w:abstractNumId w:val="19"/>
  </w:num>
  <w:num w:numId="4">
    <w:abstractNumId w:val="3"/>
  </w:num>
  <w:num w:numId="5">
    <w:abstractNumId w:val="25"/>
  </w:num>
  <w:num w:numId="6">
    <w:abstractNumId w:val="18"/>
  </w:num>
  <w:num w:numId="7">
    <w:abstractNumId w:val="13"/>
  </w:num>
  <w:num w:numId="8">
    <w:abstractNumId w:val="20"/>
  </w:num>
  <w:num w:numId="9">
    <w:abstractNumId w:val="10"/>
  </w:num>
  <w:num w:numId="10">
    <w:abstractNumId w:val="23"/>
  </w:num>
  <w:num w:numId="11">
    <w:abstractNumId w:val="24"/>
  </w:num>
  <w:num w:numId="12">
    <w:abstractNumId w:val="7"/>
  </w:num>
  <w:num w:numId="13">
    <w:abstractNumId w:val="34"/>
  </w:num>
  <w:num w:numId="14">
    <w:abstractNumId w:val="33"/>
  </w:num>
  <w:num w:numId="15">
    <w:abstractNumId w:val="12"/>
  </w:num>
  <w:num w:numId="16">
    <w:abstractNumId w:val="0"/>
  </w:num>
  <w:num w:numId="17">
    <w:abstractNumId w:val="8"/>
  </w:num>
  <w:num w:numId="18">
    <w:abstractNumId w:val="1"/>
  </w:num>
  <w:num w:numId="19">
    <w:abstractNumId w:val="28"/>
  </w:num>
  <w:num w:numId="20">
    <w:abstractNumId w:val="16"/>
  </w:num>
  <w:num w:numId="21">
    <w:abstractNumId w:val="29"/>
  </w:num>
  <w:num w:numId="22">
    <w:abstractNumId w:val="14"/>
  </w:num>
  <w:num w:numId="23">
    <w:abstractNumId w:val="5"/>
  </w:num>
  <w:num w:numId="24">
    <w:abstractNumId w:val="15"/>
  </w:num>
  <w:num w:numId="25">
    <w:abstractNumId w:val="4"/>
  </w:num>
  <w:num w:numId="26">
    <w:abstractNumId w:val="32"/>
  </w:num>
  <w:num w:numId="27">
    <w:abstractNumId w:val="27"/>
  </w:num>
  <w:num w:numId="28">
    <w:abstractNumId w:val="21"/>
  </w:num>
  <w:num w:numId="29">
    <w:abstractNumId w:val="17"/>
  </w:num>
  <w:num w:numId="30">
    <w:abstractNumId w:val="31"/>
  </w:num>
  <w:num w:numId="31">
    <w:abstractNumId w:val="9"/>
  </w:num>
  <w:num w:numId="32">
    <w:abstractNumId w:val="11"/>
  </w:num>
  <w:num w:numId="33">
    <w:abstractNumId w:val="22"/>
  </w:num>
  <w:num w:numId="34">
    <w:abstractNumId w:val="30"/>
  </w:num>
  <w:num w:numId="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FkNjdlZjNiYWJhZGQ0NzA3YWY2YmY0YmM3NTJkZTgifQ=="/>
  </w:docVars>
  <w:rsids>
    <w:rsidRoot w:val="006F0877"/>
    <w:rsid w:val="0001225D"/>
    <w:rsid w:val="00012F9E"/>
    <w:rsid w:val="00021224"/>
    <w:rsid w:val="000311FD"/>
    <w:rsid w:val="000409C8"/>
    <w:rsid w:val="00071B27"/>
    <w:rsid w:val="00077012"/>
    <w:rsid w:val="000F6822"/>
    <w:rsid w:val="00154DF5"/>
    <w:rsid w:val="00175816"/>
    <w:rsid w:val="0017709A"/>
    <w:rsid w:val="001A6F93"/>
    <w:rsid w:val="001C5914"/>
    <w:rsid w:val="001F0F45"/>
    <w:rsid w:val="001F7F7E"/>
    <w:rsid w:val="00213610"/>
    <w:rsid w:val="002238B8"/>
    <w:rsid w:val="002252D8"/>
    <w:rsid w:val="002503B1"/>
    <w:rsid w:val="0026739B"/>
    <w:rsid w:val="002678A2"/>
    <w:rsid w:val="00276FB4"/>
    <w:rsid w:val="002963E7"/>
    <w:rsid w:val="002964A8"/>
    <w:rsid w:val="002E3E47"/>
    <w:rsid w:val="002E40DF"/>
    <w:rsid w:val="002F54AD"/>
    <w:rsid w:val="00307AC9"/>
    <w:rsid w:val="00321181"/>
    <w:rsid w:val="00321278"/>
    <w:rsid w:val="00325B99"/>
    <w:rsid w:val="00326B70"/>
    <w:rsid w:val="00427428"/>
    <w:rsid w:val="00441547"/>
    <w:rsid w:val="0046529A"/>
    <w:rsid w:val="00477AAF"/>
    <w:rsid w:val="004978DB"/>
    <w:rsid w:val="004A0291"/>
    <w:rsid w:val="004B4495"/>
    <w:rsid w:val="004B590F"/>
    <w:rsid w:val="004E19DD"/>
    <w:rsid w:val="004F2EC4"/>
    <w:rsid w:val="00503AF9"/>
    <w:rsid w:val="00506D54"/>
    <w:rsid w:val="005545EC"/>
    <w:rsid w:val="00574497"/>
    <w:rsid w:val="00581952"/>
    <w:rsid w:val="00584AED"/>
    <w:rsid w:val="005C5424"/>
    <w:rsid w:val="005D4414"/>
    <w:rsid w:val="005E03F8"/>
    <w:rsid w:val="00601EDD"/>
    <w:rsid w:val="00626C36"/>
    <w:rsid w:val="00652E8B"/>
    <w:rsid w:val="00653CB2"/>
    <w:rsid w:val="006B5161"/>
    <w:rsid w:val="006D39C0"/>
    <w:rsid w:val="006E087A"/>
    <w:rsid w:val="006F0877"/>
    <w:rsid w:val="007013B8"/>
    <w:rsid w:val="00701AAE"/>
    <w:rsid w:val="0070535B"/>
    <w:rsid w:val="00721F76"/>
    <w:rsid w:val="007519DB"/>
    <w:rsid w:val="00765CF2"/>
    <w:rsid w:val="0079213A"/>
    <w:rsid w:val="007A0941"/>
    <w:rsid w:val="007D6F28"/>
    <w:rsid w:val="0080466B"/>
    <w:rsid w:val="00814F5F"/>
    <w:rsid w:val="00823618"/>
    <w:rsid w:val="00840D73"/>
    <w:rsid w:val="0087065E"/>
    <w:rsid w:val="00877D74"/>
    <w:rsid w:val="0089598D"/>
    <w:rsid w:val="008A201C"/>
    <w:rsid w:val="00942FE5"/>
    <w:rsid w:val="009D101D"/>
    <w:rsid w:val="009D4A77"/>
    <w:rsid w:val="00A07B2B"/>
    <w:rsid w:val="00A12104"/>
    <w:rsid w:val="00A367D7"/>
    <w:rsid w:val="00A36A58"/>
    <w:rsid w:val="00A63E98"/>
    <w:rsid w:val="00A64CA3"/>
    <w:rsid w:val="00B24A20"/>
    <w:rsid w:val="00B43471"/>
    <w:rsid w:val="00B84105"/>
    <w:rsid w:val="00BA0DDB"/>
    <w:rsid w:val="00BA7035"/>
    <w:rsid w:val="00BB7EDC"/>
    <w:rsid w:val="00BF3100"/>
    <w:rsid w:val="00CB55A1"/>
    <w:rsid w:val="00CB7952"/>
    <w:rsid w:val="00CD2662"/>
    <w:rsid w:val="00D02C38"/>
    <w:rsid w:val="00D0602D"/>
    <w:rsid w:val="00D3294B"/>
    <w:rsid w:val="00D55E6C"/>
    <w:rsid w:val="00D8238E"/>
    <w:rsid w:val="00DB3BF5"/>
    <w:rsid w:val="00DD4EE9"/>
    <w:rsid w:val="00DF27DB"/>
    <w:rsid w:val="00E57339"/>
    <w:rsid w:val="00E6005D"/>
    <w:rsid w:val="00E714A3"/>
    <w:rsid w:val="00E824DF"/>
    <w:rsid w:val="00EB34AE"/>
    <w:rsid w:val="00EE1FEA"/>
    <w:rsid w:val="00F20020"/>
    <w:rsid w:val="00F23DCC"/>
    <w:rsid w:val="00F431E7"/>
    <w:rsid w:val="00F51E0F"/>
    <w:rsid w:val="00F761AE"/>
    <w:rsid w:val="00F83EA3"/>
    <w:rsid w:val="00FA08CF"/>
    <w:rsid w:val="00FA5F30"/>
    <w:rsid w:val="00FB4C2A"/>
    <w:rsid w:val="00FC3796"/>
    <w:rsid w:val="00FE08E4"/>
    <w:rsid w:val="00FF49BE"/>
    <w:rsid w:val="01AD44EB"/>
    <w:rsid w:val="02833B44"/>
    <w:rsid w:val="02D1577E"/>
    <w:rsid w:val="02F0175E"/>
    <w:rsid w:val="02F92D08"/>
    <w:rsid w:val="032E15F5"/>
    <w:rsid w:val="03795BF7"/>
    <w:rsid w:val="03CF5817"/>
    <w:rsid w:val="043A14E7"/>
    <w:rsid w:val="04EA6DAD"/>
    <w:rsid w:val="056106F1"/>
    <w:rsid w:val="056D52E8"/>
    <w:rsid w:val="05740424"/>
    <w:rsid w:val="058D14E6"/>
    <w:rsid w:val="05A32A3B"/>
    <w:rsid w:val="066A1827"/>
    <w:rsid w:val="07CE79B1"/>
    <w:rsid w:val="07E06245"/>
    <w:rsid w:val="08744C38"/>
    <w:rsid w:val="0A14667A"/>
    <w:rsid w:val="0A861729"/>
    <w:rsid w:val="0AAC240E"/>
    <w:rsid w:val="0BBC1FB1"/>
    <w:rsid w:val="0CDC6B83"/>
    <w:rsid w:val="0DF93BBD"/>
    <w:rsid w:val="0EB43609"/>
    <w:rsid w:val="0F235F5C"/>
    <w:rsid w:val="106A6FF4"/>
    <w:rsid w:val="10744AF6"/>
    <w:rsid w:val="10CB7366"/>
    <w:rsid w:val="11376CD0"/>
    <w:rsid w:val="114F3AEB"/>
    <w:rsid w:val="1207223E"/>
    <w:rsid w:val="121D3924"/>
    <w:rsid w:val="12342F67"/>
    <w:rsid w:val="12825B19"/>
    <w:rsid w:val="13685340"/>
    <w:rsid w:val="15282FD9"/>
    <w:rsid w:val="1579289B"/>
    <w:rsid w:val="16225C7A"/>
    <w:rsid w:val="16DF591A"/>
    <w:rsid w:val="173E1742"/>
    <w:rsid w:val="17473D3D"/>
    <w:rsid w:val="1764541E"/>
    <w:rsid w:val="18767071"/>
    <w:rsid w:val="187E5256"/>
    <w:rsid w:val="188430B9"/>
    <w:rsid w:val="194D70EB"/>
    <w:rsid w:val="19CC487B"/>
    <w:rsid w:val="1A7565FD"/>
    <w:rsid w:val="1A9A0036"/>
    <w:rsid w:val="1AAE1520"/>
    <w:rsid w:val="1AC01D61"/>
    <w:rsid w:val="1B60171F"/>
    <w:rsid w:val="1B78563F"/>
    <w:rsid w:val="1BAE00B6"/>
    <w:rsid w:val="1D532E7E"/>
    <w:rsid w:val="1DCB9AB2"/>
    <w:rsid w:val="1DD0778F"/>
    <w:rsid w:val="1E086AA1"/>
    <w:rsid w:val="1E1514DA"/>
    <w:rsid w:val="1E1778EF"/>
    <w:rsid w:val="1E7FACF5"/>
    <w:rsid w:val="1F47475D"/>
    <w:rsid w:val="1FBE07C2"/>
    <w:rsid w:val="20B64BDF"/>
    <w:rsid w:val="20F95428"/>
    <w:rsid w:val="213C22E6"/>
    <w:rsid w:val="223563EB"/>
    <w:rsid w:val="22EB2532"/>
    <w:rsid w:val="23232B7E"/>
    <w:rsid w:val="23A333F4"/>
    <w:rsid w:val="23ED3D6C"/>
    <w:rsid w:val="23FE2F10"/>
    <w:rsid w:val="245B0CD5"/>
    <w:rsid w:val="25AE3371"/>
    <w:rsid w:val="262C11AD"/>
    <w:rsid w:val="289E6EB1"/>
    <w:rsid w:val="28A4426A"/>
    <w:rsid w:val="29084314"/>
    <w:rsid w:val="2AB078A1"/>
    <w:rsid w:val="2D1C7470"/>
    <w:rsid w:val="2D472DF4"/>
    <w:rsid w:val="2E5E1061"/>
    <w:rsid w:val="2EC3024D"/>
    <w:rsid w:val="2ED772C2"/>
    <w:rsid w:val="2F1D581D"/>
    <w:rsid w:val="2FDB0F1C"/>
    <w:rsid w:val="2FFD56CC"/>
    <w:rsid w:val="32044D41"/>
    <w:rsid w:val="32BB6DE3"/>
    <w:rsid w:val="348117CF"/>
    <w:rsid w:val="348222AE"/>
    <w:rsid w:val="35026513"/>
    <w:rsid w:val="35441312"/>
    <w:rsid w:val="3614588B"/>
    <w:rsid w:val="37147DC9"/>
    <w:rsid w:val="39697599"/>
    <w:rsid w:val="3BFF4BD0"/>
    <w:rsid w:val="3C6D114E"/>
    <w:rsid w:val="3E834C59"/>
    <w:rsid w:val="3FAF85D4"/>
    <w:rsid w:val="3FD00372"/>
    <w:rsid w:val="3FF74091"/>
    <w:rsid w:val="40356790"/>
    <w:rsid w:val="415D6705"/>
    <w:rsid w:val="418333A8"/>
    <w:rsid w:val="42C53343"/>
    <w:rsid w:val="42F36125"/>
    <w:rsid w:val="42F97B4F"/>
    <w:rsid w:val="443A0DE5"/>
    <w:rsid w:val="448259B3"/>
    <w:rsid w:val="44B07D93"/>
    <w:rsid w:val="45E3254D"/>
    <w:rsid w:val="470E1F72"/>
    <w:rsid w:val="47A70FF2"/>
    <w:rsid w:val="48BF2B50"/>
    <w:rsid w:val="48DF5182"/>
    <w:rsid w:val="4A111CB3"/>
    <w:rsid w:val="4A4554B8"/>
    <w:rsid w:val="4AFD3FD7"/>
    <w:rsid w:val="4B8D2370"/>
    <w:rsid w:val="4C8A229D"/>
    <w:rsid w:val="4D782049"/>
    <w:rsid w:val="4E524303"/>
    <w:rsid w:val="4E833110"/>
    <w:rsid w:val="4F1B6F42"/>
    <w:rsid w:val="50D81997"/>
    <w:rsid w:val="531C6FD2"/>
    <w:rsid w:val="533B38FC"/>
    <w:rsid w:val="53D97FF0"/>
    <w:rsid w:val="53E67D0C"/>
    <w:rsid w:val="54052310"/>
    <w:rsid w:val="540B32CF"/>
    <w:rsid w:val="54AB2576"/>
    <w:rsid w:val="54D957A0"/>
    <w:rsid w:val="575E22AF"/>
    <w:rsid w:val="577B6321"/>
    <w:rsid w:val="58920462"/>
    <w:rsid w:val="58D97E3F"/>
    <w:rsid w:val="58F8670F"/>
    <w:rsid w:val="5B885B4D"/>
    <w:rsid w:val="5CB03AE3"/>
    <w:rsid w:val="5CE96177"/>
    <w:rsid w:val="5EB36A3D"/>
    <w:rsid w:val="5F7C2F5F"/>
    <w:rsid w:val="5F8907E8"/>
    <w:rsid w:val="6045400C"/>
    <w:rsid w:val="623E192C"/>
    <w:rsid w:val="62E0626E"/>
    <w:rsid w:val="63370EAC"/>
    <w:rsid w:val="641949FF"/>
    <w:rsid w:val="646F78AA"/>
    <w:rsid w:val="679F1FB4"/>
    <w:rsid w:val="67FB72EE"/>
    <w:rsid w:val="68BD562D"/>
    <w:rsid w:val="692C6EE0"/>
    <w:rsid w:val="697A0688"/>
    <w:rsid w:val="69CA7D9D"/>
    <w:rsid w:val="6A667D77"/>
    <w:rsid w:val="6B2D401B"/>
    <w:rsid w:val="6C256AA0"/>
    <w:rsid w:val="6C9C1BA2"/>
    <w:rsid w:val="6D624463"/>
    <w:rsid w:val="6DBC4489"/>
    <w:rsid w:val="6E622261"/>
    <w:rsid w:val="6E9A3775"/>
    <w:rsid w:val="6EA9791B"/>
    <w:rsid w:val="6F6C1562"/>
    <w:rsid w:val="6F8276C5"/>
    <w:rsid w:val="6FA359E9"/>
    <w:rsid w:val="6FC211D5"/>
    <w:rsid w:val="70691228"/>
    <w:rsid w:val="70A00DEB"/>
    <w:rsid w:val="71B34654"/>
    <w:rsid w:val="730E308A"/>
    <w:rsid w:val="739D3021"/>
    <w:rsid w:val="74141508"/>
    <w:rsid w:val="741B168B"/>
    <w:rsid w:val="76522C77"/>
    <w:rsid w:val="76962A74"/>
    <w:rsid w:val="77542561"/>
    <w:rsid w:val="780521E9"/>
    <w:rsid w:val="788334CC"/>
    <w:rsid w:val="78F93402"/>
    <w:rsid w:val="7A7048F4"/>
    <w:rsid w:val="7C062D05"/>
    <w:rsid w:val="7CED53B8"/>
    <w:rsid w:val="7D3F1013"/>
    <w:rsid w:val="7D927ECB"/>
    <w:rsid w:val="7DD95F38"/>
    <w:rsid w:val="7E6E24E0"/>
    <w:rsid w:val="7E927FC5"/>
    <w:rsid w:val="7F2F3A66"/>
    <w:rsid w:val="7F373608"/>
    <w:rsid w:val="7FBBB80F"/>
    <w:rsid w:val="D8DD4955"/>
    <w:rsid w:val="ED4F43D5"/>
    <w:rsid w:val="EFF3ED88"/>
    <w:rsid w:val="FF29508E"/>
    <w:rsid w:val="FFDAB3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nhideWhenUsed="0" w:uiPriority="0"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link w:val="3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qFormat/>
    <w:uiPriority w:val="0"/>
    <w:pPr>
      <w:keepNext/>
      <w:keepLines/>
      <w:spacing w:before="260" w:after="260" w:line="416" w:lineRule="auto"/>
      <w:outlineLvl w:val="2"/>
    </w:pPr>
    <w:rPr>
      <w:b/>
      <w:bCs/>
      <w:szCs w:val="32"/>
    </w:rPr>
  </w:style>
  <w:style w:type="paragraph" w:styleId="4">
    <w:name w:val="heading 4"/>
    <w:basedOn w:val="1"/>
    <w:next w:val="1"/>
    <w:unhideWhenUsed/>
    <w:qFormat/>
    <w:uiPriority w:val="9"/>
    <w:pPr>
      <w:keepNext/>
      <w:keepLines/>
      <w:spacing w:before="280" w:after="290" w:line="372" w:lineRule="auto"/>
      <w:outlineLvl w:val="3"/>
    </w:pPr>
    <w:rPr>
      <w:rFonts w:ascii="Arial" w:hAnsi="Arial" w:eastAsia="黑体"/>
      <w:b/>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caption"/>
    <w:basedOn w:val="1"/>
    <w:next w:val="1"/>
    <w:unhideWhenUsed/>
    <w:qFormat/>
    <w:uiPriority w:val="35"/>
    <w:pPr>
      <w:jc w:val="center"/>
    </w:pPr>
    <w:rPr>
      <w:rFonts w:eastAsia="黑体" w:asciiTheme="majorHAnsi" w:hAnsiTheme="majorHAnsi" w:cstheme="majorBidi"/>
      <w:sz w:val="20"/>
      <w:szCs w:val="20"/>
    </w:rPr>
  </w:style>
  <w:style w:type="paragraph" w:styleId="6">
    <w:name w:val="toa heading"/>
    <w:basedOn w:val="1"/>
    <w:next w:val="1"/>
    <w:qFormat/>
    <w:uiPriority w:val="0"/>
    <w:pPr>
      <w:spacing w:before="120"/>
    </w:pPr>
    <w:rPr>
      <w:rFonts w:ascii="Arial" w:hAnsi="Arial"/>
      <w:sz w:val="24"/>
    </w:rPr>
  </w:style>
  <w:style w:type="paragraph" w:styleId="7">
    <w:name w:val="annotation text"/>
    <w:basedOn w:val="1"/>
    <w:link w:val="36"/>
    <w:unhideWhenUsed/>
    <w:qFormat/>
    <w:uiPriority w:val="0"/>
    <w:pPr>
      <w:jc w:val="left"/>
    </w:pPr>
  </w:style>
  <w:style w:type="paragraph" w:styleId="8">
    <w:name w:val="Body Text"/>
    <w:basedOn w:val="1"/>
    <w:next w:val="9"/>
    <w:qFormat/>
    <w:uiPriority w:val="99"/>
    <w:pPr>
      <w:spacing w:after="120"/>
    </w:pPr>
  </w:style>
  <w:style w:type="paragraph" w:styleId="9">
    <w:name w:val="Body Text Indent"/>
    <w:basedOn w:val="1"/>
    <w:qFormat/>
    <w:uiPriority w:val="0"/>
    <w:pPr>
      <w:spacing w:after="120"/>
      <w:ind w:left="420" w:leftChars="200"/>
    </w:pPr>
  </w:style>
  <w:style w:type="paragraph" w:styleId="10">
    <w:name w:val="Date"/>
    <w:basedOn w:val="1"/>
    <w:next w:val="1"/>
    <w:qFormat/>
    <w:uiPriority w:val="0"/>
    <w:pPr>
      <w:ind w:left="100" w:leftChars="2500"/>
    </w:pPr>
  </w:style>
  <w:style w:type="paragraph" w:styleId="11">
    <w:name w:val="Balloon Text"/>
    <w:basedOn w:val="1"/>
    <w:semiHidden/>
    <w:qFormat/>
    <w:uiPriority w:val="0"/>
    <w:rPr>
      <w:sz w:val="18"/>
      <w:szCs w:val="18"/>
    </w:rPr>
  </w:style>
  <w:style w:type="paragraph" w:styleId="12">
    <w:name w:val="footer"/>
    <w:basedOn w:val="1"/>
    <w:link w:val="30"/>
    <w:qFormat/>
    <w:uiPriority w:val="99"/>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Normal (Web)"/>
    <w:basedOn w:val="1"/>
    <w:qFormat/>
    <w:uiPriority w:val="0"/>
    <w:pPr>
      <w:spacing w:beforeAutospacing="1" w:afterAutospacing="1"/>
      <w:jc w:val="left"/>
    </w:pPr>
    <w:rPr>
      <w:kern w:val="0"/>
      <w:sz w:val="24"/>
    </w:rPr>
  </w:style>
  <w:style w:type="paragraph" w:styleId="15">
    <w:name w:val="annotation subject"/>
    <w:basedOn w:val="7"/>
    <w:next w:val="7"/>
    <w:link w:val="37"/>
    <w:qFormat/>
    <w:uiPriority w:val="0"/>
    <w:rPr>
      <w:b/>
      <w:bCs/>
    </w:rPr>
  </w:style>
  <w:style w:type="paragraph" w:styleId="16">
    <w:name w:val="Body Text First Indent"/>
    <w:basedOn w:val="8"/>
    <w:unhideWhenUsed/>
    <w:qFormat/>
    <w:uiPriority w:val="99"/>
    <w:pPr>
      <w:widowControl/>
      <w:ind w:firstLine="420" w:firstLineChars="100"/>
      <w:jc w:val="left"/>
    </w:pPr>
  </w:style>
  <w:style w:type="table" w:styleId="18">
    <w:name w:val="Table Grid"/>
    <w:basedOn w:val="17"/>
    <w:qFormat/>
    <w:uiPriority w:val="5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20">
    <w:name w:val="Strong"/>
    <w:basedOn w:val="19"/>
    <w:qFormat/>
    <w:uiPriority w:val="0"/>
    <w:rPr>
      <w:b/>
    </w:rPr>
  </w:style>
  <w:style w:type="character" w:styleId="21">
    <w:name w:val="page number"/>
    <w:basedOn w:val="19"/>
    <w:qFormat/>
    <w:uiPriority w:val="0"/>
  </w:style>
  <w:style w:type="character" w:styleId="22">
    <w:name w:val="FollowedHyperlink"/>
    <w:basedOn w:val="19"/>
    <w:qFormat/>
    <w:uiPriority w:val="0"/>
    <w:rPr>
      <w:color w:val="800080"/>
      <w:u w:val="none"/>
    </w:rPr>
  </w:style>
  <w:style w:type="character" w:styleId="23">
    <w:name w:val="HTML Definition"/>
    <w:basedOn w:val="19"/>
    <w:qFormat/>
    <w:uiPriority w:val="0"/>
    <w:rPr>
      <w:i/>
    </w:rPr>
  </w:style>
  <w:style w:type="character" w:styleId="24">
    <w:name w:val="Hyperlink"/>
    <w:basedOn w:val="19"/>
    <w:qFormat/>
    <w:uiPriority w:val="0"/>
    <w:rPr>
      <w:color w:val="0000FF"/>
      <w:u w:val="none"/>
    </w:rPr>
  </w:style>
  <w:style w:type="character" w:styleId="25">
    <w:name w:val="HTML Code"/>
    <w:basedOn w:val="19"/>
    <w:qFormat/>
    <w:uiPriority w:val="0"/>
    <w:rPr>
      <w:rFonts w:ascii="serif" w:hAnsi="serif" w:eastAsia="serif" w:cs="serif"/>
      <w:sz w:val="21"/>
      <w:szCs w:val="21"/>
    </w:rPr>
  </w:style>
  <w:style w:type="character" w:styleId="26">
    <w:name w:val="annotation reference"/>
    <w:basedOn w:val="19"/>
    <w:unhideWhenUsed/>
    <w:qFormat/>
    <w:uiPriority w:val="99"/>
    <w:rPr>
      <w:sz w:val="21"/>
      <w:szCs w:val="21"/>
    </w:rPr>
  </w:style>
  <w:style w:type="character" w:styleId="27">
    <w:name w:val="HTML Keyboard"/>
    <w:basedOn w:val="19"/>
    <w:qFormat/>
    <w:uiPriority w:val="0"/>
    <w:rPr>
      <w:rFonts w:hint="default" w:ascii="serif" w:hAnsi="serif" w:eastAsia="serif" w:cs="serif"/>
      <w:sz w:val="21"/>
      <w:szCs w:val="21"/>
    </w:rPr>
  </w:style>
  <w:style w:type="character" w:styleId="28">
    <w:name w:val="HTML Sample"/>
    <w:basedOn w:val="19"/>
    <w:qFormat/>
    <w:uiPriority w:val="0"/>
    <w:rPr>
      <w:rFonts w:hint="default" w:ascii="serif" w:hAnsi="serif" w:eastAsia="serif" w:cs="serif"/>
      <w:sz w:val="21"/>
      <w:szCs w:val="21"/>
    </w:rPr>
  </w:style>
  <w:style w:type="paragraph" w:customStyle="1" w:styleId="29">
    <w:name w:val="自定义正文"/>
    <w:basedOn w:val="1"/>
    <w:qFormat/>
    <w:uiPriority w:val="0"/>
    <w:pPr>
      <w:spacing w:before="120" w:after="60" w:line="400" w:lineRule="exact"/>
      <w:ind w:firstLine="200" w:firstLineChars="200"/>
    </w:pPr>
  </w:style>
  <w:style w:type="character" w:customStyle="1" w:styleId="30">
    <w:name w:val="页脚 字符"/>
    <w:link w:val="12"/>
    <w:qFormat/>
    <w:uiPriority w:val="99"/>
    <w:rPr>
      <w:kern w:val="2"/>
      <w:sz w:val="18"/>
      <w:szCs w:val="18"/>
    </w:rPr>
  </w:style>
  <w:style w:type="character" w:customStyle="1" w:styleId="31">
    <w:name w:val="first-child"/>
    <w:basedOn w:val="19"/>
    <w:qFormat/>
    <w:uiPriority w:val="0"/>
  </w:style>
  <w:style w:type="character" w:customStyle="1" w:styleId="32">
    <w:name w:val="required"/>
    <w:basedOn w:val="19"/>
    <w:qFormat/>
    <w:uiPriority w:val="0"/>
    <w:rPr>
      <w:color w:val="FF0000"/>
    </w:rPr>
  </w:style>
  <w:style w:type="character" w:customStyle="1" w:styleId="33">
    <w:name w:val="first-child1"/>
    <w:basedOn w:val="19"/>
    <w:qFormat/>
    <w:uiPriority w:val="0"/>
  </w:style>
  <w:style w:type="paragraph" w:customStyle="1" w:styleId="34">
    <w:name w:val="Default"/>
    <w:link w:val="40"/>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5">
    <w:name w:val="font21"/>
    <w:basedOn w:val="19"/>
    <w:qFormat/>
    <w:uiPriority w:val="0"/>
    <w:rPr>
      <w:rFonts w:hint="eastAsia" w:ascii="宋体" w:hAnsi="宋体" w:eastAsia="宋体" w:cs="宋体"/>
      <w:b/>
      <w:bCs/>
      <w:color w:val="000000"/>
      <w:sz w:val="22"/>
      <w:szCs w:val="22"/>
      <w:u w:val="none"/>
    </w:rPr>
  </w:style>
  <w:style w:type="character" w:customStyle="1" w:styleId="36">
    <w:name w:val="批注文字 字符"/>
    <w:basedOn w:val="19"/>
    <w:link w:val="7"/>
    <w:qFormat/>
    <w:uiPriority w:val="0"/>
    <w:rPr>
      <w:kern w:val="2"/>
      <w:sz w:val="21"/>
      <w:szCs w:val="24"/>
    </w:rPr>
  </w:style>
  <w:style w:type="character" w:customStyle="1" w:styleId="37">
    <w:name w:val="批注主题 字符"/>
    <w:basedOn w:val="36"/>
    <w:link w:val="15"/>
    <w:qFormat/>
    <w:uiPriority w:val="0"/>
    <w:rPr>
      <w:b/>
      <w:bCs/>
      <w:kern w:val="2"/>
      <w:sz w:val="21"/>
      <w:szCs w:val="24"/>
    </w:rPr>
  </w:style>
  <w:style w:type="character" w:customStyle="1" w:styleId="38">
    <w:name w:val="标题 2 字符"/>
    <w:basedOn w:val="19"/>
    <w:link w:val="2"/>
    <w:qFormat/>
    <w:uiPriority w:val="9"/>
    <w:rPr>
      <w:rFonts w:asciiTheme="majorHAnsi" w:hAnsiTheme="majorHAnsi" w:eastAsiaTheme="majorEastAsia" w:cstheme="majorBidi"/>
      <w:b/>
      <w:bCs/>
      <w:sz w:val="32"/>
      <w:szCs w:val="32"/>
    </w:rPr>
  </w:style>
  <w:style w:type="paragraph" w:styleId="39">
    <w:name w:val="List Paragraph"/>
    <w:basedOn w:val="1"/>
    <w:qFormat/>
    <w:uiPriority w:val="34"/>
    <w:pPr>
      <w:ind w:firstLine="420"/>
    </w:pPr>
  </w:style>
  <w:style w:type="character" w:customStyle="1" w:styleId="40">
    <w:name w:val="Default Char"/>
    <w:link w:val="34"/>
    <w:qFormat/>
    <w:locked/>
    <w:uiPriority w:val="0"/>
    <w:rPr>
      <w:rFonts w:ascii="......." w:hAnsi="Calibri" w:eastAsia="......." w:cs="......."/>
      <w:color w:val="000000"/>
      <w:sz w:val="24"/>
      <w:szCs w:val="24"/>
    </w:rPr>
  </w:style>
  <w:style w:type="paragraph" w:customStyle="1" w:styleId="41">
    <w:name w:val="Revision"/>
    <w:hidden/>
    <w:semiHidden/>
    <w:qFormat/>
    <w:uiPriority w:val="99"/>
    <w:rPr>
      <w:rFonts w:ascii="Times New Roman" w:hAnsi="Times New Roman" w:eastAsia="宋体" w:cs="Times New Roman"/>
      <w:kern w:val="2"/>
      <w:sz w:val="21"/>
      <w:szCs w:val="24"/>
      <w:lang w:val="en-US" w:eastAsia="zh-CN" w:bidi="ar-SA"/>
    </w:rPr>
  </w:style>
  <w:style w:type="character" w:customStyle="1" w:styleId="42">
    <w:name w:val="font11"/>
    <w:basedOn w:val="19"/>
    <w:qFormat/>
    <w:uiPriority w:val="0"/>
    <w:rPr>
      <w:rFonts w:hint="eastAsia" w:ascii="宋体" w:hAnsi="宋体" w:eastAsia="宋体" w:cs="宋体"/>
      <w:color w:val="000000"/>
      <w:sz w:val="24"/>
      <w:szCs w:val="24"/>
      <w:u w:val="none"/>
    </w:rPr>
  </w:style>
  <w:style w:type="character" w:customStyle="1" w:styleId="43">
    <w:name w:val="font31"/>
    <w:basedOn w:val="19"/>
    <w:qFormat/>
    <w:uiPriority w:val="0"/>
    <w:rPr>
      <w:rFonts w:hint="eastAsia" w:ascii="宋体" w:hAnsi="宋体" w:eastAsia="宋体" w:cs="宋体"/>
      <w:color w:val="000000"/>
      <w:sz w:val="24"/>
      <w:szCs w:val="24"/>
      <w:u w:val="none"/>
    </w:rPr>
  </w:style>
  <w:style w:type="character" w:customStyle="1" w:styleId="44">
    <w:name w:val="font51"/>
    <w:basedOn w:val="19"/>
    <w:qFormat/>
    <w:uiPriority w:val="0"/>
    <w:rPr>
      <w:rFonts w:hint="eastAsia" w:ascii="宋体" w:hAnsi="宋体" w:eastAsia="宋体" w:cs="宋体"/>
      <w:b/>
      <w:bCs/>
      <w:color w:val="000000"/>
      <w:sz w:val="24"/>
      <w:szCs w:val="24"/>
      <w:u w:val="none"/>
    </w:rPr>
  </w:style>
  <w:style w:type="paragraph" w:customStyle="1" w:styleId="45">
    <w:name w:val="Table Text"/>
    <w:basedOn w:val="1"/>
    <w:semiHidden/>
    <w:qFormat/>
    <w:uiPriority w:val="0"/>
    <w:rPr>
      <w:rFonts w:ascii="宋体" w:hAnsi="宋体" w:eastAsia="宋体" w:cs="宋体"/>
      <w:sz w:val="33"/>
      <w:szCs w:val="33"/>
      <w:lang w:val="en-US" w:eastAsia="en-US" w:bidi="ar-SA"/>
    </w:rPr>
  </w:style>
  <w:style w:type="paragraph" w:customStyle="1" w:styleId="46">
    <w:name w:val="null3"/>
    <w:qFormat/>
    <w:uiPriority w:val="0"/>
    <w:rPr>
      <w:rFonts w:hint="eastAsia" w:ascii="Calibri" w:hAnsi="Calibri" w:eastAsia="宋体" w:cs="Times New Roman"/>
      <w:lang w:val="en-US" w:eastAsia="zh-Hans"/>
    </w:rPr>
  </w:style>
  <w:style w:type="character" w:customStyle="1" w:styleId="47">
    <w:name w:val="font41"/>
    <w:basedOn w:val="19"/>
    <w:qFormat/>
    <w:uiPriority w:val="0"/>
    <w:rPr>
      <w:rFonts w:hint="eastAsia" w:ascii="宋体" w:hAnsi="宋体" w:eastAsia="宋体" w:cs="宋体"/>
      <w:color w:val="000000"/>
      <w:sz w:val="21"/>
      <w:szCs w:val="21"/>
      <w:u w:val="none"/>
    </w:rPr>
  </w:style>
  <w:style w:type="character" w:customStyle="1" w:styleId="48">
    <w:name w:val="font61"/>
    <w:basedOn w:val="19"/>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216</Pages>
  <Words>7731</Words>
  <Characters>8006</Characters>
  <Lines>2440</Lines>
  <Paragraphs>1055</Paragraphs>
  <TotalTime>56</TotalTime>
  <ScaleCrop>false</ScaleCrop>
  <LinksUpToDate>false</LinksUpToDate>
  <CharactersWithSpaces>8413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2025-05-14T11:18:00Z</dcterms:created>
  <dc:creator>MC SYSTEM</dc:creator>
  <cp:lastModifiedBy>Lin</cp:lastModifiedBy>
  <cp:lastPrinted>2021-07-26T17:17:00Z</cp:lastPrinted>
  <dcterms:modified xsi:type="dcterms:W3CDTF">2025-06-25T01:46:43Z</dcterms:modified>
  <dc:title>厦财采〔2021〕9号</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71C517AA0264403B81C9ED10209975ED_13</vt:lpwstr>
  </property>
  <property fmtid="{D5CDD505-2E9C-101B-9397-08002B2CF9AE}" pid="4" name="KSOTemplateDocerSaveRecord">
    <vt:lpwstr>eyJoZGlkIjoiNzJiNWQ2NDYxNjMyZjMyNjg5NzU4Mzk3MzM0YTk1ODQiLCJ1c2VySWQiOiI2NzI5MTcyNDcifQ==</vt:lpwstr>
  </property>
</Properties>
</file>