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2A0170">
      <w:pPr>
        <w:spacing w:line="360" w:lineRule="auto"/>
        <w:ind w:firstLine="560" w:firstLineChars="200"/>
        <w:rPr>
          <w:rFonts w:ascii="黑体" w:hAnsi="黑体" w:eastAsia="黑体"/>
          <w:sz w:val="28"/>
          <w:szCs w:val="28"/>
        </w:rPr>
      </w:pPr>
      <w:r>
        <w:rPr>
          <w:rFonts w:hint="eastAsia" w:ascii="黑体" w:hAnsi="黑体" w:eastAsia="黑体"/>
          <w:sz w:val="28"/>
          <w:szCs w:val="28"/>
        </w:rPr>
        <w:t>四、技术要求</w:t>
      </w:r>
    </w:p>
    <w:p w14:paraId="7EFFE3B2">
      <w:pPr>
        <w:pStyle w:val="17"/>
        <w:widowControl/>
        <w:ind w:firstLine="480"/>
        <w:rPr>
          <w:rFonts w:ascii="宋体" w:hAnsi="宋体" w:eastAsia="宋体"/>
          <w:color w:val="auto"/>
        </w:rPr>
      </w:pPr>
      <w:r>
        <w:rPr>
          <w:rFonts w:hint="eastAsia" w:ascii="宋体" w:hAnsi="宋体" w:eastAsia="宋体"/>
          <w:color w:val="auto"/>
        </w:rPr>
        <w:t>（一）供应商须承诺所提供的服务、人员、设备及耗材符合国家相关强制性规定。交货时采购人有权要求供应商出具所提供的服务、人员、设备及耗材符合上述规定的证明文件。</w:t>
      </w:r>
    </w:p>
    <w:p w14:paraId="39CF2D88">
      <w:pPr>
        <w:pStyle w:val="17"/>
        <w:widowControl/>
        <w:ind w:firstLine="480"/>
        <w:rPr>
          <w:rFonts w:ascii="宋体" w:hAnsi="宋体" w:eastAsia="宋体"/>
          <w:color w:val="auto"/>
        </w:rPr>
      </w:pPr>
      <w:r>
        <w:rPr>
          <w:rFonts w:hint="eastAsia" w:ascii="宋体" w:hAnsi="宋体" w:eastAsia="宋体"/>
          <w:color w:val="auto"/>
        </w:rPr>
        <w:t>（二）本项目不接受赠品或者与采购无关的其他商品、服务，供应商亦不得以采购人要求实施前述馈赠、回扣等行为。</w:t>
      </w:r>
    </w:p>
    <w:p w14:paraId="5C129CA3">
      <w:pPr>
        <w:pStyle w:val="17"/>
        <w:widowControl/>
        <w:ind w:firstLine="480"/>
        <w:rPr>
          <w:rFonts w:ascii="宋体" w:hAnsi="宋体" w:eastAsia="宋体"/>
          <w:color w:val="auto"/>
        </w:rPr>
      </w:pPr>
      <w:r>
        <w:rPr>
          <w:rFonts w:hint="eastAsia" w:ascii="宋体" w:hAnsi="宋体" w:eastAsia="宋体"/>
          <w:color w:val="auto"/>
        </w:rPr>
        <w:t>（三）响应文件中对所投产品的名称、品牌、制造商、产地、主要技术性能指标及其在技术、安全、性能、管理、厂家标准、使用年限及售后服务等方面情况提供详细的具有法律效力的技术资料。</w:t>
      </w:r>
    </w:p>
    <w:p w14:paraId="510FF813">
      <w:pPr>
        <w:pStyle w:val="17"/>
        <w:widowControl/>
        <w:ind w:firstLine="480"/>
        <w:rPr>
          <w:rFonts w:ascii="宋体" w:hAnsi="宋体" w:eastAsia="宋体"/>
          <w:color w:val="auto"/>
        </w:rPr>
      </w:pPr>
      <w:r>
        <w:rPr>
          <w:rFonts w:hint="eastAsia" w:ascii="宋体" w:hAnsi="宋体" w:eastAsia="宋体"/>
          <w:color w:val="auto"/>
        </w:rPr>
        <w:t>（四）供应商所提供的技术资料完整正确，数据和资料准确无误，能够保证设备按时正确地安装、调试和验收，并能满足正常运行和维修保养的需要。</w:t>
      </w:r>
    </w:p>
    <w:p w14:paraId="6CACC917">
      <w:pPr>
        <w:pStyle w:val="17"/>
        <w:widowControl/>
        <w:ind w:firstLine="480"/>
        <w:rPr>
          <w:rFonts w:ascii="宋体" w:hAnsi="宋体" w:eastAsia="宋体"/>
          <w:color w:val="auto"/>
        </w:rPr>
      </w:pPr>
      <w:r>
        <w:rPr>
          <w:rFonts w:hint="eastAsia" w:ascii="宋体" w:hAnsi="宋体" w:eastAsia="宋体"/>
          <w:color w:val="auto"/>
        </w:rPr>
        <w:t>（五）响应产品须保证市场成熟度高，质量稳定性好，供应商所投及交付货物应无知识产权纠纷。若出现知识产权纠纷等法律问题，由供应商自行承担。</w:t>
      </w:r>
    </w:p>
    <w:p w14:paraId="3BAB6F8B">
      <w:pPr>
        <w:pStyle w:val="17"/>
        <w:widowControl/>
        <w:ind w:firstLine="480"/>
        <w:rPr>
          <w:rFonts w:ascii="宋体" w:hAnsi="宋体" w:eastAsia="宋体"/>
          <w:color w:val="auto"/>
        </w:rPr>
      </w:pPr>
      <w:r>
        <w:rPr>
          <w:rFonts w:hint="eastAsia" w:ascii="宋体" w:hAnsi="宋体" w:eastAsia="宋体"/>
          <w:color w:val="auto"/>
        </w:rPr>
        <w:t>（六）本项目产品中如有产品列入《环境标志产品政府采购品目清单》的产品，供应商须提供国家确定的认证机构出具的处于有效期之内的环境标志产品认证证书复印件并加盖公章。</w:t>
      </w:r>
    </w:p>
    <w:p w14:paraId="3AE2E876">
      <w:pPr>
        <w:pStyle w:val="17"/>
        <w:widowControl/>
        <w:ind w:firstLine="480"/>
        <w:rPr>
          <w:rFonts w:ascii="宋体" w:hAnsi="宋体" w:eastAsia="宋体"/>
          <w:color w:val="auto"/>
        </w:rPr>
      </w:pPr>
      <w:r>
        <w:rPr>
          <w:rFonts w:hint="eastAsia" w:ascii="宋体" w:hAnsi="宋体" w:eastAsia="宋体"/>
          <w:color w:val="auto"/>
        </w:rPr>
        <w:t>（七）供应商按照项目需求中的要求，须在响应文件中对所投项目产品整体性能、产品的安全性和耐用性、产品的维修、维护方案、产品质量和稳定性、售后服务承诺、培训方案与培训计划等，提供详细的技术文件。</w:t>
      </w:r>
    </w:p>
    <w:p w14:paraId="77D8D65C">
      <w:pPr>
        <w:pStyle w:val="17"/>
        <w:widowControl/>
        <w:ind w:firstLine="480"/>
        <w:rPr>
          <w:rFonts w:ascii="宋体" w:hAnsi="宋体" w:eastAsia="宋体"/>
          <w:color w:val="auto"/>
        </w:rPr>
      </w:pPr>
      <w:r>
        <w:rPr>
          <w:rFonts w:hint="eastAsia" w:ascii="宋体" w:hAnsi="宋体" w:eastAsia="宋体"/>
          <w:color w:val="auto"/>
        </w:rPr>
        <w:t>（八）具体需求：</w:t>
      </w:r>
    </w:p>
    <w:tbl>
      <w:tblPr>
        <w:tblStyle w:val="8"/>
        <w:tblW w:w="5000" w:type="pct"/>
        <w:tblInd w:w="0" w:type="dxa"/>
        <w:tblLayout w:type="autofit"/>
        <w:tblCellMar>
          <w:top w:w="0" w:type="dxa"/>
          <w:left w:w="108" w:type="dxa"/>
          <w:bottom w:w="0" w:type="dxa"/>
          <w:right w:w="108" w:type="dxa"/>
        </w:tblCellMar>
      </w:tblPr>
      <w:tblGrid>
        <w:gridCol w:w="834"/>
        <w:gridCol w:w="1800"/>
        <w:gridCol w:w="4370"/>
        <w:gridCol w:w="924"/>
        <w:gridCol w:w="800"/>
        <w:gridCol w:w="1127"/>
      </w:tblGrid>
      <w:tr w14:paraId="5CEAA87B">
        <w:tblPrEx>
          <w:tblCellMar>
            <w:top w:w="0" w:type="dxa"/>
            <w:left w:w="108" w:type="dxa"/>
            <w:bottom w:w="0" w:type="dxa"/>
            <w:right w:w="108" w:type="dxa"/>
          </w:tblCellMar>
        </w:tblPrEx>
        <w:trPr>
          <w:trHeight w:val="660" w:hRule="atLeast"/>
        </w:trPr>
        <w:tc>
          <w:tcPr>
            <w:tcW w:w="423" w:type="pct"/>
            <w:tcBorders>
              <w:top w:val="single" w:color="auto" w:sz="4" w:space="0"/>
              <w:left w:val="single" w:color="auto" w:sz="4" w:space="0"/>
              <w:bottom w:val="single" w:color="auto" w:sz="4" w:space="0"/>
              <w:right w:val="single" w:color="auto" w:sz="4" w:space="0"/>
            </w:tcBorders>
            <w:shd w:val="clear" w:color="auto" w:fill="auto"/>
            <w:vAlign w:val="center"/>
          </w:tcPr>
          <w:p w14:paraId="77A6ACAD">
            <w:pPr>
              <w:widowControl/>
              <w:jc w:val="center"/>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序号</w:t>
            </w:r>
          </w:p>
        </w:tc>
        <w:tc>
          <w:tcPr>
            <w:tcW w:w="913" w:type="pct"/>
            <w:tcBorders>
              <w:top w:val="single" w:color="auto" w:sz="4" w:space="0"/>
              <w:left w:val="nil"/>
              <w:bottom w:val="single" w:color="auto" w:sz="4" w:space="0"/>
              <w:right w:val="single" w:color="auto" w:sz="4" w:space="0"/>
            </w:tcBorders>
            <w:shd w:val="clear" w:color="auto" w:fill="auto"/>
            <w:vAlign w:val="center"/>
          </w:tcPr>
          <w:p w14:paraId="503B5678">
            <w:pPr>
              <w:widowControl/>
              <w:jc w:val="center"/>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仪器设备名称</w:t>
            </w:r>
          </w:p>
        </w:tc>
        <w:tc>
          <w:tcPr>
            <w:tcW w:w="2217" w:type="pct"/>
            <w:tcBorders>
              <w:top w:val="single" w:color="auto" w:sz="4" w:space="0"/>
              <w:left w:val="nil"/>
              <w:bottom w:val="single" w:color="auto" w:sz="4" w:space="0"/>
              <w:right w:val="single" w:color="auto" w:sz="4" w:space="0"/>
            </w:tcBorders>
            <w:shd w:val="clear" w:color="auto" w:fill="auto"/>
            <w:vAlign w:val="center"/>
          </w:tcPr>
          <w:p w14:paraId="0F71098C">
            <w:pPr>
              <w:widowControl/>
              <w:jc w:val="center"/>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规格参数</w:t>
            </w:r>
          </w:p>
        </w:tc>
        <w:tc>
          <w:tcPr>
            <w:tcW w:w="469" w:type="pct"/>
            <w:tcBorders>
              <w:top w:val="single" w:color="auto" w:sz="4" w:space="0"/>
              <w:left w:val="nil"/>
              <w:bottom w:val="single" w:color="auto" w:sz="4" w:space="0"/>
              <w:right w:val="single" w:color="auto" w:sz="4" w:space="0"/>
            </w:tcBorders>
            <w:shd w:val="clear" w:color="auto" w:fill="auto"/>
            <w:vAlign w:val="center"/>
          </w:tcPr>
          <w:p w14:paraId="7E87EC10">
            <w:pPr>
              <w:widowControl/>
              <w:jc w:val="center"/>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数量</w:t>
            </w:r>
          </w:p>
        </w:tc>
        <w:tc>
          <w:tcPr>
            <w:tcW w:w="406" w:type="pct"/>
            <w:tcBorders>
              <w:top w:val="single" w:color="auto" w:sz="4" w:space="0"/>
              <w:left w:val="nil"/>
              <w:bottom w:val="single" w:color="auto" w:sz="4" w:space="0"/>
              <w:right w:val="single" w:color="auto" w:sz="4" w:space="0"/>
            </w:tcBorders>
            <w:shd w:val="clear" w:color="auto" w:fill="auto"/>
            <w:vAlign w:val="center"/>
          </w:tcPr>
          <w:p w14:paraId="3F782876">
            <w:pPr>
              <w:widowControl/>
              <w:jc w:val="center"/>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单位</w:t>
            </w:r>
          </w:p>
        </w:tc>
        <w:tc>
          <w:tcPr>
            <w:tcW w:w="572" w:type="pct"/>
            <w:tcBorders>
              <w:top w:val="single" w:color="auto" w:sz="4" w:space="0"/>
              <w:left w:val="nil"/>
              <w:bottom w:val="single" w:color="auto" w:sz="4" w:space="0"/>
              <w:right w:val="single" w:color="auto" w:sz="4" w:space="0"/>
            </w:tcBorders>
            <w:shd w:val="clear" w:color="auto" w:fill="auto"/>
            <w:vAlign w:val="center"/>
          </w:tcPr>
          <w:p w14:paraId="7FB4FA13">
            <w:pPr>
              <w:widowControl/>
              <w:jc w:val="center"/>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备注</w:t>
            </w:r>
          </w:p>
        </w:tc>
      </w:tr>
      <w:tr w14:paraId="26EC59E7">
        <w:tblPrEx>
          <w:tblCellMar>
            <w:top w:w="0" w:type="dxa"/>
            <w:left w:w="108" w:type="dxa"/>
            <w:bottom w:w="0" w:type="dxa"/>
            <w:right w:w="108" w:type="dxa"/>
          </w:tblCellMar>
        </w:tblPrEx>
        <w:trPr>
          <w:trHeight w:val="330" w:hRule="atLeast"/>
        </w:trPr>
        <w:tc>
          <w:tcPr>
            <w:tcW w:w="5000" w:type="pct"/>
            <w:gridSpan w:val="6"/>
            <w:tcBorders>
              <w:top w:val="nil"/>
              <w:left w:val="single" w:color="auto" w:sz="4" w:space="0"/>
              <w:bottom w:val="single" w:color="auto" w:sz="4" w:space="0"/>
              <w:right w:val="single" w:color="auto" w:sz="4" w:space="0"/>
            </w:tcBorders>
            <w:shd w:val="clear" w:color="auto" w:fill="auto"/>
            <w:vAlign w:val="center"/>
          </w:tcPr>
          <w:p w14:paraId="314E6102">
            <w:pPr>
              <w:widowControl/>
              <w:jc w:val="left"/>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一、标准化考场</w:t>
            </w:r>
          </w:p>
        </w:tc>
      </w:tr>
      <w:tr w14:paraId="1E3D8E30">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5441B408">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1</w:t>
            </w:r>
          </w:p>
        </w:tc>
        <w:tc>
          <w:tcPr>
            <w:tcW w:w="913" w:type="pct"/>
            <w:tcBorders>
              <w:top w:val="nil"/>
              <w:left w:val="nil"/>
              <w:bottom w:val="single" w:color="auto" w:sz="4" w:space="0"/>
              <w:right w:val="single" w:color="auto" w:sz="4" w:space="0"/>
            </w:tcBorders>
            <w:shd w:val="clear" w:color="auto" w:fill="auto"/>
            <w:vAlign w:val="center"/>
          </w:tcPr>
          <w:p w14:paraId="77A46AD3">
            <w:pPr>
              <w:widowControl/>
              <w:jc w:val="left"/>
              <w:rPr>
                <w:rFonts w:ascii="微软雅黑" w:hAnsi="微软雅黑" w:eastAsia="微软雅黑" w:cs="宋体"/>
                <w:color w:val="000000"/>
                <w:kern w:val="0"/>
                <w:sz w:val="24"/>
                <w:szCs w:val="24"/>
              </w:rPr>
            </w:pPr>
            <w:r>
              <w:rPr>
                <w:rFonts w:hint="eastAsia" w:ascii="等线" w:hAnsi="等线" w:eastAsia="等线" w:cs="宋体"/>
                <w:color w:val="000000"/>
                <w:kern w:val="0"/>
                <w:sz w:val="24"/>
                <w:szCs w:val="24"/>
              </w:rPr>
              <w:t>▲</w:t>
            </w:r>
            <w:r>
              <w:rPr>
                <w:rFonts w:hint="eastAsia" w:ascii="微软雅黑" w:hAnsi="微软雅黑" w:eastAsia="微软雅黑" w:cs="宋体"/>
                <w:color w:val="000000"/>
                <w:kern w:val="0"/>
                <w:sz w:val="24"/>
                <w:szCs w:val="24"/>
              </w:rPr>
              <w:t>半球摄像机</w:t>
            </w:r>
          </w:p>
        </w:tc>
        <w:tc>
          <w:tcPr>
            <w:tcW w:w="2217" w:type="pct"/>
            <w:tcBorders>
              <w:top w:val="single" w:color="auto" w:sz="4" w:space="0"/>
              <w:left w:val="single" w:color="auto" w:sz="4" w:space="0"/>
              <w:bottom w:val="single" w:color="auto" w:sz="4" w:space="0"/>
              <w:right w:val="single" w:color="auto" w:sz="4" w:space="0"/>
            </w:tcBorders>
            <w:shd w:val="clear" w:color="auto" w:fill="auto"/>
            <w:vAlign w:val="center"/>
          </w:tcPr>
          <w:p w14:paraId="2464AC1F">
            <w:pPr>
              <w:widowControl/>
              <w:tabs>
                <w:tab w:val="left" w:pos="312"/>
              </w:tabs>
              <w:jc w:val="left"/>
              <w:rPr>
                <w:rFonts w:ascii="等线" w:hAnsi="等线" w:eastAsia="等线"/>
                <w:sz w:val="20"/>
                <w:szCs w:val="20"/>
              </w:rPr>
            </w:pPr>
            <w:r>
              <w:rPr>
                <w:rFonts w:hint="eastAsia" w:ascii="等线" w:hAnsi="等线" w:eastAsia="等线"/>
                <w:sz w:val="20"/>
                <w:szCs w:val="20"/>
              </w:rPr>
              <w:t>1.≥400万半球网络摄像机。</w:t>
            </w:r>
            <w:r>
              <w:rPr>
                <w:rFonts w:hint="eastAsia" w:ascii="等线" w:hAnsi="等线" w:eastAsia="等线"/>
                <w:sz w:val="20"/>
                <w:szCs w:val="20"/>
              </w:rPr>
              <w:br w:type="textWrapping"/>
            </w:r>
            <w:r>
              <w:rPr>
                <w:rFonts w:hint="eastAsia" w:ascii="等线" w:hAnsi="等线" w:eastAsia="等线"/>
                <w:sz w:val="20"/>
                <w:szCs w:val="20"/>
              </w:rPr>
              <w:t>2.采用1/3"CMOS传感器，最小照度</w:t>
            </w:r>
            <w:r>
              <w:rPr>
                <w:rFonts w:hint="eastAsia" w:ascii="等线" w:hAnsi="等线" w:eastAsia="等线"/>
                <w:sz w:val="20"/>
                <w:szCs w:val="20"/>
                <w:highlight w:val="cyan"/>
              </w:rPr>
              <w:t>不低于</w:t>
            </w:r>
            <w:r>
              <w:rPr>
                <w:rFonts w:hint="eastAsia" w:ascii="等线" w:hAnsi="等线" w:eastAsia="等线"/>
                <w:sz w:val="20"/>
                <w:szCs w:val="20"/>
              </w:rPr>
              <w:t>0.005Lux，0Lux with IR；</w:t>
            </w:r>
            <w:r>
              <w:rPr>
                <w:rFonts w:hint="eastAsia" w:ascii="等线" w:hAnsi="等线" w:eastAsia="等线"/>
                <w:sz w:val="20"/>
                <w:szCs w:val="20"/>
              </w:rPr>
              <w:br w:type="textWrapping"/>
            </w:r>
            <w:r>
              <w:rPr>
                <w:rFonts w:hint="eastAsia" w:ascii="等线" w:hAnsi="等线" w:eastAsia="等线"/>
                <w:sz w:val="20"/>
                <w:szCs w:val="20"/>
              </w:rPr>
              <w:t>3.采用≥2.8mm定焦镜头,水平视场角可达≥93°。</w:t>
            </w:r>
            <w:r>
              <w:rPr>
                <w:rFonts w:hint="eastAsia" w:ascii="等线" w:hAnsi="等线" w:eastAsia="等线"/>
                <w:sz w:val="20"/>
                <w:szCs w:val="20"/>
              </w:rPr>
              <w:br w:type="textWrapping"/>
            </w:r>
            <w:r>
              <w:rPr>
                <w:rFonts w:hint="eastAsia" w:ascii="等线" w:hAnsi="等线" w:eastAsia="等线"/>
                <w:sz w:val="20"/>
                <w:szCs w:val="20"/>
              </w:rPr>
              <w:t>4.具有开启或关闭环境噪声过滤设置选项</w:t>
            </w:r>
            <w:r>
              <w:rPr>
                <w:rFonts w:hint="eastAsia" w:ascii="等线" w:hAnsi="等线" w:eastAsia="等线"/>
                <w:sz w:val="20"/>
                <w:szCs w:val="20"/>
              </w:rPr>
              <w:br w:type="textWrapping"/>
            </w:r>
            <w:r>
              <w:rPr>
                <w:rFonts w:hint="eastAsia" w:ascii="等线" w:hAnsi="等线" w:eastAsia="等线"/>
                <w:sz w:val="20"/>
                <w:szCs w:val="20"/>
              </w:rPr>
              <w:t>5.支持对摄像机OSD进行设置，支持登加或取消叠加名称、日期、星期以及自定义字符;</w:t>
            </w:r>
            <w:r>
              <w:rPr>
                <w:rFonts w:hint="eastAsia" w:ascii="等线" w:hAnsi="等线" w:eastAsia="等线"/>
                <w:sz w:val="20"/>
                <w:szCs w:val="20"/>
              </w:rPr>
              <w:br w:type="textWrapping"/>
            </w:r>
            <w:r>
              <w:rPr>
                <w:rFonts w:hint="eastAsia" w:ascii="等线" w:hAnsi="等线" w:eastAsia="等线"/>
                <w:sz w:val="20"/>
                <w:szCs w:val="20"/>
              </w:rPr>
              <w:t>6.具有≥1个内置麦克风，具有≥1个RJ45 10M/100M自适应以太网口、≥1路音频输入接口、≥1路音频输出接口、≥1路报警输入接口、≥1路报警输出接口；</w:t>
            </w:r>
            <w:r>
              <w:rPr>
                <w:rFonts w:hint="eastAsia" w:ascii="等线" w:hAnsi="等线" w:eastAsia="等线"/>
                <w:sz w:val="20"/>
                <w:szCs w:val="20"/>
              </w:rPr>
              <w:br w:type="textWrapping"/>
            </w:r>
            <w:r>
              <w:rPr>
                <w:rFonts w:hint="eastAsia" w:ascii="等线" w:hAnsi="等线" w:eastAsia="等线"/>
                <w:sz w:val="20"/>
                <w:szCs w:val="20"/>
              </w:rPr>
              <w:t>7.具有≥1路DC12V/100mA电源输出接口，可用于外接拾音器供电，支持DC12V/PoE(802.3af)供电；</w:t>
            </w:r>
            <w:r>
              <w:rPr>
                <w:rFonts w:hint="eastAsia" w:ascii="等线" w:hAnsi="等线" w:eastAsia="等线"/>
                <w:sz w:val="20"/>
                <w:szCs w:val="20"/>
              </w:rPr>
              <w:br w:type="textWrapping"/>
            </w:r>
            <w:r>
              <w:rPr>
                <w:rFonts w:hint="eastAsia" w:ascii="等线" w:hAnsi="等线" w:eastAsia="等线"/>
                <w:sz w:val="20"/>
                <w:szCs w:val="20"/>
              </w:rPr>
              <w:t>8.红外照射距离≥30米；</w:t>
            </w:r>
            <w:r>
              <w:rPr>
                <w:rFonts w:hint="eastAsia" w:ascii="等线" w:hAnsi="等线" w:eastAsia="等线"/>
                <w:sz w:val="20"/>
                <w:szCs w:val="20"/>
              </w:rPr>
              <w:br w:type="textWrapping"/>
            </w:r>
            <w:r>
              <w:rPr>
                <w:rFonts w:hint="eastAsia" w:ascii="等线" w:hAnsi="等线" w:eastAsia="等线"/>
                <w:sz w:val="20"/>
                <w:szCs w:val="20"/>
              </w:rPr>
              <w:t>9.外壳防护等级≥IP67</w:t>
            </w:r>
            <w:r>
              <w:rPr>
                <w:rFonts w:hint="eastAsia" w:ascii="等线" w:hAnsi="等线" w:eastAsia="等线"/>
                <w:sz w:val="20"/>
                <w:szCs w:val="20"/>
              </w:rPr>
              <w:br w:type="textWrapping"/>
            </w:r>
            <w:r>
              <w:rPr>
                <w:rFonts w:hint="eastAsia" w:ascii="等线" w:hAnsi="等线" w:eastAsia="等线"/>
                <w:sz w:val="20"/>
                <w:szCs w:val="20"/>
              </w:rPr>
              <w:t>10.防暴等级试验≥IK10。</w:t>
            </w:r>
            <w:r>
              <w:rPr>
                <w:rFonts w:hint="eastAsia" w:ascii="等线" w:hAnsi="等线" w:eastAsia="等线"/>
                <w:sz w:val="20"/>
                <w:szCs w:val="20"/>
              </w:rPr>
              <w:br w:type="textWrapping"/>
            </w:r>
            <w:r>
              <w:rPr>
                <w:rFonts w:hint="eastAsia" w:ascii="宋体" w:hAnsi="宋体" w:eastAsia="宋体" w:cs="宋体"/>
                <w:sz w:val="24"/>
                <w:szCs w:val="24"/>
              </w:rPr>
              <w:t xml:space="preserve">● </w:t>
            </w:r>
            <w:r>
              <w:rPr>
                <w:rFonts w:hint="eastAsia" w:ascii="等线" w:hAnsi="等线" w:eastAsia="等线"/>
                <w:sz w:val="20"/>
                <w:szCs w:val="20"/>
              </w:rPr>
              <w:t>11.应支持SIP、RTP、RTCP等网络协议;（提供具有CNAS或CMA认证机构出具的检测报告证明）</w:t>
            </w:r>
            <w:r>
              <w:rPr>
                <w:rFonts w:hint="eastAsia" w:ascii="等线" w:hAnsi="等线" w:eastAsia="等线"/>
                <w:sz w:val="20"/>
                <w:szCs w:val="20"/>
              </w:rPr>
              <w:br w:type="textWrapping"/>
            </w:r>
            <w:r>
              <w:rPr>
                <w:rFonts w:hint="eastAsia" w:ascii="宋体" w:hAnsi="宋体" w:eastAsia="宋体" w:cs="宋体"/>
                <w:sz w:val="24"/>
                <w:szCs w:val="24"/>
              </w:rPr>
              <w:t xml:space="preserve">● </w:t>
            </w:r>
            <w:r>
              <w:rPr>
                <w:rFonts w:hint="eastAsia" w:ascii="等线" w:hAnsi="等线" w:eastAsia="等线"/>
                <w:sz w:val="20"/>
                <w:szCs w:val="20"/>
              </w:rPr>
              <w:t>12.支持对SD卡进行管理，支持自动检测安装到摄像机的SD卡，可显示SD卡容量、剩余空间、状态、类型、格式化类型、属性及进度;支持对所选SD卡进行格式化;支持容量为256GB的SD卡，支持SD卡热插拔；（提供具有CNAS或CMA认证机构出具的检测报告证明）</w:t>
            </w:r>
            <w:r>
              <w:rPr>
                <w:rFonts w:hint="eastAsia" w:ascii="等线" w:hAnsi="等线" w:eastAsia="等线"/>
                <w:sz w:val="20"/>
                <w:szCs w:val="20"/>
              </w:rPr>
              <w:br w:type="textWrapping"/>
            </w:r>
            <w:r>
              <w:rPr>
                <w:rFonts w:hint="eastAsia" w:ascii="等线" w:hAnsi="等线" w:eastAsia="等线"/>
                <w:sz w:val="20"/>
                <w:szCs w:val="20"/>
              </w:rPr>
              <w:t>13.H264的视频编码作为必选格式，系统码流要求符合ITU-T VCEG AVC/H.264视频编码标准。系统码流具体要求为复合流方式采用PS/TS流的格式，系统输出码流率应满足GB/T 36449-2018中表1分辨率与对应码流。</w:t>
            </w:r>
            <w:r>
              <w:rPr>
                <w:rFonts w:hint="eastAsia" w:ascii="等线" w:hAnsi="等线" w:eastAsia="等线"/>
                <w:sz w:val="20"/>
                <w:szCs w:val="20"/>
              </w:rPr>
              <w:br w:type="textWrapping"/>
            </w:r>
            <w:r>
              <w:rPr>
                <w:rFonts w:hint="eastAsia" w:ascii="宋体" w:hAnsi="宋体" w:eastAsia="宋体" w:cs="宋体"/>
                <w:sz w:val="24"/>
                <w:szCs w:val="24"/>
              </w:rPr>
              <w:t xml:space="preserve">● </w:t>
            </w:r>
            <w:r>
              <w:rPr>
                <w:rFonts w:hint="eastAsia" w:ascii="等线" w:hAnsi="等线" w:eastAsia="等线"/>
                <w:sz w:val="20"/>
                <w:szCs w:val="20"/>
              </w:rPr>
              <w:t>14.产品符合《国家教育考试网上巡查系统视频标准技术规范》JY/T-KS-JS-2017-1；（提供具有CNAS或CMA认证机构出具的检测报告证明）</w:t>
            </w:r>
            <w:r>
              <w:rPr>
                <w:rFonts w:hint="eastAsia" w:ascii="等线" w:hAnsi="等线" w:eastAsia="等线"/>
                <w:sz w:val="20"/>
                <w:szCs w:val="20"/>
              </w:rPr>
              <w:br w:type="textWrapping"/>
            </w:r>
            <w:r>
              <w:rPr>
                <w:rFonts w:hint="eastAsia" w:ascii="等线" w:hAnsi="等线" w:eastAsia="等线"/>
                <w:sz w:val="20"/>
                <w:szCs w:val="20"/>
              </w:rPr>
              <w:t>15.产品符合《电子考场系统通用要求》GB/T 36449-2018</w:t>
            </w:r>
          </w:p>
        </w:tc>
        <w:tc>
          <w:tcPr>
            <w:tcW w:w="469" w:type="pct"/>
            <w:tcBorders>
              <w:top w:val="nil"/>
              <w:left w:val="nil"/>
              <w:bottom w:val="single" w:color="auto" w:sz="4" w:space="0"/>
              <w:right w:val="single" w:color="auto" w:sz="4" w:space="0"/>
            </w:tcBorders>
            <w:shd w:val="clear" w:color="auto" w:fill="auto"/>
            <w:vAlign w:val="center"/>
          </w:tcPr>
          <w:p w14:paraId="7EF4688C">
            <w:pPr>
              <w:widowControl/>
              <w:jc w:val="center"/>
              <w:rPr>
                <w:rFonts w:ascii="Verdana" w:hAnsi="Verdana" w:cs="宋体"/>
                <w:color w:val="000000"/>
                <w:kern w:val="0"/>
                <w:sz w:val="24"/>
                <w:szCs w:val="24"/>
              </w:rPr>
            </w:pPr>
            <w:r>
              <w:rPr>
                <w:rFonts w:ascii="Verdana" w:hAnsi="Verdana" w:cs="宋体"/>
                <w:color w:val="000000"/>
                <w:kern w:val="0"/>
                <w:sz w:val="24"/>
                <w:szCs w:val="24"/>
              </w:rPr>
              <w:t>84</w:t>
            </w:r>
          </w:p>
        </w:tc>
        <w:tc>
          <w:tcPr>
            <w:tcW w:w="406" w:type="pct"/>
            <w:tcBorders>
              <w:top w:val="nil"/>
              <w:left w:val="nil"/>
              <w:bottom w:val="single" w:color="auto" w:sz="4" w:space="0"/>
              <w:right w:val="single" w:color="auto" w:sz="4" w:space="0"/>
            </w:tcBorders>
            <w:shd w:val="clear" w:color="auto" w:fill="auto"/>
            <w:vAlign w:val="center"/>
          </w:tcPr>
          <w:p w14:paraId="015BC743">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台</w:t>
            </w:r>
          </w:p>
        </w:tc>
        <w:tc>
          <w:tcPr>
            <w:tcW w:w="572" w:type="pct"/>
            <w:tcBorders>
              <w:top w:val="nil"/>
              <w:left w:val="nil"/>
              <w:bottom w:val="single" w:color="auto" w:sz="4" w:space="0"/>
              <w:right w:val="single" w:color="auto" w:sz="4" w:space="0"/>
            </w:tcBorders>
            <w:shd w:val="clear" w:color="auto" w:fill="auto"/>
            <w:vAlign w:val="center"/>
          </w:tcPr>
          <w:p w14:paraId="38F80751">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7F8CF56E">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3A848B9F">
            <w:pPr>
              <w:widowControl/>
              <w:jc w:val="center"/>
              <w:rPr>
                <w:rFonts w:ascii="Verdana" w:hAnsi="Verdana" w:cs="宋体"/>
                <w:b/>
                <w:bCs/>
                <w:kern w:val="0"/>
                <w:sz w:val="24"/>
                <w:szCs w:val="24"/>
              </w:rPr>
            </w:pPr>
            <w:r>
              <w:rPr>
                <w:rFonts w:ascii="Verdana" w:hAnsi="Verdana" w:cs="宋体"/>
                <w:b/>
                <w:bCs/>
                <w:kern w:val="0"/>
                <w:sz w:val="24"/>
                <w:szCs w:val="24"/>
              </w:rPr>
              <w:t>2</w:t>
            </w:r>
          </w:p>
        </w:tc>
        <w:tc>
          <w:tcPr>
            <w:tcW w:w="913" w:type="pct"/>
            <w:tcBorders>
              <w:top w:val="nil"/>
              <w:left w:val="nil"/>
              <w:bottom w:val="single" w:color="auto" w:sz="4" w:space="0"/>
              <w:right w:val="single" w:color="auto" w:sz="4" w:space="0"/>
            </w:tcBorders>
            <w:shd w:val="clear" w:color="auto" w:fill="auto"/>
            <w:vAlign w:val="center"/>
          </w:tcPr>
          <w:p w14:paraId="09ED37D8">
            <w:pPr>
              <w:widowControl/>
              <w:jc w:val="left"/>
              <w:rPr>
                <w:rFonts w:ascii="微软雅黑" w:hAnsi="微软雅黑" w:eastAsia="微软雅黑" w:cs="宋体"/>
                <w:kern w:val="0"/>
                <w:sz w:val="24"/>
                <w:szCs w:val="24"/>
              </w:rPr>
            </w:pPr>
            <w:r>
              <w:rPr>
                <w:rFonts w:hint="eastAsia" w:ascii="等线" w:hAnsi="等线" w:eastAsia="等线" w:cs="宋体"/>
                <w:kern w:val="0"/>
                <w:sz w:val="24"/>
                <w:szCs w:val="24"/>
              </w:rPr>
              <w:t>▲</w:t>
            </w:r>
            <w:r>
              <w:rPr>
                <w:rFonts w:hint="eastAsia" w:ascii="微软雅黑" w:hAnsi="微软雅黑" w:eastAsia="微软雅黑" w:cs="宋体"/>
                <w:kern w:val="0"/>
                <w:sz w:val="24"/>
                <w:szCs w:val="24"/>
              </w:rPr>
              <w:t>画面分割器</w:t>
            </w:r>
          </w:p>
        </w:tc>
        <w:tc>
          <w:tcPr>
            <w:tcW w:w="2217" w:type="pct"/>
            <w:tcBorders>
              <w:top w:val="nil"/>
              <w:left w:val="single" w:color="auto" w:sz="4" w:space="0"/>
              <w:bottom w:val="single" w:color="auto" w:sz="4" w:space="0"/>
              <w:right w:val="single" w:color="auto" w:sz="4" w:space="0"/>
            </w:tcBorders>
            <w:shd w:val="clear" w:color="auto" w:fill="auto"/>
            <w:vAlign w:val="center"/>
          </w:tcPr>
          <w:p w14:paraId="3163AB18">
            <w:pPr>
              <w:widowControl/>
              <w:jc w:val="left"/>
              <w:rPr>
                <w:rFonts w:cs="宋体"/>
                <w:kern w:val="0"/>
                <w:sz w:val="20"/>
                <w:szCs w:val="20"/>
              </w:rPr>
            </w:pPr>
            <w:r>
              <w:rPr>
                <w:rFonts w:cs="宋体"/>
                <w:kern w:val="0"/>
                <w:sz w:val="20"/>
                <w:szCs w:val="20"/>
              </w:rPr>
              <w:t>1.≥12个HDMI输出接口，输出分辨率支持3840×2160、1920×1080、1280×720等；；</w:t>
            </w:r>
          </w:p>
          <w:p w14:paraId="57A77AB4">
            <w:pPr>
              <w:widowControl/>
              <w:jc w:val="left"/>
              <w:rPr>
                <w:rFonts w:cs="宋体"/>
                <w:kern w:val="0"/>
                <w:sz w:val="20"/>
                <w:szCs w:val="20"/>
              </w:rPr>
            </w:pPr>
            <w:r>
              <w:rPr>
                <w:rFonts w:cs="宋体"/>
                <w:kern w:val="0"/>
                <w:sz w:val="20"/>
                <w:szCs w:val="20"/>
              </w:rPr>
              <w:t>2.支持≥192个解码通道，解码能力支持24路800W，或30路600W，或48路400W，或96路1080P，或192路720P及以下分辨率实时解码</w:t>
            </w:r>
          </w:p>
          <w:p w14:paraId="4F1B3411">
            <w:pPr>
              <w:widowControl/>
              <w:jc w:val="left"/>
              <w:rPr>
                <w:rFonts w:cs="宋体"/>
                <w:kern w:val="0"/>
                <w:sz w:val="20"/>
                <w:szCs w:val="20"/>
              </w:rPr>
            </w:pPr>
            <w:r>
              <w:rPr>
                <w:rFonts w:cs="宋体"/>
                <w:kern w:val="0"/>
                <w:sz w:val="20"/>
                <w:szCs w:val="20"/>
              </w:rPr>
              <w:t>3.画面分割数支持1/4/6/8/9/12/16/25/36；</w:t>
            </w:r>
          </w:p>
          <w:p w14:paraId="61A9407F">
            <w:pPr>
              <w:widowControl/>
              <w:jc w:val="left"/>
              <w:rPr>
                <w:rFonts w:cs="宋体"/>
                <w:kern w:val="0"/>
                <w:sz w:val="20"/>
                <w:szCs w:val="20"/>
              </w:rPr>
            </w:pPr>
            <w:r>
              <w:rPr>
                <w:rFonts w:cs="宋体"/>
                <w:kern w:val="0"/>
                <w:sz w:val="20"/>
                <w:szCs w:val="20"/>
              </w:rPr>
              <w:t>4.≥2个RJ45 10M/100M/1000Mbps自适应以太网接口；≥2个光口100base-FX/1000base-X；</w:t>
            </w:r>
          </w:p>
          <w:p w14:paraId="351C3D8D">
            <w:pPr>
              <w:widowControl/>
              <w:jc w:val="left"/>
              <w:rPr>
                <w:rFonts w:cs="宋体"/>
                <w:kern w:val="0"/>
                <w:sz w:val="20"/>
                <w:szCs w:val="20"/>
              </w:rPr>
            </w:pPr>
            <w:r>
              <w:rPr>
                <w:rFonts w:cs="宋体"/>
                <w:kern w:val="0"/>
                <w:sz w:val="20"/>
                <w:szCs w:val="20"/>
              </w:rPr>
              <w:t>5.支持光电自适应；</w:t>
            </w:r>
          </w:p>
          <w:p w14:paraId="177215E7">
            <w:pPr>
              <w:widowControl/>
              <w:jc w:val="left"/>
              <w:rPr>
                <w:rFonts w:cs="宋体"/>
                <w:kern w:val="0"/>
                <w:sz w:val="20"/>
                <w:szCs w:val="20"/>
              </w:rPr>
            </w:pPr>
            <w:r>
              <w:rPr>
                <w:rFonts w:cs="宋体"/>
                <w:kern w:val="0"/>
                <w:sz w:val="20"/>
                <w:szCs w:val="20"/>
              </w:rPr>
              <w:t>6.</w:t>
            </w:r>
            <w:r>
              <w:rPr>
                <w:rFonts w:hint="eastAsia" w:cs="宋体"/>
                <w:kern w:val="0"/>
                <w:sz w:val="20"/>
                <w:szCs w:val="20"/>
                <w:highlight w:val="cyan"/>
              </w:rPr>
              <w:t xml:space="preserve"> 不少于</w:t>
            </w:r>
            <w:r>
              <w:rPr>
                <w:rFonts w:cs="宋体"/>
                <w:kern w:val="0"/>
                <w:sz w:val="20"/>
                <w:szCs w:val="20"/>
              </w:rPr>
              <w:t>12路音频输出接口、具有1个RS232串行接口、1个RS485串行接口。</w:t>
            </w:r>
          </w:p>
          <w:p w14:paraId="0EBF03EE">
            <w:pPr>
              <w:widowControl/>
              <w:jc w:val="left"/>
              <w:rPr>
                <w:rFonts w:cs="宋体"/>
                <w:kern w:val="0"/>
                <w:sz w:val="20"/>
                <w:szCs w:val="20"/>
              </w:rPr>
            </w:pPr>
            <w:r>
              <w:rPr>
                <w:rFonts w:hint="eastAsia" w:ascii="宋体" w:hAnsi="宋体" w:eastAsia="宋体" w:cs="宋体"/>
                <w:sz w:val="24"/>
                <w:szCs w:val="24"/>
              </w:rPr>
              <w:t xml:space="preserve">● </w:t>
            </w:r>
            <w:r>
              <w:rPr>
                <w:rFonts w:cs="宋体"/>
                <w:kern w:val="0"/>
                <w:sz w:val="20"/>
                <w:szCs w:val="20"/>
              </w:rPr>
              <w:t>7.支持具有智能行为分析功能的摄像机，可将智能行为分析摄像机的视频画面和报警信息（包括移动侦测、越界入侵、区域入侵、起身离开等信息）实时解码上墙显示；（提供具有CNAS或CMA认证机构出具的检测报告证明）</w:t>
            </w:r>
          </w:p>
          <w:p w14:paraId="5106801A">
            <w:pPr>
              <w:widowControl/>
              <w:jc w:val="left"/>
              <w:rPr>
                <w:rFonts w:cs="宋体"/>
                <w:kern w:val="0"/>
                <w:sz w:val="20"/>
                <w:szCs w:val="20"/>
              </w:rPr>
            </w:pPr>
            <w:r>
              <w:rPr>
                <w:rFonts w:cs="宋体"/>
                <w:kern w:val="0"/>
                <w:sz w:val="20"/>
                <w:szCs w:val="20"/>
              </w:rPr>
              <w:t>8.支持H.265、H.264、MPEG4、等多种编码码流解码，支持PS、TS等主流封装格式视频流的解码；</w:t>
            </w:r>
          </w:p>
          <w:p w14:paraId="016D3998">
            <w:pPr>
              <w:widowControl/>
              <w:jc w:val="left"/>
              <w:rPr>
                <w:rFonts w:cs="宋体"/>
                <w:kern w:val="0"/>
                <w:sz w:val="20"/>
                <w:szCs w:val="20"/>
              </w:rPr>
            </w:pPr>
            <w:r>
              <w:rPr>
                <w:rFonts w:cs="宋体"/>
                <w:kern w:val="0"/>
                <w:sz w:val="20"/>
                <w:szCs w:val="20"/>
              </w:rPr>
              <w:t>8.支持H.265、H.264、MPEG4、等多种编码码流解码，支持PS、TS等主流封装格式视频流的解码；</w:t>
            </w:r>
          </w:p>
          <w:p w14:paraId="56472F05">
            <w:pPr>
              <w:widowControl/>
              <w:jc w:val="left"/>
              <w:rPr>
                <w:rFonts w:cs="宋体"/>
                <w:kern w:val="0"/>
                <w:sz w:val="20"/>
                <w:szCs w:val="20"/>
              </w:rPr>
            </w:pPr>
            <w:r>
              <w:rPr>
                <w:rFonts w:hint="eastAsia" w:ascii="宋体" w:hAnsi="宋体" w:eastAsia="宋体" w:cs="宋体"/>
                <w:sz w:val="24"/>
                <w:szCs w:val="24"/>
              </w:rPr>
              <w:t xml:space="preserve">● </w:t>
            </w:r>
            <w:r>
              <w:rPr>
                <w:rFonts w:cs="宋体"/>
                <w:kern w:val="0"/>
                <w:sz w:val="20"/>
                <w:szCs w:val="20"/>
              </w:rPr>
              <w:t>9.支持SIP、RTP、RTCP等网络协议；（提供具有CNAS或CMA认证机构出具的检测报告证明）</w:t>
            </w:r>
          </w:p>
          <w:p w14:paraId="6C840E37">
            <w:pPr>
              <w:widowControl/>
              <w:jc w:val="left"/>
              <w:rPr>
                <w:rFonts w:cs="宋体"/>
                <w:kern w:val="0"/>
                <w:sz w:val="20"/>
                <w:szCs w:val="20"/>
              </w:rPr>
            </w:pPr>
            <w:r>
              <w:rPr>
                <w:rFonts w:hint="eastAsia" w:ascii="宋体" w:hAnsi="宋体" w:eastAsia="宋体" w:cs="宋体"/>
                <w:sz w:val="24"/>
                <w:szCs w:val="24"/>
              </w:rPr>
              <w:t xml:space="preserve">● </w:t>
            </w:r>
            <w:r>
              <w:rPr>
                <w:rFonts w:cs="宋体"/>
                <w:kern w:val="0"/>
                <w:sz w:val="20"/>
                <w:szCs w:val="20"/>
              </w:rPr>
              <w:t>10.符合《国家教育考试网上巡查系统视频标准技术规范》JY/T-KS-JS-2017-1；《电子考场系统通用要求》GB/T 36449-2018；</w:t>
            </w:r>
          </w:p>
        </w:tc>
        <w:tc>
          <w:tcPr>
            <w:tcW w:w="469" w:type="pct"/>
            <w:tcBorders>
              <w:top w:val="nil"/>
              <w:left w:val="nil"/>
              <w:bottom w:val="single" w:color="auto" w:sz="4" w:space="0"/>
              <w:right w:val="single" w:color="auto" w:sz="4" w:space="0"/>
            </w:tcBorders>
            <w:shd w:val="clear" w:color="auto" w:fill="auto"/>
            <w:vAlign w:val="center"/>
          </w:tcPr>
          <w:p w14:paraId="21224F64">
            <w:pPr>
              <w:widowControl/>
              <w:jc w:val="center"/>
              <w:rPr>
                <w:rFonts w:ascii="Verdana" w:hAnsi="Verdana" w:cs="宋体"/>
                <w:color w:val="000000"/>
                <w:kern w:val="0"/>
                <w:sz w:val="24"/>
                <w:szCs w:val="24"/>
              </w:rPr>
            </w:pPr>
            <w:r>
              <w:rPr>
                <w:rFonts w:ascii="Verdana" w:hAnsi="Verdana" w:cs="宋体"/>
                <w:color w:val="000000"/>
                <w:kern w:val="0"/>
                <w:sz w:val="24"/>
                <w:szCs w:val="24"/>
              </w:rPr>
              <w:t>1</w:t>
            </w:r>
          </w:p>
        </w:tc>
        <w:tc>
          <w:tcPr>
            <w:tcW w:w="406" w:type="pct"/>
            <w:tcBorders>
              <w:top w:val="nil"/>
              <w:left w:val="nil"/>
              <w:bottom w:val="single" w:color="auto" w:sz="4" w:space="0"/>
              <w:right w:val="single" w:color="auto" w:sz="4" w:space="0"/>
            </w:tcBorders>
            <w:shd w:val="clear" w:color="auto" w:fill="auto"/>
            <w:vAlign w:val="center"/>
          </w:tcPr>
          <w:p w14:paraId="3C4C6919">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台</w:t>
            </w:r>
          </w:p>
        </w:tc>
        <w:tc>
          <w:tcPr>
            <w:tcW w:w="572" w:type="pct"/>
            <w:tcBorders>
              <w:top w:val="nil"/>
              <w:left w:val="nil"/>
              <w:bottom w:val="single" w:color="auto" w:sz="4" w:space="0"/>
              <w:right w:val="single" w:color="auto" w:sz="4" w:space="0"/>
            </w:tcBorders>
            <w:shd w:val="clear" w:color="auto" w:fill="auto"/>
            <w:vAlign w:val="center"/>
          </w:tcPr>
          <w:p w14:paraId="5A68BFA5">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77B5E25D">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5DB06AA8">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3</w:t>
            </w:r>
          </w:p>
        </w:tc>
        <w:tc>
          <w:tcPr>
            <w:tcW w:w="913" w:type="pct"/>
            <w:tcBorders>
              <w:top w:val="nil"/>
              <w:left w:val="nil"/>
              <w:bottom w:val="single" w:color="auto" w:sz="4" w:space="0"/>
              <w:right w:val="single" w:color="auto" w:sz="4" w:space="0"/>
            </w:tcBorders>
            <w:shd w:val="clear" w:color="auto" w:fill="auto"/>
            <w:vAlign w:val="center"/>
          </w:tcPr>
          <w:p w14:paraId="53F885DF">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巡查管理软件</w:t>
            </w:r>
          </w:p>
        </w:tc>
        <w:tc>
          <w:tcPr>
            <w:tcW w:w="2217" w:type="pct"/>
            <w:tcBorders>
              <w:top w:val="nil"/>
              <w:left w:val="single" w:color="auto" w:sz="4" w:space="0"/>
              <w:bottom w:val="single" w:color="auto" w:sz="4" w:space="0"/>
              <w:right w:val="single" w:color="auto" w:sz="4" w:space="0"/>
            </w:tcBorders>
            <w:shd w:val="clear" w:color="auto" w:fill="auto"/>
            <w:vAlign w:val="center"/>
          </w:tcPr>
          <w:p w14:paraId="0034A9DC">
            <w:pPr>
              <w:widowControl/>
              <w:jc w:val="left"/>
              <w:rPr>
                <w:rFonts w:cs="宋体"/>
                <w:color w:val="000000"/>
                <w:kern w:val="0"/>
                <w:sz w:val="20"/>
                <w:szCs w:val="20"/>
              </w:rPr>
            </w:pPr>
            <w:r>
              <w:rPr>
                <w:rFonts w:hint="eastAsia" w:ascii="等线" w:hAnsi="等线" w:eastAsia="等线"/>
                <w:color w:val="000000"/>
                <w:sz w:val="20"/>
                <w:szCs w:val="20"/>
              </w:rPr>
              <w:t>1.网上巡查系统智能管理软件软件可运行于国产电脑，具有视频实时预览、大屏管理、录像管理等功能。</w:t>
            </w:r>
            <w:r>
              <w:rPr>
                <w:rFonts w:hint="eastAsia" w:ascii="等线" w:hAnsi="等线" w:eastAsia="等线"/>
                <w:color w:val="000000"/>
                <w:sz w:val="20"/>
                <w:szCs w:val="20"/>
              </w:rPr>
              <w:br w:type="textWrapping"/>
            </w:r>
            <w:r>
              <w:rPr>
                <w:rFonts w:hint="eastAsia" w:ascii="等线" w:hAnsi="等线" w:eastAsia="等线"/>
                <w:color w:val="000000"/>
                <w:sz w:val="20"/>
                <w:szCs w:val="20"/>
              </w:rPr>
              <w:t>2.软件具有时列表获取、历史列表获取、视频路由设置、解码方式设置、视频传输协议设置等功能。3.可快速完成关注和忽略设置；</w:t>
            </w:r>
            <w:r>
              <w:rPr>
                <w:rFonts w:hint="eastAsia" w:ascii="等线" w:hAnsi="等线" w:eastAsia="等线"/>
                <w:color w:val="000000"/>
                <w:sz w:val="20"/>
                <w:szCs w:val="20"/>
              </w:rPr>
              <w:br w:type="textWrapping"/>
            </w:r>
            <w:r>
              <w:rPr>
                <w:rFonts w:hint="eastAsia" w:ascii="等线" w:hAnsi="等线" w:eastAsia="等线"/>
                <w:color w:val="000000"/>
                <w:sz w:val="20"/>
                <w:szCs w:val="20"/>
              </w:rPr>
              <w:t>4.支持1、4、9、16分屏预览，支持视频码流实时检测、录像、截屏、即时回放、声音控制等功能；</w:t>
            </w:r>
            <w:r>
              <w:rPr>
                <w:rFonts w:hint="eastAsia" w:ascii="等线" w:hAnsi="等线" w:eastAsia="等线"/>
                <w:color w:val="000000"/>
                <w:sz w:val="20"/>
                <w:szCs w:val="20"/>
              </w:rPr>
              <w:br w:type="textWrapping"/>
            </w:r>
            <w:r>
              <w:rPr>
                <w:rFonts w:hint="eastAsia" w:ascii="等线" w:hAnsi="等线" w:eastAsia="等线"/>
                <w:color w:val="000000"/>
                <w:sz w:val="20"/>
                <w:szCs w:val="20"/>
              </w:rPr>
              <w:t>5.支持对摄像机云台控制、视频自定义轮巡；</w:t>
            </w:r>
            <w:r>
              <w:rPr>
                <w:rFonts w:hint="eastAsia" w:ascii="等线" w:hAnsi="等线" w:eastAsia="等线"/>
                <w:color w:val="000000"/>
                <w:sz w:val="20"/>
                <w:szCs w:val="20"/>
              </w:rPr>
              <w:br w:type="textWrapping"/>
            </w:r>
            <w:r>
              <w:rPr>
                <w:rFonts w:hint="eastAsia" w:ascii="等线" w:hAnsi="等线" w:eastAsia="等线"/>
                <w:color w:val="000000"/>
                <w:sz w:val="20"/>
                <w:szCs w:val="20"/>
              </w:rPr>
              <w:t>6.支持对硬解设备控制，实现对巡查视频图像的解码上墙控制，支持对视频播放列表中的图像按时间轮巡显示；</w:t>
            </w:r>
            <w:r>
              <w:rPr>
                <w:rFonts w:hint="eastAsia" w:ascii="等线" w:hAnsi="等线" w:eastAsia="等线"/>
                <w:color w:val="000000"/>
                <w:sz w:val="20"/>
                <w:szCs w:val="20"/>
              </w:rPr>
              <w:br w:type="textWrapping"/>
            </w:r>
            <w:r>
              <w:rPr>
                <w:rFonts w:hint="eastAsia" w:ascii="等线" w:hAnsi="等线" w:eastAsia="等线"/>
                <w:color w:val="000000"/>
                <w:sz w:val="20"/>
                <w:szCs w:val="20"/>
              </w:rPr>
              <w:t>7.支持对当前大屏布局及解码显示画面按模板保存；</w:t>
            </w:r>
            <w:r>
              <w:rPr>
                <w:rFonts w:hint="eastAsia" w:ascii="等线" w:hAnsi="等线" w:eastAsia="等线"/>
                <w:color w:val="000000"/>
                <w:sz w:val="20"/>
                <w:szCs w:val="20"/>
              </w:rPr>
              <w:br w:type="textWrapping"/>
            </w:r>
            <w:r>
              <w:rPr>
                <w:rFonts w:hint="eastAsia" w:ascii="等线" w:hAnsi="等线" w:eastAsia="等线"/>
                <w:color w:val="000000"/>
                <w:sz w:val="20"/>
                <w:szCs w:val="20"/>
              </w:rPr>
              <w:t>8.支持对模板列表的预案调取显示；</w:t>
            </w:r>
            <w:r>
              <w:rPr>
                <w:rFonts w:hint="eastAsia" w:ascii="等线" w:hAnsi="等线" w:eastAsia="等线"/>
                <w:color w:val="000000"/>
                <w:sz w:val="20"/>
                <w:szCs w:val="20"/>
              </w:rPr>
              <w:br w:type="textWrapping"/>
            </w:r>
            <w:r>
              <w:rPr>
                <w:rFonts w:hint="eastAsia" w:ascii="等线" w:hAnsi="等线" w:eastAsia="等线"/>
                <w:color w:val="000000"/>
                <w:sz w:val="20"/>
                <w:szCs w:val="20"/>
              </w:rPr>
              <w:t>9.支持对录像设备进行管理，可显示所有存储设备列表，定时获取当前存储设备的录状态，支持对录像异常状态报警提示。</w:t>
            </w:r>
            <w:r>
              <w:rPr>
                <w:rFonts w:hint="eastAsia" w:ascii="等线" w:hAnsi="等线" w:eastAsia="等线"/>
                <w:color w:val="000000"/>
                <w:sz w:val="20"/>
                <w:szCs w:val="20"/>
              </w:rPr>
              <w:br w:type="textWrapping"/>
            </w:r>
            <w:r>
              <w:rPr>
                <w:rFonts w:hint="eastAsia" w:ascii="等线" w:hAnsi="等线" w:eastAsia="等线"/>
                <w:color w:val="000000"/>
                <w:sz w:val="20"/>
                <w:szCs w:val="20"/>
              </w:rPr>
              <w:t>10.支持对本地存储设备录像文件按时间进行检索；</w:t>
            </w:r>
            <w:r>
              <w:rPr>
                <w:rFonts w:hint="eastAsia" w:ascii="等线" w:hAnsi="等线" w:eastAsia="等线"/>
                <w:color w:val="000000"/>
                <w:sz w:val="20"/>
                <w:szCs w:val="20"/>
              </w:rPr>
              <w:br w:type="textWrapping"/>
            </w:r>
            <w:r>
              <w:rPr>
                <w:rFonts w:hint="eastAsia" w:ascii="等线" w:hAnsi="等线" w:eastAsia="等线"/>
                <w:color w:val="000000"/>
                <w:sz w:val="20"/>
                <w:szCs w:val="20"/>
              </w:rPr>
              <w:t>11.支持对录像回放，支持对回放视频的播放速度进行控制。</w:t>
            </w:r>
            <w:r>
              <w:rPr>
                <w:rFonts w:hint="eastAsia" w:ascii="等线" w:hAnsi="等线" w:eastAsia="等线"/>
                <w:color w:val="000000"/>
                <w:sz w:val="20"/>
                <w:szCs w:val="20"/>
              </w:rPr>
              <w:br w:type="textWrapping"/>
            </w:r>
            <w:r>
              <w:rPr>
                <w:rFonts w:hint="eastAsia" w:ascii="等线" w:hAnsi="等线" w:eastAsia="等线"/>
                <w:color w:val="000000"/>
                <w:sz w:val="20"/>
                <w:szCs w:val="20"/>
              </w:rPr>
              <w:t>12.软件设计符合《国家教育考试网上巡查系统视频标准技术规范》JY/T-KS-JS-2017-1。</w:t>
            </w:r>
            <w:r>
              <w:rPr>
                <w:rFonts w:hint="eastAsia" w:ascii="等线" w:hAnsi="等线" w:eastAsia="等线"/>
                <w:color w:val="000000"/>
                <w:sz w:val="20"/>
                <w:szCs w:val="20"/>
              </w:rPr>
              <w:br w:type="textWrapping"/>
            </w:r>
            <w:r>
              <w:rPr>
                <w:rFonts w:hint="eastAsia" w:ascii="宋体" w:hAnsi="宋体" w:eastAsia="宋体" w:cs="宋体"/>
                <w:sz w:val="24"/>
                <w:szCs w:val="24"/>
              </w:rPr>
              <w:t xml:space="preserve">● </w:t>
            </w:r>
            <w:r>
              <w:rPr>
                <w:rFonts w:hint="eastAsia" w:ascii="等线" w:hAnsi="等线" w:eastAsia="等线"/>
                <w:color w:val="000000"/>
                <w:sz w:val="20"/>
                <w:szCs w:val="20"/>
              </w:rPr>
              <w:t>13.具有软件著作权，提供软件著作权证书复印件。</w:t>
            </w:r>
          </w:p>
        </w:tc>
        <w:tc>
          <w:tcPr>
            <w:tcW w:w="469" w:type="pct"/>
            <w:tcBorders>
              <w:top w:val="nil"/>
              <w:left w:val="nil"/>
              <w:bottom w:val="single" w:color="auto" w:sz="4" w:space="0"/>
              <w:right w:val="single" w:color="auto" w:sz="4" w:space="0"/>
            </w:tcBorders>
            <w:shd w:val="clear" w:color="auto" w:fill="auto"/>
            <w:vAlign w:val="center"/>
          </w:tcPr>
          <w:p w14:paraId="7F651B55">
            <w:pPr>
              <w:widowControl/>
              <w:jc w:val="center"/>
              <w:rPr>
                <w:rFonts w:ascii="Verdana" w:hAnsi="Verdana" w:cs="宋体"/>
                <w:color w:val="000000"/>
                <w:kern w:val="0"/>
                <w:sz w:val="24"/>
                <w:szCs w:val="24"/>
              </w:rPr>
            </w:pPr>
            <w:r>
              <w:rPr>
                <w:rFonts w:ascii="Verdana" w:hAnsi="Verdana" w:cs="宋体"/>
                <w:color w:val="000000"/>
                <w:kern w:val="0"/>
                <w:sz w:val="24"/>
                <w:szCs w:val="24"/>
              </w:rPr>
              <w:t>1</w:t>
            </w:r>
          </w:p>
        </w:tc>
        <w:tc>
          <w:tcPr>
            <w:tcW w:w="406" w:type="pct"/>
            <w:tcBorders>
              <w:top w:val="nil"/>
              <w:left w:val="nil"/>
              <w:bottom w:val="single" w:color="auto" w:sz="4" w:space="0"/>
              <w:right w:val="single" w:color="auto" w:sz="4" w:space="0"/>
            </w:tcBorders>
            <w:shd w:val="clear" w:color="auto" w:fill="auto"/>
            <w:vAlign w:val="center"/>
          </w:tcPr>
          <w:p w14:paraId="64D697D8">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套</w:t>
            </w:r>
          </w:p>
        </w:tc>
        <w:tc>
          <w:tcPr>
            <w:tcW w:w="572" w:type="pct"/>
            <w:tcBorders>
              <w:top w:val="nil"/>
              <w:left w:val="nil"/>
              <w:bottom w:val="single" w:color="auto" w:sz="4" w:space="0"/>
              <w:right w:val="single" w:color="auto" w:sz="4" w:space="0"/>
            </w:tcBorders>
            <w:shd w:val="clear" w:color="auto" w:fill="auto"/>
            <w:vAlign w:val="center"/>
          </w:tcPr>
          <w:p w14:paraId="178C2D63">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1B9335A9">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17B9FADB">
            <w:pPr>
              <w:widowControl/>
              <w:jc w:val="center"/>
              <w:rPr>
                <w:rFonts w:ascii="Verdana" w:hAnsi="Verdana" w:cs="宋体"/>
                <w:b/>
                <w:bCs/>
                <w:kern w:val="0"/>
                <w:sz w:val="24"/>
                <w:szCs w:val="24"/>
              </w:rPr>
            </w:pPr>
            <w:r>
              <w:rPr>
                <w:rFonts w:ascii="Verdana" w:hAnsi="Verdana" w:cs="宋体"/>
                <w:b/>
                <w:bCs/>
                <w:kern w:val="0"/>
                <w:sz w:val="24"/>
                <w:szCs w:val="24"/>
              </w:rPr>
              <w:t>4</w:t>
            </w:r>
          </w:p>
        </w:tc>
        <w:tc>
          <w:tcPr>
            <w:tcW w:w="913" w:type="pct"/>
            <w:tcBorders>
              <w:top w:val="nil"/>
              <w:left w:val="nil"/>
              <w:bottom w:val="single" w:color="auto" w:sz="4" w:space="0"/>
              <w:right w:val="single" w:color="auto" w:sz="4" w:space="0"/>
            </w:tcBorders>
            <w:shd w:val="clear" w:color="auto" w:fill="auto"/>
            <w:vAlign w:val="center"/>
          </w:tcPr>
          <w:p w14:paraId="54D95AC8">
            <w:pPr>
              <w:widowControl/>
              <w:jc w:val="left"/>
              <w:rPr>
                <w:rFonts w:ascii="微软雅黑" w:hAnsi="微软雅黑" w:eastAsia="微软雅黑" w:cs="宋体"/>
                <w:kern w:val="0"/>
                <w:sz w:val="24"/>
                <w:szCs w:val="24"/>
              </w:rPr>
            </w:pPr>
            <w:r>
              <w:rPr>
                <w:rFonts w:hint="eastAsia" w:ascii="等线" w:hAnsi="等线" w:eastAsia="等线" w:cs="宋体"/>
                <w:kern w:val="0"/>
                <w:sz w:val="24"/>
                <w:szCs w:val="24"/>
              </w:rPr>
              <w:t>▲</w:t>
            </w:r>
            <w:r>
              <w:rPr>
                <w:rFonts w:hint="eastAsia" w:ascii="微软雅黑" w:hAnsi="微软雅黑" w:eastAsia="微软雅黑" w:cs="宋体"/>
                <w:kern w:val="0"/>
                <w:sz w:val="24"/>
                <w:szCs w:val="24"/>
              </w:rPr>
              <w:t>网络存储服务器</w:t>
            </w:r>
          </w:p>
        </w:tc>
        <w:tc>
          <w:tcPr>
            <w:tcW w:w="2217" w:type="pct"/>
            <w:tcBorders>
              <w:top w:val="nil"/>
              <w:left w:val="single" w:color="auto" w:sz="4" w:space="0"/>
              <w:bottom w:val="single" w:color="auto" w:sz="4" w:space="0"/>
              <w:right w:val="single" w:color="auto" w:sz="4" w:space="0"/>
            </w:tcBorders>
            <w:shd w:val="clear" w:color="auto" w:fill="auto"/>
            <w:vAlign w:val="center"/>
          </w:tcPr>
          <w:p w14:paraId="317C7F7A">
            <w:pPr>
              <w:widowControl/>
              <w:jc w:val="left"/>
              <w:rPr>
                <w:rFonts w:cs="宋体"/>
                <w:color w:val="000000"/>
                <w:kern w:val="0"/>
                <w:sz w:val="20"/>
                <w:szCs w:val="20"/>
              </w:rPr>
            </w:pPr>
            <w:r>
              <w:rPr>
                <w:rFonts w:hint="eastAsia" w:ascii="等线" w:hAnsi="等线" w:eastAsia="等线"/>
                <w:color w:val="000000"/>
                <w:sz w:val="20"/>
                <w:szCs w:val="20"/>
              </w:rPr>
              <w:t>1.支持≥64路网络视频输入；</w:t>
            </w:r>
            <w:r>
              <w:rPr>
                <w:rFonts w:hint="eastAsia" w:ascii="等线" w:hAnsi="等线" w:eastAsia="等线"/>
                <w:color w:val="000000"/>
                <w:sz w:val="20"/>
                <w:szCs w:val="20"/>
              </w:rPr>
              <w:br w:type="textWrapping"/>
            </w:r>
            <w:r>
              <w:rPr>
                <w:rFonts w:hint="eastAsia" w:ascii="等线" w:hAnsi="等线" w:eastAsia="等线"/>
                <w:color w:val="000000"/>
                <w:sz w:val="20"/>
                <w:szCs w:val="20"/>
              </w:rPr>
              <w:t>2.支持接入视频1/4/6/8/9/16多画面分割预览，支持16路视频并发录像，录像分辨率支持持4MP、3MP、1080p、720p及以下分辨率；</w:t>
            </w:r>
            <w:r>
              <w:rPr>
                <w:rFonts w:hint="eastAsia" w:ascii="等线" w:hAnsi="等线" w:eastAsia="等线"/>
                <w:color w:val="000000"/>
                <w:sz w:val="20"/>
                <w:szCs w:val="20"/>
              </w:rPr>
              <w:br w:type="textWrapping"/>
            </w:r>
            <w:r>
              <w:rPr>
                <w:rFonts w:hint="eastAsia" w:ascii="等线" w:hAnsi="等线" w:eastAsia="等线"/>
                <w:color w:val="000000"/>
                <w:sz w:val="20"/>
                <w:szCs w:val="20"/>
              </w:rPr>
              <w:t>3.具有≥2个HDMI接口、≥2个VGA接口、≥2个RJ45千兆网络接口、≥2个USB2.0接口、≥2个USB3.0接口、≥1个RS232接口、≥1个RS485接口(可接入RS485键盘)、≥1个eSata接口；</w:t>
            </w:r>
            <w:r>
              <w:rPr>
                <w:rFonts w:hint="eastAsia" w:ascii="等线" w:hAnsi="等线" w:eastAsia="等线"/>
                <w:color w:val="000000"/>
                <w:sz w:val="20"/>
                <w:szCs w:val="20"/>
              </w:rPr>
              <w:br w:type="textWrapping"/>
            </w:r>
            <w:r>
              <w:rPr>
                <w:rFonts w:hint="eastAsia" w:ascii="等线" w:hAnsi="等线" w:eastAsia="等线"/>
                <w:color w:val="000000"/>
                <w:sz w:val="20"/>
                <w:szCs w:val="20"/>
              </w:rPr>
              <w:t>具有≥1路音频输入接口、≥2路音频输出接口，≥16路报警输入接口、≥8路报警输出接口；具有≥2路直流12V输出接口；具有≥2块RPS电源；可内置≥16个SATA接口硬盘。</w:t>
            </w:r>
            <w:r>
              <w:rPr>
                <w:rFonts w:hint="eastAsia" w:ascii="等线" w:hAnsi="等线" w:eastAsia="等线"/>
                <w:color w:val="000000"/>
                <w:sz w:val="20"/>
                <w:szCs w:val="20"/>
              </w:rPr>
              <w:br w:type="textWrapping"/>
            </w:r>
            <w:r>
              <w:rPr>
                <w:rFonts w:hint="eastAsia" w:ascii="等线" w:hAnsi="等线" w:eastAsia="等线"/>
                <w:color w:val="000000"/>
                <w:sz w:val="20"/>
                <w:szCs w:val="20"/>
              </w:rPr>
              <w:t>4.支持不同品牌的监控级和企业级硬盘混合接入；支持SATA硬盘和SSD硬盘混合接入；可通过eSATA接口外接硬盘。</w:t>
            </w:r>
            <w:r>
              <w:rPr>
                <w:rFonts w:hint="eastAsia" w:ascii="等线" w:hAnsi="等线" w:eastAsia="等线"/>
                <w:color w:val="000000"/>
                <w:sz w:val="20"/>
                <w:szCs w:val="20"/>
              </w:rPr>
              <w:br w:type="textWrapping"/>
            </w:r>
            <w:r>
              <w:rPr>
                <w:rFonts w:hint="eastAsia" w:ascii="等线" w:hAnsi="等线" w:eastAsia="等线"/>
                <w:color w:val="000000"/>
                <w:sz w:val="20"/>
                <w:szCs w:val="20"/>
              </w:rPr>
              <w:t>5.可接入H.265、H.264、MPEG4视频编码格式的网络摄像机。</w:t>
            </w:r>
            <w:r>
              <w:rPr>
                <w:rFonts w:hint="eastAsia" w:ascii="等线" w:hAnsi="等线" w:eastAsia="等线"/>
                <w:color w:val="000000"/>
                <w:sz w:val="20"/>
                <w:szCs w:val="20"/>
              </w:rPr>
              <w:br w:type="textWrapping"/>
            </w:r>
            <w:r>
              <w:rPr>
                <w:rFonts w:hint="eastAsia" w:ascii="宋体" w:hAnsi="宋体" w:eastAsia="宋体" w:cs="宋体"/>
                <w:sz w:val="24"/>
                <w:szCs w:val="24"/>
              </w:rPr>
              <w:t xml:space="preserve">● </w:t>
            </w:r>
            <w:r>
              <w:rPr>
                <w:rFonts w:hint="eastAsia" w:ascii="等线" w:hAnsi="等线" w:eastAsia="等线"/>
                <w:color w:val="000000"/>
                <w:sz w:val="20"/>
                <w:szCs w:val="20"/>
              </w:rPr>
              <w:t>6.机箱风扇转速可自动调节，支持3级风扇转速调节（提供具有CNAS或CMA认证机构出具的检测报告证明）</w:t>
            </w:r>
            <w:r>
              <w:rPr>
                <w:rFonts w:hint="eastAsia" w:ascii="等线" w:hAnsi="等线" w:eastAsia="等线"/>
                <w:color w:val="000000"/>
                <w:sz w:val="20"/>
                <w:szCs w:val="20"/>
              </w:rPr>
              <w:br w:type="textWrapping"/>
            </w:r>
            <w:r>
              <w:rPr>
                <w:rFonts w:hint="eastAsia" w:ascii="宋体" w:hAnsi="宋体" w:eastAsia="宋体" w:cs="宋体"/>
                <w:sz w:val="24"/>
                <w:szCs w:val="24"/>
              </w:rPr>
              <w:t xml:space="preserve">● </w:t>
            </w:r>
            <w:r>
              <w:rPr>
                <w:rFonts w:hint="eastAsia" w:ascii="等线" w:hAnsi="等线" w:eastAsia="等线"/>
                <w:color w:val="000000"/>
                <w:sz w:val="20"/>
                <w:szCs w:val="20"/>
              </w:rPr>
              <w:t>7.产品符合《国家教育考试网上巡查系统视频标准技术规范》JY/T-KS-JS-2017-1；（提供具有CNAS或CMA认证机构出具的检测报告证明）</w:t>
            </w:r>
          </w:p>
        </w:tc>
        <w:tc>
          <w:tcPr>
            <w:tcW w:w="469" w:type="pct"/>
            <w:tcBorders>
              <w:top w:val="nil"/>
              <w:left w:val="nil"/>
              <w:bottom w:val="single" w:color="auto" w:sz="4" w:space="0"/>
              <w:right w:val="single" w:color="auto" w:sz="4" w:space="0"/>
            </w:tcBorders>
            <w:shd w:val="clear" w:color="auto" w:fill="auto"/>
            <w:vAlign w:val="center"/>
          </w:tcPr>
          <w:p w14:paraId="1033367A">
            <w:pPr>
              <w:widowControl/>
              <w:jc w:val="center"/>
              <w:rPr>
                <w:rFonts w:ascii="Verdana" w:hAnsi="Verdana" w:cs="宋体"/>
                <w:color w:val="000000"/>
                <w:kern w:val="0"/>
                <w:sz w:val="24"/>
                <w:szCs w:val="24"/>
              </w:rPr>
            </w:pPr>
            <w:r>
              <w:rPr>
                <w:rFonts w:ascii="Verdana" w:hAnsi="Verdana" w:cs="宋体"/>
                <w:color w:val="000000"/>
                <w:kern w:val="0"/>
                <w:sz w:val="24"/>
                <w:szCs w:val="24"/>
              </w:rPr>
              <w:t>1</w:t>
            </w:r>
          </w:p>
        </w:tc>
        <w:tc>
          <w:tcPr>
            <w:tcW w:w="406" w:type="pct"/>
            <w:tcBorders>
              <w:top w:val="nil"/>
              <w:left w:val="nil"/>
              <w:bottom w:val="single" w:color="auto" w:sz="4" w:space="0"/>
              <w:right w:val="single" w:color="auto" w:sz="4" w:space="0"/>
            </w:tcBorders>
            <w:shd w:val="clear" w:color="auto" w:fill="auto"/>
            <w:vAlign w:val="center"/>
          </w:tcPr>
          <w:p w14:paraId="17BDA0EB">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台</w:t>
            </w:r>
          </w:p>
        </w:tc>
        <w:tc>
          <w:tcPr>
            <w:tcW w:w="572" w:type="pct"/>
            <w:tcBorders>
              <w:top w:val="nil"/>
              <w:left w:val="nil"/>
              <w:bottom w:val="single" w:color="auto" w:sz="4" w:space="0"/>
              <w:right w:val="single" w:color="auto" w:sz="4" w:space="0"/>
            </w:tcBorders>
            <w:shd w:val="clear" w:color="auto" w:fill="auto"/>
            <w:vAlign w:val="center"/>
          </w:tcPr>
          <w:p w14:paraId="60D30C7E">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4A698832">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797E5FD8">
            <w:pPr>
              <w:widowControl/>
              <w:jc w:val="center"/>
              <w:rPr>
                <w:rFonts w:ascii="Verdana" w:hAnsi="Verdana" w:cs="宋体"/>
                <w:b/>
                <w:bCs/>
                <w:kern w:val="0"/>
                <w:sz w:val="24"/>
                <w:szCs w:val="24"/>
              </w:rPr>
            </w:pPr>
            <w:r>
              <w:rPr>
                <w:rFonts w:ascii="Verdana" w:hAnsi="Verdana" w:cs="宋体"/>
                <w:b/>
                <w:bCs/>
                <w:kern w:val="0"/>
                <w:sz w:val="24"/>
                <w:szCs w:val="24"/>
              </w:rPr>
              <w:t>5</w:t>
            </w:r>
          </w:p>
        </w:tc>
        <w:tc>
          <w:tcPr>
            <w:tcW w:w="913" w:type="pct"/>
            <w:tcBorders>
              <w:top w:val="nil"/>
              <w:left w:val="nil"/>
              <w:bottom w:val="single" w:color="auto" w:sz="4" w:space="0"/>
              <w:right w:val="single" w:color="auto" w:sz="4" w:space="0"/>
            </w:tcBorders>
            <w:shd w:val="clear" w:color="auto" w:fill="auto"/>
            <w:vAlign w:val="center"/>
          </w:tcPr>
          <w:p w14:paraId="002FDE4E">
            <w:pPr>
              <w:widowControl/>
              <w:jc w:val="left"/>
              <w:rPr>
                <w:rFonts w:ascii="微软雅黑" w:hAnsi="微软雅黑" w:eastAsia="微软雅黑" w:cs="宋体"/>
                <w:kern w:val="0"/>
                <w:sz w:val="24"/>
                <w:szCs w:val="24"/>
              </w:rPr>
            </w:pPr>
            <w:r>
              <w:rPr>
                <w:rFonts w:hint="eastAsia" w:ascii="等线" w:hAnsi="等线" w:eastAsia="等线" w:cs="宋体"/>
                <w:kern w:val="0"/>
                <w:sz w:val="24"/>
                <w:szCs w:val="24"/>
              </w:rPr>
              <w:t>▲</w:t>
            </w:r>
            <w:r>
              <w:rPr>
                <w:rFonts w:hint="eastAsia" w:ascii="微软雅黑" w:hAnsi="微软雅黑" w:eastAsia="微软雅黑" w:cs="宋体"/>
                <w:kern w:val="0"/>
                <w:sz w:val="24"/>
                <w:szCs w:val="24"/>
              </w:rPr>
              <w:t>网络存储服务器</w:t>
            </w:r>
          </w:p>
        </w:tc>
        <w:tc>
          <w:tcPr>
            <w:tcW w:w="2217" w:type="pct"/>
            <w:tcBorders>
              <w:top w:val="nil"/>
              <w:left w:val="single" w:color="auto" w:sz="4" w:space="0"/>
              <w:bottom w:val="single" w:color="auto" w:sz="4" w:space="0"/>
              <w:right w:val="single" w:color="auto" w:sz="4" w:space="0"/>
            </w:tcBorders>
            <w:shd w:val="clear" w:color="auto" w:fill="auto"/>
            <w:vAlign w:val="center"/>
          </w:tcPr>
          <w:p w14:paraId="476FFB20">
            <w:pPr>
              <w:widowControl/>
              <w:jc w:val="left"/>
              <w:rPr>
                <w:rFonts w:cs="宋体"/>
                <w:kern w:val="0"/>
                <w:sz w:val="20"/>
                <w:szCs w:val="20"/>
              </w:rPr>
            </w:pPr>
            <w:r>
              <w:rPr>
                <w:rFonts w:hint="eastAsia" w:ascii="等线" w:hAnsi="等线" w:eastAsia="等线"/>
                <w:color w:val="000000"/>
                <w:sz w:val="20"/>
                <w:szCs w:val="20"/>
              </w:rPr>
              <w:t>1.支持≥32路网络视频输入；</w:t>
            </w:r>
            <w:r>
              <w:rPr>
                <w:rFonts w:hint="eastAsia" w:ascii="等线" w:hAnsi="等线" w:eastAsia="等线"/>
                <w:color w:val="000000"/>
                <w:sz w:val="20"/>
                <w:szCs w:val="20"/>
              </w:rPr>
              <w:br w:type="textWrapping"/>
            </w:r>
            <w:r>
              <w:rPr>
                <w:rFonts w:hint="eastAsia" w:ascii="等线" w:hAnsi="等线" w:eastAsia="等线"/>
                <w:color w:val="000000"/>
                <w:sz w:val="20"/>
                <w:szCs w:val="20"/>
              </w:rPr>
              <w:t>2.支持接入视频1/4/6/8/9/16/25/32画面分割预览，支持32路视频并发录像，录像分辨率支持4MP、3MP、1080p、720p及以下分辨率；</w:t>
            </w:r>
            <w:r>
              <w:rPr>
                <w:rFonts w:hint="eastAsia" w:ascii="等线" w:hAnsi="等线" w:eastAsia="等线"/>
                <w:color w:val="000000"/>
                <w:sz w:val="20"/>
                <w:szCs w:val="20"/>
              </w:rPr>
              <w:br w:type="textWrapping"/>
            </w:r>
            <w:r>
              <w:rPr>
                <w:rFonts w:hint="eastAsia" w:ascii="等线" w:hAnsi="等线" w:eastAsia="等线"/>
                <w:color w:val="000000"/>
                <w:sz w:val="20"/>
                <w:szCs w:val="20"/>
              </w:rPr>
              <w:t>3.具有≥9个SATA接口和≥1个eSATA接口，单盘最大容量支持≥10TB硬盘，具有≥2个HDMI和≥2个VGA输出接口，HDMI接口输出最大支持4K分辨率；具有≥2路音频输出、≥1路语音对讲输入接口、≥2个RJ45 10M/100M/1000M自适应以太网口、≥1个RS485、≥1个RS232、≥4个USB接口；具有≥16路报警输入，≥4路报警输出接口。</w:t>
            </w:r>
            <w:r>
              <w:rPr>
                <w:rFonts w:hint="eastAsia" w:ascii="等线" w:hAnsi="等线" w:eastAsia="等线"/>
                <w:color w:val="000000"/>
                <w:sz w:val="20"/>
                <w:szCs w:val="20"/>
              </w:rPr>
              <w:br w:type="textWrapping"/>
            </w:r>
            <w:r>
              <w:rPr>
                <w:rFonts w:hint="eastAsia" w:ascii="等线" w:hAnsi="等线" w:eastAsia="等线"/>
                <w:color w:val="000000"/>
                <w:sz w:val="20"/>
                <w:szCs w:val="20"/>
              </w:rPr>
              <w:t>4.支持不同品牌的监控级和企业级硬盘混合接入；支持SATA硬盘和SSD硬盘混合接入；可通过eSATA接口外接硬盘。</w:t>
            </w:r>
            <w:r>
              <w:rPr>
                <w:rFonts w:hint="eastAsia" w:ascii="等线" w:hAnsi="等线" w:eastAsia="等线"/>
                <w:color w:val="000000"/>
                <w:sz w:val="20"/>
                <w:szCs w:val="20"/>
              </w:rPr>
              <w:br w:type="textWrapping"/>
            </w:r>
            <w:r>
              <w:rPr>
                <w:rFonts w:hint="eastAsia" w:ascii="等线" w:hAnsi="等线" w:eastAsia="等线"/>
                <w:color w:val="000000"/>
                <w:sz w:val="20"/>
                <w:szCs w:val="20"/>
              </w:rPr>
              <w:t>5.可接入H.265、H.264、MPEG4视频编码格式的网络摄像机。</w:t>
            </w:r>
            <w:r>
              <w:rPr>
                <w:rFonts w:hint="eastAsia" w:ascii="等线" w:hAnsi="等线" w:eastAsia="等线"/>
                <w:color w:val="000000"/>
                <w:sz w:val="20"/>
                <w:szCs w:val="20"/>
              </w:rPr>
              <w:br w:type="textWrapping"/>
            </w:r>
            <w:r>
              <w:rPr>
                <w:rFonts w:hint="eastAsia" w:ascii="宋体" w:hAnsi="宋体" w:eastAsia="宋体" w:cs="宋体"/>
                <w:sz w:val="24"/>
                <w:szCs w:val="24"/>
              </w:rPr>
              <w:t xml:space="preserve">● </w:t>
            </w:r>
            <w:r>
              <w:rPr>
                <w:rFonts w:hint="eastAsia" w:ascii="等线" w:hAnsi="等线" w:eastAsia="等线"/>
                <w:color w:val="000000"/>
                <w:sz w:val="20"/>
                <w:szCs w:val="20"/>
              </w:rPr>
              <w:t>6.机箱风扇转速可自动调节，支持3级风扇转速调节（提供具有CNAS或CMA认证机构出具的检测报告证明）</w:t>
            </w:r>
            <w:r>
              <w:rPr>
                <w:rFonts w:hint="eastAsia" w:ascii="等线" w:hAnsi="等线" w:eastAsia="等线"/>
                <w:color w:val="000000"/>
                <w:sz w:val="20"/>
                <w:szCs w:val="20"/>
              </w:rPr>
              <w:br w:type="textWrapping"/>
            </w:r>
            <w:r>
              <w:rPr>
                <w:rFonts w:hint="eastAsia" w:ascii="宋体" w:hAnsi="宋体" w:eastAsia="宋体" w:cs="宋体"/>
                <w:sz w:val="24"/>
                <w:szCs w:val="24"/>
              </w:rPr>
              <w:t xml:space="preserve">● </w:t>
            </w:r>
            <w:r>
              <w:rPr>
                <w:rFonts w:hint="eastAsia" w:ascii="等线" w:hAnsi="等线" w:eastAsia="等线"/>
                <w:color w:val="000000"/>
                <w:sz w:val="20"/>
                <w:szCs w:val="20"/>
              </w:rPr>
              <w:t>7.产品符合《国家教育考试网上巡查系统视频标准技术规范》JY/T-KS-JS-2017-1；（提供具有CNAS或CMA认证机构出具的检测报告证明）</w:t>
            </w:r>
          </w:p>
        </w:tc>
        <w:tc>
          <w:tcPr>
            <w:tcW w:w="469" w:type="pct"/>
            <w:tcBorders>
              <w:top w:val="nil"/>
              <w:left w:val="nil"/>
              <w:bottom w:val="single" w:color="auto" w:sz="4" w:space="0"/>
              <w:right w:val="single" w:color="auto" w:sz="4" w:space="0"/>
            </w:tcBorders>
            <w:shd w:val="clear" w:color="auto" w:fill="auto"/>
            <w:vAlign w:val="center"/>
          </w:tcPr>
          <w:p w14:paraId="2E01DB96">
            <w:pPr>
              <w:widowControl/>
              <w:jc w:val="center"/>
              <w:rPr>
                <w:rFonts w:ascii="Verdana" w:hAnsi="Verdana" w:cs="宋体"/>
                <w:kern w:val="0"/>
                <w:sz w:val="24"/>
                <w:szCs w:val="24"/>
              </w:rPr>
            </w:pPr>
            <w:r>
              <w:rPr>
                <w:rFonts w:ascii="Verdana" w:hAnsi="Verdana" w:cs="宋体"/>
                <w:kern w:val="0"/>
                <w:sz w:val="24"/>
                <w:szCs w:val="24"/>
              </w:rPr>
              <w:t>1</w:t>
            </w:r>
          </w:p>
        </w:tc>
        <w:tc>
          <w:tcPr>
            <w:tcW w:w="406" w:type="pct"/>
            <w:tcBorders>
              <w:top w:val="nil"/>
              <w:left w:val="nil"/>
              <w:bottom w:val="single" w:color="auto" w:sz="4" w:space="0"/>
              <w:right w:val="single" w:color="auto" w:sz="4" w:space="0"/>
            </w:tcBorders>
            <w:shd w:val="clear" w:color="auto" w:fill="auto"/>
            <w:vAlign w:val="center"/>
          </w:tcPr>
          <w:p w14:paraId="1851CD01">
            <w:pPr>
              <w:widowControl/>
              <w:jc w:val="center"/>
              <w:rPr>
                <w:rFonts w:ascii="微软雅黑" w:hAnsi="微软雅黑" w:eastAsia="微软雅黑" w:cs="宋体"/>
                <w:kern w:val="0"/>
                <w:sz w:val="24"/>
                <w:szCs w:val="24"/>
              </w:rPr>
            </w:pPr>
            <w:r>
              <w:rPr>
                <w:rFonts w:hint="eastAsia" w:ascii="微软雅黑" w:hAnsi="微软雅黑" w:eastAsia="微软雅黑" w:cs="宋体"/>
                <w:kern w:val="0"/>
                <w:sz w:val="24"/>
                <w:szCs w:val="24"/>
              </w:rPr>
              <w:t>台</w:t>
            </w:r>
          </w:p>
        </w:tc>
        <w:tc>
          <w:tcPr>
            <w:tcW w:w="572" w:type="pct"/>
            <w:tcBorders>
              <w:top w:val="nil"/>
              <w:left w:val="nil"/>
              <w:bottom w:val="single" w:color="auto" w:sz="4" w:space="0"/>
              <w:right w:val="single" w:color="auto" w:sz="4" w:space="0"/>
            </w:tcBorders>
            <w:shd w:val="clear" w:color="auto" w:fill="auto"/>
            <w:vAlign w:val="center"/>
          </w:tcPr>
          <w:p w14:paraId="15326C18">
            <w:pPr>
              <w:widowControl/>
              <w:jc w:val="center"/>
              <w:rPr>
                <w:rFonts w:ascii="Verdana" w:hAnsi="Verdana" w:cs="宋体"/>
                <w:kern w:val="0"/>
                <w:sz w:val="24"/>
                <w:szCs w:val="24"/>
              </w:rPr>
            </w:pPr>
            <w:r>
              <w:rPr>
                <w:rFonts w:hint="eastAsia" w:ascii="Verdana" w:hAnsi="Verdana" w:cs="宋体"/>
                <w:color w:val="000000"/>
                <w:kern w:val="0"/>
                <w:sz w:val="24"/>
                <w:szCs w:val="24"/>
              </w:rPr>
              <w:t>无</w:t>
            </w:r>
          </w:p>
        </w:tc>
      </w:tr>
      <w:tr w14:paraId="209FC782">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4D9AB7D6">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6</w:t>
            </w:r>
          </w:p>
        </w:tc>
        <w:tc>
          <w:tcPr>
            <w:tcW w:w="913" w:type="pct"/>
            <w:tcBorders>
              <w:top w:val="nil"/>
              <w:left w:val="nil"/>
              <w:bottom w:val="single" w:color="auto" w:sz="4" w:space="0"/>
              <w:right w:val="single" w:color="auto" w:sz="4" w:space="0"/>
            </w:tcBorders>
            <w:shd w:val="clear" w:color="auto" w:fill="auto"/>
            <w:vAlign w:val="center"/>
          </w:tcPr>
          <w:p w14:paraId="438B6622">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硬盘</w:t>
            </w:r>
          </w:p>
        </w:tc>
        <w:tc>
          <w:tcPr>
            <w:tcW w:w="2217" w:type="pct"/>
            <w:tcBorders>
              <w:top w:val="nil"/>
              <w:left w:val="nil"/>
              <w:bottom w:val="single" w:color="auto" w:sz="4" w:space="0"/>
              <w:right w:val="single" w:color="auto" w:sz="4" w:space="0"/>
            </w:tcBorders>
            <w:shd w:val="clear" w:color="auto" w:fill="auto"/>
            <w:vAlign w:val="center"/>
          </w:tcPr>
          <w:p w14:paraId="55D9F493">
            <w:pPr>
              <w:widowControl/>
              <w:jc w:val="left"/>
              <w:rPr>
                <w:rFonts w:cs="宋体"/>
                <w:color w:val="000000"/>
                <w:kern w:val="0"/>
                <w:sz w:val="20"/>
                <w:szCs w:val="20"/>
              </w:rPr>
            </w:pPr>
            <w:r>
              <w:rPr>
                <w:rFonts w:cs="宋体"/>
                <w:color w:val="000000"/>
                <w:kern w:val="0"/>
                <w:sz w:val="20"/>
                <w:szCs w:val="20"/>
              </w:rPr>
              <w:t>6</w:t>
            </w:r>
            <w:r>
              <w:rPr>
                <w:rFonts w:hint="eastAsia" w:cs="宋体"/>
                <w:color w:val="000000"/>
                <w:kern w:val="0"/>
                <w:sz w:val="20"/>
                <w:szCs w:val="20"/>
              </w:rPr>
              <w:t>T监控级硬盘</w:t>
            </w:r>
          </w:p>
        </w:tc>
        <w:tc>
          <w:tcPr>
            <w:tcW w:w="469" w:type="pct"/>
            <w:tcBorders>
              <w:top w:val="nil"/>
              <w:left w:val="nil"/>
              <w:bottom w:val="single" w:color="auto" w:sz="4" w:space="0"/>
              <w:right w:val="single" w:color="auto" w:sz="4" w:space="0"/>
            </w:tcBorders>
            <w:shd w:val="clear" w:color="auto" w:fill="auto"/>
            <w:vAlign w:val="center"/>
          </w:tcPr>
          <w:p w14:paraId="25889D85">
            <w:pPr>
              <w:widowControl/>
              <w:jc w:val="center"/>
              <w:rPr>
                <w:rFonts w:ascii="Verdana" w:hAnsi="Verdana" w:cs="宋体"/>
                <w:color w:val="000000"/>
                <w:kern w:val="0"/>
                <w:sz w:val="24"/>
                <w:szCs w:val="24"/>
              </w:rPr>
            </w:pPr>
            <w:r>
              <w:rPr>
                <w:rFonts w:ascii="Verdana" w:hAnsi="Verdana" w:cs="宋体"/>
                <w:color w:val="000000"/>
                <w:kern w:val="0"/>
                <w:sz w:val="24"/>
                <w:szCs w:val="24"/>
              </w:rPr>
              <w:t>12</w:t>
            </w:r>
          </w:p>
        </w:tc>
        <w:tc>
          <w:tcPr>
            <w:tcW w:w="406" w:type="pct"/>
            <w:tcBorders>
              <w:top w:val="nil"/>
              <w:left w:val="nil"/>
              <w:bottom w:val="single" w:color="auto" w:sz="4" w:space="0"/>
              <w:right w:val="single" w:color="auto" w:sz="4" w:space="0"/>
            </w:tcBorders>
            <w:shd w:val="clear" w:color="auto" w:fill="auto"/>
            <w:vAlign w:val="center"/>
          </w:tcPr>
          <w:p w14:paraId="050FC34C">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块</w:t>
            </w:r>
          </w:p>
        </w:tc>
        <w:tc>
          <w:tcPr>
            <w:tcW w:w="572" w:type="pct"/>
            <w:tcBorders>
              <w:top w:val="nil"/>
              <w:left w:val="nil"/>
              <w:bottom w:val="single" w:color="auto" w:sz="4" w:space="0"/>
              <w:right w:val="single" w:color="auto" w:sz="4" w:space="0"/>
            </w:tcBorders>
            <w:shd w:val="clear" w:color="auto" w:fill="auto"/>
            <w:vAlign w:val="center"/>
          </w:tcPr>
          <w:p w14:paraId="48C3F521">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63E87141">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2CB59BDF">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7</w:t>
            </w:r>
          </w:p>
        </w:tc>
        <w:tc>
          <w:tcPr>
            <w:tcW w:w="913" w:type="pct"/>
            <w:tcBorders>
              <w:top w:val="nil"/>
              <w:left w:val="nil"/>
              <w:bottom w:val="single" w:color="auto" w:sz="4" w:space="0"/>
              <w:right w:val="single" w:color="auto" w:sz="4" w:space="0"/>
            </w:tcBorders>
            <w:shd w:val="clear" w:color="auto" w:fill="auto"/>
            <w:vAlign w:val="center"/>
          </w:tcPr>
          <w:p w14:paraId="4E298517">
            <w:pPr>
              <w:widowControl/>
              <w:jc w:val="left"/>
              <w:rPr>
                <w:rFonts w:ascii="Verdana" w:hAnsi="Verdana" w:cs="宋体"/>
                <w:color w:val="000000"/>
                <w:kern w:val="0"/>
                <w:sz w:val="24"/>
                <w:szCs w:val="24"/>
              </w:rPr>
            </w:pPr>
            <w:r>
              <w:rPr>
                <w:rFonts w:hint="eastAsia" w:ascii="等线" w:hAnsi="等线" w:eastAsia="等线" w:cs="宋体"/>
                <w:color w:val="000000"/>
                <w:kern w:val="0"/>
                <w:sz w:val="24"/>
                <w:szCs w:val="24"/>
              </w:rPr>
              <w:t>▲</w:t>
            </w:r>
            <w:r>
              <w:rPr>
                <w:rFonts w:ascii="Verdana" w:hAnsi="Verdana" w:cs="宋体"/>
                <w:color w:val="000000"/>
                <w:kern w:val="0"/>
                <w:sz w:val="24"/>
                <w:szCs w:val="24"/>
              </w:rPr>
              <w:t>SIP</w:t>
            </w:r>
            <w:r>
              <w:rPr>
                <w:rFonts w:hint="eastAsia" w:ascii="微软雅黑" w:hAnsi="微软雅黑" w:eastAsia="微软雅黑" w:cs="宋体"/>
                <w:color w:val="000000"/>
                <w:kern w:val="0"/>
                <w:sz w:val="24"/>
                <w:szCs w:val="24"/>
              </w:rPr>
              <w:t>网关</w:t>
            </w:r>
          </w:p>
        </w:tc>
        <w:tc>
          <w:tcPr>
            <w:tcW w:w="2217" w:type="pct"/>
            <w:tcBorders>
              <w:top w:val="nil"/>
              <w:left w:val="nil"/>
              <w:bottom w:val="single" w:color="auto" w:sz="4" w:space="0"/>
              <w:right w:val="single" w:color="auto" w:sz="4" w:space="0"/>
            </w:tcBorders>
            <w:shd w:val="clear" w:color="auto" w:fill="auto"/>
            <w:vAlign w:val="center"/>
          </w:tcPr>
          <w:p w14:paraId="29E39D59">
            <w:pPr>
              <w:widowControl/>
              <w:jc w:val="left"/>
              <w:rPr>
                <w:rFonts w:cs="宋体"/>
                <w:color w:val="000000"/>
                <w:kern w:val="0"/>
                <w:sz w:val="20"/>
                <w:szCs w:val="20"/>
              </w:rPr>
            </w:pPr>
            <w:r>
              <w:rPr>
                <w:rFonts w:hint="eastAsia" w:cs="宋体"/>
                <w:color w:val="000000"/>
                <w:kern w:val="0"/>
                <w:sz w:val="20"/>
                <w:szCs w:val="20"/>
              </w:rPr>
              <w:t>1.平台为嵌入式设备，采用国产处理器,linux开源操作系统，B/S 应用架构。</w:t>
            </w:r>
            <w:r>
              <w:rPr>
                <w:rFonts w:hint="eastAsia" w:cs="宋体"/>
                <w:color w:val="000000"/>
                <w:kern w:val="0"/>
                <w:sz w:val="20"/>
                <w:szCs w:val="20"/>
              </w:rPr>
              <w:br w:type="textWrapping"/>
            </w:r>
            <w:r>
              <w:rPr>
                <w:rFonts w:hint="eastAsia" w:cs="宋体"/>
                <w:color w:val="000000"/>
                <w:kern w:val="0"/>
                <w:sz w:val="20"/>
                <w:szCs w:val="20"/>
              </w:rPr>
              <w:t>2.支持对下级机构进行虚拟分组，可自定义虚拟节点名称及域名，进行分组管理。</w:t>
            </w:r>
            <w:r>
              <w:rPr>
                <w:rFonts w:hint="eastAsia" w:cs="宋体"/>
                <w:color w:val="000000"/>
                <w:kern w:val="0"/>
                <w:sz w:val="20"/>
                <w:szCs w:val="20"/>
              </w:rPr>
              <w:br w:type="textWrapping"/>
            </w:r>
            <w:r>
              <w:rPr>
                <w:rFonts w:hint="eastAsia" w:cs="宋体"/>
                <w:color w:val="000000"/>
                <w:kern w:val="0"/>
                <w:sz w:val="20"/>
                <w:szCs w:val="20"/>
              </w:rPr>
              <w:t>3.支持远程管理功能，可远程对设备进行关机、重启控制。具有图形化运维界面，可直观展呈各类巡查设备的连接状态、工作状态、预警信息，并支持查看节点设备及预警详情。</w:t>
            </w:r>
            <w:r>
              <w:rPr>
                <w:rFonts w:hint="eastAsia" w:cs="宋体"/>
                <w:color w:val="000000"/>
                <w:kern w:val="0"/>
                <w:sz w:val="20"/>
                <w:szCs w:val="20"/>
              </w:rPr>
              <w:br w:type="textWrapping"/>
            </w:r>
            <w:r>
              <w:rPr>
                <w:rFonts w:hint="eastAsia" w:cs="宋体"/>
                <w:color w:val="000000"/>
                <w:kern w:val="0"/>
                <w:sz w:val="20"/>
                <w:szCs w:val="20"/>
              </w:rPr>
              <w:t>4.支持将物理考场与逻辑考场进行关联对应，并可自动获取并执行考务平台的OSD切换策略。</w:t>
            </w:r>
            <w:r>
              <w:rPr>
                <w:rFonts w:hint="eastAsia" w:cs="宋体"/>
                <w:color w:val="000000"/>
                <w:kern w:val="0"/>
                <w:sz w:val="20"/>
                <w:szCs w:val="20"/>
              </w:rPr>
              <w:br w:type="textWrapping"/>
            </w:r>
            <w:r>
              <w:rPr>
                <w:rFonts w:hint="eastAsia" w:cs="宋体"/>
                <w:color w:val="000000"/>
                <w:kern w:val="0"/>
                <w:sz w:val="20"/>
                <w:szCs w:val="20"/>
              </w:rPr>
              <w:t>5.支持将考场视频与考生座次表及监考员信息关联，可在预览实时视频的同时查看考生座次表或监考员信息。</w:t>
            </w:r>
            <w:r>
              <w:rPr>
                <w:rFonts w:hint="eastAsia" w:cs="宋体"/>
                <w:color w:val="000000"/>
                <w:kern w:val="0"/>
                <w:sz w:val="20"/>
                <w:szCs w:val="20"/>
              </w:rPr>
              <w:br w:type="textWrapping"/>
            </w:r>
            <w:r>
              <w:rPr>
                <w:rFonts w:hint="eastAsia" w:cs="宋体"/>
                <w:color w:val="000000"/>
                <w:kern w:val="0"/>
                <w:sz w:val="20"/>
                <w:szCs w:val="20"/>
              </w:rPr>
              <w:t>6.授权用户可通过Web浏览器远程登录到系统界面，查看系统运行状态、进行系统配置及运维管理等操作。</w:t>
            </w:r>
            <w:r>
              <w:rPr>
                <w:rFonts w:hint="eastAsia" w:cs="宋体"/>
                <w:color w:val="000000"/>
                <w:kern w:val="0"/>
                <w:sz w:val="20"/>
                <w:szCs w:val="20"/>
              </w:rPr>
              <w:br w:type="textWrapping"/>
            </w:r>
            <w:r>
              <w:rPr>
                <w:rFonts w:hint="eastAsia" w:cs="宋体"/>
                <w:color w:val="000000"/>
                <w:kern w:val="0"/>
                <w:sz w:val="20"/>
                <w:szCs w:val="20"/>
              </w:rPr>
              <w:t>7.支持接入GPS/北斗模块进行校时/定位，可接收 GPS/北斗卫星系统中的时标信号作为设备标准时间源,对其他设备提供网络授时服务。</w:t>
            </w:r>
            <w:r>
              <w:rPr>
                <w:rFonts w:hint="eastAsia" w:cs="宋体"/>
                <w:color w:val="000000"/>
                <w:kern w:val="0"/>
                <w:sz w:val="20"/>
                <w:szCs w:val="20"/>
              </w:rPr>
              <w:br w:type="textWrapping"/>
            </w:r>
            <w:r>
              <w:rPr>
                <w:rFonts w:hint="eastAsia" w:cs="宋体"/>
                <w:color w:val="000000"/>
                <w:kern w:val="0"/>
                <w:sz w:val="20"/>
                <w:szCs w:val="20"/>
              </w:rPr>
              <w:t>8.支持通过客户端软件进行校时，并可通过WEB浏览器登录系统进行手动校时。</w:t>
            </w:r>
            <w:r>
              <w:rPr>
                <w:rFonts w:hint="eastAsia" w:cs="宋体"/>
                <w:color w:val="000000"/>
                <w:kern w:val="0"/>
                <w:sz w:val="20"/>
                <w:szCs w:val="20"/>
              </w:rPr>
              <w:br w:type="textWrapping"/>
            </w:r>
            <w:r>
              <w:rPr>
                <w:rFonts w:hint="eastAsia" w:cs="宋体"/>
                <w:color w:val="000000"/>
                <w:kern w:val="0"/>
                <w:sz w:val="20"/>
                <w:szCs w:val="20"/>
              </w:rPr>
              <w:t>9.支持设置考试列表和日常列表两种模式。</w:t>
            </w:r>
            <w:r>
              <w:rPr>
                <w:rFonts w:hint="eastAsia" w:cs="宋体"/>
                <w:color w:val="000000"/>
                <w:kern w:val="0"/>
                <w:sz w:val="20"/>
                <w:szCs w:val="20"/>
              </w:rPr>
              <w:br w:type="textWrapping"/>
            </w:r>
            <w:r>
              <w:rPr>
                <w:rFonts w:hint="eastAsia" w:ascii="宋体" w:hAnsi="宋体" w:eastAsia="宋体" w:cs="宋体"/>
                <w:sz w:val="24"/>
                <w:szCs w:val="24"/>
              </w:rPr>
              <w:t>●</w:t>
            </w:r>
            <w:r>
              <w:rPr>
                <w:rFonts w:hint="eastAsia" w:cs="宋体"/>
                <w:color w:val="000000"/>
                <w:kern w:val="0"/>
                <w:sz w:val="20"/>
                <w:szCs w:val="20"/>
              </w:rPr>
              <w:t>10.具有硬件加密狗，可实现平台软硬件加密绑定。（提供具有CNAS或CMA认证机构出具的检测报告证明）</w:t>
            </w:r>
            <w:r>
              <w:rPr>
                <w:rFonts w:hint="eastAsia" w:cs="宋体"/>
                <w:color w:val="000000"/>
                <w:kern w:val="0"/>
                <w:sz w:val="20"/>
                <w:szCs w:val="20"/>
              </w:rPr>
              <w:br w:type="textWrapping"/>
            </w:r>
            <w:r>
              <w:rPr>
                <w:rFonts w:hint="eastAsia" w:cs="宋体"/>
                <w:color w:val="000000"/>
                <w:kern w:val="0"/>
                <w:sz w:val="20"/>
                <w:szCs w:val="20"/>
              </w:rPr>
              <w:t>11.支持SIP互联、终端访问的地址可信认</w:t>
            </w:r>
            <w:r>
              <w:rPr>
                <w:rFonts w:hint="eastAsia" w:cs="宋体"/>
                <w:color w:val="000000"/>
                <w:kern w:val="0"/>
                <w:sz w:val="20"/>
                <w:szCs w:val="20"/>
              </w:rPr>
              <w:br w:type="textWrapping"/>
            </w:r>
            <w:r>
              <w:rPr>
                <w:rFonts w:hint="eastAsia" w:cs="宋体"/>
                <w:color w:val="000000"/>
                <w:kern w:val="0"/>
                <w:sz w:val="20"/>
                <w:szCs w:val="20"/>
              </w:rPr>
              <w:t>12.应提供设备的在线状态、工作状态,以及设备型号、使用期的实时显示,应提供设备整体的运行状态、网络状况等的统计分析视图。</w:t>
            </w:r>
            <w:r>
              <w:rPr>
                <w:rFonts w:hint="eastAsia" w:cs="宋体"/>
                <w:color w:val="000000"/>
                <w:kern w:val="0"/>
                <w:sz w:val="20"/>
                <w:szCs w:val="20"/>
              </w:rPr>
              <w:br w:type="textWrapping"/>
            </w:r>
            <w:r>
              <w:rPr>
                <w:rFonts w:hint="eastAsia" w:cs="宋体"/>
                <w:color w:val="000000"/>
                <w:kern w:val="0"/>
                <w:sz w:val="20"/>
                <w:szCs w:val="20"/>
              </w:rPr>
              <w:t>13.支持标准SIP2.0,SIP地址解析、信令转发。</w:t>
            </w:r>
            <w:r>
              <w:rPr>
                <w:rFonts w:hint="eastAsia" w:cs="宋体"/>
                <w:color w:val="000000"/>
                <w:kern w:val="0"/>
                <w:sz w:val="20"/>
                <w:szCs w:val="20"/>
              </w:rPr>
              <w:br w:type="textWrapping"/>
            </w:r>
            <w:r>
              <w:rPr>
                <w:rFonts w:hint="eastAsia" w:cs="宋体"/>
                <w:color w:val="000000"/>
                <w:kern w:val="0"/>
                <w:sz w:val="20"/>
                <w:szCs w:val="20"/>
              </w:rPr>
              <w:t>14.支持流媒体的NAT穿越</w:t>
            </w:r>
            <w:r>
              <w:rPr>
                <w:rFonts w:hint="eastAsia" w:cs="宋体"/>
                <w:color w:val="000000"/>
                <w:kern w:val="0"/>
                <w:sz w:val="20"/>
                <w:szCs w:val="20"/>
              </w:rPr>
              <w:br w:type="textWrapping"/>
            </w:r>
            <w:r>
              <w:rPr>
                <w:rFonts w:hint="eastAsia" w:cs="宋体"/>
                <w:color w:val="000000"/>
                <w:kern w:val="0"/>
                <w:sz w:val="20"/>
                <w:szCs w:val="20"/>
              </w:rPr>
              <w:t>15.SIP URI统一命名规则、分级命名、联合定位。</w:t>
            </w:r>
            <w:r>
              <w:rPr>
                <w:rFonts w:hint="eastAsia" w:cs="宋体"/>
                <w:color w:val="000000"/>
                <w:kern w:val="0"/>
                <w:sz w:val="20"/>
                <w:szCs w:val="20"/>
              </w:rPr>
              <w:br w:type="textWrapping"/>
            </w:r>
            <w:r>
              <w:rPr>
                <w:rFonts w:hint="eastAsia" w:cs="宋体"/>
                <w:color w:val="000000"/>
                <w:kern w:val="0"/>
                <w:sz w:val="20"/>
                <w:szCs w:val="20"/>
              </w:rPr>
              <w:t>16.SIP URI组、用户、树形列表管理</w:t>
            </w:r>
            <w:r>
              <w:rPr>
                <w:rFonts w:hint="eastAsia" w:cs="宋体"/>
                <w:color w:val="000000"/>
                <w:kern w:val="0"/>
                <w:sz w:val="20"/>
                <w:szCs w:val="20"/>
              </w:rPr>
              <w:br w:type="textWrapping"/>
            </w:r>
            <w:r>
              <w:rPr>
                <w:rFonts w:hint="eastAsia" w:cs="宋体"/>
                <w:color w:val="000000"/>
                <w:kern w:val="0"/>
                <w:sz w:val="20"/>
                <w:szCs w:val="20"/>
              </w:rPr>
              <w:t>17.支持多级注册。</w:t>
            </w:r>
            <w:r>
              <w:rPr>
                <w:rFonts w:hint="eastAsia" w:cs="宋体"/>
                <w:color w:val="000000"/>
                <w:kern w:val="0"/>
                <w:sz w:val="20"/>
                <w:szCs w:val="20"/>
              </w:rPr>
              <w:br w:type="textWrapping"/>
            </w:r>
            <w:r>
              <w:rPr>
                <w:rFonts w:hint="eastAsia" w:ascii="宋体" w:hAnsi="宋体" w:eastAsia="宋体" w:cs="宋体"/>
                <w:sz w:val="24"/>
                <w:szCs w:val="24"/>
              </w:rPr>
              <w:t xml:space="preserve">● </w:t>
            </w:r>
            <w:r>
              <w:rPr>
                <w:rFonts w:hint="eastAsia" w:cs="宋体"/>
                <w:color w:val="000000"/>
                <w:kern w:val="0"/>
                <w:sz w:val="20"/>
                <w:szCs w:val="20"/>
              </w:rPr>
              <w:t>18.支持提供考务培训、题库、组卷以及测试服务，包括任务管理、题库管理、试卷管理、考核管理、系统管理、机构管理、人员管理、答题管理等。（提供具有CNAS或CMA认证机构出具的检测报告证明）</w:t>
            </w:r>
            <w:r>
              <w:rPr>
                <w:rFonts w:hint="eastAsia" w:cs="宋体"/>
                <w:color w:val="000000"/>
                <w:kern w:val="0"/>
                <w:sz w:val="20"/>
                <w:szCs w:val="20"/>
              </w:rPr>
              <w:br w:type="textWrapping"/>
            </w:r>
            <w:r>
              <w:rPr>
                <w:rFonts w:hint="eastAsia" w:ascii="宋体" w:hAnsi="宋体" w:eastAsia="宋体" w:cs="宋体"/>
                <w:sz w:val="24"/>
                <w:szCs w:val="24"/>
              </w:rPr>
              <w:t xml:space="preserve">● </w:t>
            </w:r>
            <w:r>
              <w:rPr>
                <w:rFonts w:hint="eastAsia" w:cs="宋体"/>
                <w:color w:val="000000"/>
                <w:kern w:val="0"/>
                <w:sz w:val="20"/>
                <w:szCs w:val="20"/>
              </w:rPr>
              <w:t>19.产品符合《国家教育考试网上巡查系统视频标准技术规范》JY/T-KS-JS-2017-1；（提供具有CNAS或CMA认证机构出具的检测报告证明）</w:t>
            </w:r>
            <w:r>
              <w:rPr>
                <w:rFonts w:hint="eastAsia" w:cs="宋体"/>
                <w:color w:val="000000"/>
                <w:kern w:val="0"/>
                <w:sz w:val="20"/>
                <w:szCs w:val="20"/>
              </w:rPr>
              <w:br w:type="textWrapping"/>
            </w:r>
            <w:r>
              <w:rPr>
                <w:rFonts w:hint="eastAsia" w:ascii="宋体" w:hAnsi="宋体" w:eastAsia="宋体" w:cs="宋体"/>
                <w:sz w:val="24"/>
                <w:szCs w:val="24"/>
                <w:highlight w:val="cyan"/>
              </w:rPr>
              <w:t xml:space="preserve">● </w:t>
            </w:r>
            <w:r>
              <w:rPr>
                <w:rFonts w:hint="eastAsia" w:cs="宋体"/>
                <w:color w:val="000000"/>
                <w:kern w:val="0"/>
                <w:sz w:val="20"/>
                <w:szCs w:val="20"/>
                <w:highlight w:val="cyan"/>
              </w:rPr>
              <w:t>20.能够与天津市国家教育考试网上巡查系统无缝对接互联互通，能够与天津市国家教育考试综合管理平台数据互通。</w:t>
            </w:r>
          </w:p>
        </w:tc>
        <w:tc>
          <w:tcPr>
            <w:tcW w:w="469" w:type="pct"/>
            <w:tcBorders>
              <w:top w:val="nil"/>
              <w:left w:val="nil"/>
              <w:bottom w:val="single" w:color="auto" w:sz="4" w:space="0"/>
              <w:right w:val="single" w:color="auto" w:sz="4" w:space="0"/>
            </w:tcBorders>
            <w:shd w:val="clear" w:color="auto" w:fill="auto"/>
            <w:vAlign w:val="center"/>
          </w:tcPr>
          <w:p w14:paraId="1C181894">
            <w:pPr>
              <w:widowControl/>
              <w:jc w:val="center"/>
              <w:rPr>
                <w:rFonts w:ascii="Verdana" w:hAnsi="Verdana" w:cs="宋体"/>
                <w:color w:val="000000"/>
                <w:kern w:val="0"/>
                <w:sz w:val="24"/>
                <w:szCs w:val="24"/>
              </w:rPr>
            </w:pPr>
            <w:r>
              <w:rPr>
                <w:rFonts w:ascii="Verdana" w:hAnsi="Verdana" w:cs="宋体"/>
                <w:color w:val="000000"/>
                <w:kern w:val="0"/>
                <w:sz w:val="24"/>
                <w:szCs w:val="24"/>
              </w:rPr>
              <w:t>1</w:t>
            </w:r>
          </w:p>
        </w:tc>
        <w:tc>
          <w:tcPr>
            <w:tcW w:w="406" w:type="pct"/>
            <w:tcBorders>
              <w:top w:val="nil"/>
              <w:left w:val="nil"/>
              <w:bottom w:val="single" w:color="auto" w:sz="4" w:space="0"/>
              <w:right w:val="single" w:color="auto" w:sz="4" w:space="0"/>
            </w:tcBorders>
            <w:shd w:val="clear" w:color="auto" w:fill="auto"/>
            <w:vAlign w:val="center"/>
          </w:tcPr>
          <w:p w14:paraId="6373B6E9">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台</w:t>
            </w:r>
          </w:p>
        </w:tc>
        <w:tc>
          <w:tcPr>
            <w:tcW w:w="572" w:type="pct"/>
            <w:tcBorders>
              <w:top w:val="nil"/>
              <w:left w:val="nil"/>
              <w:bottom w:val="single" w:color="auto" w:sz="4" w:space="0"/>
              <w:right w:val="single" w:color="auto" w:sz="4" w:space="0"/>
            </w:tcBorders>
            <w:shd w:val="clear" w:color="auto" w:fill="auto"/>
            <w:vAlign w:val="center"/>
          </w:tcPr>
          <w:p w14:paraId="693CFDFB">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21DA3CB2">
        <w:tblPrEx>
          <w:tblCellMar>
            <w:top w:w="0" w:type="dxa"/>
            <w:left w:w="108" w:type="dxa"/>
            <w:bottom w:w="0" w:type="dxa"/>
            <w:right w:w="108" w:type="dxa"/>
          </w:tblCellMar>
        </w:tblPrEx>
        <w:trPr>
          <w:trHeight w:val="330" w:hRule="atLeast"/>
        </w:trPr>
        <w:tc>
          <w:tcPr>
            <w:tcW w:w="5000" w:type="pct"/>
            <w:gridSpan w:val="6"/>
            <w:tcBorders>
              <w:top w:val="nil"/>
              <w:left w:val="single" w:color="auto" w:sz="4" w:space="0"/>
              <w:bottom w:val="single" w:color="auto" w:sz="4" w:space="0"/>
              <w:right w:val="single" w:color="auto" w:sz="4" w:space="0"/>
            </w:tcBorders>
            <w:shd w:val="clear" w:color="auto" w:fill="auto"/>
            <w:vAlign w:val="center"/>
          </w:tcPr>
          <w:p w14:paraId="53C0ADD9">
            <w:pPr>
              <w:widowControl/>
              <w:jc w:val="left"/>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二、闭环泄漏调频四六级听力考试双系统设备清单</w:t>
            </w:r>
          </w:p>
        </w:tc>
      </w:tr>
      <w:tr w14:paraId="7F1F145C">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4C572A7E">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1</w:t>
            </w:r>
          </w:p>
        </w:tc>
        <w:tc>
          <w:tcPr>
            <w:tcW w:w="913" w:type="pct"/>
            <w:tcBorders>
              <w:top w:val="nil"/>
              <w:left w:val="nil"/>
              <w:bottom w:val="single" w:color="auto" w:sz="4" w:space="0"/>
              <w:right w:val="single" w:color="auto" w:sz="4" w:space="0"/>
            </w:tcBorders>
            <w:shd w:val="clear" w:color="auto" w:fill="auto"/>
            <w:vAlign w:val="center"/>
          </w:tcPr>
          <w:p w14:paraId="4705F598">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语音发射机</w:t>
            </w:r>
          </w:p>
        </w:tc>
        <w:tc>
          <w:tcPr>
            <w:tcW w:w="2217" w:type="pct"/>
            <w:tcBorders>
              <w:top w:val="nil"/>
              <w:left w:val="nil"/>
              <w:bottom w:val="single" w:color="auto" w:sz="4" w:space="0"/>
              <w:right w:val="single" w:color="auto" w:sz="4" w:space="0"/>
            </w:tcBorders>
            <w:shd w:val="clear" w:color="auto" w:fill="auto"/>
            <w:vAlign w:val="center"/>
          </w:tcPr>
          <w:p w14:paraId="57B55AEA">
            <w:pPr>
              <w:widowControl/>
              <w:numPr>
                <w:ilvl w:val="0"/>
                <w:numId w:val="1"/>
              </w:numPr>
              <w:jc w:val="left"/>
              <w:rPr>
                <w:rFonts w:ascii="宋体" w:hAnsi="宋体" w:eastAsia="宋体" w:cs="宋体"/>
                <w:kern w:val="0"/>
                <w:sz w:val="20"/>
                <w:szCs w:val="20"/>
                <w:highlight w:val="yellow"/>
              </w:rPr>
            </w:pPr>
            <w:r>
              <w:rPr>
                <w:rFonts w:hint="eastAsia" w:ascii="宋体" w:hAnsi="宋体" w:eastAsia="宋体" w:cs="宋体"/>
                <w:kern w:val="0"/>
                <w:sz w:val="20"/>
                <w:szCs w:val="20"/>
              </w:rPr>
              <w:t>频率：60MHz～128 MHz（可调,定制）</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2.调制度：FM, 75kHz峰值频偏；</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3.RF输出功率：200W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4.最大允许反射功率：0.8W；</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 RF谐波：&lt;-60dBc,；</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6.RF输出阻抗：50 ohm，N型；</w:t>
            </w:r>
            <w:r>
              <w:rPr>
                <w:rFonts w:hint="eastAsia" w:ascii="宋体" w:hAnsi="宋体" w:eastAsia="宋体" w:cs="宋体"/>
                <w:kern w:val="0"/>
                <w:sz w:val="20"/>
                <w:szCs w:val="20"/>
              </w:rPr>
              <w:br w:type="textWrapping"/>
            </w:r>
            <w:r>
              <w:rPr>
                <w:rFonts w:hint="eastAsia" w:ascii="宋体" w:hAnsi="宋体" w:eastAsia="宋体" w:cs="宋体"/>
                <w:kern w:val="0"/>
                <w:sz w:val="20"/>
                <w:szCs w:val="20"/>
                <w:highlight w:val="yellow"/>
              </w:rPr>
              <w:t>7.电台功率可调</w:t>
            </w:r>
            <w:r>
              <w:rPr>
                <w:rFonts w:ascii="宋体" w:hAnsi="宋体" w:eastAsia="宋体" w:cs="宋体"/>
                <w:color w:val="FF0000"/>
                <w:kern w:val="0"/>
                <w:sz w:val="20"/>
                <w:szCs w:val="20"/>
                <w:highlight w:val="cyan"/>
              </w:rPr>
              <w:t>200-240</w:t>
            </w:r>
            <w:r>
              <w:rPr>
                <w:rFonts w:hint="eastAsia" w:ascii="宋体" w:hAnsi="宋体" w:eastAsia="宋体" w:cs="宋体"/>
                <w:color w:val="FF0000"/>
                <w:kern w:val="0"/>
                <w:sz w:val="20"/>
                <w:szCs w:val="20"/>
                <w:highlight w:val="cyan"/>
              </w:rPr>
              <w:t>W</w:t>
            </w:r>
            <w:r>
              <w:rPr>
                <w:rFonts w:hint="eastAsia" w:ascii="宋体" w:hAnsi="宋体" w:eastAsia="宋体" w:cs="宋体"/>
                <w:kern w:val="0"/>
                <w:sz w:val="20"/>
                <w:szCs w:val="20"/>
                <w:highlight w:val="yellow"/>
              </w:rPr>
              <w:t>（保证所有教学楼听音效果一致）。</w:t>
            </w:r>
            <w:r>
              <w:rPr>
                <w:rFonts w:hint="eastAsia" w:ascii="宋体" w:hAnsi="宋体" w:eastAsia="宋体" w:cs="宋体"/>
                <w:kern w:val="0"/>
                <w:sz w:val="20"/>
                <w:szCs w:val="20"/>
                <w:highlight w:val="yellow"/>
              </w:rPr>
              <w:br w:type="textWrapping"/>
            </w:r>
            <w:r>
              <w:rPr>
                <w:rFonts w:hint="eastAsia" w:ascii="宋体" w:hAnsi="宋体" w:eastAsia="宋体" w:cs="宋体"/>
                <w:kern w:val="0"/>
                <w:sz w:val="20"/>
                <w:szCs w:val="20"/>
                <w:highlight w:val="yellow"/>
              </w:rPr>
              <w:t>8.由主控室对所有分控室统一开机、关机及音频信号播放。保证所有楼宇的考场听力考试统一时间播放。</w:t>
            </w:r>
            <w:r>
              <w:rPr>
                <w:rFonts w:hint="eastAsia" w:ascii="宋体" w:hAnsi="宋体" w:eastAsia="宋体" w:cs="宋体"/>
                <w:kern w:val="0"/>
                <w:sz w:val="20"/>
                <w:szCs w:val="20"/>
                <w:highlight w:val="yellow"/>
              </w:rPr>
              <w:br w:type="textWrapping"/>
            </w:r>
            <w:r>
              <w:rPr>
                <w:rFonts w:hint="eastAsia" w:ascii="宋体" w:hAnsi="宋体" w:eastAsia="宋体" w:cs="宋体"/>
                <w:kern w:val="0"/>
                <w:sz w:val="20"/>
                <w:szCs w:val="20"/>
                <w:highlight w:val="yellow"/>
              </w:rPr>
              <w:t>9.主控室及所有分控室的发射设备做到突发故障的情况下自动1秒切换到备用发射机（保障听力考试正常运行）。</w:t>
            </w:r>
            <w:r>
              <w:rPr>
                <w:rFonts w:hint="eastAsia" w:ascii="宋体" w:hAnsi="宋体" w:eastAsia="宋体" w:cs="宋体"/>
                <w:kern w:val="0"/>
                <w:sz w:val="20"/>
                <w:szCs w:val="20"/>
                <w:highlight w:val="yellow"/>
              </w:rPr>
              <w:br w:type="textWrapping"/>
            </w:r>
            <w:r>
              <w:rPr>
                <w:rFonts w:hint="eastAsia" w:ascii="宋体" w:hAnsi="宋体" w:eastAsia="宋体" w:cs="宋体"/>
                <w:kern w:val="0"/>
                <w:sz w:val="20"/>
                <w:szCs w:val="20"/>
                <w:highlight w:val="yellow"/>
              </w:rPr>
              <w:t>10.主控室及所有分控室做到双音频备份，满足放音人员选择任何一路音频播放或所有发射机自动控制播放。</w:t>
            </w:r>
          </w:p>
          <w:p w14:paraId="4AABAF8B">
            <w:pPr>
              <w:widowControl/>
              <w:jc w:val="left"/>
              <w:rPr>
                <w:rFonts w:ascii="宋体" w:hAnsi="宋体" w:eastAsia="宋体" w:cs="宋体"/>
                <w:kern w:val="0"/>
                <w:sz w:val="20"/>
                <w:szCs w:val="20"/>
              </w:rPr>
            </w:pPr>
            <w:r>
              <w:rPr>
                <w:rFonts w:hint="eastAsia" w:ascii="宋体" w:hAnsi="宋体" w:eastAsia="宋体" w:cs="宋体"/>
                <w:color w:val="FF0000"/>
                <w:kern w:val="0"/>
                <w:sz w:val="20"/>
                <w:szCs w:val="20"/>
                <w:highlight w:val="cyan"/>
              </w:rPr>
              <w:t>提供听力考试中突发情况的解决方案，演示视频</w:t>
            </w:r>
            <w:r>
              <w:rPr>
                <w:rFonts w:hint="eastAsia" w:ascii="宋体" w:hAnsi="宋体" w:eastAsia="宋体" w:cs="宋体"/>
                <w:color w:val="FF0000"/>
                <w:kern w:val="0"/>
                <w:sz w:val="20"/>
                <w:szCs w:val="20"/>
                <w:highlight w:val="yellow"/>
              </w:rPr>
              <w:t xml:space="preserve"> </w:t>
            </w:r>
            <w:r>
              <w:rPr>
                <w:rFonts w:hint="eastAsia" w:ascii="宋体" w:hAnsi="宋体" w:eastAsia="宋体" w:cs="宋体"/>
                <w:kern w:val="0"/>
                <w:sz w:val="20"/>
                <w:szCs w:val="20"/>
                <w:highlight w:val="yellow"/>
              </w:rPr>
              <w:t xml:space="preserve">                                                </w:t>
            </w:r>
          </w:p>
        </w:tc>
        <w:tc>
          <w:tcPr>
            <w:tcW w:w="469" w:type="pct"/>
            <w:tcBorders>
              <w:top w:val="nil"/>
              <w:left w:val="nil"/>
              <w:bottom w:val="single" w:color="auto" w:sz="4" w:space="0"/>
              <w:right w:val="single" w:color="auto" w:sz="4" w:space="0"/>
            </w:tcBorders>
            <w:shd w:val="clear" w:color="auto" w:fill="auto"/>
            <w:vAlign w:val="center"/>
          </w:tcPr>
          <w:p w14:paraId="377A53D8">
            <w:pPr>
              <w:widowControl/>
              <w:jc w:val="center"/>
              <w:rPr>
                <w:rFonts w:ascii="Verdana" w:hAnsi="Verdana" w:cs="宋体"/>
                <w:color w:val="000000"/>
                <w:kern w:val="0"/>
                <w:sz w:val="24"/>
                <w:szCs w:val="24"/>
              </w:rPr>
            </w:pPr>
            <w:r>
              <w:rPr>
                <w:rFonts w:ascii="Verdana" w:hAnsi="Verdana" w:cs="宋体"/>
                <w:color w:val="000000"/>
                <w:kern w:val="0"/>
                <w:sz w:val="24"/>
                <w:szCs w:val="24"/>
              </w:rPr>
              <w:t>2</w:t>
            </w:r>
          </w:p>
        </w:tc>
        <w:tc>
          <w:tcPr>
            <w:tcW w:w="406" w:type="pct"/>
            <w:tcBorders>
              <w:top w:val="nil"/>
              <w:left w:val="nil"/>
              <w:bottom w:val="single" w:color="auto" w:sz="4" w:space="0"/>
              <w:right w:val="single" w:color="auto" w:sz="4" w:space="0"/>
            </w:tcBorders>
            <w:shd w:val="clear" w:color="auto" w:fill="auto"/>
            <w:vAlign w:val="center"/>
          </w:tcPr>
          <w:p w14:paraId="6AEF51F8">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台</w:t>
            </w:r>
          </w:p>
        </w:tc>
        <w:tc>
          <w:tcPr>
            <w:tcW w:w="572" w:type="pct"/>
            <w:tcBorders>
              <w:top w:val="nil"/>
              <w:left w:val="nil"/>
              <w:bottom w:val="single" w:color="auto" w:sz="4" w:space="0"/>
              <w:right w:val="single" w:color="auto" w:sz="4" w:space="0"/>
            </w:tcBorders>
            <w:shd w:val="clear" w:color="auto" w:fill="auto"/>
            <w:vAlign w:val="center"/>
          </w:tcPr>
          <w:p w14:paraId="7A288263">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04E29CB1">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665D0C20">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2</w:t>
            </w:r>
          </w:p>
        </w:tc>
        <w:tc>
          <w:tcPr>
            <w:tcW w:w="913" w:type="pct"/>
            <w:tcBorders>
              <w:top w:val="nil"/>
              <w:left w:val="nil"/>
              <w:bottom w:val="single" w:color="auto" w:sz="4" w:space="0"/>
              <w:right w:val="single" w:color="auto" w:sz="4" w:space="0"/>
            </w:tcBorders>
            <w:shd w:val="clear" w:color="auto" w:fill="auto"/>
            <w:vAlign w:val="center"/>
          </w:tcPr>
          <w:p w14:paraId="1AA70776">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智能播放控制器</w:t>
            </w:r>
          </w:p>
        </w:tc>
        <w:tc>
          <w:tcPr>
            <w:tcW w:w="2217" w:type="pct"/>
            <w:tcBorders>
              <w:top w:val="nil"/>
              <w:left w:val="nil"/>
              <w:bottom w:val="single" w:color="auto" w:sz="4" w:space="0"/>
              <w:right w:val="single" w:color="auto" w:sz="4" w:space="0"/>
            </w:tcBorders>
            <w:shd w:val="clear" w:color="auto" w:fill="auto"/>
            <w:vAlign w:val="center"/>
          </w:tcPr>
          <w:p w14:paraId="14D5F98F">
            <w:pPr>
              <w:widowControl/>
              <w:jc w:val="left"/>
              <w:rPr>
                <w:rFonts w:ascii="宋体" w:hAnsi="宋体" w:eastAsia="宋体" w:cs="宋体"/>
                <w:kern w:val="0"/>
                <w:sz w:val="20"/>
                <w:szCs w:val="20"/>
              </w:rPr>
            </w:pPr>
            <w:r>
              <w:rPr>
                <w:rFonts w:hint="eastAsia" w:ascii="宋体" w:hAnsi="宋体" w:eastAsia="宋体" w:cs="宋体"/>
                <w:kern w:val="0"/>
                <w:sz w:val="20"/>
                <w:szCs w:val="20"/>
              </w:rPr>
              <w:t>1.通道数：3通道,4接口</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2.通道响应时间: ＜20毫秒</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3.通道负载能力：每一端口：＞10A/220V</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4.控制方式：BUS</w:t>
            </w:r>
          </w:p>
        </w:tc>
        <w:tc>
          <w:tcPr>
            <w:tcW w:w="469" w:type="pct"/>
            <w:tcBorders>
              <w:top w:val="nil"/>
              <w:left w:val="nil"/>
              <w:bottom w:val="single" w:color="auto" w:sz="4" w:space="0"/>
              <w:right w:val="single" w:color="auto" w:sz="4" w:space="0"/>
            </w:tcBorders>
            <w:shd w:val="clear" w:color="auto" w:fill="auto"/>
            <w:vAlign w:val="center"/>
          </w:tcPr>
          <w:p w14:paraId="6FD3A58F">
            <w:pPr>
              <w:widowControl/>
              <w:jc w:val="center"/>
              <w:rPr>
                <w:rFonts w:ascii="Verdana" w:hAnsi="Verdana" w:cs="宋体"/>
                <w:color w:val="000000"/>
                <w:kern w:val="0"/>
                <w:sz w:val="24"/>
                <w:szCs w:val="24"/>
              </w:rPr>
            </w:pPr>
            <w:r>
              <w:rPr>
                <w:rFonts w:ascii="Verdana" w:hAnsi="Verdana" w:cs="宋体"/>
                <w:color w:val="000000"/>
                <w:kern w:val="0"/>
                <w:sz w:val="24"/>
                <w:szCs w:val="24"/>
              </w:rPr>
              <w:t>1</w:t>
            </w:r>
          </w:p>
        </w:tc>
        <w:tc>
          <w:tcPr>
            <w:tcW w:w="406" w:type="pct"/>
            <w:tcBorders>
              <w:top w:val="nil"/>
              <w:left w:val="nil"/>
              <w:bottom w:val="single" w:color="auto" w:sz="4" w:space="0"/>
              <w:right w:val="single" w:color="auto" w:sz="4" w:space="0"/>
            </w:tcBorders>
            <w:shd w:val="clear" w:color="auto" w:fill="auto"/>
            <w:vAlign w:val="center"/>
          </w:tcPr>
          <w:p w14:paraId="25834B26">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台</w:t>
            </w:r>
          </w:p>
        </w:tc>
        <w:tc>
          <w:tcPr>
            <w:tcW w:w="572" w:type="pct"/>
            <w:tcBorders>
              <w:top w:val="nil"/>
              <w:left w:val="nil"/>
              <w:bottom w:val="single" w:color="auto" w:sz="4" w:space="0"/>
              <w:right w:val="single" w:color="auto" w:sz="4" w:space="0"/>
            </w:tcBorders>
            <w:shd w:val="clear" w:color="auto" w:fill="auto"/>
            <w:vAlign w:val="center"/>
          </w:tcPr>
          <w:p w14:paraId="38E6AF5F">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3C71AFC9">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04A1E93A">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3</w:t>
            </w:r>
          </w:p>
        </w:tc>
        <w:tc>
          <w:tcPr>
            <w:tcW w:w="913" w:type="pct"/>
            <w:tcBorders>
              <w:top w:val="nil"/>
              <w:left w:val="nil"/>
              <w:bottom w:val="single" w:color="auto" w:sz="4" w:space="0"/>
              <w:right w:val="single" w:color="auto" w:sz="4" w:space="0"/>
            </w:tcBorders>
            <w:shd w:val="clear" w:color="auto" w:fill="auto"/>
            <w:vAlign w:val="center"/>
          </w:tcPr>
          <w:p w14:paraId="527D0F04">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功率分配器</w:t>
            </w:r>
          </w:p>
        </w:tc>
        <w:tc>
          <w:tcPr>
            <w:tcW w:w="2217" w:type="pct"/>
            <w:tcBorders>
              <w:top w:val="nil"/>
              <w:left w:val="nil"/>
              <w:bottom w:val="single" w:color="auto" w:sz="4" w:space="0"/>
              <w:right w:val="single" w:color="auto" w:sz="4" w:space="0"/>
            </w:tcBorders>
            <w:shd w:val="clear" w:color="auto" w:fill="auto"/>
            <w:vAlign w:val="center"/>
          </w:tcPr>
          <w:p w14:paraId="22B5E818">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1.频率范围：70-80MHz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2.功率：≥1000W</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3.相位：0度</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4.驻波比：小于1.1</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5.接口：主端口SL16-F(M座） 分端口：SK16-J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6.带宽：10MHz</w:t>
            </w:r>
          </w:p>
        </w:tc>
        <w:tc>
          <w:tcPr>
            <w:tcW w:w="469" w:type="pct"/>
            <w:tcBorders>
              <w:top w:val="nil"/>
              <w:left w:val="nil"/>
              <w:bottom w:val="single" w:color="auto" w:sz="4" w:space="0"/>
              <w:right w:val="single" w:color="auto" w:sz="4" w:space="0"/>
            </w:tcBorders>
            <w:shd w:val="clear" w:color="auto" w:fill="auto"/>
            <w:vAlign w:val="center"/>
          </w:tcPr>
          <w:p w14:paraId="379599D1">
            <w:pPr>
              <w:widowControl/>
              <w:jc w:val="center"/>
              <w:rPr>
                <w:rFonts w:ascii="Verdana" w:hAnsi="Verdana" w:cs="宋体"/>
                <w:color w:val="000000"/>
                <w:kern w:val="0"/>
                <w:sz w:val="24"/>
                <w:szCs w:val="24"/>
              </w:rPr>
            </w:pPr>
            <w:r>
              <w:rPr>
                <w:rFonts w:ascii="Verdana" w:hAnsi="Verdana" w:cs="宋体"/>
                <w:color w:val="000000"/>
                <w:kern w:val="0"/>
                <w:sz w:val="24"/>
                <w:szCs w:val="24"/>
              </w:rPr>
              <w:t>1</w:t>
            </w:r>
          </w:p>
        </w:tc>
        <w:tc>
          <w:tcPr>
            <w:tcW w:w="406" w:type="pct"/>
            <w:tcBorders>
              <w:top w:val="nil"/>
              <w:left w:val="nil"/>
              <w:bottom w:val="single" w:color="auto" w:sz="4" w:space="0"/>
              <w:right w:val="single" w:color="auto" w:sz="4" w:space="0"/>
            </w:tcBorders>
            <w:shd w:val="clear" w:color="auto" w:fill="auto"/>
            <w:vAlign w:val="center"/>
          </w:tcPr>
          <w:p w14:paraId="013AAA24">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台</w:t>
            </w:r>
          </w:p>
        </w:tc>
        <w:tc>
          <w:tcPr>
            <w:tcW w:w="572" w:type="pct"/>
            <w:tcBorders>
              <w:top w:val="nil"/>
              <w:left w:val="nil"/>
              <w:bottom w:val="single" w:color="auto" w:sz="4" w:space="0"/>
              <w:right w:val="single" w:color="auto" w:sz="4" w:space="0"/>
            </w:tcBorders>
            <w:shd w:val="clear" w:color="auto" w:fill="auto"/>
            <w:vAlign w:val="center"/>
          </w:tcPr>
          <w:p w14:paraId="429DD7EE">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5598F6F5">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70718DA7">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4</w:t>
            </w:r>
          </w:p>
        </w:tc>
        <w:tc>
          <w:tcPr>
            <w:tcW w:w="913" w:type="pct"/>
            <w:tcBorders>
              <w:top w:val="nil"/>
              <w:left w:val="nil"/>
              <w:bottom w:val="single" w:color="auto" w:sz="4" w:space="0"/>
              <w:right w:val="single" w:color="auto" w:sz="4" w:space="0"/>
            </w:tcBorders>
            <w:shd w:val="clear" w:color="auto" w:fill="auto"/>
            <w:vAlign w:val="center"/>
          </w:tcPr>
          <w:p w14:paraId="4F54457D">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功率合路器</w:t>
            </w:r>
          </w:p>
        </w:tc>
        <w:tc>
          <w:tcPr>
            <w:tcW w:w="2217" w:type="pct"/>
            <w:tcBorders>
              <w:top w:val="nil"/>
              <w:left w:val="nil"/>
              <w:bottom w:val="single" w:color="auto" w:sz="4" w:space="0"/>
              <w:right w:val="single" w:color="auto" w:sz="4" w:space="0"/>
            </w:tcBorders>
            <w:shd w:val="clear" w:color="auto" w:fill="auto"/>
            <w:vAlign w:val="center"/>
          </w:tcPr>
          <w:p w14:paraId="6EFAB622">
            <w:pPr>
              <w:widowControl/>
              <w:jc w:val="left"/>
              <w:rPr>
                <w:rFonts w:ascii="宋体" w:hAnsi="宋体" w:eastAsia="宋体" w:cs="宋体"/>
                <w:kern w:val="0"/>
                <w:sz w:val="20"/>
                <w:szCs w:val="20"/>
              </w:rPr>
            </w:pPr>
            <w:r>
              <w:rPr>
                <w:rFonts w:hint="eastAsia" w:ascii="宋体" w:hAnsi="宋体" w:eastAsia="宋体" w:cs="宋体"/>
                <w:kern w:val="0"/>
                <w:sz w:val="20"/>
                <w:szCs w:val="20"/>
              </w:rPr>
              <w:t xml:space="preserve">1.频率范围：70-80MHz </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2.功率：≥1000W</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3.相位：0度</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4.驻波比：小于1.1</w:t>
            </w:r>
            <w:r>
              <w:rPr>
                <w:rFonts w:hint="eastAsia" w:ascii="宋体" w:hAnsi="宋体" w:eastAsia="宋体" w:cs="宋体"/>
                <w:kern w:val="0"/>
                <w:sz w:val="20"/>
                <w:szCs w:val="20"/>
              </w:rPr>
              <w:br w:type="textWrapping"/>
            </w:r>
            <w:r>
              <w:rPr>
                <w:rFonts w:hint="eastAsia" w:ascii="宋体" w:hAnsi="宋体" w:eastAsia="宋体" w:cs="宋体"/>
                <w:kern w:val="0"/>
                <w:sz w:val="20"/>
                <w:szCs w:val="20"/>
              </w:rPr>
              <w:t xml:space="preserve">5.接口：主端口SL16-F(M座） 分端口：SK16-J </w:t>
            </w:r>
          </w:p>
        </w:tc>
        <w:tc>
          <w:tcPr>
            <w:tcW w:w="469" w:type="pct"/>
            <w:tcBorders>
              <w:top w:val="nil"/>
              <w:left w:val="nil"/>
              <w:bottom w:val="single" w:color="auto" w:sz="4" w:space="0"/>
              <w:right w:val="single" w:color="auto" w:sz="4" w:space="0"/>
            </w:tcBorders>
            <w:shd w:val="clear" w:color="auto" w:fill="auto"/>
            <w:vAlign w:val="center"/>
          </w:tcPr>
          <w:p w14:paraId="232A1B82">
            <w:pPr>
              <w:widowControl/>
              <w:jc w:val="center"/>
              <w:rPr>
                <w:rFonts w:ascii="Verdana" w:hAnsi="Verdana" w:cs="宋体"/>
                <w:color w:val="000000"/>
                <w:kern w:val="0"/>
                <w:sz w:val="24"/>
                <w:szCs w:val="24"/>
              </w:rPr>
            </w:pPr>
            <w:r>
              <w:rPr>
                <w:rFonts w:ascii="Verdana" w:hAnsi="Verdana" w:cs="宋体"/>
                <w:color w:val="000000"/>
                <w:kern w:val="0"/>
                <w:sz w:val="24"/>
                <w:szCs w:val="24"/>
              </w:rPr>
              <w:t>1</w:t>
            </w:r>
          </w:p>
        </w:tc>
        <w:tc>
          <w:tcPr>
            <w:tcW w:w="406" w:type="pct"/>
            <w:tcBorders>
              <w:top w:val="nil"/>
              <w:left w:val="nil"/>
              <w:bottom w:val="single" w:color="auto" w:sz="4" w:space="0"/>
              <w:right w:val="single" w:color="auto" w:sz="4" w:space="0"/>
            </w:tcBorders>
            <w:shd w:val="clear" w:color="auto" w:fill="auto"/>
            <w:vAlign w:val="center"/>
          </w:tcPr>
          <w:p w14:paraId="216E0619">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台</w:t>
            </w:r>
          </w:p>
        </w:tc>
        <w:tc>
          <w:tcPr>
            <w:tcW w:w="572" w:type="pct"/>
            <w:tcBorders>
              <w:top w:val="nil"/>
              <w:left w:val="nil"/>
              <w:bottom w:val="single" w:color="auto" w:sz="4" w:space="0"/>
              <w:right w:val="single" w:color="auto" w:sz="4" w:space="0"/>
            </w:tcBorders>
            <w:shd w:val="clear" w:color="auto" w:fill="auto"/>
            <w:vAlign w:val="center"/>
          </w:tcPr>
          <w:p w14:paraId="14ECA595">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7FCC873E">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6846E6D3">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5</w:t>
            </w:r>
          </w:p>
        </w:tc>
        <w:tc>
          <w:tcPr>
            <w:tcW w:w="913" w:type="pct"/>
            <w:tcBorders>
              <w:top w:val="nil"/>
              <w:left w:val="nil"/>
              <w:bottom w:val="single" w:color="auto" w:sz="4" w:space="0"/>
              <w:right w:val="single" w:color="auto" w:sz="4" w:space="0"/>
            </w:tcBorders>
            <w:shd w:val="clear" w:color="auto" w:fill="auto"/>
            <w:vAlign w:val="center"/>
          </w:tcPr>
          <w:p w14:paraId="031213FC">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泄漏电缆</w:t>
            </w:r>
          </w:p>
        </w:tc>
        <w:tc>
          <w:tcPr>
            <w:tcW w:w="2217" w:type="pct"/>
            <w:tcBorders>
              <w:top w:val="nil"/>
              <w:left w:val="nil"/>
              <w:bottom w:val="single" w:color="auto" w:sz="4" w:space="0"/>
              <w:right w:val="single" w:color="auto" w:sz="4" w:space="0"/>
            </w:tcBorders>
            <w:shd w:val="clear" w:color="auto" w:fill="auto"/>
            <w:vAlign w:val="center"/>
          </w:tcPr>
          <w:p w14:paraId="67954A2A">
            <w:pPr>
              <w:widowControl/>
              <w:jc w:val="left"/>
              <w:rPr>
                <w:rFonts w:ascii="宋体" w:hAnsi="宋体" w:eastAsia="宋体" w:cs="宋体"/>
                <w:kern w:val="0"/>
                <w:sz w:val="20"/>
                <w:szCs w:val="20"/>
              </w:rPr>
            </w:pPr>
            <w:r>
              <w:rPr>
                <w:rFonts w:hint="eastAsia" w:ascii="宋体" w:hAnsi="宋体" w:eastAsia="宋体" w:cs="宋体"/>
                <w:kern w:val="0"/>
                <w:sz w:val="20"/>
                <w:szCs w:val="20"/>
              </w:rPr>
              <w:t>1.泄漏电缆材质为铜包铝。是以铜包铝芯线代替铜成为线缆主体，外面包一定比例的铜层的电线电缆；</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2.内导体外径≤3.5mm；</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3.外导体外径≤10.3mm；</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4.20"C直流电阻≤2.85 Ω/km；</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5.20C绝缘电阻≥1000 MΩ/km；</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6.绝缘介电强度 ：1500；</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7.特性阻抗：50Ω；</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8.电压驻波比≤1.5；</w:t>
            </w:r>
          </w:p>
        </w:tc>
        <w:tc>
          <w:tcPr>
            <w:tcW w:w="469" w:type="pct"/>
            <w:tcBorders>
              <w:top w:val="nil"/>
              <w:left w:val="nil"/>
              <w:bottom w:val="single" w:color="auto" w:sz="4" w:space="0"/>
              <w:right w:val="single" w:color="auto" w:sz="4" w:space="0"/>
            </w:tcBorders>
            <w:shd w:val="clear" w:color="auto" w:fill="auto"/>
            <w:vAlign w:val="center"/>
          </w:tcPr>
          <w:p w14:paraId="654B2020">
            <w:pPr>
              <w:widowControl/>
              <w:jc w:val="center"/>
              <w:rPr>
                <w:rFonts w:ascii="Verdana" w:hAnsi="Verdana" w:cs="宋体"/>
                <w:color w:val="000000"/>
                <w:kern w:val="0"/>
                <w:sz w:val="24"/>
                <w:szCs w:val="24"/>
              </w:rPr>
            </w:pPr>
            <w:r>
              <w:rPr>
                <w:rFonts w:ascii="Verdana" w:hAnsi="Verdana" w:cs="宋体"/>
                <w:color w:val="000000"/>
                <w:kern w:val="0"/>
                <w:sz w:val="24"/>
                <w:szCs w:val="24"/>
              </w:rPr>
              <w:t>1380</w:t>
            </w:r>
          </w:p>
        </w:tc>
        <w:tc>
          <w:tcPr>
            <w:tcW w:w="406" w:type="pct"/>
            <w:tcBorders>
              <w:top w:val="nil"/>
              <w:left w:val="nil"/>
              <w:bottom w:val="single" w:color="auto" w:sz="4" w:space="0"/>
              <w:right w:val="single" w:color="auto" w:sz="4" w:space="0"/>
            </w:tcBorders>
            <w:shd w:val="clear" w:color="auto" w:fill="auto"/>
            <w:vAlign w:val="center"/>
          </w:tcPr>
          <w:p w14:paraId="0E1C4791">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米</w:t>
            </w:r>
          </w:p>
        </w:tc>
        <w:tc>
          <w:tcPr>
            <w:tcW w:w="572" w:type="pct"/>
            <w:tcBorders>
              <w:top w:val="nil"/>
              <w:left w:val="nil"/>
              <w:bottom w:val="single" w:color="auto" w:sz="4" w:space="0"/>
              <w:right w:val="single" w:color="auto" w:sz="4" w:space="0"/>
            </w:tcBorders>
            <w:shd w:val="clear" w:color="auto" w:fill="auto"/>
            <w:vAlign w:val="center"/>
          </w:tcPr>
          <w:p w14:paraId="6DF23447">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0D53B20C">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646D54AD">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6</w:t>
            </w:r>
          </w:p>
        </w:tc>
        <w:tc>
          <w:tcPr>
            <w:tcW w:w="913" w:type="pct"/>
            <w:tcBorders>
              <w:top w:val="nil"/>
              <w:left w:val="nil"/>
              <w:bottom w:val="single" w:color="auto" w:sz="4" w:space="0"/>
              <w:right w:val="single" w:color="auto" w:sz="4" w:space="0"/>
            </w:tcBorders>
            <w:shd w:val="clear" w:color="auto" w:fill="auto"/>
            <w:vAlign w:val="center"/>
          </w:tcPr>
          <w:p w14:paraId="51565420">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屏蔽电缆</w:t>
            </w:r>
          </w:p>
        </w:tc>
        <w:tc>
          <w:tcPr>
            <w:tcW w:w="2217" w:type="pct"/>
            <w:tcBorders>
              <w:top w:val="nil"/>
              <w:left w:val="nil"/>
              <w:bottom w:val="single" w:color="auto" w:sz="4" w:space="0"/>
              <w:right w:val="single" w:color="auto" w:sz="4" w:space="0"/>
            </w:tcBorders>
            <w:shd w:val="clear" w:color="auto" w:fill="auto"/>
            <w:vAlign w:val="center"/>
          </w:tcPr>
          <w:p w14:paraId="77E64350">
            <w:pPr>
              <w:widowControl/>
              <w:jc w:val="left"/>
              <w:rPr>
                <w:rFonts w:ascii="宋体" w:hAnsi="宋体" w:eastAsia="宋体" w:cs="宋体"/>
                <w:kern w:val="0"/>
                <w:sz w:val="20"/>
                <w:szCs w:val="20"/>
              </w:rPr>
            </w:pPr>
            <w:r>
              <w:rPr>
                <w:rFonts w:hint="eastAsia" w:ascii="宋体" w:hAnsi="宋体" w:eastAsia="宋体" w:cs="宋体"/>
                <w:kern w:val="0"/>
                <w:sz w:val="20"/>
                <w:szCs w:val="20"/>
              </w:rPr>
              <w:t>1.电容（Capacitance）：pF/m79±3；</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2.阻抗（Impedance）：Ω50±2；</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3.速率（Velocity ratio）：≥87%；</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4.弯曲半径（Bent radius）：≥50mm；</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5.最大工作电压（Max voltage）：≥1500VMS；</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6.最大工作频率（Max Frequency）：≥3000MHz；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7.温度范围（Temperature scope）：-20~+80℃；</w:t>
            </w:r>
            <w:r>
              <w:rPr>
                <w:rFonts w:hint="eastAsia" w:ascii="宋体" w:hAnsi="宋体" w:eastAsia="宋体" w:cs="宋体"/>
                <w:kern w:val="0"/>
                <w:sz w:val="20"/>
                <w:szCs w:val="20"/>
              </w:rPr>
              <w:br w:type="textWrapping"/>
            </w:r>
            <w:r>
              <w:rPr>
                <w:rFonts w:hint="eastAsia" w:ascii="宋体" w:hAnsi="宋体" w:eastAsia="宋体" w:cs="宋体"/>
                <w:kern w:val="0"/>
                <w:sz w:val="20"/>
                <w:szCs w:val="20"/>
              </w:rPr>
              <w:t>8.衰减计算值：(25 ℃ SWR=1.0)，实测值允许15%的偏差。</w:t>
            </w:r>
          </w:p>
        </w:tc>
        <w:tc>
          <w:tcPr>
            <w:tcW w:w="469" w:type="pct"/>
            <w:tcBorders>
              <w:top w:val="nil"/>
              <w:left w:val="nil"/>
              <w:bottom w:val="single" w:color="auto" w:sz="4" w:space="0"/>
              <w:right w:val="single" w:color="auto" w:sz="4" w:space="0"/>
            </w:tcBorders>
            <w:shd w:val="clear" w:color="auto" w:fill="auto"/>
            <w:vAlign w:val="center"/>
          </w:tcPr>
          <w:p w14:paraId="57B13F49">
            <w:pPr>
              <w:widowControl/>
              <w:jc w:val="center"/>
              <w:rPr>
                <w:rFonts w:ascii="Verdana" w:hAnsi="Verdana" w:cs="宋体"/>
                <w:color w:val="000000"/>
                <w:kern w:val="0"/>
                <w:sz w:val="24"/>
                <w:szCs w:val="24"/>
              </w:rPr>
            </w:pPr>
            <w:r>
              <w:rPr>
                <w:rFonts w:ascii="Verdana" w:hAnsi="Verdana" w:cs="宋体"/>
                <w:color w:val="000000"/>
                <w:kern w:val="0"/>
                <w:sz w:val="24"/>
                <w:szCs w:val="24"/>
              </w:rPr>
              <w:t>700</w:t>
            </w:r>
          </w:p>
        </w:tc>
        <w:tc>
          <w:tcPr>
            <w:tcW w:w="406" w:type="pct"/>
            <w:tcBorders>
              <w:top w:val="nil"/>
              <w:left w:val="nil"/>
              <w:bottom w:val="single" w:color="auto" w:sz="4" w:space="0"/>
              <w:right w:val="single" w:color="auto" w:sz="4" w:space="0"/>
            </w:tcBorders>
            <w:shd w:val="clear" w:color="auto" w:fill="auto"/>
            <w:vAlign w:val="center"/>
          </w:tcPr>
          <w:p w14:paraId="45D5AAA9">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米</w:t>
            </w:r>
          </w:p>
        </w:tc>
        <w:tc>
          <w:tcPr>
            <w:tcW w:w="572" w:type="pct"/>
            <w:tcBorders>
              <w:top w:val="nil"/>
              <w:left w:val="nil"/>
              <w:bottom w:val="single" w:color="auto" w:sz="4" w:space="0"/>
              <w:right w:val="single" w:color="auto" w:sz="4" w:space="0"/>
            </w:tcBorders>
            <w:shd w:val="clear" w:color="auto" w:fill="auto"/>
            <w:vAlign w:val="center"/>
          </w:tcPr>
          <w:p w14:paraId="3100F8C0">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5075DD7C">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22E59A43">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9</w:t>
            </w:r>
          </w:p>
        </w:tc>
        <w:tc>
          <w:tcPr>
            <w:tcW w:w="913" w:type="pct"/>
            <w:tcBorders>
              <w:top w:val="nil"/>
              <w:left w:val="nil"/>
              <w:bottom w:val="single" w:color="auto" w:sz="4" w:space="0"/>
              <w:right w:val="single" w:color="auto" w:sz="4" w:space="0"/>
            </w:tcBorders>
            <w:shd w:val="clear" w:color="auto" w:fill="auto"/>
            <w:vAlign w:val="center"/>
          </w:tcPr>
          <w:p w14:paraId="5D5BC4A5">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音频主机</w:t>
            </w:r>
          </w:p>
        </w:tc>
        <w:tc>
          <w:tcPr>
            <w:tcW w:w="2217" w:type="pct"/>
            <w:tcBorders>
              <w:top w:val="nil"/>
              <w:left w:val="nil"/>
              <w:bottom w:val="single" w:color="auto" w:sz="4" w:space="0"/>
              <w:right w:val="single" w:color="auto" w:sz="4" w:space="0"/>
            </w:tcBorders>
            <w:shd w:val="clear" w:color="auto" w:fill="auto"/>
            <w:vAlign w:val="center"/>
          </w:tcPr>
          <w:p w14:paraId="2493D2A6">
            <w:pPr>
              <w:widowControl/>
              <w:jc w:val="left"/>
              <w:rPr>
                <w:rFonts w:ascii="宋体" w:hAnsi="宋体" w:eastAsia="宋体" w:cs="宋体"/>
                <w:kern w:val="0"/>
                <w:sz w:val="20"/>
                <w:szCs w:val="20"/>
              </w:rPr>
            </w:pPr>
            <w:r>
              <w:rPr>
                <w:rFonts w:hint="eastAsia" w:ascii="宋体" w:hAnsi="宋体" w:eastAsia="宋体" w:cs="宋体"/>
                <w:kern w:val="0"/>
                <w:sz w:val="20"/>
                <w:szCs w:val="20"/>
              </w:rPr>
              <w:t>带WIFI 23英寸套机 标配丨R5-5600 8GB 1TB 集显,带光驱。</w:t>
            </w:r>
          </w:p>
        </w:tc>
        <w:tc>
          <w:tcPr>
            <w:tcW w:w="469" w:type="pct"/>
            <w:tcBorders>
              <w:top w:val="nil"/>
              <w:left w:val="nil"/>
              <w:bottom w:val="single" w:color="auto" w:sz="4" w:space="0"/>
              <w:right w:val="single" w:color="auto" w:sz="4" w:space="0"/>
            </w:tcBorders>
            <w:shd w:val="clear" w:color="auto" w:fill="auto"/>
            <w:vAlign w:val="center"/>
          </w:tcPr>
          <w:p w14:paraId="5604E293">
            <w:pPr>
              <w:widowControl/>
              <w:jc w:val="center"/>
              <w:rPr>
                <w:rFonts w:ascii="Verdana" w:hAnsi="Verdana" w:cs="宋体"/>
                <w:color w:val="000000"/>
                <w:kern w:val="0"/>
                <w:sz w:val="24"/>
                <w:szCs w:val="24"/>
              </w:rPr>
            </w:pPr>
            <w:r>
              <w:rPr>
                <w:rFonts w:ascii="Verdana" w:hAnsi="Verdana" w:cs="宋体"/>
                <w:color w:val="000000"/>
                <w:kern w:val="0"/>
                <w:sz w:val="24"/>
                <w:szCs w:val="24"/>
              </w:rPr>
              <w:t>1</w:t>
            </w:r>
          </w:p>
        </w:tc>
        <w:tc>
          <w:tcPr>
            <w:tcW w:w="406" w:type="pct"/>
            <w:tcBorders>
              <w:top w:val="nil"/>
              <w:left w:val="nil"/>
              <w:bottom w:val="single" w:color="auto" w:sz="4" w:space="0"/>
              <w:right w:val="single" w:color="auto" w:sz="4" w:space="0"/>
            </w:tcBorders>
            <w:shd w:val="clear" w:color="auto" w:fill="auto"/>
            <w:vAlign w:val="center"/>
          </w:tcPr>
          <w:p w14:paraId="14750B0E">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台</w:t>
            </w:r>
          </w:p>
        </w:tc>
        <w:tc>
          <w:tcPr>
            <w:tcW w:w="572" w:type="pct"/>
            <w:tcBorders>
              <w:top w:val="nil"/>
              <w:left w:val="nil"/>
              <w:bottom w:val="single" w:color="auto" w:sz="4" w:space="0"/>
              <w:right w:val="single" w:color="auto" w:sz="4" w:space="0"/>
            </w:tcBorders>
            <w:shd w:val="clear" w:color="auto" w:fill="auto"/>
            <w:vAlign w:val="center"/>
          </w:tcPr>
          <w:p w14:paraId="6935CFE8">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36BD5A43">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54BEAE98">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10</w:t>
            </w:r>
          </w:p>
        </w:tc>
        <w:tc>
          <w:tcPr>
            <w:tcW w:w="913" w:type="pct"/>
            <w:tcBorders>
              <w:top w:val="nil"/>
              <w:left w:val="nil"/>
              <w:bottom w:val="single" w:color="auto" w:sz="4" w:space="0"/>
              <w:right w:val="single" w:color="auto" w:sz="4" w:space="0"/>
            </w:tcBorders>
            <w:shd w:val="clear" w:color="auto" w:fill="auto"/>
            <w:vAlign w:val="center"/>
          </w:tcPr>
          <w:p w14:paraId="323CE12D">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泄漏电缆连接头</w:t>
            </w:r>
          </w:p>
        </w:tc>
        <w:tc>
          <w:tcPr>
            <w:tcW w:w="2217" w:type="pct"/>
            <w:tcBorders>
              <w:top w:val="nil"/>
              <w:left w:val="nil"/>
              <w:bottom w:val="single" w:color="auto" w:sz="4" w:space="0"/>
              <w:right w:val="single" w:color="auto" w:sz="4" w:space="0"/>
            </w:tcBorders>
            <w:shd w:val="clear" w:color="auto" w:fill="auto"/>
            <w:vAlign w:val="center"/>
          </w:tcPr>
          <w:p w14:paraId="64973AA9">
            <w:pPr>
              <w:widowControl/>
              <w:jc w:val="left"/>
              <w:rPr>
                <w:rFonts w:ascii="宋体" w:hAnsi="宋体" w:eastAsia="宋体" w:cs="宋体"/>
                <w:kern w:val="0"/>
                <w:sz w:val="20"/>
                <w:szCs w:val="20"/>
              </w:rPr>
            </w:pPr>
            <w:r>
              <w:rPr>
                <w:rFonts w:hint="eastAsia" w:ascii="宋体" w:hAnsi="宋体" w:eastAsia="宋体" w:cs="宋体"/>
                <w:kern w:val="0"/>
                <w:sz w:val="20"/>
                <w:szCs w:val="20"/>
              </w:rPr>
              <w:t>泄漏电缆连接头：频率范围：0-300MHz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工作电压≥750V</w:t>
            </w:r>
            <w:r>
              <w:rPr>
                <w:rFonts w:hint="eastAsia" w:ascii="宋体" w:hAnsi="宋体" w:eastAsia="宋体" w:cs="宋体"/>
                <w:kern w:val="0"/>
                <w:sz w:val="20"/>
                <w:szCs w:val="20"/>
              </w:rPr>
              <w:br w:type="textWrapping"/>
            </w:r>
            <w:r>
              <w:rPr>
                <w:rFonts w:hint="eastAsia" w:ascii="宋体" w:hAnsi="宋体" w:eastAsia="宋体" w:cs="宋体"/>
                <w:kern w:val="0"/>
                <w:sz w:val="20"/>
                <w:szCs w:val="20"/>
              </w:rPr>
              <w:t>接触电阻≤5MΩ</w:t>
            </w:r>
          </w:p>
        </w:tc>
        <w:tc>
          <w:tcPr>
            <w:tcW w:w="469" w:type="pct"/>
            <w:tcBorders>
              <w:top w:val="nil"/>
              <w:left w:val="nil"/>
              <w:bottom w:val="single" w:color="auto" w:sz="4" w:space="0"/>
              <w:right w:val="single" w:color="auto" w:sz="4" w:space="0"/>
            </w:tcBorders>
            <w:shd w:val="clear" w:color="auto" w:fill="auto"/>
            <w:vAlign w:val="center"/>
          </w:tcPr>
          <w:p w14:paraId="18B251E5">
            <w:pPr>
              <w:widowControl/>
              <w:jc w:val="center"/>
              <w:rPr>
                <w:rFonts w:ascii="Verdana" w:hAnsi="Verdana" w:cs="宋体"/>
                <w:color w:val="000000"/>
                <w:kern w:val="0"/>
                <w:sz w:val="24"/>
                <w:szCs w:val="24"/>
              </w:rPr>
            </w:pPr>
            <w:r>
              <w:rPr>
                <w:rFonts w:ascii="Verdana" w:hAnsi="Verdana" w:cs="宋体"/>
                <w:color w:val="000000"/>
                <w:kern w:val="0"/>
                <w:sz w:val="24"/>
                <w:szCs w:val="24"/>
              </w:rPr>
              <w:t>150</w:t>
            </w:r>
          </w:p>
        </w:tc>
        <w:tc>
          <w:tcPr>
            <w:tcW w:w="406" w:type="pct"/>
            <w:tcBorders>
              <w:top w:val="nil"/>
              <w:left w:val="nil"/>
              <w:bottom w:val="single" w:color="auto" w:sz="4" w:space="0"/>
              <w:right w:val="single" w:color="auto" w:sz="4" w:space="0"/>
            </w:tcBorders>
            <w:shd w:val="clear" w:color="auto" w:fill="auto"/>
            <w:vAlign w:val="center"/>
          </w:tcPr>
          <w:p w14:paraId="0BFC7245">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个</w:t>
            </w:r>
          </w:p>
        </w:tc>
        <w:tc>
          <w:tcPr>
            <w:tcW w:w="572" w:type="pct"/>
            <w:tcBorders>
              <w:top w:val="nil"/>
              <w:left w:val="nil"/>
              <w:bottom w:val="single" w:color="auto" w:sz="4" w:space="0"/>
              <w:right w:val="single" w:color="auto" w:sz="4" w:space="0"/>
            </w:tcBorders>
            <w:shd w:val="clear" w:color="auto" w:fill="auto"/>
            <w:vAlign w:val="center"/>
          </w:tcPr>
          <w:p w14:paraId="6EB87DC1">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3B6B8121">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193C8DA4">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11</w:t>
            </w:r>
          </w:p>
        </w:tc>
        <w:tc>
          <w:tcPr>
            <w:tcW w:w="913" w:type="pct"/>
            <w:tcBorders>
              <w:top w:val="nil"/>
              <w:left w:val="nil"/>
              <w:bottom w:val="single" w:color="auto" w:sz="4" w:space="0"/>
              <w:right w:val="single" w:color="auto" w:sz="4" w:space="0"/>
            </w:tcBorders>
            <w:shd w:val="clear" w:color="auto" w:fill="auto"/>
            <w:vAlign w:val="center"/>
          </w:tcPr>
          <w:p w14:paraId="43128320">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馈线</w:t>
            </w:r>
            <w:r>
              <w:rPr>
                <w:rFonts w:hint="eastAsia" w:ascii="微软雅黑" w:hAnsi="微软雅黑" w:eastAsia="微软雅黑" w:cs="宋体"/>
                <w:color w:val="FF0000"/>
                <w:kern w:val="0"/>
                <w:sz w:val="24"/>
                <w:szCs w:val="24"/>
              </w:rPr>
              <w:t>接头</w:t>
            </w:r>
          </w:p>
        </w:tc>
        <w:tc>
          <w:tcPr>
            <w:tcW w:w="2217" w:type="pct"/>
            <w:tcBorders>
              <w:top w:val="nil"/>
              <w:left w:val="nil"/>
              <w:bottom w:val="single" w:color="auto" w:sz="4" w:space="0"/>
              <w:right w:val="single" w:color="auto" w:sz="4" w:space="0"/>
            </w:tcBorders>
            <w:shd w:val="clear" w:color="auto" w:fill="auto"/>
            <w:vAlign w:val="center"/>
          </w:tcPr>
          <w:p w14:paraId="383D4575">
            <w:pPr>
              <w:widowControl/>
              <w:jc w:val="left"/>
              <w:rPr>
                <w:rFonts w:ascii="宋体" w:hAnsi="宋体" w:eastAsia="宋体" w:cs="宋体"/>
                <w:kern w:val="0"/>
                <w:sz w:val="20"/>
                <w:szCs w:val="20"/>
              </w:rPr>
            </w:pPr>
            <w:r>
              <w:rPr>
                <w:rFonts w:hint="eastAsia" w:ascii="宋体" w:hAnsi="宋体" w:eastAsia="宋体" w:cs="宋体"/>
                <w:kern w:val="0"/>
                <w:sz w:val="20"/>
                <w:szCs w:val="20"/>
              </w:rPr>
              <w:t>馈线连接器：频率范围：0-300MHz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工作电压≥750V</w:t>
            </w:r>
            <w:r>
              <w:rPr>
                <w:rFonts w:hint="eastAsia" w:ascii="宋体" w:hAnsi="宋体" w:eastAsia="宋体" w:cs="宋体"/>
                <w:kern w:val="0"/>
                <w:sz w:val="20"/>
                <w:szCs w:val="20"/>
              </w:rPr>
              <w:br w:type="textWrapping"/>
            </w:r>
            <w:r>
              <w:rPr>
                <w:rFonts w:hint="eastAsia" w:ascii="宋体" w:hAnsi="宋体" w:eastAsia="宋体" w:cs="宋体"/>
                <w:kern w:val="0"/>
                <w:sz w:val="20"/>
                <w:szCs w:val="20"/>
              </w:rPr>
              <w:t>接触电阻≤5MΩ</w:t>
            </w:r>
          </w:p>
        </w:tc>
        <w:tc>
          <w:tcPr>
            <w:tcW w:w="469" w:type="pct"/>
            <w:tcBorders>
              <w:top w:val="nil"/>
              <w:left w:val="nil"/>
              <w:bottom w:val="single" w:color="auto" w:sz="4" w:space="0"/>
              <w:right w:val="single" w:color="auto" w:sz="4" w:space="0"/>
            </w:tcBorders>
            <w:shd w:val="clear" w:color="auto" w:fill="auto"/>
            <w:vAlign w:val="center"/>
          </w:tcPr>
          <w:p w14:paraId="219E6363">
            <w:pPr>
              <w:widowControl/>
              <w:jc w:val="center"/>
              <w:rPr>
                <w:rFonts w:ascii="Verdana" w:hAnsi="Verdana" w:cs="宋体"/>
                <w:color w:val="000000"/>
                <w:kern w:val="0"/>
                <w:sz w:val="24"/>
                <w:szCs w:val="24"/>
              </w:rPr>
            </w:pPr>
            <w:r>
              <w:rPr>
                <w:rFonts w:ascii="Verdana" w:hAnsi="Verdana" w:cs="宋体"/>
                <w:color w:val="000000"/>
                <w:kern w:val="0"/>
                <w:sz w:val="24"/>
                <w:szCs w:val="24"/>
              </w:rPr>
              <w:t>130</w:t>
            </w:r>
          </w:p>
        </w:tc>
        <w:tc>
          <w:tcPr>
            <w:tcW w:w="406" w:type="pct"/>
            <w:tcBorders>
              <w:top w:val="nil"/>
              <w:left w:val="nil"/>
              <w:bottom w:val="single" w:color="auto" w:sz="4" w:space="0"/>
              <w:right w:val="single" w:color="auto" w:sz="4" w:space="0"/>
            </w:tcBorders>
            <w:shd w:val="clear" w:color="auto" w:fill="auto"/>
            <w:vAlign w:val="center"/>
          </w:tcPr>
          <w:p w14:paraId="54578430">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个</w:t>
            </w:r>
          </w:p>
        </w:tc>
        <w:tc>
          <w:tcPr>
            <w:tcW w:w="572" w:type="pct"/>
            <w:tcBorders>
              <w:top w:val="nil"/>
              <w:left w:val="nil"/>
              <w:bottom w:val="single" w:color="auto" w:sz="4" w:space="0"/>
              <w:right w:val="single" w:color="auto" w:sz="4" w:space="0"/>
            </w:tcBorders>
            <w:shd w:val="clear" w:color="auto" w:fill="auto"/>
            <w:vAlign w:val="center"/>
          </w:tcPr>
          <w:p w14:paraId="3C76FA42">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54A4139F">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2645AFF3">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12</w:t>
            </w:r>
          </w:p>
        </w:tc>
        <w:tc>
          <w:tcPr>
            <w:tcW w:w="913" w:type="pct"/>
            <w:tcBorders>
              <w:top w:val="nil"/>
              <w:left w:val="nil"/>
              <w:bottom w:val="single" w:color="auto" w:sz="4" w:space="0"/>
              <w:right w:val="single" w:color="auto" w:sz="4" w:space="0"/>
            </w:tcBorders>
            <w:shd w:val="clear" w:color="auto" w:fill="auto"/>
            <w:vAlign w:val="center"/>
          </w:tcPr>
          <w:p w14:paraId="5A7BB266">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直角弯头</w:t>
            </w:r>
          </w:p>
        </w:tc>
        <w:tc>
          <w:tcPr>
            <w:tcW w:w="2217" w:type="pct"/>
            <w:tcBorders>
              <w:top w:val="nil"/>
              <w:left w:val="nil"/>
              <w:bottom w:val="single" w:color="auto" w:sz="4" w:space="0"/>
              <w:right w:val="single" w:color="auto" w:sz="4" w:space="0"/>
            </w:tcBorders>
            <w:shd w:val="clear" w:color="auto" w:fill="auto"/>
            <w:vAlign w:val="center"/>
          </w:tcPr>
          <w:p w14:paraId="5677EAF0">
            <w:pPr>
              <w:widowControl/>
              <w:jc w:val="left"/>
              <w:rPr>
                <w:rFonts w:ascii="宋体" w:hAnsi="宋体" w:eastAsia="宋体" w:cs="宋体"/>
                <w:kern w:val="0"/>
                <w:sz w:val="20"/>
                <w:szCs w:val="20"/>
              </w:rPr>
            </w:pPr>
            <w:r>
              <w:rPr>
                <w:rFonts w:hint="eastAsia" w:ascii="宋体" w:hAnsi="宋体" w:eastAsia="宋体" w:cs="宋体"/>
                <w:kern w:val="0"/>
                <w:sz w:val="20"/>
                <w:szCs w:val="20"/>
              </w:rPr>
              <w:t>铜镀锌，直径1</w:t>
            </w:r>
            <w:r>
              <w:rPr>
                <w:rFonts w:ascii="宋体" w:hAnsi="宋体" w:eastAsia="宋体" w:cs="宋体"/>
                <w:kern w:val="0"/>
                <w:sz w:val="20"/>
                <w:szCs w:val="20"/>
              </w:rPr>
              <w:t>.5</w:t>
            </w:r>
            <w:r>
              <w:rPr>
                <w:rFonts w:hint="eastAsia" w:ascii="宋体" w:hAnsi="宋体" w:eastAsia="宋体" w:cs="宋体"/>
                <w:kern w:val="0"/>
                <w:sz w:val="20"/>
                <w:szCs w:val="20"/>
              </w:rPr>
              <w:t>cm</w:t>
            </w:r>
          </w:p>
        </w:tc>
        <w:tc>
          <w:tcPr>
            <w:tcW w:w="469" w:type="pct"/>
            <w:tcBorders>
              <w:top w:val="nil"/>
              <w:left w:val="nil"/>
              <w:bottom w:val="single" w:color="auto" w:sz="4" w:space="0"/>
              <w:right w:val="single" w:color="auto" w:sz="4" w:space="0"/>
            </w:tcBorders>
            <w:shd w:val="clear" w:color="auto" w:fill="auto"/>
            <w:vAlign w:val="center"/>
          </w:tcPr>
          <w:p w14:paraId="517CEB01">
            <w:pPr>
              <w:widowControl/>
              <w:jc w:val="center"/>
              <w:rPr>
                <w:rFonts w:ascii="Verdana" w:hAnsi="Verdana" w:cs="宋体"/>
                <w:color w:val="000000"/>
                <w:kern w:val="0"/>
                <w:sz w:val="24"/>
                <w:szCs w:val="24"/>
              </w:rPr>
            </w:pPr>
            <w:r>
              <w:rPr>
                <w:rFonts w:ascii="Verdana" w:hAnsi="Verdana" w:cs="宋体"/>
                <w:color w:val="000000"/>
                <w:kern w:val="0"/>
                <w:sz w:val="24"/>
                <w:szCs w:val="24"/>
              </w:rPr>
              <w:t>150</w:t>
            </w:r>
          </w:p>
        </w:tc>
        <w:tc>
          <w:tcPr>
            <w:tcW w:w="406" w:type="pct"/>
            <w:tcBorders>
              <w:top w:val="nil"/>
              <w:left w:val="nil"/>
              <w:bottom w:val="single" w:color="auto" w:sz="4" w:space="0"/>
              <w:right w:val="single" w:color="auto" w:sz="4" w:space="0"/>
            </w:tcBorders>
            <w:shd w:val="clear" w:color="auto" w:fill="auto"/>
            <w:vAlign w:val="center"/>
          </w:tcPr>
          <w:p w14:paraId="40505BD5">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个</w:t>
            </w:r>
          </w:p>
        </w:tc>
        <w:tc>
          <w:tcPr>
            <w:tcW w:w="572" w:type="pct"/>
            <w:tcBorders>
              <w:top w:val="nil"/>
              <w:left w:val="nil"/>
              <w:bottom w:val="single" w:color="auto" w:sz="4" w:space="0"/>
              <w:right w:val="single" w:color="auto" w:sz="4" w:space="0"/>
            </w:tcBorders>
            <w:shd w:val="clear" w:color="auto" w:fill="auto"/>
            <w:vAlign w:val="center"/>
          </w:tcPr>
          <w:p w14:paraId="65DFC561">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127CBFAD">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35919E7E">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13</w:t>
            </w:r>
          </w:p>
        </w:tc>
        <w:tc>
          <w:tcPr>
            <w:tcW w:w="913" w:type="pct"/>
            <w:tcBorders>
              <w:top w:val="nil"/>
              <w:left w:val="nil"/>
              <w:bottom w:val="single" w:color="auto" w:sz="4" w:space="0"/>
              <w:right w:val="single" w:color="auto" w:sz="4" w:space="0"/>
            </w:tcBorders>
            <w:shd w:val="clear" w:color="auto" w:fill="auto"/>
            <w:vAlign w:val="center"/>
          </w:tcPr>
          <w:p w14:paraId="2E7A188C">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漏缆</w:t>
            </w:r>
            <w:r>
              <w:rPr>
                <w:rFonts w:hint="eastAsia" w:ascii="微软雅黑" w:hAnsi="微软雅黑" w:eastAsia="微软雅黑" w:cs="宋体"/>
                <w:color w:val="FF0000"/>
                <w:kern w:val="0"/>
                <w:sz w:val="24"/>
                <w:szCs w:val="24"/>
              </w:rPr>
              <w:t>接头</w:t>
            </w:r>
          </w:p>
        </w:tc>
        <w:tc>
          <w:tcPr>
            <w:tcW w:w="2217" w:type="pct"/>
            <w:tcBorders>
              <w:top w:val="nil"/>
              <w:left w:val="nil"/>
              <w:bottom w:val="single" w:color="auto" w:sz="4" w:space="0"/>
              <w:right w:val="single" w:color="auto" w:sz="4" w:space="0"/>
            </w:tcBorders>
            <w:shd w:val="clear" w:color="auto" w:fill="auto"/>
            <w:vAlign w:val="center"/>
          </w:tcPr>
          <w:p w14:paraId="1D0C855C">
            <w:pPr>
              <w:widowControl/>
              <w:jc w:val="left"/>
              <w:rPr>
                <w:rFonts w:ascii="宋体" w:hAnsi="宋体" w:eastAsia="宋体" w:cs="宋体"/>
                <w:kern w:val="0"/>
                <w:sz w:val="20"/>
                <w:szCs w:val="20"/>
              </w:rPr>
            </w:pPr>
            <w:r>
              <w:rPr>
                <w:rFonts w:hint="eastAsia" w:ascii="宋体" w:hAnsi="宋体" w:eastAsia="宋体" w:cs="宋体"/>
                <w:kern w:val="0"/>
                <w:sz w:val="20"/>
                <w:szCs w:val="20"/>
              </w:rPr>
              <w:t>泄漏电缆连接头：频率范围：0-300MHz</w:t>
            </w:r>
            <w:r>
              <w:rPr>
                <w:rFonts w:hint="eastAsia" w:ascii="宋体" w:hAnsi="宋体" w:eastAsia="宋体" w:cs="宋体"/>
                <w:kern w:val="0"/>
                <w:sz w:val="20"/>
                <w:szCs w:val="20"/>
              </w:rPr>
              <w:br w:type="textWrapping"/>
            </w:r>
            <w:r>
              <w:rPr>
                <w:rFonts w:hint="eastAsia" w:ascii="宋体" w:hAnsi="宋体" w:eastAsia="宋体" w:cs="宋体"/>
                <w:kern w:val="0"/>
                <w:sz w:val="20"/>
                <w:szCs w:val="20"/>
              </w:rPr>
              <w:t>工作电压≥750V</w:t>
            </w:r>
            <w:r>
              <w:rPr>
                <w:rFonts w:hint="eastAsia" w:ascii="宋体" w:hAnsi="宋体" w:eastAsia="宋体" w:cs="宋体"/>
                <w:kern w:val="0"/>
                <w:sz w:val="20"/>
                <w:szCs w:val="20"/>
              </w:rPr>
              <w:br w:type="textWrapping"/>
            </w:r>
            <w:r>
              <w:rPr>
                <w:rFonts w:hint="eastAsia" w:ascii="宋体" w:hAnsi="宋体" w:eastAsia="宋体" w:cs="宋体"/>
                <w:kern w:val="0"/>
                <w:sz w:val="20"/>
                <w:szCs w:val="20"/>
              </w:rPr>
              <w:t>接触电阻≤5MΩ</w:t>
            </w:r>
          </w:p>
        </w:tc>
        <w:tc>
          <w:tcPr>
            <w:tcW w:w="469" w:type="pct"/>
            <w:tcBorders>
              <w:top w:val="nil"/>
              <w:left w:val="nil"/>
              <w:bottom w:val="single" w:color="auto" w:sz="4" w:space="0"/>
              <w:right w:val="single" w:color="auto" w:sz="4" w:space="0"/>
            </w:tcBorders>
            <w:shd w:val="clear" w:color="auto" w:fill="auto"/>
            <w:vAlign w:val="center"/>
          </w:tcPr>
          <w:p w14:paraId="0464CD61">
            <w:pPr>
              <w:widowControl/>
              <w:jc w:val="center"/>
              <w:rPr>
                <w:rFonts w:ascii="Verdana" w:hAnsi="Verdana" w:cs="宋体"/>
                <w:color w:val="000000"/>
                <w:kern w:val="0"/>
                <w:sz w:val="24"/>
                <w:szCs w:val="24"/>
              </w:rPr>
            </w:pPr>
            <w:r>
              <w:rPr>
                <w:rFonts w:ascii="Verdana" w:hAnsi="Verdana" w:cs="宋体"/>
                <w:color w:val="000000"/>
                <w:kern w:val="0"/>
                <w:sz w:val="24"/>
                <w:szCs w:val="24"/>
              </w:rPr>
              <w:t>80</w:t>
            </w:r>
          </w:p>
        </w:tc>
        <w:tc>
          <w:tcPr>
            <w:tcW w:w="406" w:type="pct"/>
            <w:tcBorders>
              <w:top w:val="nil"/>
              <w:left w:val="nil"/>
              <w:bottom w:val="single" w:color="auto" w:sz="4" w:space="0"/>
              <w:right w:val="single" w:color="auto" w:sz="4" w:space="0"/>
            </w:tcBorders>
            <w:shd w:val="clear" w:color="auto" w:fill="auto"/>
            <w:vAlign w:val="center"/>
          </w:tcPr>
          <w:p w14:paraId="2A27A322">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个</w:t>
            </w:r>
          </w:p>
        </w:tc>
        <w:tc>
          <w:tcPr>
            <w:tcW w:w="572" w:type="pct"/>
            <w:tcBorders>
              <w:top w:val="nil"/>
              <w:left w:val="nil"/>
              <w:bottom w:val="single" w:color="auto" w:sz="4" w:space="0"/>
              <w:right w:val="single" w:color="auto" w:sz="4" w:space="0"/>
            </w:tcBorders>
            <w:shd w:val="clear" w:color="auto" w:fill="auto"/>
            <w:vAlign w:val="center"/>
          </w:tcPr>
          <w:p w14:paraId="4DAA1F3A">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7195A120">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56D20DE3">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14</w:t>
            </w:r>
          </w:p>
        </w:tc>
        <w:tc>
          <w:tcPr>
            <w:tcW w:w="913" w:type="pct"/>
            <w:tcBorders>
              <w:top w:val="nil"/>
              <w:left w:val="nil"/>
              <w:bottom w:val="single" w:color="auto" w:sz="4" w:space="0"/>
              <w:right w:val="single" w:color="auto" w:sz="4" w:space="0"/>
            </w:tcBorders>
            <w:shd w:val="clear" w:color="auto" w:fill="auto"/>
            <w:vAlign w:val="center"/>
          </w:tcPr>
          <w:p w14:paraId="536BA697">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终端</w:t>
            </w:r>
          </w:p>
        </w:tc>
        <w:tc>
          <w:tcPr>
            <w:tcW w:w="2217" w:type="pct"/>
            <w:tcBorders>
              <w:top w:val="nil"/>
              <w:left w:val="nil"/>
              <w:bottom w:val="single" w:color="auto" w:sz="4" w:space="0"/>
              <w:right w:val="single" w:color="auto" w:sz="4" w:space="0"/>
            </w:tcBorders>
            <w:shd w:val="clear" w:color="auto" w:fill="auto"/>
            <w:vAlign w:val="center"/>
          </w:tcPr>
          <w:p w14:paraId="63E2C2A0">
            <w:pPr>
              <w:widowControl/>
              <w:jc w:val="left"/>
              <w:rPr>
                <w:rFonts w:ascii="宋体" w:hAnsi="宋体" w:eastAsia="宋体" w:cs="宋体"/>
                <w:kern w:val="0"/>
                <w:sz w:val="20"/>
                <w:szCs w:val="20"/>
              </w:rPr>
            </w:pPr>
            <w:r>
              <w:rPr>
                <w:rFonts w:hint="eastAsia" w:ascii="宋体" w:hAnsi="宋体" w:eastAsia="宋体" w:cs="宋体"/>
                <w:kern w:val="0"/>
                <w:sz w:val="20"/>
                <w:szCs w:val="20"/>
              </w:rPr>
              <w:t>终端器：阻抗：≥50Ω</w:t>
            </w:r>
            <w:r>
              <w:rPr>
                <w:rFonts w:hint="eastAsia" w:ascii="宋体" w:hAnsi="宋体" w:eastAsia="宋体" w:cs="宋体"/>
                <w:kern w:val="0"/>
                <w:sz w:val="20"/>
                <w:szCs w:val="20"/>
              </w:rPr>
              <w:br w:type="textWrapping"/>
            </w:r>
            <w:r>
              <w:rPr>
                <w:rFonts w:hint="eastAsia" w:ascii="宋体" w:hAnsi="宋体" w:eastAsia="宋体" w:cs="宋体"/>
                <w:kern w:val="0"/>
                <w:sz w:val="20"/>
                <w:szCs w:val="20"/>
              </w:rPr>
              <w:t>功率：≥200W</w:t>
            </w:r>
            <w:r>
              <w:rPr>
                <w:rFonts w:hint="eastAsia" w:ascii="宋体" w:hAnsi="宋体" w:eastAsia="宋体" w:cs="宋体"/>
                <w:kern w:val="0"/>
                <w:sz w:val="20"/>
                <w:szCs w:val="20"/>
              </w:rPr>
              <w:br w:type="textWrapping"/>
            </w:r>
            <w:r>
              <w:rPr>
                <w:rFonts w:hint="eastAsia" w:ascii="宋体" w:hAnsi="宋体" w:eastAsia="宋体" w:cs="宋体"/>
                <w:kern w:val="0"/>
                <w:sz w:val="20"/>
                <w:szCs w:val="20"/>
              </w:rPr>
              <w:t>频率：≥DC-3000MHz</w:t>
            </w:r>
          </w:p>
        </w:tc>
        <w:tc>
          <w:tcPr>
            <w:tcW w:w="469" w:type="pct"/>
            <w:tcBorders>
              <w:top w:val="nil"/>
              <w:left w:val="nil"/>
              <w:bottom w:val="single" w:color="auto" w:sz="4" w:space="0"/>
              <w:right w:val="single" w:color="auto" w:sz="4" w:space="0"/>
            </w:tcBorders>
            <w:shd w:val="clear" w:color="auto" w:fill="auto"/>
            <w:vAlign w:val="center"/>
          </w:tcPr>
          <w:p w14:paraId="0D5150D1">
            <w:pPr>
              <w:widowControl/>
              <w:jc w:val="center"/>
              <w:rPr>
                <w:rFonts w:ascii="Verdana" w:hAnsi="Verdana" w:cs="宋体"/>
                <w:color w:val="000000"/>
                <w:kern w:val="0"/>
                <w:sz w:val="24"/>
                <w:szCs w:val="24"/>
              </w:rPr>
            </w:pPr>
            <w:r>
              <w:rPr>
                <w:rFonts w:ascii="Verdana" w:hAnsi="Verdana" w:cs="宋体"/>
                <w:color w:val="000000"/>
                <w:kern w:val="0"/>
                <w:sz w:val="24"/>
                <w:szCs w:val="24"/>
              </w:rPr>
              <w:t>2</w:t>
            </w:r>
          </w:p>
        </w:tc>
        <w:tc>
          <w:tcPr>
            <w:tcW w:w="406" w:type="pct"/>
            <w:tcBorders>
              <w:top w:val="nil"/>
              <w:left w:val="nil"/>
              <w:bottom w:val="single" w:color="auto" w:sz="4" w:space="0"/>
              <w:right w:val="single" w:color="auto" w:sz="4" w:space="0"/>
            </w:tcBorders>
            <w:shd w:val="clear" w:color="auto" w:fill="auto"/>
            <w:vAlign w:val="center"/>
          </w:tcPr>
          <w:p w14:paraId="0396097E">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个</w:t>
            </w:r>
          </w:p>
        </w:tc>
        <w:tc>
          <w:tcPr>
            <w:tcW w:w="572" w:type="pct"/>
            <w:tcBorders>
              <w:top w:val="nil"/>
              <w:left w:val="nil"/>
              <w:bottom w:val="single" w:color="auto" w:sz="4" w:space="0"/>
              <w:right w:val="single" w:color="auto" w:sz="4" w:space="0"/>
            </w:tcBorders>
            <w:shd w:val="clear" w:color="auto" w:fill="auto"/>
            <w:vAlign w:val="center"/>
          </w:tcPr>
          <w:p w14:paraId="2DF6D6A7">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472DF614">
        <w:tblPrEx>
          <w:tblCellMar>
            <w:top w:w="0" w:type="dxa"/>
            <w:left w:w="108" w:type="dxa"/>
            <w:bottom w:w="0" w:type="dxa"/>
            <w:right w:w="108" w:type="dxa"/>
          </w:tblCellMar>
        </w:tblPrEx>
        <w:trPr>
          <w:trHeight w:val="8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0E48D74B">
            <w:pPr>
              <w:widowControl/>
              <w:jc w:val="center"/>
              <w:rPr>
                <w:rFonts w:ascii="Verdana" w:hAnsi="Verdana" w:cs="宋体"/>
                <w:b/>
                <w:bCs/>
                <w:color w:val="000000"/>
                <w:kern w:val="0"/>
                <w:sz w:val="24"/>
                <w:szCs w:val="24"/>
              </w:rPr>
            </w:pPr>
            <w:r>
              <w:rPr>
                <w:rFonts w:hint="eastAsia" w:ascii="Verdana" w:hAnsi="Verdana" w:cs="宋体"/>
                <w:b/>
                <w:bCs/>
                <w:color w:val="000000"/>
                <w:kern w:val="0"/>
                <w:sz w:val="24"/>
                <w:szCs w:val="24"/>
              </w:rPr>
              <w:t>15</w:t>
            </w:r>
          </w:p>
        </w:tc>
        <w:tc>
          <w:tcPr>
            <w:tcW w:w="913" w:type="pct"/>
            <w:tcBorders>
              <w:top w:val="nil"/>
              <w:left w:val="nil"/>
              <w:bottom w:val="single" w:color="auto" w:sz="4" w:space="0"/>
              <w:right w:val="single" w:color="auto" w:sz="4" w:space="0"/>
            </w:tcBorders>
            <w:shd w:val="clear" w:color="auto" w:fill="auto"/>
            <w:vAlign w:val="center"/>
          </w:tcPr>
          <w:p w14:paraId="742805A5">
            <w:pPr>
              <w:widowControl/>
              <w:jc w:val="left"/>
              <w:rPr>
                <w:rFonts w:ascii="Verdana" w:hAnsi="Verdana" w:cs="宋体"/>
                <w:color w:val="000000"/>
                <w:kern w:val="0"/>
                <w:sz w:val="24"/>
                <w:szCs w:val="24"/>
              </w:rPr>
            </w:pPr>
            <w:r>
              <w:rPr>
                <w:rFonts w:ascii="Verdana" w:hAnsi="Verdana" w:cs="宋体"/>
                <w:color w:val="000000"/>
                <w:kern w:val="0"/>
                <w:sz w:val="24"/>
                <w:szCs w:val="24"/>
              </w:rPr>
              <w:t>UPS</w:t>
            </w:r>
            <w:r>
              <w:rPr>
                <w:rFonts w:hint="eastAsia" w:ascii="微软雅黑" w:hAnsi="微软雅黑" w:eastAsia="微软雅黑" w:cs="宋体"/>
                <w:color w:val="000000"/>
                <w:kern w:val="0"/>
                <w:sz w:val="24"/>
                <w:szCs w:val="24"/>
              </w:rPr>
              <w:t>不间断电源</w:t>
            </w:r>
          </w:p>
        </w:tc>
        <w:tc>
          <w:tcPr>
            <w:tcW w:w="2217" w:type="pct"/>
            <w:tcBorders>
              <w:top w:val="nil"/>
              <w:left w:val="nil"/>
              <w:bottom w:val="single" w:color="auto" w:sz="4" w:space="0"/>
              <w:right w:val="single" w:color="auto" w:sz="4" w:space="0"/>
            </w:tcBorders>
            <w:shd w:val="clear" w:color="auto" w:fill="auto"/>
            <w:vAlign w:val="center"/>
          </w:tcPr>
          <w:p w14:paraId="0C7711B2">
            <w:pPr>
              <w:widowControl/>
              <w:jc w:val="left"/>
              <w:rPr>
                <w:rFonts w:ascii="宋体" w:hAnsi="宋体" w:eastAsia="宋体" w:cs="宋体"/>
                <w:kern w:val="0"/>
                <w:sz w:val="20"/>
                <w:szCs w:val="20"/>
              </w:rPr>
            </w:pPr>
            <w:r>
              <w:rPr>
                <w:rFonts w:hint="eastAsia" w:ascii="宋体" w:hAnsi="宋体" w:eastAsia="宋体" w:cs="宋体"/>
                <w:kern w:val="0"/>
                <w:sz w:val="20"/>
                <w:szCs w:val="20"/>
              </w:rPr>
              <w:t>12V65AH</w:t>
            </w:r>
          </w:p>
        </w:tc>
        <w:tc>
          <w:tcPr>
            <w:tcW w:w="469" w:type="pct"/>
            <w:tcBorders>
              <w:top w:val="nil"/>
              <w:left w:val="nil"/>
              <w:bottom w:val="single" w:color="auto" w:sz="4" w:space="0"/>
              <w:right w:val="single" w:color="auto" w:sz="4" w:space="0"/>
            </w:tcBorders>
            <w:shd w:val="clear" w:color="auto" w:fill="auto"/>
            <w:vAlign w:val="center"/>
          </w:tcPr>
          <w:p w14:paraId="5359ED83">
            <w:pPr>
              <w:widowControl/>
              <w:jc w:val="center"/>
              <w:rPr>
                <w:rFonts w:ascii="Verdana" w:hAnsi="Verdana" w:cs="宋体"/>
                <w:color w:val="000000"/>
                <w:kern w:val="0"/>
                <w:sz w:val="24"/>
                <w:szCs w:val="24"/>
              </w:rPr>
            </w:pPr>
            <w:r>
              <w:rPr>
                <w:rFonts w:ascii="Verdana" w:hAnsi="Verdana" w:cs="宋体"/>
                <w:color w:val="000000"/>
                <w:kern w:val="0"/>
                <w:sz w:val="24"/>
                <w:szCs w:val="24"/>
              </w:rPr>
              <w:t>1</w:t>
            </w:r>
          </w:p>
        </w:tc>
        <w:tc>
          <w:tcPr>
            <w:tcW w:w="406" w:type="pct"/>
            <w:tcBorders>
              <w:top w:val="nil"/>
              <w:left w:val="nil"/>
              <w:bottom w:val="single" w:color="auto" w:sz="4" w:space="0"/>
              <w:right w:val="single" w:color="auto" w:sz="4" w:space="0"/>
            </w:tcBorders>
            <w:shd w:val="clear" w:color="auto" w:fill="auto"/>
            <w:vAlign w:val="center"/>
          </w:tcPr>
          <w:p w14:paraId="04143064">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个</w:t>
            </w:r>
          </w:p>
        </w:tc>
        <w:tc>
          <w:tcPr>
            <w:tcW w:w="572" w:type="pct"/>
            <w:tcBorders>
              <w:top w:val="nil"/>
              <w:left w:val="nil"/>
              <w:bottom w:val="single" w:color="auto" w:sz="4" w:space="0"/>
              <w:right w:val="single" w:color="auto" w:sz="4" w:space="0"/>
            </w:tcBorders>
            <w:shd w:val="clear" w:color="auto" w:fill="auto"/>
            <w:vAlign w:val="center"/>
          </w:tcPr>
          <w:p w14:paraId="0C0326A1">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5AF27531">
        <w:tblPrEx>
          <w:tblCellMar>
            <w:top w:w="0" w:type="dxa"/>
            <w:left w:w="108" w:type="dxa"/>
            <w:bottom w:w="0" w:type="dxa"/>
            <w:right w:w="108" w:type="dxa"/>
          </w:tblCellMar>
        </w:tblPrEx>
        <w:trPr>
          <w:trHeight w:val="330" w:hRule="atLeast"/>
        </w:trPr>
        <w:tc>
          <w:tcPr>
            <w:tcW w:w="5000" w:type="pct"/>
            <w:gridSpan w:val="6"/>
            <w:tcBorders>
              <w:top w:val="nil"/>
              <w:left w:val="single" w:color="auto" w:sz="4" w:space="0"/>
              <w:bottom w:val="single" w:color="auto" w:sz="4" w:space="0"/>
              <w:right w:val="single" w:color="auto" w:sz="4" w:space="0"/>
            </w:tcBorders>
            <w:shd w:val="clear" w:color="auto" w:fill="auto"/>
            <w:vAlign w:val="center"/>
          </w:tcPr>
          <w:p w14:paraId="14534E60">
            <w:pPr>
              <w:widowControl/>
              <w:jc w:val="left"/>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三、巡课视频系统</w:t>
            </w:r>
          </w:p>
        </w:tc>
      </w:tr>
      <w:tr w14:paraId="4F7C8BCA">
        <w:tblPrEx>
          <w:tblCellMar>
            <w:top w:w="0" w:type="dxa"/>
            <w:left w:w="108" w:type="dxa"/>
            <w:bottom w:w="0" w:type="dxa"/>
            <w:right w:w="108" w:type="dxa"/>
          </w:tblCellMar>
        </w:tblPrEx>
        <w:trPr>
          <w:trHeight w:val="10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2286BB1C">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1</w:t>
            </w:r>
          </w:p>
        </w:tc>
        <w:tc>
          <w:tcPr>
            <w:tcW w:w="913" w:type="pct"/>
            <w:tcBorders>
              <w:top w:val="nil"/>
              <w:left w:val="nil"/>
              <w:bottom w:val="single" w:color="auto" w:sz="4" w:space="0"/>
              <w:right w:val="single" w:color="auto" w:sz="4" w:space="0"/>
            </w:tcBorders>
            <w:shd w:val="clear" w:color="auto" w:fill="auto"/>
            <w:vAlign w:val="center"/>
          </w:tcPr>
          <w:p w14:paraId="25C4E0A3">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巡课视频终端摄像机</w:t>
            </w:r>
          </w:p>
        </w:tc>
        <w:tc>
          <w:tcPr>
            <w:tcW w:w="2217" w:type="pct"/>
            <w:tcBorders>
              <w:top w:val="nil"/>
              <w:left w:val="nil"/>
              <w:bottom w:val="single" w:color="auto" w:sz="4" w:space="0"/>
              <w:right w:val="single" w:color="auto" w:sz="4" w:space="0"/>
            </w:tcBorders>
            <w:shd w:val="clear" w:color="auto" w:fill="auto"/>
            <w:vAlign w:val="center"/>
          </w:tcPr>
          <w:p w14:paraId="29BDF4B3">
            <w:pPr>
              <w:widowControl/>
              <w:jc w:val="left"/>
              <w:rPr>
                <w:rFonts w:ascii="宋体" w:hAnsi="宋体" w:eastAsia="宋体" w:cs="宋体"/>
                <w:kern w:val="0"/>
                <w:sz w:val="20"/>
                <w:szCs w:val="20"/>
              </w:rPr>
            </w:pPr>
            <w:r>
              <w:rPr>
                <w:rFonts w:ascii="宋体" w:hAnsi="宋体" w:eastAsia="宋体" w:cs="宋体"/>
                <w:kern w:val="0"/>
                <w:sz w:val="20"/>
                <w:szCs w:val="20"/>
              </w:rPr>
              <w:t>1.内置1个麦克风，1个RJ45网络接口；（公安部检验报告证明）</w:t>
            </w:r>
          </w:p>
          <w:p w14:paraId="776151B0">
            <w:pPr>
              <w:widowControl/>
              <w:jc w:val="left"/>
              <w:rPr>
                <w:rFonts w:ascii="宋体" w:hAnsi="宋体" w:eastAsia="宋体" w:cs="宋体"/>
                <w:kern w:val="0"/>
                <w:sz w:val="20"/>
                <w:szCs w:val="20"/>
              </w:rPr>
            </w:pPr>
            <w:r>
              <w:rPr>
                <w:rFonts w:ascii="宋体" w:hAnsi="宋体" w:eastAsia="宋体" w:cs="宋体"/>
                <w:kern w:val="0"/>
                <w:sz w:val="20"/>
                <w:szCs w:val="20"/>
              </w:rPr>
              <w:t>2.具有1个音频输入接口，1个音频输出接口，具有1个报警输入接口，1个报警输出接口；（公安部检验报告证明）</w:t>
            </w:r>
          </w:p>
          <w:p w14:paraId="6B87C4E5">
            <w:pPr>
              <w:widowControl/>
              <w:jc w:val="left"/>
              <w:rPr>
                <w:rFonts w:ascii="宋体" w:hAnsi="宋体" w:eastAsia="宋体" w:cs="宋体"/>
                <w:kern w:val="0"/>
                <w:sz w:val="20"/>
                <w:szCs w:val="20"/>
              </w:rPr>
            </w:pPr>
            <w:r>
              <w:rPr>
                <w:rFonts w:ascii="宋体" w:hAnsi="宋体" w:eastAsia="宋体" w:cs="宋体"/>
                <w:kern w:val="0"/>
                <w:sz w:val="20"/>
                <w:szCs w:val="20"/>
              </w:rPr>
              <w:t>3.支持IP66防尘防水。支持IK10碰撞防护等级；</w:t>
            </w:r>
          </w:p>
          <w:p w14:paraId="52997E0D">
            <w:pPr>
              <w:widowControl/>
              <w:jc w:val="left"/>
              <w:rPr>
                <w:rFonts w:ascii="宋体" w:hAnsi="宋体" w:eastAsia="宋体" w:cs="宋体"/>
                <w:kern w:val="0"/>
                <w:sz w:val="20"/>
                <w:szCs w:val="20"/>
              </w:rPr>
            </w:pPr>
            <w:r>
              <w:rPr>
                <w:rFonts w:ascii="宋体" w:hAnsi="宋体" w:eastAsia="宋体" w:cs="宋体"/>
                <w:kern w:val="0"/>
                <w:sz w:val="20"/>
                <w:szCs w:val="20"/>
              </w:rPr>
              <w:t>4.能在额定电源电压±25%范围内正常工作，支持PoE供电；</w:t>
            </w:r>
          </w:p>
          <w:p w14:paraId="6585921C">
            <w:pPr>
              <w:widowControl/>
              <w:jc w:val="left"/>
              <w:rPr>
                <w:rFonts w:ascii="宋体" w:hAnsi="宋体" w:eastAsia="宋体" w:cs="宋体"/>
                <w:kern w:val="0"/>
                <w:sz w:val="20"/>
                <w:szCs w:val="20"/>
              </w:rPr>
            </w:pPr>
            <w:r>
              <w:rPr>
                <w:rFonts w:ascii="宋体" w:hAnsi="宋体" w:eastAsia="宋体" w:cs="宋体"/>
                <w:kern w:val="0"/>
                <w:sz w:val="20"/>
                <w:szCs w:val="20"/>
              </w:rPr>
              <w:t>5.支持SD卡热插拔，SD卡最大支持256GB；</w:t>
            </w:r>
          </w:p>
          <w:p w14:paraId="504330C2">
            <w:pPr>
              <w:widowControl/>
              <w:jc w:val="left"/>
              <w:rPr>
                <w:rFonts w:ascii="宋体" w:hAnsi="宋体" w:eastAsia="宋体" w:cs="宋体"/>
                <w:kern w:val="0"/>
                <w:sz w:val="20"/>
                <w:szCs w:val="20"/>
              </w:rPr>
            </w:pPr>
            <w:r>
              <w:rPr>
                <w:rFonts w:ascii="宋体" w:hAnsi="宋体" w:eastAsia="宋体" w:cs="宋体"/>
                <w:kern w:val="0"/>
                <w:sz w:val="20"/>
                <w:szCs w:val="20"/>
              </w:rPr>
              <w:t>6.在1920 × 1080下分辨力可达到1100TVL；（公安部检验报告证明）</w:t>
            </w:r>
          </w:p>
          <w:p w14:paraId="3CB27498">
            <w:pPr>
              <w:widowControl/>
              <w:jc w:val="left"/>
              <w:rPr>
                <w:rFonts w:ascii="宋体" w:hAnsi="宋体" w:eastAsia="宋体" w:cs="宋体"/>
                <w:kern w:val="0"/>
                <w:sz w:val="20"/>
                <w:szCs w:val="20"/>
              </w:rPr>
            </w:pPr>
            <w:r>
              <w:rPr>
                <w:rFonts w:ascii="宋体" w:hAnsi="宋体" w:eastAsia="宋体" w:cs="宋体"/>
                <w:kern w:val="0"/>
                <w:sz w:val="20"/>
                <w:szCs w:val="20"/>
              </w:rPr>
              <w:t>7.支持红外补光，可识别距离30m处人体轮廓；</w:t>
            </w:r>
          </w:p>
          <w:p w14:paraId="252FB733">
            <w:pPr>
              <w:widowControl/>
              <w:jc w:val="left"/>
              <w:rPr>
                <w:rFonts w:ascii="宋体" w:hAnsi="宋体" w:eastAsia="宋体" w:cs="宋体"/>
                <w:kern w:val="0"/>
                <w:sz w:val="20"/>
                <w:szCs w:val="20"/>
              </w:rPr>
            </w:pPr>
            <w:r>
              <w:rPr>
                <w:rFonts w:ascii="宋体" w:hAnsi="宋体" w:eastAsia="宋体" w:cs="宋体"/>
                <w:kern w:val="0"/>
                <w:sz w:val="20"/>
                <w:szCs w:val="20"/>
              </w:rPr>
              <w:t>8.同一静止场景相同图像质量下，设备在H.264或H.265编码方式时，开启智能编码功能和.不开启智能编码相比，码率节约80%。（公安部检验报告证明）</w:t>
            </w:r>
          </w:p>
          <w:p w14:paraId="3293DA0C">
            <w:pPr>
              <w:widowControl/>
              <w:jc w:val="left"/>
              <w:rPr>
                <w:rFonts w:ascii="宋体" w:hAnsi="宋体" w:eastAsia="宋体" w:cs="宋体"/>
                <w:kern w:val="0"/>
                <w:sz w:val="20"/>
                <w:szCs w:val="20"/>
              </w:rPr>
            </w:pPr>
            <w:r>
              <w:rPr>
                <w:rFonts w:ascii="宋体" w:hAnsi="宋体" w:eastAsia="宋体" w:cs="宋体"/>
                <w:kern w:val="0"/>
                <w:sz w:val="20"/>
                <w:szCs w:val="20"/>
              </w:rPr>
              <w:t>9.最低照度彩色：0.01 lx；</w:t>
            </w:r>
          </w:p>
          <w:p w14:paraId="6D20D2E0">
            <w:pPr>
              <w:widowControl/>
              <w:jc w:val="left"/>
              <w:rPr>
                <w:rFonts w:ascii="宋体" w:hAnsi="宋体" w:eastAsia="宋体" w:cs="宋体"/>
                <w:kern w:val="0"/>
                <w:sz w:val="20"/>
                <w:szCs w:val="20"/>
              </w:rPr>
            </w:pPr>
            <w:r>
              <w:rPr>
                <w:rFonts w:ascii="宋体" w:hAnsi="宋体" w:eastAsia="宋体" w:cs="宋体"/>
                <w:kern w:val="0"/>
                <w:sz w:val="20"/>
                <w:szCs w:val="20"/>
              </w:rPr>
              <w:t>10.通过IE浏览器控制镜头的Zoom和Focus，并支持自动聚焦功能；</w:t>
            </w:r>
          </w:p>
          <w:p w14:paraId="0CEAA14A">
            <w:pPr>
              <w:widowControl/>
              <w:jc w:val="left"/>
              <w:rPr>
                <w:rFonts w:ascii="宋体" w:hAnsi="宋体" w:eastAsia="宋体" w:cs="宋体"/>
                <w:kern w:val="0"/>
                <w:sz w:val="20"/>
                <w:szCs w:val="20"/>
                <w:highlight w:val="yellow"/>
              </w:rPr>
            </w:pPr>
            <w:r>
              <w:rPr>
                <w:rFonts w:ascii="宋体" w:hAnsi="宋体" w:eastAsia="宋体" w:cs="宋体"/>
                <w:kern w:val="0"/>
                <w:sz w:val="20"/>
                <w:szCs w:val="20"/>
              </w:rPr>
              <w:t>11.具备区域入侵、越界入侵、进入区域、离开区域、人员聚集、快速移动、徘徊、物品移除、物品遗留、停车智能分析功能，当以上智能分析行为达到设定的阈值时，可通过客户端软件或IE浏览器给出报警提示（公安部检验报告证明）。</w:t>
            </w:r>
          </w:p>
        </w:tc>
        <w:tc>
          <w:tcPr>
            <w:tcW w:w="469" w:type="pct"/>
            <w:tcBorders>
              <w:top w:val="nil"/>
              <w:left w:val="nil"/>
              <w:bottom w:val="single" w:color="auto" w:sz="4" w:space="0"/>
              <w:right w:val="single" w:color="auto" w:sz="4" w:space="0"/>
            </w:tcBorders>
            <w:shd w:val="clear" w:color="auto" w:fill="auto"/>
            <w:vAlign w:val="center"/>
          </w:tcPr>
          <w:p w14:paraId="203A3FB8">
            <w:pPr>
              <w:widowControl/>
              <w:jc w:val="center"/>
              <w:rPr>
                <w:rFonts w:ascii="Verdana" w:hAnsi="Verdana" w:cs="宋体"/>
                <w:color w:val="000000"/>
                <w:kern w:val="0"/>
                <w:sz w:val="24"/>
                <w:szCs w:val="24"/>
              </w:rPr>
            </w:pPr>
            <w:r>
              <w:rPr>
                <w:rFonts w:ascii="Verdana" w:hAnsi="Verdana" w:cs="宋体"/>
                <w:color w:val="000000"/>
                <w:kern w:val="0"/>
                <w:sz w:val="24"/>
                <w:szCs w:val="24"/>
              </w:rPr>
              <w:t>60</w:t>
            </w:r>
          </w:p>
        </w:tc>
        <w:tc>
          <w:tcPr>
            <w:tcW w:w="406" w:type="pct"/>
            <w:tcBorders>
              <w:top w:val="nil"/>
              <w:left w:val="nil"/>
              <w:bottom w:val="single" w:color="auto" w:sz="4" w:space="0"/>
              <w:right w:val="single" w:color="auto" w:sz="4" w:space="0"/>
            </w:tcBorders>
            <w:shd w:val="clear" w:color="auto" w:fill="auto"/>
            <w:vAlign w:val="center"/>
          </w:tcPr>
          <w:p w14:paraId="75AB3348">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间</w:t>
            </w:r>
          </w:p>
        </w:tc>
        <w:tc>
          <w:tcPr>
            <w:tcW w:w="572" w:type="pct"/>
            <w:tcBorders>
              <w:top w:val="nil"/>
              <w:left w:val="nil"/>
              <w:bottom w:val="single" w:color="auto" w:sz="4" w:space="0"/>
              <w:right w:val="single" w:color="auto" w:sz="4" w:space="0"/>
            </w:tcBorders>
            <w:shd w:val="clear" w:color="auto" w:fill="auto"/>
            <w:vAlign w:val="center"/>
          </w:tcPr>
          <w:p w14:paraId="43DB4F43">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r w14:paraId="71C7569C">
        <w:tblPrEx>
          <w:tblCellMar>
            <w:top w:w="0" w:type="dxa"/>
            <w:left w:w="108" w:type="dxa"/>
            <w:bottom w:w="0" w:type="dxa"/>
            <w:right w:w="108" w:type="dxa"/>
          </w:tblCellMar>
        </w:tblPrEx>
        <w:trPr>
          <w:trHeight w:val="330" w:hRule="atLeast"/>
        </w:trPr>
        <w:tc>
          <w:tcPr>
            <w:tcW w:w="5000" w:type="pct"/>
            <w:gridSpan w:val="6"/>
            <w:tcBorders>
              <w:top w:val="nil"/>
              <w:left w:val="single" w:color="auto" w:sz="4" w:space="0"/>
              <w:bottom w:val="single" w:color="auto" w:sz="4" w:space="0"/>
              <w:right w:val="single" w:color="auto" w:sz="4" w:space="0"/>
            </w:tcBorders>
            <w:shd w:val="clear" w:color="auto" w:fill="auto"/>
            <w:vAlign w:val="center"/>
          </w:tcPr>
          <w:p w14:paraId="780BA50A">
            <w:pPr>
              <w:widowControl/>
              <w:jc w:val="left"/>
              <w:rPr>
                <w:rFonts w:ascii="微软雅黑" w:hAnsi="微软雅黑" w:eastAsia="微软雅黑" w:cs="宋体"/>
                <w:b/>
                <w:bCs/>
                <w:color w:val="000000"/>
                <w:kern w:val="0"/>
                <w:sz w:val="24"/>
                <w:szCs w:val="24"/>
              </w:rPr>
            </w:pPr>
            <w:r>
              <w:rPr>
                <w:rFonts w:hint="eastAsia" w:ascii="微软雅黑" w:hAnsi="微软雅黑" w:eastAsia="微软雅黑" w:cs="宋体"/>
                <w:b/>
                <w:bCs/>
                <w:color w:val="000000"/>
                <w:kern w:val="0"/>
                <w:sz w:val="24"/>
                <w:szCs w:val="24"/>
              </w:rPr>
              <w:t>四、教室多媒体中控系统</w:t>
            </w:r>
          </w:p>
        </w:tc>
      </w:tr>
      <w:tr w14:paraId="4E9C0D5E">
        <w:tblPrEx>
          <w:tblCellMar>
            <w:top w:w="0" w:type="dxa"/>
            <w:left w:w="108" w:type="dxa"/>
            <w:bottom w:w="0" w:type="dxa"/>
            <w:right w:w="108" w:type="dxa"/>
          </w:tblCellMar>
        </w:tblPrEx>
        <w:trPr>
          <w:trHeight w:val="1000" w:hRule="atLeast"/>
        </w:trPr>
        <w:tc>
          <w:tcPr>
            <w:tcW w:w="423" w:type="pct"/>
            <w:tcBorders>
              <w:top w:val="nil"/>
              <w:left w:val="single" w:color="auto" w:sz="4" w:space="0"/>
              <w:bottom w:val="single" w:color="auto" w:sz="4" w:space="0"/>
              <w:right w:val="single" w:color="auto" w:sz="4" w:space="0"/>
            </w:tcBorders>
            <w:shd w:val="clear" w:color="auto" w:fill="auto"/>
            <w:vAlign w:val="center"/>
          </w:tcPr>
          <w:p w14:paraId="075280C2">
            <w:pPr>
              <w:widowControl/>
              <w:jc w:val="center"/>
              <w:rPr>
                <w:rFonts w:ascii="Verdana" w:hAnsi="Verdana" w:cs="宋体"/>
                <w:b/>
                <w:bCs/>
                <w:color w:val="000000"/>
                <w:kern w:val="0"/>
                <w:sz w:val="24"/>
                <w:szCs w:val="24"/>
              </w:rPr>
            </w:pPr>
            <w:r>
              <w:rPr>
                <w:rFonts w:ascii="Verdana" w:hAnsi="Verdana" w:cs="宋体"/>
                <w:b/>
                <w:bCs/>
                <w:color w:val="000000"/>
                <w:kern w:val="0"/>
                <w:sz w:val="24"/>
                <w:szCs w:val="24"/>
              </w:rPr>
              <w:t>1</w:t>
            </w:r>
          </w:p>
        </w:tc>
        <w:tc>
          <w:tcPr>
            <w:tcW w:w="913" w:type="pct"/>
            <w:tcBorders>
              <w:top w:val="nil"/>
              <w:left w:val="nil"/>
              <w:bottom w:val="single" w:color="auto" w:sz="4" w:space="0"/>
              <w:right w:val="single" w:color="auto" w:sz="4" w:space="0"/>
            </w:tcBorders>
            <w:shd w:val="clear" w:color="auto" w:fill="auto"/>
            <w:vAlign w:val="center"/>
          </w:tcPr>
          <w:p w14:paraId="03223D1D">
            <w:pPr>
              <w:widowControl/>
              <w:jc w:val="left"/>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教室多媒体中控</w:t>
            </w:r>
          </w:p>
        </w:tc>
        <w:tc>
          <w:tcPr>
            <w:tcW w:w="2217" w:type="pct"/>
            <w:tcBorders>
              <w:top w:val="nil"/>
              <w:left w:val="nil"/>
              <w:bottom w:val="single" w:color="auto" w:sz="4" w:space="0"/>
              <w:right w:val="single" w:color="auto" w:sz="4" w:space="0"/>
            </w:tcBorders>
            <w:shd w:val="clear" w:color="auto" w:fill="auto"/>
            <w:vAlign w:val="center"/>
          </w:tcPr>
          <w:p w14:paraId="34DD3DC3">
            <w:pPr>
              <w:widowControl/>
              <w:jc w:val="left"/>
              <w:rPr>
                <w:rFonts w:ascii="宋体" w:hAnsi="宋体" w:eastAsia="宋体" w:cs="宋体"/>
                <w:kern w:val="0"/>
                <w:sz w:val="20"/>
                <w:szCs w:val="20"/>
                <w:highlight w:val="yellow"/>
              </w:rPr>
            </w:pPr>
            <w:r>
              <w:rPr>
                <w:rFonts w:hint="eastAsia" w:ascii="宋体" w:hAnsi="宋体" w:eastAsia="宋体" w:cs="宋体"/>
                <w:kern w:val="0"/>
                <w:sz w:val="20"/>
                <w:szCs w:val="20"/>
              </w:rPr>
              <w:t>一、中控主机；</w:t>
            </w:r>
            <w:r>
              <w:rPr>
                <w:rFonts w:hint="eastAsia" w:ascii="宋体" w:hAnsi="宋体" w:eastAsia="宋体" w:cs="宋体"/>
                <w:kern w:val="0"/>
                <w:sz w:val="20"/>
                <w:szCs w:val="20"/>
              </w:rPr>
              <w:br w:type="textWrapping"/>
            </w:r>
            <w:r>
              <w:rPr>
                <w:rFonts w:hint="eastAsia" w:ascii="宋体" w:hAnsi="宋体" w:eastAsia="宋体" w:cs="宋体"/>
                <w:kern w:val="0"/>
                <w:sz w:val="20"/>
                <w:szCs w:val="20"/>
                <w:highlight w:val="yellow"/>
              </w:rPr>
              <w:t>1.采用不小于1.2U标准机架式结构，支持WEB页面配置功能，可根据现场需要，对接口和模块进行优化配置，以满足不同控制需求。</w:t>
            </w:r>
            <w:r>
              <w:rPr>
                <w:rFonts w:hint="eastAsia" w:ascii="宋体" w:hAnsi="宋体" w:eastAsia="宋体" w:cs="宋体"/>
                <w:kern w:val="0"/>
                <w:sz w:val="20"/>
                <w:szCs w:val="20"/>
              </w:rPr>
              <w:br w:type="textWrapping"/>
            </w:r>
            <w:r>
              <w:rPr>
                <w:rFonts w:hint="eastAsia" w:ascii="宋体" w:hAnsi="宋体" w:eastAsia="宋体" w:cs="宋体"/>
                <w:kern w:val="0"/>
                <w:sz w:val="20"/>
                <w:szCs w:val="20"/>
              </w:rPr>
              <w:t>2.具备4X4路HDMI交叉4K矩阵，可实现同显或异显，及内置音视频分离功能。HDMI输入接口≥4.路，HDMI输出接口≥4路，其中1路HDMI高清口内置具备投影机防盗功能。</w:t>
            </w:r>
            <w:r>
              <w:rPr>
                <w:rFonts w:hint="eastAsia" w:ascii="宋体" w:hAnsi="宋体" w:eastAsia="宋体" w:cs="宋体"/>
                <w:kern w:val="0"/>
                <w:sz w:val="20"/>
                <w:szCs w:val="20"/>
              </w:rPr>
              <w:br w:type="textWrapping"/>
            </w:r>
            <w:r>
              <w:rPr>
                <w:rFonts w:hint="eastAsia" w:ascii="宋体" w:hAnsi="宋体" w:eastAsia="宋体" w:cs="宋体"/>
                <w:kern w:val="0"/>
                <w:sz w:val="20"/>
                <w:szCs w:val="20"/>
              </w:rPr>
              <w:t>3.具备4路交换机网络通讯接口，采用TCP/IP网络通讯协议，支持静态、DHCP动态两种IP地址分配模式，支持跨网段通讯。</w:t>
            </w:r>
            <w:r>
              <w:rPr>
                <w:rFonts w:hint="eastAsia" w:ascii="宋体" w:hAnsi="宋体" w:eastAsia="宋体" w:cs="宋体"/>
                <w:kern w:val="0"/>
                <w:sz w:val="20"/>
                <w:szCs w:val="20"/>
              </w:rPr>
              <w:br w:type="textWrapping"/>
            </w:r>
            <w:r>
              <w:rPr>
                <w:rFonts w:hint="eastAsia" w:ascii="宋体" w:hAnsi="宋体" w:eastAsia="宋体" w:cs="宋体"/>
                <w:kern w:val="0"/>
                <w:sz w:val="20"/>
                <w:szCs w:val="20"/>
              </w:rPr>
              <w:t>4.主板集成IPV6模块并兼容IPV4,方便后期学校网络升级改造。</w:t>
            </w:r>
            <w:r>
              <w:rPr>
                <w:rFonts w:hint="eastAsia" w:ascii="宋体" w:hAnsi="宋体" w:eastAsia="宋体" w:cs="宋体"/>
                <w:kern w:val="0"/>
                <w:sz w:val="20"/>
                <w:szCs w:val="20"/>
              </w:rPr>
              <w:br w:type="textWrapping"/>
            </w:r>
            <w:r>
              <w:rPr>
                <w:rFonts w:hint="eastAsia" w:ascii="宋体" w:hAnsi="宋体" w:eastAsia="宋体" w:cs="宋体"/>
                <w:kern w:val="0"/>
                <w:sz w:val="20"/>
                <w:szCs w:val="20"/>
              </w:rPr>
              <w:t>5.支持≥8路RS232控制口，≥1路RS485接口，具备≥2路I/O备用接口，≥2路电子锁接口。</w:t>
            </w:r>
            <w:r>
              <w:rPr>
                <w:rFonts w:hint="eastAsia" w:ascii="宋体" w:hAnsi="宋体" w:eastAsia="宋体" w:cs="宋体"/>
                <w:kern w:val="0"/>
                <w:sz w:val="20"/>
                <w:szCs w:val="20"/>
              </w:rPr>
              <w:br w:type="textWrapping"/>
            </w:r>
            <w:r>
              <w:rPr>
                <w:rFonts w:hint="eastAsia" w:ascii="宋体" w:hAnsi="宋体" w:eastAsia="宋体" w:cs="宋体"/>
                <w:kern w:val="0"/>
                <w:sz w:val="20"/>
                <w:szCs w:val="20"/>
              </w:rPr>
              <w:t>6.支持≥2路220V时序电源输出接口，≥2路幕布控制升降电源接口。1路220v电源输入接口。</w:t>
            </w:r>
            <w:r>
              <w:rPr>
                <w:rFonts w:hint="eastAsia" w:ascii="宋体" w:hAnsi="宋体" w:eastAsia="宋体" w:cs="宋体"/>
                <w:kern w:val="0"/>
                <w:sz w:val="20"/>
                <w:szCs w:val="20"/>
              </w:rPr>
              <w:br w:type="textWrapping"/>
            </w:r>
            <w:r>
              <w:rPr>
                <w:rFonts w:hint="eastAsia" w:ascii="宋体" w:hAnsi="宋体" w:eastAsia="宋体" w:cs="宋体"/>
                <w:kern w:val="0"/>
                <w:sz w:val="20"/>
                <w:szCs w:val="20"/>
              </w:rPr>
              <w:t>7.支持一键开关机功能。在脱网的情况下，也不影响单机使用。</w:t>
            </w:r>
            <w:r>
              <w:rPr>
                <w:rFonts w:hint="eastAsia" w:ascii="宋体" w:hAnsi="宋体" w:eastAsia="宋体" w:cs="宋体"/>
                <w:kern w:val="0"/>
                <w:sz w:val="20"/>
                <w:szCs w:val="20"/>
              </w:rPr>
              <w:br w:type="textWrapping"/>
            </w:r>
            <w:r>
              <w:rPr>
                <w:rFonts w:ascii="宋体" w:hAnsi="宋体" w:eastAsia="宋体" w:cs="宋体"/>
                <w:kern w:val="0"/>
                <w:sz w:val="20"/>
                <w:szCs w:val="20"/>
                <w:highlight w:val="yellow"/>
              </w:rPr>
              <w:t>二、中控触摸面板</w:t>
            </w:r>
          </w:p>
          <w:p w14:paraId="26972727">
            <w:pPr>
              <w:widowControl/>
              <w:jc w:val="left"/>
              <w:rPr>
                <w:rFonts w:ascii="宋体" w:hAnsi="宋体" w:eastAsia="宋体" w:cs="宋体"/>
                <w:kern w:val="0"/>
                <w:sz w:val="20"/>
                <w:szCs w:val="20"/>
                <w:highlight w:val="yellow"/>
              </w:rPr>
            </w:pPr>
            <w:r>
              <w:rPr>
                <w:rFonts w:ascii="宋体" w:hAnsi="宋体" w:eastAsia="宋体" w:cs="宋体"/>
                <w:kern w:val="0"/>
                <w:sz w:val="20"/>
                <w:szCs w:val="20"/>
                <w:highlight w:val="yellow"/>
              </w:rPr>
              <w:t>1.按键面板设有刷卡区域，方便用户IC卡刷卡操作。</w:t>
            </w:r>
          </w:p>
          <w:p w14:paraId="270AE13A">
            <w:pPr>
              <w:widowControl/>
              <w:jc w:val="left"/>
              <w:rPr>
                <w:rFonts w:ascii="宋体" w:hAnsi="宋体" w:eastAsia="宋体" w:cs="宋体"/>
                <w:kern w:val="0"/>
                <w:sz w:val="20"/>
                <w:szCs w:val="20"/>
                <w:highlight w:val="yellow"/>
              </w:rPr>
            </w:pPr>
            <w:r>
              <w:rPr>
                <w:rFonts w:ascii="宋体" w:hAnsi="宋体" w:eastAsia="宋体" w:cs="宋体"/>
                <w:kern w:val="0"/>
                <w:sz w:val="20"/>
                <w:szCs w:val="20"/>
                <w:highlight w:val="yellow"/>
              </w:rPr>
              <w:t>2.通过按键面板，可一键开关机，面板带有时钟功能。</w:t>
            </w:r>
          </w:p>
          <w:p w14:paraId="64974BF9">
            <w:pPr>
              <w:widowControl/>
              <w:jc w:val="left"/>
              <w:rPr>
                <w:rFonts w:ascii="宋体" w:hAnsi="宋体" w:eastAsia="宋体" w:cs="宋体"/>
                <w:kern w:val="0"/>
                <w:sz w:val="20"/>
                <w:szCs w:val="20"/>
              </w:rPr>
            </w:pPr>
            <w:r>
              <w:rPr>
                <w:rFonts w:ascii="宋体" w:hAnsi="宋体" w:eastAsia="宋体" w:cs="宋体"/>
                <w:kern w:val="0"/>
                <w:sz w:val="20"/>
                <w:szCs w:val="20"/>
              </w:rPr>
              <w:t>三、管控平台；</w:t>
            </w:r>
          </w:p>
          <w:p w14:paraId="1B4A8733">
            <w:pPr>
              <w:widowControl/>
              <w:jc w:val="left"/>
              <w:rPr>
                <w:rFonts w:ascii="宋体" w:hAnsi="宋体" w:eastAsia="宋体" w:cs="宋体"/>
                <w:kern w:val="0"/>
                <w:sz w:val="20"/>
                <w:szCs w:val="20"/>
              </w:rPr>
            </w:pPr>
            <w:r>
              <w:rPr>
                <w:rFonts w:ascii="宋体" w:hAnsi="宋体" w:eastAsia="宋体" w:cs="宋体"/>
                <w:kern w:val="0"/>
                <w:sz w:val="20"/>
                <w:szCs w:val="20"/>
              </w:rPr>
              <w:t>1．登录后首页需简洁，方便，直观，具备，教室管控、平台系统管理，等模块。</w:t>
            </w:r>
          </w:p>
          <w:p w14:paraId="15315DB0">
            <w:pPr>
              <w:widowControl/>
              <w:jc w:val="left"/>
              <w:rPr>
                <w:rFonts w:ascii="宋体" w:hAnsi="宋体" w:eastAsia="宋体" w:cs="宋体"/>
                <w:kern w:val="0"/>
                <w:sz w:val="20"/>
                <w:szCs w:val="20"/>
              </w:rPr>
            </w:pPr>
            <w:r>
              <w:rPr>
                <w:rFonts w:ascii="宋体" w:hAnsi="宋体" w:eastAsia="宋体" w:cs="宋体"/>
                <w:kern w:val="0"/>
                <w:sz w:val="20"/>
                <w:szCs w:val="20"/>
              </w:rPr>
              <w:t>2．管控界面：上课, 空闲, 离线, 报修，教室设备的四大运行状态。在同一界面实现远程对教室：中控、投影机、电脑、大屏及信号源，进行控制和切换。</w:t>
            </w:r>
          </w:p>
          <w:p w14:paraId="21E3D838">
            <w:pPr>
              <w:widowControl/>
              <w:jc w:val="left"/>
              <w:rPr>
                <w:rFonts w:ascii="宋体" w:hAnsi="宋体" w:eastAsia="宋体" w:cs="宋体"/>
                <w:kern w:val="0"/>
                <w:sz w:val="20"/>
                <w:szCs w:val="20"/>
              </w:rPr>
            </w:pPr>
            <w:r>
              <w:rPr>
                <w:rFonts w:ascii="宋体" w:hAnsi="宋体" w:eastAsia="宋体" w:cs="宋体"/>
                <w:kern w:val="0"/>
                <w:sz w:val="20"/>
                <w:szCs w:val="20"/>
              </w:rPr>
              <w:t>3.任务计划.根据学校习惯设定教室设备如（中控，投影，大屏，幕布等），设定统一自动开关机时间，可分别对楼层，楼栋，全部教室等，通过后台即可设定。</w:t>
            </w:r>
          </w:p>
          <w:p w14:paraId="538F4292">
            <w:pPr>
              <w:widowControl/>
              <w:jc w:val="left"/>
              <w:rPr>
                <w:rFonts w:ascii="宋体" w:hAnsi="宋体" w:eastAsia="宋体" w:cs="宋体"/>
                <w:kern w:val="0"/>
                <w:sz w:val="20"/>
                <w:szCs w:val="20"/>
              </w:rPr>
            </w:pPr>
            <w:r>
              <w:rPr>
                <w:rFonts w:ascii="宋体" w:hAnsi="宋体" w:eastAsia="宋体" w:cs="宋体"/>
                <w:kern w:val="0"/>
                <w:sz w:val="20"/>
                <w:szCs w:val="20"/>
              </w:rPr>
              <w:t>4.点击教室详情，可通过拉取现有前后摄像头，对教室实时视频查看，也可拉取授课老师PC流，查看授课内容。教室详情内有历史报修处理情况，故障日志，各类设备参数，使用情况等。</w:t>
            </w:r>
          </w:p>
        </w:tc>
        <w:tc>
          <w:tcPr>
            <w:tcW w:w="469" w:type="pct"/>
            <w:tcBorders>
              <w:top w:val="nil"/>
              <w:left w:val="nil"/>
              <w:bottom w:val="single" w:color="auto" w:sz="4" w:space="0"/>
              <w:right w:val="single" w:color="auto" w:sz="4" w:space="0"/>
            </w:tcBorders>
            <w:shd w:val="clear" w:color="auto" w:fill="auto"/>
            <w:vAlign w:val="center"/>
          </w:tcPr>
          <w:p w14:paraId="39F9CE5B">
            <w:pPr>
              <w:widowControl/>
              <w:jc w:val="center"/>
              <w:rPr>
                <w:rFonts w:ascii="Verdana" w:hAnsi="Verdana" w:cs="宋体"/>
                <w:color w:val="000000"/>
                <w:kern w:val="0"/>
                <w:sz w:val="24"/>
                <w:szCs w:val="24"/>
              </w:rPr>
            </w:pPr>
            <w:r>
              <w:rPr>
                <w:rFonts w:ascii="Verdana" w:hAnsi="Verdana" w:cs="宋体"/>
                <w:color w:val="000000"/>
                <w:kern w:val="0"/>
                <w:sz w:val="24"/>
                <w:szCs w:val="24"/>
              </w:rPr>
              <w:t>60</w:t>
            </w:r>
          </w:p>
        </w:tc>
        <w:tc>
          <w:tcPr>
            <w:tcW w:w="406" w:type="pct"/>
            <w:tcBorders>
              <w:top w:val="nil"/>
              <w:left w:val="nil"/>
              <w:bottom w:val="single" w:color="auto" w:sz="4" w:space="0"/>
              <w:right w:val="single" w:color="auto" w:sz="4" w:space="0"/>
            </w:tcBorders>
            <w:shd w:val="clear" w:color="auto" w:fill="auto"/>
            <w:vAlign w:val="center"/>
          </w:tcPr>
          <w:p w14:paraId="3F6E5871">
            <w:pPr>
              <w:widowControl/>
              <w:jc w:val="center"/>
              <w:rPr>
                <w:rFonts w:ascii="微软雅黑" w:hAnsi="微软雅黑" w:eastAsia="微软雅黑" w:cs="宋体"/>
                <w:color w:val="000000"/>
                <w:kern w:val="0"/>
                <w:sz w:val="24"/>
                <w:szCs w:val="24"/>
              </w:rPr>
            </w:pPr>
            <w:r>
              <w:rPr>
                <w:rFonts w:hint="eastAsia" w:ascii="微软雅黑" w:hAnsi="微软雅黑" w:eastAsia="微软雅黑" w:cs="宋体"/>
                <w:color w:val="000000"/>
                <w:kern w:val="0"/>
                <w:sz w:val="24"/>
                <w:szCs w:val="24"/>
              </w:rPr>
              <w:t>间</w:t>
            </w:r>
          </w:p>
        </w:tc>
        <w:tc>
          <w:tcPr>
            <w:tcW w:w="572" w:type="pct"/>
            <w:tcBorders>
              <w:top w:val="nil"/>
              <w:left w:val="nil"/>
              <w:bottom w:val="single" w:color="auto" w:sz="4" w:space="0"/>
              <w:right w:val="single" w:color="auto" w:sz="4" w:space="0"/>
            </w:tcBorders>
            <w:shd w:val="clear" w:color="auto" w:fill="auto"/>
            <w:vAlign w:val="center"/>
          </w:tcPr>
          <w:p w14:paraId="0743C9A9">
            <w:pPr>
              <w:widowControl/>
              <w:jc w:val="center"/>
              <w:rPr>
                <w:rFonts w:ascii="Verdana" w:hAnsi="Verdana" w:cs="宋体"/>
                <w:color w:val="000000"/>
                <w:kern w:val="0"/>
                <w:sz w:val="24"/>
                <w:szCs w:val="24"/>
              </w:rPr>
            </w:pPr>
            <w:r>
              <w:rPr>
                <w:rFonts w:hint="eastAsia" w:ascii="Verdana" w:hAnsi="Verdana" w:cs="宋体"/>
                <w:color w:val="000000"/>
                <w:kern w:val="0"/>
                <w:sz w:val="24"/>
                <w:szCs w:val="24"/>
              </w:rPr>
              <w:t>无</w:t>
            </w:r>
          </w:p>
        </w:tc>
      </w:tr>
    </w:tbl>
    <w:p w14:paraId="29BEC529">
      <w:pPr>
        <w:spacing w:line="360" w:lineRule="auto"/>
        <w:ind w:firstLine="424" w:firstLineChars="177"/>
        <w:rPr>
          <w:rFonts w:ascii="宋体" w:hAnsi="宋体" w:eastAsia="宋体" w:cs="Arial Unicode MS"/>
          <w:sz w:val="24"/>
          <w:szCs w:val="24"/>
        </w:rPr>
      </w:pPr>
      <w:r>
        <w:rPr>
          <w:rFonts w:hint="eastAsia" w:ascii="宋体" w:hAnsi="宋体" w:eastAsia="宋体"/>
          <w:sz w:val="24"/>
          <w:szCs w:val="24"/>
        </w:rPr>
        <w:t>★</w:t>
      </w:r>
      <w:r>
        <w:rPr>
          <w:rFonts w:hint="eastAsia" w:ascii="宋体" w:hAnsi="宋体" w:eastAsia="宋体" w:cs="Arial Unicode MS"/>
          <w:sz w:val="24"/>
          <w:szCs w:val="24"/>
        </w:rPr>
        <w:t>注：本项目为交钥匙工程。包含施工及施工需要的线材辅料。以及包含安装保密室甲级防盗门一套。</w:t>
      </w:r>
    </w:p>
    <w:p w14:paraId="30F2110C">
      <w:pPr>
        <w:spacing w:line="360" w:lineRule="auto"/>
        <w:ind w:firstLine="560" w:firstLineChars="200"/>
        <w:rPr>
          <w:rFonts w:ascii="黑体" w:hAnsi="黑体" w:eastAsia="黑体"/>
          <w:sz w:val="28"/>
          <w:szCs w:val="28"/>
        </w:rPr>
      </w:pPr>
      <w:r>
        <w:rPr>
          <w:rFonts w:hint="eastAsia" w:ascii="黑体" w:hAnsi="黑体" w:eastAsia="黑体"/>
          <w:sz w:val="28"/>
          <w:szCs w:val="28"/>
        </w:rPr>
        <w:t>五、商务要求</w:t>
      </w:r>
      <w:r>
        <w:rPr>
          <w:rFonts w:ascii="黑体" w:hAnsi="黑体" w:eastAsia="黑体"/>
          <w:sz w:val="28"/>
          <w:szCs w:val="28"/>
        </w:rPr>
        <w:t xml:space="preserve">  </w:t>
      </w:r>
    </w:p>
    <w:p w14:paraId="6DF230DB">
      <w:pPr>
        <w:spacing w:line="360" w:lineRule="auto"/>
        <w:ind w:firstLine="480" w:firstLineChars="200"/>
        <w:rPr>
          <w:rFonts w:ascii="宋体" w:hAnsi="宋体" w:eastAsia="宋体"/>
          <w:sz w:val="24"/>
          <w:szCs w:val="24"/>
        </w:rPr>
      </w:pPr>
      <w:r>
        <w:rPr>
          <w:rFonts w:hint="eastAsia" w:ascii="宋体" w:hAnsi="宋体" w:eastAsia="宋体"/>
          <w:sz w:val="24"/>
          <w:szCs w:val="24"/>
        </w:rPr>
        <w:t>（一）</w:t>
      </w:r>
      <w:r>
        <w:rPr>
          <w:rFonts w:ascii="宋体" w:hAnsi="宋体" w:eastAsia="宋体"/>
          <w:sz w:val="24"/>
          <w:szCs w:val="24"/>
        </w:rPr>
        <w:t xml:space="preserve"> 服务要求</w:t>
      </w:r>
    </w:p>
    <w:p w14:paraId="352870CE">
      <w:pPr>
        <w:spacing w:line="360" w:lineRule="auto"/>
        <w:ind w:firstLine="424" w:firstLineChars="177"/>
        <w:rPr>
          <w:rFonts w:ascii="宋体" w:hAnsi="宋体" w:eastAsia="宋体" w:cs="Arial Unicode MS"/>
          <w:sz w:val="24"/>
          <w:szCs w:val="24"/>
        </w:rPr>
      </w:pPr>
      <w:r>
        <w:rPr>
          <w:rFonts w:hint="eastAsia" w:ascii="宋体" w:hAnsi="宋体" w:eastAsia="宋体" w:cs="Arial Unicode MS"/>
          <w:sz w:val="24"/>
          <w:szCs w:val="24"/>
        </w:rPr>
        <w:t>1.供应商对所投产品提供至少</w:t>
      </w:r>
      <w:r>
        <w:rPr>
          <w:rFonts w:ascii="宋体" w:hAnsi="宋体" w:eastAsia="宋体" w:cs="Arial Unicode MS"/>
          <w:sz w:val="24"/>
          <w:szCs w:val="24"/>
        </w:rPr>
        <w:t>5</w:t>
      </w:r>
      <w:r>
        <w:rPr>
          <w:rFonts w:hint="eastAsia" w:ascii="宋体" w:hAnsi="宋体" w:eastAsia="宋体" w:cs="Arial Unicode MS"/>
          <w:sz w:val="24"/>
          <w:szCs w:val="24"/>
        </w:rPr>
        <w:t>年的免费上门保修。保修期内，免费技术支持，免费更换零配件，7×24小时技术响应，4小时内维修工程师到达维修现场。保修期自验收合格之日起计算。</w:t>
      </w:r>
    </w:p>
    <w:p w14:paraId="6B7C556B">
      <w:pPr>
        <w:spacing w:line="360" w:lineRule="auto"/>
        <w:ind w:firstLine="424" w:firstLineChars="177"/>
        <w:rPr>
          <w:rFonts w:ascii="宋体" w:hAnsi="宋体" w:eastAsia="宋体" w:cs="Arial Unicode MS"/>
          <w:sz w:val="24"/>
          <w:szCs w:val="24"/>
        </w:rPr>
      </w:pPr>
      <w:r>
        <w:rPr>
          <w:rFonts w:hint="eastAsia" w:ascii="宋体" w:hAnsi="宋体" w:eastAsia="宋体" w:cs="Arial Unicode MS"/>
          <w:sz w:val="24"/>
          <w:szCs w:val="24"/>
        </w:rPr>
        <w:t>2.由供应商为用户提供现场技术培训，涵盖产品的原理、操作、维护、维修和保养等相关培训；供应商为用户提供产品终身技术服务。</w:t>
      </w:r>
    </w:p>
    <w:p w14:paraId="1BE5C7C2">
      <w:pPr>
        <w:spacing w:line="360" w:lineRule="auto"/>
        <w:ind w:firstLine="424" w:firstLineChars="177"/>
        <w:rPr>
          <w:rFonts w:ascii="宋体" w:hAnsi="宋体" w:eastAsia="宋体" w:cs="Arial Unicode MS"/>
          <w:sz w:val="24"/>
          <w:szCs w:val="24"/>
        </w:rPr>
      </w:pPr>
      <w:r>
        <w:rPr>
          <w:rFonts w:hint="eastAsia" w:ascii="宋体" w:hAnsi="宋体" w:eastAsia="宋体" w:cs="Arial Unicode MS"/>
          <w:sz w:val="24"/>
          <w:szCs w:val="24"/>
        </w:rPr>
        <w:t>3.在任何时候，供应商均不能免除因产品本身的缺陷所应付的责任。供应商有义务对所提供的货物实行终身维护和对产品进行定期的检测与维护。</w:t>
      </w:r>
    </w:p>
    <w:p w14:paraId="592D27E1">
      <w:pPr>
        <w:spacing w:line="360" w:lineRule="auto"/>
        <w:ind w:firstLine="424" w:firstLineChars="177"/>
        <w:rPr>
          <w:rFonts w:ascii="宋体" w:hAnsi="宋体" w:eastAsia="宋体" w:cs="Arial Unicode MS"/>
          <w:sz w:val="24"/>
          <w:szCs w:val="24"/>
        </w:rPr>
      </w:pPr>
      <w:r>
        <w:rPr>
          <w:rFonts w:hint="eastAsia" w:ascii="宋体" w:hAnsi="宋体" w:eastAsia="宋体" w:cs="Arial Unicode MS"/>
          <w:sz w:val="24"/>
          <w:szCs w:val="24"/>
        </w:rPr>
        <w:t>4.其他内容要求详见项目需求书。</w:t>
      </w:r>
    </w:p>
    <w:p w14:paraId="347E94DA">
      <w:pPr>
        <w:spacing w:line="360" w:lineRule="auto"/>
        <w:ind w:firstLine="480" w:firstLineChars="200"/>
        <w:rPr>
          <w:rFonts w:ascii="宋体" w:hAnsi="宋体" w:eastAsia="宋体"/>
          <w:sz w:val="24"/>
          <w:szCs w:val="24"/>
        </w:rPr>
      </w:pPr>
      <w:r>
        <w:rPr>
          <w:rFonts w:hint="eastAsia" w:ascii="宋体" w:hAnsi="宋体" w:eastAsia="宋体"/>
          <w:sz w:val="24"/>
          <w:szCs w:val="24"/>
        </w:rPr>
        <w:t>（二）</w:t>
      </w:r>
      <w:r>
        <w:rPr>
          <w:rFonts w:ascii="宋体" w:hAnsi="宋体" w:eastAsia="宋体"/>
          <w:sz w:val="24"/>
          <w:szCs w:val="24"/>
        </w:rPr>
        <w:t xml:space="preserve"> 工期、施工地点要求</w:t>
      </w:r>
    </w:p>
    <w:p w14:paraId="77214031">
      <w:pPr>
        <w:spacing w:line="360" w:lineRule="auto"/>
        <w:ind w:firstLine="480" w:firstLineChars="200"/>
        <w:rPr>
          <w:rFonts w:ascii="宋体" w:hAnsi="宋体" w:eastAsia="宋体"/>
          <w:sz w:val="24"/>
          <w:szCs w:val="24"/>
        </w:rPr>
      </w:pPr>
      <w:r>
        <w:rPr>
          <w:rFonts w:hint="eastAsia" w:ascii="宋体" w:hAnsi="宋体" w:eastAsia="宋体"/>
          <w:sz w:val="24"/>
          <w:szCs w:val="24"/>
        </w:rPr>
        <w:t>货到：签订合同之日起</w:t>
      </w:r>
      <w:r>
        <w:rPr>
          <w:rFonts w:ascii="宋体" w:hAnsi="宋体" w:eastAsia="宋体"/>
          <w:sz w:val="24"/>
          <w:szCs w:val="24"/>
        </w:rPr>
        <w:t>15日内（特殊情况以合同为准）。</w:t>
      </w:r>
    </w:p>
    <w:p w14:paraId="51A87F33">
      <w:pPr>
        <w:spacing w:line="360" w:lineRule="auto"/>
        <w:ind w:firstLine="480" w:firstLineChars="200"/>
        <w:rPr>
          <w:rFonts w:ascii="宋体" w:hAnsi="宋体" w:eastAsia="宋体"/>
          <w:sz w:val="24"/>
          <w:szCs w:val="24"/>
        </w:rPr>
      </w:pPr>
      <w:r>
        <w:rPr>
          <w:rFonts w:ascii="宋体" w:hAnsi="宋体" w:eastAsia="宋体"/>
          <w:sz w:val="24"/>
          <w:szCs w:val="24"/>
        </w:rPr>
        <w:t>安装（施工）完成：货到之日起30日内（特殊情况以合同为准）。</w:t>
      </w:r>
    </w:p>
    <w:p w14:paraId="14A53C33">
      <w:pPr>
        <w:spacing w:line="360" w:lineRule="auto"/>
        <w:ind w:firstLine="480" w:firstLineChars="200"/>
        <w:rPr>
          <w:rFonts w:ascii="宋体" w:hAnsi="宋体" w:eastAsia="宋体"/>
          <w:sz w:val="24"/>
          <w:szCs w:val="24"/>
        </w:rPr>
      </w:pPr>
      <w:r>
        <w:rPr>
          <w:rFonts w:hint="eastAsia" w:ascii="宋体" w:hAnsi="宋体" w:eastAsia="宋体"/>
          <w:sz w:val="24"/>
          <w:szCs w:val="24"/>
        </w:rPr>
        <w:t>（三）付款方式：签订合同之日起15个工作日</w:t>
      </w:r>
      <w:r>
        <w:rPr>
          <w:rFonts w:ascii="宋体" w:hAnsi="宋体" w:eastAsia="宋体"/>
          <w:sz w:val="24"/>
          <w:szCs w:val="24"/>
        </w:rPr>
        <w:t>日内支付合同总额的30%，货到安装调试完成验收合格之日起</w:t>
      </w:r>
      <w:r>
        <w:rPr>
          <w:rFonts w:hint="eastAsia" w:ascii="宋体" w:hAnsi="宋体" w:eastAsia="宋体"/>
          <w:sz w:val="24"/>
          <w:szCs w:val="24"/>
        </w:rPr>
        <w:t>15个工作日</w:t>
      </w:r>
      <w:r>
        <w:rPr>
          <w:rFonts w:ascii="宋体" w:hAnsi="宋体" w:eastAsia="宋体"/>
          <w:sz w:val="24"/>
          <w:szCs w:val="24"/>
        </w:rPr>
        <w:t>内支付合同总额的60%</w:t>
      </w:r>
      <w:r>
        <w:rPr>
          <w:rFonts w:hint="eastAsia" w:ascii="宋体" w:hAnsi="宋体" w:eastAsia="宋体"/>
          <w:sz w:val="24"/>
          <w:szCs w:val="24"/>
        </w:rPr>
        <w:t>，自验收合格之日起1年后15个工作内支付合同总额1</w:t>
      </w:r>
      <w:r>
        <w:rPr>
          <w:rFonts w:ascii="宋体" w:hAnsi="宋体" w:eastAsia="宋体"/>
          <w:sz w:val="24"/>
          <w:szCs w:val="24"/>
        </w:rPr>
        <w:t>0%</w:t>
      </w:r>
      <w:r>
        <w:rPr>
          <w:rFonts w:hint="eastAsia" w:ascii="宋体" w:hAnsi="宋体" w:eastAsia="宋体"/>
          <w:sz w:val="24"/>
          <w:szCs w:val="24"/>
        </w:rPr>
        <w:t>。</w:t>
      </w:r>
    </w:p>
    <w:p w14:paraId="121BFC2B">
      <w:pPr>
        <w:spacing w:line="360" w:lineRule="auto"/>
        <w:rPr>
          <w:rFonts w:ascii="宋体" w:hAnsi="宋体" w:eastAsia="宋体"/>
          <w:sz w:val="24"/>
          <w:szCs w:val="24"/>
        </w:rPr>
      </w:pPr>
      <w:bookmarkStart w:id="0" w:name="_GoBack"/>
      <w:bookmarkEnd w:id="0"/>
    </w:p>
    <w:sectPr>
      <w:footerReference r:id="rId3" w:type="default"/>
      <w:pgSz w:w="11906" w:h="16838"/>
      <w:pgMar w:top="1440" w:right="1133" w:bottom="1440" w:left="1134" w:header="851" w:footer="85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Unicode MS">
    <w:panose1 w:val="020B0604020202020204"/>
    <w:charset w:val="80"/>
    <w:family w:val="swiss"/>
    <w:pitch w:val="default"/>
    <w:sig w:usb0="FFFFFFFF" w:usb1="E9FFFFFF" w:usb2="0000003F" w:usb3="00000000" w:csb0="603F01FF" w:csb1="FFFF0000"/>
  </w:font>
  <w:font w:name="Monaco">
    <w:altName w:val="Courier New"/>
    <w:panose1 w:val="00000000000000000000"/>
    <w:charset w:val="00"/>
    <w:family w:val="auto"/>
    <w:pitch w:val="default"/>
    <w:sig w:usb0="00000000" w:usb1="00000000" w:usb2="00000000" w:usb3="00000000" w:csb0="00000197" w:csb1="00000000"/>
  </w:font>
  <w:font w:name="微软雅黑">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MS Gothic">
    <w:panose1 w:val="020B0609070205080204"/>
    <w:charset w:val="80"/>
    <w:family w:val="modern"/>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1549021"/>
    </w:sdtPr>
    <w:sdtEndPr>
      <w:rPr>
        <w:rFonts w:ascii="宋体" w:hAnsi="宋体" w:eastAsia="宋体"/>
        <w:sz w:val="21"/>
        <w:szCs w:val="21"/>
      </w:rPr>
    </w:sdtEndPr>
    <w:sdtContent>
      <w:p w14:paraId="319373DA">
        <w:pPr>
          <w:pStyle w:val="5"/>
          <w:jc w:val="center"/>
          <w:rPr>
            <w:rFonts w:ascii="宋体" w:hAnsi="宋体" w:eastAsia="宋体"/>
            <w:sz w:val="21"/>
            <w:szCs w:val="21"/>
          </w:rPr>
        </w:pPr>
        <w:r>
          <w:rPr>
            <w:rFonts w:ascii="宋体" w:hAnsi="宋体" w:eastAsia="宋体"/>
            <w:sz w:val="21"/>
            <w:szCs w:val="21"/>
          </w:rPr>
          <w:fldChar w:fldCharType="begin"/>
        </w:r>
        <w:r>
          <w:rPr>
            <w:rFonts w:ascii="宋体" w:hAnsi="宋体" w:eastAsia="宋体"/>
            <w:sz w:val="21"/>
            <w:szCs w:val="21"/>
          </w:rPr>
          <w:instrText xml:space="preserve">PAGE   \* MERGEFORMAT</w:instrText>
        </w:r>
        <w:r>
          <w:rPr>
            <w:rFonts w:ascii="宋体" w:hAnsi="宋体" w:eastAsia="宋体"/>
            <w:sz w:val="21"/>
            <w:szCs w:val="21"/>
          </w:rPr>
          <w:fldChar w:fldCharType="separate"/>
        </w:r>
        <w:r>
          <w:rPr>
            <w:rFonts w:ascii="宋体" w:hAnsi="宋体" w:eastAsia="宋体"/>
            <w:sz w:val="21"/>
            <w:szCs w:val="21"/>
            <w:lang w:val="zh-CN"/>
          </w:rPr>
          <w:t>18</w:t>
        </w:r>
        <w:r>
          <w:rPr>
            <w:rFonts w:ascii="宋体" w:hAnsi="宋体" w:eastAsia="宋体"/>
            <w:sz w:val="21"/>
            <w:szCs w:val="21"/>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7C1881D"/>
    <w:multiLevelType w:val="singleLevel"/>
    <w:tmpl w:val="27C1881D"/>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573"/>
    <w:rsid w:val="000158B8"/>
    <w:rsid w:val="00067348"/>
    <w:rsid w:val="00073762"/>
    <w:rsid w:val="000E63FD"/>
    <w:rsid w:val="00124D95"/>
    <w:rsid w:val="00191B88"/>
    <w:rsid w:val="001C310F"/>
    <w:rsid w:val="0022067A"/>
    <w:rsid w:val="00276F01"/>
    <w:rsid w:val="002955F4"/>
    <w:rsid w:val="002973E8"/>
    <w:rsid w:val="002D00C0"/>
    <w:rsid w:val="002D2739"/>
    <w:rsid w:val="003246D7"/>
    <w:rsid w:val="003F32C5"/>
    <w:rsid w:val="00451CF5"/>
    <w:rsid w:val="00550265"/>
    <w:rsid w:val="005963B5"/>
    <w:rsid w:val="005E411A"/>
    <w:rsid w:val="006904DB"/>
    <w:rsid w:val="0072069A"/>
    <w:rsid w:val="00741941"/>
    <w:rsid w:val="007E7677"/>
    <w:rsid w:val="00850545"/>
    <w:rsid w:val="008B385B"/>
    <w:rsid w:val="008C228E"/>
    <w:rsid w:val="008D4507"/>
    <w:rsid w:val="00934322"/>
    <w:rsid w:val="009458BB"/>
    <w:rsid w:val="009A3ACE"/>
    <w:rsid w:val="009C0CF4"/>
    <w:rsid w:val="009D606B"/>
    <w:rsid w:val="009E5BDD"/>
    <w:rsid w:val="00A40361"/>
    <w:rsid w:val="00A87267"/>
    <w:rsid w:val="00B03699"/>
    <w:rsid w:val="00B20AAD"/>
    <w:rsid w:val="00B34624"/>
    <w:rsid w:val="00B46CBA"/>
    <w:rsid w:val="00B9507B"/>
    <w:rsid w:val="00BE2A68"/>
    <w:rsid w:val="00C31DB2"/>
    <w:rsid w:val="00C508DD"/>
    <w:rsid w:val="00C7068D"/>
    <w:rsid w:val="00C82754"/>
    <w:rsid w:val="00CB6F61"/>
    <w:rsid w:val="00D754E0"/>
    <w:rsid w:val="00DA2777"/>
    <w:rsid w:val="00DB66AD"/>
    <w:rsid w:val="00DC4DB6"/>
    <w:rsid w:val="00DC75B1"/>
    <w:rsid w:val="00E14162"/>
    <w:rsid w:val="00E15411"/>
    <w:rsid w:val="00ED15B1"/>
    <w:rsid w:val="00ED2A62"/>
    <w:rsid w:val="00EF1BCB"/>
    <w:rsid w:val="00F11CEB"/>
    <w:rsid w:val="00F72A9F"/>
    <w:rsid w:val="00F851AA"/>
    <w:rsid w:val="00F94D24"/>
    <w:rsid w:val="00FD3573"/>
    <w:rsid w:val="02B86002"/>
    <w:rsid w:val="02F724B4"/>
    <w:rsid w:val="06190767"/>
    <w:rsid w:val="063129EC"/>
    <w:rsid w:val="0EA0228A"/>
    <w:rsid w:val="105C48D7"/>
    <w:rsid w:val="10790BC3"/>
    <w:rsid w:val="285A7B54"/>
    <w:rsid w:val="2A7C1C44"/>
    <w:rsid w:val="2BB533C1"/>
    <w:rsid w:val="2CAA0284"/>
    <w:rsid w:val="2CBA081F"/>
    <w:rsid w:val="2D8E5F54"/>
    <w:rsid w:val="3D7D1BA8"/>
    <w:rsid w:val="3E5E4853"/>
    <w:rsid w:val="52B53890"/>
    <w:rsid w:val="53D57829"/>
    <w:rsid w:val="54CF06E9"/>
    <w:rsid w:val="60A937F6"/>
    <w:rsid w:val="6789399E"/>
    <w:rsid w:val="74CA0FF0"/>
    <w:rsid w:val="788A006F"/>
    <w:rsid w:val="79B17C70"/>
    <w:rsid w:val="7C831CEC"/>
    <w:rsid w:val="7C9D559C"/>
    <w:rsid w:val="7F7E67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14"/>
    <w:semiHidden/>
    <w:unhideWhenUsed/>
    <w:qFormat/>
    <w:uiPriority w:val="99"/>
    <w:pPr>
      <w:jc w:val="left"/>
    </w:pPr>
  </w:style>
  <w:style w:type="paragraph" w:styleId="3">
    <w:name w:val="Body Text"/>
    <w:basedOn w:val="1"/>
    <w:link w:val="18"/>
    <w:qFormat/>
    <w:uiPriority w:val="0"/>
    <w:pPr>
      <w:spacing w:line="360" w:lineRule="auto"/>
      <w:ind w:firstLine="1440" w:firstLineChars="200"/>
    </w:pPr>
    <w:rPr>
      <w:rFonts w:ascii="Times New Roman" w:hAnsi="Times New Roman" w:eastAsia="宋体" w:cs="Times New Roman"/>
      <w:sz w:val="32"/>
      <w:szCs w:val="20"/>
    </w:rPr>
  </w:style>
  <w:style w:type="paragraph" w:styleId="4">
    <w:name w:val="Balloon Text"/>
    <w:basedOn w:val="1"/>
    <w:link w:val="16"/>
    <w:semiHidden/>
    <w:unhideWhenUsed/>
    <w:qFormat/>
    <w:uiPriority w:val="99"/>
    <w:rPr>
      <w:sz w:val="18"/>
      <w:szCs w:val="18"/>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annotation subject"/>
    <w:basedOn w:val="2"/>
    <w:next w:val="2"/>
    <w:link w:val="15"/>
    <w:semiHidden/>
    <w:unhideWhenUsed/>
    <w:qFormat/>
    <w:uiPriority w:val="99"/>
    <w:rPr>
      <w:b/>
      <w:bCs/>
    </w:rPr>
  </w:style>
  <w:style w:type="table" w:styleId="9">
    <w:name w:val="Table Grid"/>
    <w:basedOn w:val="8"/>
    <w:qFormat/>
    <w:uiPriority w:val="39"/>
    <w:rPr>
      <w14:ligatures w14:val="standardContextua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annotation reference"/>
    <w:basedOn w:val="10"/>
    <w:semiHidden/>
    <w:unhideWhenUsed/>
    <w:qFormat/>
    <w:uiPriority w:val="99"/>
    <w:rPr>
      <w:sz w:val="21"/>
      <w:szCs w:val="21"/>
    </w:rPr>
  </w:style>
  <w:style w:type="character" w:customStyle="1" w:styleId="12">
    <w:name w:val="页眉 字符"/>
    <w:basedOn w:val="10"/>
    <w:link w:val="6"/>
    <w:qFormat/>
    <w:uiPriority w:val="99"/>
    <w:rPr>
      <w:sz w:val="18"/>
      <w:szCs w:val="18"/>
    </w:rPr>
  </w:style>
  <w:style w:type="character" w:customStyle="1" w:styleId="13">
    <w:name w:val="页脚 字符"/>
    <w:basedOn w:val="10"/>
    <w:link w:val="5"/>
    <w:qFormat/>
    <w:uiPriority w:val="99"/>
    <w:rPr>
      <w:sz w:val="18"/>
      <w:szCs w:val="18"/>
    </w:rPr>
  </w:style>
  <w:style w:type="character" w:customStyle="1" w:styleId="14">
    <w:name w:val="批注文字 字符"/>
    <w:basedOn w:val="10"/>
    <w:link w:val="2"/>
    <w:semiHidden/>
    <w:qFormat/>
    <w:uiPriority w:val="99"/>
  </w:style>
  <w:style w:type="character" w:customStyle="1" w:styleId="15">
    <w:name w:val="批注主题 字符"/>
    <w:basedOn w:val="14"/>
    <w:link w:val="7"/>
    <w:semiHidden/>
    <w:qFormat/>
    <w:uiPriority w:val="99"/>
    <w:rPr>
      <w:b/>
      <w:bCs/>
    </w:rPr>
  </w:style>
  <w:style w:type="character" w:customStyle="1" w:styleId="16">
    <w:name w:val="批注框文本 字符"/>
    <w:basedOn w:val="10"/>
    <w:link w:val="4"/>
    <w:semiHidden/>
    <w:qFormat/>
    <w:uiPriority w:val="99"/>
    <w:rPr>
      <w:sz w:val="18"/>
      <w:szCs w:val="18"/>
    </w:rPr>
  </w:style>
  <w:style w:type="paragraph" w:customStyle="1" w:styleId="17">
    <w:name w:val="正文 A"/>
    <w:qFormat/>
    <w:uiPriority w:val="0"/>
    <w:pPr>
      <w:widowControl w:val="0"/>
      <w:spacing w:line="360" w:lineRule="auto"/>
      <w:ind w:firstLine="1440"/>
      <w:jc w:val="both"/>
    </w:pPr>
    <w:rPr>
      <w:rFonts w:ascii="Times New Roman" w:hAnsi="Times New Roman" w:eastAsia="Arial Unicode MS" w:cs="Arial Unicode MS"/>
      <w:color w:val="000000"/>
      <w:kern w:val="2"/>
      <w:sz w:val="24"/>
      <w:szCs w:val="24"/>
      <w:lang w:val="en-US" w:eastAsia="zh-CN" w:bidi="ar-SA"/>
    </w:rPr>
  </w:style>
  <w:style w:type="character" w:customStyle="1" w:styleId="18">
    <w:name w:val="正文文本 字符"/>
    <w:basedOn w:val="10"/>
    <w:link w:val="3"/>
    <w:qFormat/>
    <w:uiPriority w:val="0"/>
    <w:rPr>
      <w:rFonts w:ascii="Times New Roman" w:hAnsi="Times New Roman" w:eastAsia="宋体" w:cs="Times New Roman"/>
      <w:sz w:val="32"/>
      <w:szCs w:val="20"/>
    </w:rPr>
  </w:style>
  <w:style w:type="paragraph" w:customStyle="1" w:styleId="19">
    <w:name w:val="列出段落11"/>
    <w:basedOn w:val="1"/>
    <w:qFormat/>
    <w:uiPriority w:val="0"/>
    <w:pPr>
      <w:widowControl/>
      <w:spacing w:line="120" w:lineRule="atLeast"/>
      <w:ind w:firstLine="420" w:firstLineChars="200"/>
      <w:jc w:val="left"/>
    </w:pPr>
    <w:rPr>
      <w:rFonts w:ascii="黑体" w:hAnsi="黑体" w:eastAsia="宋体" w:cs="Monaco"/>
    </w:rPr>
  </w:style>
  <w:style w:type="paragraph" w:customStyle="1" w:styleId="20">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1">
    <w:name w:val="首行缩进"/>
    <w:basedOn w:val="1"/>
    <w:autoRedefine/>
    <w:qFormat/>
    <w:uiPriority w:val="0"/>
    <w:pPr>
      <w:spacing w:line="360" w:lineRule="auto"/>
      <w:ind w:firstLine="480" w:firstLineChars="200"/>
    </w:pPr>
    <w:rPr>
      <w:rFonts w:ascii="Calibri" w:hAnsi="Calibri"/>
      <w:sz w:val="24"/>
      <w:lang w:val="zh-CN"/>
    </w:rPr>
  </w:style>
  <w:style w:type="paragraph" w:customStyle="1" w:styleId="22">
    <w:name w:val="列出段落1"/>
    <w:basedOn w:val="1"/>
    <w:autoRedefine/>
    <w:qFormat/>
    <w:uiPriority w:val="99"/>
    <w:pPr>
      <w:ind w:firstLine="420" w:firstLineChars="200"/>
    </w:pPr>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Tjise</Company>
  <Pages>10</Pages>
  <Words>4873</Words>
  <Characters>5770</Characters>
  <Lines>85</Lines>
  <Paragraphs>24</Paragraphs>
  <TotalTime>2</TotalTime>
  <ScaleCrop>false</ScaleCrop>
  <LinksUpToDate>false</LinksUpToDate>
  <CharactersWithSpaces>5807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2025-07-04T03:21:00Z</dcterms:created>
  <dc:creator>琛 杨</dc:creator>
  <cp:lastModifiedBy>古灵娇妍</cp:lastModifiedBy>
  <dcterms:modified xsi:type="dcterms:W3CDTF">2025-07-25T03:50:42Z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eyJoZGlkIjoiMjMxMzdjYjQ0ZDE4YjMzZjQxMTFlNjkzOTE0ZGNlOTQiLCJ1c2VySWQiOiI4NTI0Njg3NjQifQ==</vt:lpwstr>
  </property>
  <property fmtid="{D5CDD505-2E9C-101B-9397-08002B2CF9AE}" pid="3" name="KSOProductBuildVer">
    <vt:lpwstr>2052-12.1.0.21915</vt:lpwstr>
  </property>
  <property fmtid="{D5CDD505-2E9C-101B-9397-08002B2CF9AE}" pid="4" name="ICV">
    <vt:lpwstr>D8138B4AF86647D9BD90ACA0A9FA2DEF_13</vt:lpwstr>
  </property>
</Properties>
</file>