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EAA99">
      <w:pPr>
        <w:pStyle w:val="5"/>
        <w:rPr>
          <w:rFonts w:ascii="Times New Roman" w:hAnsi="Times New Roman" w:cs="Times New Roman"/>
        </w:rPr>
      </w:pPr>
      <w:r>
        <w:rPr>
          <w:rFonts w:ascii="Times New Roman" w:hAnsi="Times New Roman" w:cs="Times New Roman"/>
        </w:rPr>
        <w:t>项目需求书（物业</w:t>
      </w:r>
      <w:r>
        <w:rPr>
          <w:rFonts w:hint="eastAsia" w:ascii="Times New Roman" w:hAnsi="Times New Roman" w:cs="Times New Roman"/>
        </w:rPr>
        <w:t>管理服务</w:t>
      </w:r>
      <w:r>
        <w:rPr>
          <w:rFonts w:ascii="Times New Roman" w:hAnsi="Times New Roman" w:cs="Times New Roman"/>
        </w:rPr>
        <w:t>）</w:t>
      </w:r>
    </w:p>
    <w:p w14:paraId="2DE49434">
      <w:pPr>
        <w:spacing w:line="360" w:lineRule="auto"/>
        <w:rPr>
          <w:rFonts w:ascii="Times New Roman" w:hAnsi="Times New Roman" w:cs="Times New Roman"/>
          <w:b/>
          <w:sz w:val="24"/>
          <w:szCs w:val="24"/>
        </w:rPr>
      </w:pPr>
      <w:r>
        <w:rPr>
          <w:rFonts w:ascii="Times New Roman" w:hAnsi="Times New Roman" w:cs="Times New Roman"/>
          <w:b/>
          <w:sz w:val="24"/>
          <w:szCs w:val="24"/>
        </w:rPr>
        <w:t>一、项目背景</w:t>
      </w:r>
    </w:p>
    <w:p w14:paraId="04D44BCC">
      <w:pPr>
        <w:widowControl/>
        <w:ind w:firstLine="600" w:firstLineChars="250"/>
        <w:jc w:val="left"/>
        <w:rPr>
          <w:sz w:val="24"/>
        </w:rPr>
      </w:pPr>
      <w:r>
        <w:rPr>
          <w:rFonts w:hint="eastAsia"/>
          <w:sz w:val="24"/>
        </w:rPr>
        <w:t>天津海河教育园区管理委员会物业服务项目，地址是天津海河教育园区雅深路39号，建筑面积约3200平方米。本次招标的办公楼运行维护物业服务范围要求该项目消防系统，给排水系统，强弱电系统，低压配电和照明系统，空调系统，副楼电梯系统，办公设备安装调试、网络电脑简易安装调试以及楼内的秩序维护，会务服务，室内保洁等。</w:t>
      </w:r>
    </w:p>
    <w:p w14:paraId="3F8F45CB">
      <w:pPr>
        <w:widowControl/>
        <w:ind w:left="425"/>
        <w:jc w:val="left"/>
        <w:rPr>
          <w:sz w:val="24"/>
        </w:rPr>
      </w:pPr>
      <w:r>
        <w:rPr>
          <w:rFonts w:hint="eastAsia"/>
          <w:sz w:val="24"/>
        </w:rPr>
        <w:t>1、设备维护和综合维修：负责建筑内强弱电系统的运行维护，负责建筑内采暖、给排水、空调系统、副楼电梯系统的运行维护，办公设备和网络电脑简易安装调试等的维修维护。</w:t>
      </w:r>
    </w:p>
    <w:p w14:paraId="63901438">
      <w:pPr>
        <w:widowControl/>
        <w:ind w:left="425"/>
        <w:jc w:val="left"/>
        <w:rPr>
          <w:sz w:val="24"/>
        </w:rPr>
      </w:pPr>
      <w:r>
        <w:rPr>
          <w:rFonts w:hint="eastAsia"/>
          <w:sz w:val="24"/>
        </w:rPr>
        <w:t>2、秩序维护：建筑物内外的秩序维护，进出人员登记，物品外出检查。</w:t>
      </w:r>
    </w:p>
    <w:p w14:paraId="32D7A822">
      <w:pPr>
        <w:widowControl/>
        <w:ind w:left="425"/>
        <w:jc w:val="left"/>
        <w:rPr>
          <w:sz w:val="24"/>
        </w:rPr>
      </w:pPr>
      <w:r>
        <w:rPr>
          <w:rFonts w:hint="eastAsia"/>
          <w:sz w:val="24"/>
        </w:rPr>
        <w:t>3、卫生保洁：负责室内公共区域及卫生间卫生等。</w:t>
      </w:r>
    </w:p>
    <w:p w14:paraId="061DCA67">
      <w:pPr>
        <w:widowControl/>
        <w:ind w:left="425"/>
        <w:jc w:val="left"/>
        <w:rPr>
          <w:sz w:val="24"/>
        </w:rPr>
      </w:pPr>
      <w:r>
        <w:rPr>
          <w:rFonts w:hint="eastAsia"/>
          <w:sz w:val="24"/>
        </w:rPr>
        <w:t>4、会服服务及其他临时性工作。</w:t>
      </w:r>
    </w:p>
    <w:p w14:paraId="6F2DF0A7">
      <w:pPr>
        <w:widowControl/>
        <w:ind w:left="425"/>
        <w:jc w:val="left"/>
        <w:rPr>
          <w:sz w:val="24"/>
        </w:rPr>
      </w:pPr>
      <w:r>
        <w:rPr>
          <w:rFonts w:hint="eastAsia"/>
          <w:sz w:val="24"/>
        </w:rPr>
        <w:t>5、本项目属于物业管理行业。</w:t>
      </w:r>
    </w:p>
    <w:p w14:paraId="1B6F3E6A">
      <w:pPr>
        <w:spacing w:line="360" w:lineRule="auto"/>
        <w:rPr>
          <w:sz w:val="24"/>
          <w:szCs w:val="24"/>
        </w:rPr>
      </w:pPr>
    </w:p>
    <w:p w14:paraId="0690908A">
      <w:pPr>
        <w:spacing w:line="360" w:lineRule="auto"/>
        <w:rPr>
          <w:rFonts w:ascii="Times New Roman" w:hAnsi="Times New Roman" w:cs="Times New Roman"/>
          <w:b/>
          <w:sz w:val="24"/>
          <w:szCs w:val="24"/>
        </w:rPr>
      </w:pPr>
      <w:r>
        <w:rPr>
          <w:rFonts w:ascii="Times New Roman" w:hAnsi="Times New Roman" w:cs="Times New Roman"/>
          <w:b/>
          <w:sz w:val="24"/>
          <w:szCs w:val="24"/>
        </w:rPr>
        <w:t>二、项目总预算</w:t>
      </w:r>
    </w:p>
    <w:p w14:paraId="2558909A">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highlight w:val="yellow"/>
        </w:rPr>
        <w:t>一年800000元。</w:t>
      </w:r>
    </w:p>
    <w:p w14:paraId="06EE37A3">
      <w:pPr>
        <w:spacing w:line="360" w:lineRule="auto"/>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三、项目经理（评分项）</w:t>
      </w:r>
    </w:p>
    <w:p w14:paraId="4E93D474">
      <w:pPr>
        <w:spacing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highlight w:val="yellow"/>
        </w:rPr>
        <w:t>A. 项目经理常驻本项目物业服务现场</w:t>
      </w:r>
    </w:p>
    <w:p w14:paraId="35C6769A">
      <w:pPr>
        <w:spacing w:line="360" w:lineRule="auto"/>
        <w:ind w:firstLine="480" w:firstLineChars="200"/>
        <w:rPr>
          <w:rFonts w:ascii="Times New Roman" w:hAnsi="Times New Roman" w:eastAsia="宋体" w:cs="Times New Roman"/>
          <w:kern w:val="0"/>
          <w:sz w:val="24"/>
          <w:szCs w:val="24"/>
        </w:rPr>
      </w:pPr>
    </w:p>
    <w:p w14:paraId="5190C684">
      <w:pPr>
        <w:spacing w:line="360" w:lineRule="auto"/>
        <w:rPr>
          <w:rFonts w:ascii="Times New Roman" w:hAnsi="Times New Roman" w:cs="Times New Roman"/>
          <w:b/>
          <w:sz w:val="24"/>
          <w:szCs w:val="24"/>
        </w:rPr>
      </w:pPr>
      <w:r>
        <w:rPr>
          <w:rFonts w:hint="eastAsia" w:ascii="Times New Roman" w:hAnsi="Times New Roman" w:eastAsia="宋体" w:cs="Times New Roman"/>
          <w:b/>
          <w:kern w:val="0"/>
          <w:sz w:val="24"/>
          <w:szCs w:val="24"/>
        </w:rPr>
        <w:t>四</w:t>
      </w:r>
      <w:r>
        <w:rPr>
          <w:rFonts w:ascii="Times New Roman" w:hAnsi="Times New Roman" w:eastAsia="宋体" w:cs="Times New Roman"/>
          <w:b/>
          <w:kern w:val="0"/>
          <w:sz w:val="24"/>
          <w:szCs w:val="24"/>
        </w:rPr>
        <w:t>、物业投入人员岗位及每个岗位的需要人数</w:t>
      </w:r>
    </w:p>
    <w:p w14:paraId="75BE28AA">
      <w:pPr>
        <w:pStyle w:val="13"/>
        <w:numPr>
          <w:ilvl w:val="0"/>
          <w:numId w:val="1"/>
        </w:numPr>
        <w:spacing w:line="360" w:lineRule="auto"/>
        <w:ind w:firstLineChars="0"/>
        <w:rPr>
          <w:sz w:val="24"/>
          <w:szCs w:val="24"/>
        </w:rPr>
      </w:pPr>
      <w:r>
        <w:rPr>
          <w:sz w:val="24"/>
          <w:szCs w:val="24"/>
        </w:rPr>
        <w:t>物业投入人员岗位及每个岗位的需要人数</w:t>
      </w:r>
    </w:p>
    <w:p w14:paraId="159A48E7">
      <w:pPr>
        <w:spacing w:line="360" w:lineRule="auto"/>
        <w:ind w:firstLine="480" w:firstLineChars="200"/>
        <w:rPr>
          <w:rFonts w:ascii="Times New Roman" w:hAnsi="Times New Roman" w:cs="Times New Roman"/>
          <w:sz w:val="24"/>
          <w:szCs w:val="24"/>
        </w:rPr>
      </w:pPr>
      <w:r>
        <w:rPr>
          <w:rFonts w:hint="eastAsia"/>
          <w:sz w:val="24"/>
          <w:szCs w:val="24"/>
        </w:rPr>
        <w:t>项目总体在岗服务人员不低于11人。包括但不限于：项目经理1人，</w:t>
      </w:r>
      <w:r>
        <w:rPr>
          <w:rFonts w:hint="eastAsia"/>
          <w:color w:val="000000"/>
          <w:sz w:val="24"/>
          <w:szCs w:val="24"/>
        </w:rPr>
        <w:t>工程主管1人、</w:t>
      </w:r>
      <w:r>
        <w:rPr>
          <w:rFonts w:hint="eastAsia"/>
          <w:sz w:val="24"/>
          <w:szCs w:val="24"/>
        </w:rPr>
        <w:t>秩序维护及消防安全员4人、综合主管2人、</w:t>
      </w:r>
      <w:r>
        <w:rPr>
          <w:rFonts w:hint="eastAsia"/>
          <w:color w:val="000000"/>
          <w:sz w:val="24"/>
          <w:szCs w:val="24"/>
        </w:rPr>
        <w:t>工程维修人员2人，会服人员1人。</w:t>
      </w:r>
    </w:p>
    <w:p w14:paraId="7C1A117D">
      <w:pPr>
        <w:spacing w:line="360" w:lineRule="auto"/>
        <w:ind w:firstLine="480" w:firstLineChars="200"/>
        <w:rPr>
          <w:sz w:val="24"/>
        </w:rPr>
      </w:pPr>
      <w:r>
        <w:rPr>
          <w:rFonts w:hint="eastAsia"/>
          <w:sz w:val="24"/>
        </w:rPr>
        <w:t>二、物业投入人员岗位要求及工作时间</w:t>
      </w:r>
    </w:p>
    <w:tbl>
      <w:tblPr>
        <w:tblStyle w:val="6"/>
        <w:tblpPr w:leftFromText="180" w:rightFromText="180" w:vertAnchor="text" w:horzAnchor="margin" w:tblpX="-318" w:tblpY="409"/>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918"/>
        <w:gridCol w:w="480"/>
        <w:gridCol w:w="5752"/>
        <w:gridCol w:w="851"/>
        <w:gridCol w:w="992"/>
      </w:tblGrid>
      <w:tr w14:paraId="610A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exact"/>
        </w:trPr>
        <w:tc>
          <w:tcPr>
            <w:tcW w:w="534" w:type="dxa"/>
            <w:vAlign w:val="center"/>
          </w:tcPr>
          <w:p w14:paraId="02D2C6D8">
            <w:pPr>
              <w:jc w:val="center"/>
              <w:rPr>
                <w:rFonts w:ascii="宋体" w:hAnsi="宋体"/>
                <w:szCs w:val="21"/>
              </w:rPr>
            </w:pPr>
            <w:r>
              <w:rPr>
                <w:rFonts w:hint="eastAsia" w:ascii="宋体" w:hAnsi="宋体"/>
                <w:szCs w:val="21"/>
              </w:rPr>
              <w:t>序号</w:t>
            </w:r>
          </w:p>
        </w:tc>
        <w:tc>
          <w:tcPr>
            <w:tcW w:w="918" w:type="dxa"/>
            <w:vAlign w:val="center"/>
          </w:tcPr>
          <w:p w14:paraId="312B21FD">
            <w:pPr>
              <w:jc w:val="center"/>
              <w:rPr>
                <w:rFonts w:ascii="宋体" w:hAnsi="宋体"/>
                <w:szCs w:val="21"/>
              </w:rPr>
            </w:pPr>
            <w:r>
              <w:rPr>
                <w:rFonts w:hint="eastAsia" w:ascii="宋体" w:hAnsi="宋体"/>
                <w:szCs w:val="21"/>
              </w:rPr>
              <w:t>岗位名称</w:t>
            </w:r>
          </w:p>
        </w:tc>
        <w:tc>
          <w:tcPr>
            <w:tcW w:w="0" w:type="auto"/>
            <w:vAlign w:val="center"/>
          </w:tcPr>
          <w:p w14:paraId="049AC9C5">
            <w:pPr>
              <w:jc w:val="center"/>
              <w:rPr>
                <w:rFonts w:ascii="宋体" w:hAnsi="宋体"/>
                <w:szCs w:val="21"/>
              </w:rPr>
            </w:pPr>
            <w:r>
              <w:rPr>
                <w:rFonts w:hint="eastAsia" w:ascii="宋体" w:hAnsi="宋体"/>
                <w:szCs w:val="21"/>
              </w:rPr>
              <w:t>人数</w:t>
            </w:r>
          </w:p>
        </w:tc>
        <w:tc>
          <w:tcPr>
            <w:tcW w:w="5752" w:type="dxa"/>
            <w:vAlign w:val="center"/>
          </w:tcPr>
          <w:p w14:paraId="04B62232">
            <w:pPr>
              <w:jc w:val="center"/>
              <w:rPr>
                <w:rFonts w:ascii="宋体" w:hAnsi="宋体"/>
                <w:szCs w:val="21"/>
              </w:rPr>
            </w:pPr>
            <w:bookmarkStart w:id="1" w:name="_GoBack"/>
            <w:bookmarkEnd w:id="1"/>
            <w:r>
              <w:rPr>
                <w:rFonts w:hint="eastAsia" w:ascii="宋体" w:hAnsi="宋体"/>
                <w:szCs w:val="21"/>
              </w:rPr>
              <w:t>要求</w:t>
            </w:r>
          </w:p>
        </w:tc>
        <w:tc>
          <w:tcPr>
            <w:tcW w:w="851" w:type="dxa"/>
            <w:vAlign w:val="center"/>
          </w:tcPr>
          <w:p w14:paraId="05FA23FF">
            <w:pPr>
              <w:jc w:val="center"/>
              <w:rPr>
                <w:rFonts w:ascii="宋体" w:hAnsi="宋体"/>
                <w:szCs w:val="21"/>
              </w:rPr>
            </w:pPr>
            <w:r>
              <w:rPr>
                <w:rFonts w:ascii="Times New Roman" w:hAnsi="Times New Roman" w:cs="Times New Roman"/>
                <w:b/>
                <w:szCs w:val="21"/>
              </w:rPr>
              <w:t>是否接受退休人员</w:t>
            </w:r>
          </w:p>
        </w:tc>
        <w:tc>
          <w:tcPr>
            <w:tcW w:w="992" w:type="dxa"/>
            <w:vAlign w:val="center"/>
          </w:tcPr>
          <w:p w14:paraId="23BB8CE9">
            <w:pPr>
              <w:jc w:val="center"/>
              <w:rPr>
                <w:rFonts w:ascii="宋体" w:hAnsi="宋体"/>
                <w:szCs w:val="21"/>
              </w:rPr>
            </w:pPr>
            <w:r>
              <w:rPr>
                <w:rFonts w:hint="eastAsia" w:ascii="宋体" w:hAnsi="宋体"/>
                <w:szCs w:val="21"/>
              </w:rPr>
              <w:t>工作时间</w:t>
            </w:r>
          </w:p>
        </w:tc>
      </w:tr>
      <w:tr w14:paraId="14C9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534" w:type="dxa"/>
            <w:vAlign w:val="center"/>
          </w:tcPr>
          <w:p w14:paraId="0E8F38D8">
            <w:pPr>
              <w:jc w:val="center"/>
              <w:rPr>
                <w:rFonts w:ascii="宋体" w:hAnsi="宋体"/>
                <w:szCs w:val="21"/>
              </w:rPr>
            </w:pPr>
            <w:r>
              <w:rPr>
                <w:rFonts w:hint="eastAsia" w:ascii="宋体" w:hAnsi="宋体"/>
                <w:szCs w:val="21"/>
              </w:rPr>
              <w:t>1</w:t>
            </w:r>
          </w:p>
        </w:tc>
        <w:tc>
          <w:tcPr>
            <w:tcW w:w="918" w:type="dxa"/>
            <w:vAlign w:val="center"/>
          </w:tcPr>
          <w:p w14:paraId="03153416">
            <w:pPr>
              <w:widowControl/>
              <w:spacing w:line="360" w:lineRule="auto"/>
              <w:jc w:val="center"/>
              <w:rPr>
                <w:rFonts w:ascii="宋体" w:hAnsi="宋体" w:cs="宋体"/>
                <w:bCs/>
                <w:kern w:val="0"/>
                <w:sz w:val="22"/>
              </w:rPr>
            </w:pPr>
            <w:r>
              <w:rPr>
                <w:rFonts w:hint="eastAsia" w:ascii="宋体" w:hAnsi="宋体" w:cs="宋体"/>
                <w:bCs/>
                <w:kern w:val="0"/>
              </w:rPr>
              <w:t>项目经理</w:t>
            </w:r>
          </w:p>
        </w:tc>
        <w:tc>
          <w:tcPr>
            <w:tcW w:w="0" w:type="auto"/>
            <w:vAlign w:val="center"/>
          </w:tcPr>
          <w:p w14:paraId="153FE2A9">
            <w:pPr>
              <w:widowControl/>
              <w:spacing w:line="360" w:lineRule="auto"/>
              <w:jc w:val="center"/>
              <w:rPr>
                <w:rFonts w:ascii="宋体" w:hAnsi="宋体" w:cs="宋体"/>
                <w:kern w:val="0"/>
                <w:sz w:val="24"/>
              </w:rPr>
            </w:pPr>
            <w:r>
              <w:rPr>
                <w:rFonts w:hint="eastAsia" w:ascii="宋体" w:hAnsi="宋体" w:cs="宋体"/>
                <w:kern w:val="0"/>
                <w:sz w:val="24"/>
              </w:rPr>
              <w:t>1人</w:t>
            </w:r>
          </w:p>
        </w:tc>
        <w:tc>
          <w:tcPr>
            <w:tcW w:w="5752" w:type="dxa"/>
            <w:vAlign w:val="center"/>
          </w:tcPr>
          <w:p w14:paraId="6DD62A2A">
            <w:pPr>
              <w:rPr>
                <w:rFonts w:ascii="宋体" w:hAnsi="宋体"/>
                <w:szCs w:val="21"/>
              </w:rPr>
            </w:pPr>
            <w:r>
              <w:rPr>
                <w:rFonts w:hint="eastAsia" w:ascii="宋体" w:hAnsi="宋体"/>
                <w:szCs w:val="21"/>
              </w:rPr>
              <w:t>（1）男女不限，35周岁或以下；</w:t>
            </w:r>
          </w:p>
          <w:p w14:paraId="2EC45460">
            <w:pPr>
              <w:rPr>
                <w:rFonts w:ascii="宋体" w:hAnsi="宋体"/>
                <w:szCs w:val="21"/>
              </w:rPr>
            </w:pPr>
            <w:r>
              <w:rPr>
                <w:rFonts w:hint="eastAsia" w:ascii="宋体" w:hAnsi="宋体"/>
                <w:szCs w:val="21"/>
              </w:rPr>
              <w:t>（2）物业管理相关专业大学本科或以上学历</w:t>
            </w:r>
          </w:p>
          <w:p w14:paraId="4CE7F5C6">
            <w:pPr>
              <w:rPr>
                <w:rFonts w:ascii="宋体" w:hAnsi="宋体" w:eastAsia="宋体" w:cs="宋体"/>
                <w:sz w:val="24"/>
                <w:szCs w:val="24"/>
              </w:rPr>
            </w:pPr>
            <w:r>
              <w:rPr>
                <w:rFonts w:ascii="宋体" w:hAnsi="宋体"/>
                <w:szCs w:val="21"/>
              </w:rPr>
              <w:t>（</w:t>
            </w:r>
            <w:r>
              <w:rPr>
                <w:rFonts w:hint="eastAsia" w:ascii="宋体" w:hAnsi="宋体"/>
                <w:szCs w:val="21"/>
              </w:rPr>
              <w:t>3</w:t>
            </w:r>
            <w:r>
              <w:rPr>
                <w:rFonts w:ascii="宋体" w:hAnsi="宋体"/>
                <w:szCs w:val="21"/>
              </w:rPr>
              <w:t>）</w:t>
            </w:r>
            <w:r>
              <w:rPr>
                <w:rFonts w:hint="eastAsia" w:ascii="宋体" w:hAnsi="宋体"/>
                <w:szCs w:val="21"/>
              </w:rPr>
              <w:t>持</w:t>
            </w:r>
            <w:r>
              <w:rPr>
                <w:rFonts w:ascii="宋体" w:hAnsi="宋体"/>
                <w:szCs w:val="21"/>
              </w:rPr>
              <w:t>机动车驾驶证（准驾车型至少包括C1）</w:t>
            </w:r>
          </w:p>
        </w:tc>
        <w:tc>
          <w:tcPr>
            <w:tcW w:w="851" w:type="dxa"/>
            <w:vAlign w:val="center"/>
          </w:tcPr>
          <w:p w14:paraId="039712D1">
            <w:pPr>
              <w:spacing w:line="360" w:lineRule="auto"/>
              <w:jc w:val="center"/>
              <w:rPr>
                <w:rFonts w:ascii="宋体" w:hAnsi="宋体" w:cs="宋体"/>
                <w:sz w:val="24"/>
              </w:rPr>
            </w:pPr>
            <w:r>
              <w:rPr>
                <w:rFonts w:hint="eastAsia" w:ascii="宋体" w:hAnsi="宋体" w:cs="宋体"/>
                <w:sz w:val="24"/>
              </w:rPr>
              <w:t>否</w:t>
            </w:r>
          </w:p>
        </w:tc>
        <w:tc>
          <w:tcPr>
            <w:tcW w:w="992" w:type="dxa"/>
            <w:vAlign w:val="center"/>
          </w:tcPr>
          <w:p w14:paraId="1B34B92F">
            <w:pPr>
              <w:jc w:val="center"/>
              <w:rPr>
                <w:rFonts w:ascii="宋体" w:hAnsi="宋体"/>
                <w:szCs w:val="21"/>
              </w:rPr>
            </w:pPr>
            <w:r>
              <w:rPr>
                <w:rFonts w:hint="eastAsia" w:ascii="宋体" w:hAnsi="宋体"/>
                <w:szCs w:val="21"/>
              </w:rPr>
              <w:t>每周6天</w:t>
            </w:r>
          </w:p>
          <w:p w14:paraId="0A826F7E">
            <w:pPr>
              <w:jc w:val="center"/>
              <w:rPr>
                <w:rFonts w:ascii="宋体" w:hAnsi="宋体"/>
                <w:szCs w:val="21"/>
              </w:rPr>
            </w:pPr>
            <w:r>
              <w:rPr>
                <w:rFonts w:hint="eastAsia" w:ascii="宋体" w:hAnsi="宋体"/>
                <w:szCs w:val="21"/>
              </w:rPr>
              <w:t>每天7小时</w:t>
            </w:r>
          </w:p>
        </w:tc>
      </w:tr>
      <w:tr w14:paraId="3AD9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34" w:type="dxa"/>
            <w:vAlign w:val="center"/>
          </w:tcPr>
          <w:p w14:paraId="5F118281">
            <w:pPr>
              <w:jc w:val="center"/>
              <w:rPr>
                <w:rFonts w:ascii="宋体" w:hAnsi="宋体"/>
                <w:szCs w:val="21"/>
              </w:rPr>
            </w:pPr>
            <w:r>
              <w:rPr>
                <w:rFonts w:hint="eastAsia" w:ascii="宋体" w:hAnsi="宋体"/>
                <w:szCs w:val="21"/>
              </w:rPr>
              <w:t>2</w:t>
            </w:r>
          </w:p>
        </w:tc>
        <w:tc>
          <w:tcPr>
            <w:tcW w:w="918" w:type="dxa"/>
            <w:vAlign w:val="center"/>
          </w:tcPr>
          <w:p w14:paraId="4C60789A">
            <w:pPr>
              <w:spacing w:line="360" w:lineRule="auto"/>
              <w:jc w:val="center"/>
              <w:rPr>
                <w:rFonts w:ascii="宋体" w:hAnsi="宋体" w:cs="宋体"/>
                <w:bCs/>
                <w:kern w:val="0"/>
              </w:rPr>
            </w:pPr>
            <w:r>
              <w:rPr>
                <w:rFonts w:hint="eastAsia" w:ascii="宋体" w:hAnsi="宋体" w:cs="宋体"/>
                <w:bCs/>
                <w:kern w:val="0"/>
              </w:rPr>
              <w:t>工程主管</w:t>
            </w:r>
          </w:p>
        </w:tc>
        <w:tc>
          <w:tcPr>
            <w:tcW w:w="0" w:type="auto"/>
            <w:vAlign w:val="center"/>
          </w:tcPr>
          <w:p w14:paraId="1D5F0208">
            <w:pPr>
              <w:spacing w:line="360" w:lineRule="auto"/>
              <w:jc w:val="center"/>
              <w:rPr>
                <w:rFonts w:ascii="宋体" w:hAnsi="宋体" w:cs="宋体"/>
                <w:kern w:val="0"/>
                <w:sz w:val="24"/>
              </w:rPr>
            </w:pPr>
            <w:r>
              <w:rPr>
                <w:rFonts w:hint="eastAsia" w:ascii="宋体" w:hAnsi="宋体" w:cs="宋体"/>
                <w:kern w:val="0"/>
                <w:sz w:val="24"/>
              </w:rPr>
              <w:t>1人</w:t>
            </w:r>
          </w:p>
        </w:tc>
        <w:tc>
          <w:tcPr>
            <w:tcW w:w="5752" w:type="dxa"/>
            <w:vAlign w:val="center"/>
          </w:tcPr>
          <w:p w14:paraId="1A35E543">
            <w:r>
              <w:t xml:space="preserve">（1）男、45 周岁或以下。 </w:t>
            </w:r>
          </w:p>
          <w:p w14:paraId="586FD666">
            <w:r>
              <w:t>（2）大学本科或以上学历，工程技术系列高级或以上职称证书（电气工程相关专业）。</w:t>
            </w:r>
          </w:p>
          <w:p w14:paraId="670FD2DA">
            <w:r>
              <w:t xml:space="preserve"> （3）持《特种作业操作证（高压电工作业）和（低压电工作业）》。 </w:t>
            </w:r>
          </w:p>
          <w:p w14:paraId="36FF0B0F">
            <w:r>
              <w:t>（4）持原《特种设备作业人员证（电 梯安全管理）》或新《特种设备安全管理和作业人员证（特种设备安全管理））》。</w:t>
            </w:r>
          </w:p>
        </w:tc>
        <w:tc>
          <w:tcPr>
            <w:tcW w:w="851" w:type="dxa"/>
            <w:vAlign w:val="center"/>
          </w:tcPr>
          <w:p w14:paraId="3784B770">
            <w:pPr>
              <w:spacing w:line="360" w:lineRule="auto"/>
              <w:jc w:val="center"/>
              <w:rPr>
                <w:rFonts w:ascii="宋体" w:hAnsi="宋体" w:cs="宋体"/>
                <w:sz w:val="24"/>
              </w:rPr>
            </w:pPr>
            <w:r>
              <w:rPr>
                <w:rFonts w:hint="eastAsia" w:ascii="宋体" w:hAnsi="宋体" w:cs="宋体"/>
                <w:sz w:val="24"/>
              </w:rPr>
              <w:t>否</w:t>
            </w:r>
          </w:p>
        </w:tc>
        <w:tc>
          <w:tcPr>
            <w:tcW w:w="992" w:type="dxa"/>
            <w:vAlign w:val="center"/>
          </w:tcPr>
          <w:p w14:paraId="773C9F07">
            <w:pPr>
              <w:jc w:val="center"/>
              <w:rPr>
                <w:rFonts w:ascii="宋体" w:hAnsi="宋体"/>
                <w:szCs w:val="21"/>
              </w:rPr>
            </w:pPr>
            <w:r>
              <w:rPr>
                <w:rFonts w:hint="eastAsia" w:ascii="宋体" w:hAnsi="宋体"/>
                <w:szCs w:val="21"/>
              </w:rPr>
              <w:t>每周6天</w:t>
            </w:r>
          </w:p>
          <w:p w14:paraId="43A6C0E2">
            <w:pPr>
              <w:jc w:val="center"/>
              <w:rPr>
                <w:rFonts w:ascii="宋体" w:hAnsi="宋体"/>
                <w:szCs w:val="21"/>
              </w:rPr>
            </w:pPr>
            <w:r>
              <w:rPr>
                <w:rFonts w:hint="eastAsia" w:ascii="宋体" w:hAnsi="宋体"/>
                <w:szCs w:val="21"/>
              </w:rPr>
              <w:t>每天7小时</w:t>
            </w:r>
          </w:p>
        </w:tc>
      </w:tr>
      <w:tr w14:paraId="08DF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exact"/>
        </w:trPr>
        <w:tc>
          <w:tcPr>
            <w:tcW w:w="534" w:type="dxa"/>
            <w:vAlign w:val="center"/>
          </w:tcPr>
          <w:p w14:paraId="48050C04">
            <w:pPr>
              <w:jc w:val="center"/>
              <w:rPr>
                <w:rFonts w:ascii="宋体" w:hAnsi="宋体"/>
                <w:szCs w:val="21"/>
              </w:rPr>
            </w:pPr>
            <w:r>
              <w:rPr>
                <w:rFonts w:hint="eastAsia" w:ascii="宋体" w:hAnsi="宋体"/>
                <w:szCs w:val="21"/>
              </w:rPr>
              <w:t>3</w:t>
            </w:r>
          </w:p>
        </w:tc>
        <w:tc>
          <w:tcPr>
            <w:tcW w:w="918" w:type="dxa"/>
            <w:vAlign w:val="center"/>
          </w:tcPr>
          <w:p w14:paraId="23BB71F0">
            <w:pPr>
              <w:rPr>
                <w:rFonts w:ascii="宋体" w:hAnsi="宋体"/>
                <w:szCs w:val="21"/>
              </w:rPr>
            </w:pPr>
            <w:r>
              <w:rPr>
                <w:rFonts w:ascii="宋体" w:hAnsi="宋体"/>
                <w:szCs w:val="21"/>
              </w:rPr>
              <w:t>秩序维护</w:t>
            </w:r>
            <w:r>
              <w:rPr>
                <w:rFonts w:hint="eastAsia" w:ascii="宋体" w:hAnsi="宋体"/>
                <w:szCs w:val="21"/>
              </w:rPr>
              <w:t>员兼消防安全员</w:t>
            </w:r>
          </w:p>
        </w:tc>
        <w:tc>
          <w:tcPr>
            <w:tcW w:w="0" w:type="auto"/>
            <w:vAlign w:val="center"/>
          </w:tcPr>
          <w:p w14:paraId="181D1545">
            <w:pPr>
              <w:jc w:val="center"/>
              <w:rPr>
                <w:rFonts w:ascii="宋体" w:hAnsi="宋体"/>
                <w:szCs w:val="21"/>
              </w:rPr>
            </w:pPr>
            <w:r>
              <w:rPr>
                <w:rFonts w:hint="eastAsia" w:ascii="宋体" w:hAnsi="宋体"/>
                <w:szCs w:val="21"/>
              </w:rPr>
              <w:t>4人</w:t>
            </w:r>
          </w:p>
        </w:tc>
        <w:tc>
          <w:tcPr>
            <w:tcW w:w="5752" w:type="dxa"/>
            <w:vAlign w:val="center"/>
          </w:tcPr>
          <w:p w14:paraId="6F9B0556">
            <w:r>
              <w:t>（1）男性，5</w:t>
            </w:r>
            <w:r>
              <w:rPr>
                <w:rFonts w:hint="eastAsia"/>
              </w:rPr>
              <w:t>5</w:t>
            </w:r>
            <w:r>
              <w:t>周岁或以下；</w:t>
            </w:r>
          </w:p>
          <w:p w14:paraId="3AA58438">
            <w:r>
              <w:t xml:space="preserve">（2）其中拟投入本项目的消防监控室管理员均具备《职业资格证（建（构）筑物消防员或消防设施操作员）》（四级/中级工或以上）。 </w:t>
            </w:r>
          </w:p>
          <w:p w14:paraId="7FE8647F">
            <w:pPr>
              <w:rPr>
                <w:rFonts w:ascii="宋体" w:hAnsi="宋体" w:cs="宋体"/>
                <w:sz w:val="24"/>
                <w:szCs w:val="24"/>
              </w:rPr>
            </w:pPr>
            <w:r>
              <w:t>（3）持有具备公安机关盖章的保安员证。</w:t>
            </w:r>
          </w:p>
        </w:tc>
        <w:tc>
          <w:tcPr>
            <w:tcW w:w="851" w:type="dxa"/>
            <w:vAlign w:val="center"/>
          </w:tcPr>
          <w:p w14:paraId="0BA08CC5">
            <w:pPr>
              <w:jc w:val="center"/>
              <w:rPr>
                <w:rFonts w:ascii="宋体" w:hAnsi="宋体"/>
                <w:szCs w:val="21"/>
              </w:rPr>
            </w:pPr>
            <w:r>
              <w:rPr>
                <w:rFonts w:hint="eastAsia" w:ascii="宋体" w:hAnsi="宋体"/>
                <w:szCs w:val="21"/>
              </w:rPr>
              <w:t>否</w:t>
            </w:r>
          </w:p>
        </w:tc>
        <w:tc>
          <w:tcPr>
            <w:tcW w:w="992" w:type="dxa"/>
            <w:vAlign w:val="center"/>
          </w:tcPr>
          <w:p w14:paraId="30ACBDE8">
            <w:pPr>
              <w:rPr>
                <w:rFonts w:ascii="宋体" w:hAnsi="宋体"/>
                <w:szCs w:val="21"/>
              </w:rPr>
            </w:pPr>
            <w:r>
              <w:rPr>
                <w:rFonts w:hint="eastAsia" w:ascii="宋体" w:hAnsi="宋体"/>
                <w:szCs w:val="21"/>
              </w:rPr>
              <w:t>四班三运转</w:t>
            </w:r>
          </w:p>
        </w:tc>
      </w:tr>
      <w:tr w14:paraId="7CBD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7" w:hRule="exact"/>
        </w:trPr>
        <w:tc>
          <w:tcPr>
            <w:tcW w:w="534" w:type="dxa"/>
            <w:vAlign w:val="center"/>
          </w:tcPr>
          <w:p w14:paraId="5372E5B5">
            <w:pPr>
              <w:jc w:val="center"/>
              <w:rPr>
                <w:rFonts w:ascii="宋体" w:hAnsi="宋体"/>
                <w:szCs w:val="21"/>
              </w:rPr>
            </w:pPr>
            <w:r>
              <w:rPr>
                <w:rFonts w:hint="eastAsia" w:ascii="宋体" w:hAnsi="宋体"/>
                <w:szCs w:val="21"/>
              </w:rPr>
              <w:t>4</w:t>
            </w:r>
          </w:p>
        </w:tc>
        <w:tc>
          <w:tcPr>
            <w:tcW w:w="918" w:type="dxa"/>
            <w:vAlign w:val="center"/>
          </w:tcPr>
          <w:p w14:paraId="6687F891">
            <w:pPr>
              <w:rPr>
                <w:rFonts w:ascii="宋体" w:hAnsi="宋体"/>
                <w:szCs w:val="21"/>
              </w:rPr>
            </w:pPr>
            <w:r>
              <w:rPr>
                <w:rFonts w:hint="eastAsia" w:ascii="宋体" w:hAnsi="宋体"/>
                <w:szCs w:val="21"/>
              </w:rPr>
              <w:t>综合主管（负责保洁消杀和电梯管理）</w:t>
            </w:r>
          </w:p>
        </w:tc>
        <w:tc>
          <w:tcPr>
            <w:tcW w:w="0" w:type="auto"/>
            <w:vAlign w:val="center"/>
          </w:tcPr>
          <w:p w14:paraId="16615628">
            <w:pPr>
              <w:rPr>
                <w:rFonts w:ascii="宋体" w:hAnsi="宋体"/>
                <w:szCs w:val="21"/>
              </w:rPr>
            </w:pPr>
            <w:r>
              <w:rPr>
                <w:rFonts w:hint="eastAsia" w:ascii="宋体" w:hAnsi="宋体"/>
                <w:szCs w:val="21"/>
              </w:rPr>
              <w:t>1人</w:t>
            </w:r>
          </w:p>
        </w:tc>
        <w:tc>
          <w:tcPr>
            <w:tcW w:w="5752" w:type="dxa"/>
            <w:vAlign w:val="center"/>
          </w:tcPr>
          <w:p w14:paraId="4989D642">
            <w:r>
              <w:t xml:space="preserve">（1）女性，45 周岁或以下； </w:t>
            </w:r>
          </w:p>
          <w:p w14:paraId="3E357CE9">
            <w:r>
              <w:t xml:space="preserve">（2）大学本科或以上学历 </w:t>
            </w:r>
          </w:p>
          <w:p w14:paraId="53A94A4B">
            <w:r>
              <w:t xml:space="preserve">（3）持《特种作业操作证（高处作业证）》及《天津市病媒生物防制培训证书》。 </w:t>
            </w:r>
          </w:p>
          <w:p w14:paraId="495C226A">
            <w:r>
              <w:t>（4）持原《特种设备作业人员证（电梯安全管理）》或新《特种设备安全管理和作业人员证（特种设备安全管理）》。</w:t>
            </w:r>
          </w:p>
        </w:tc>
        <w:tc>
          <w:tcPr>
            <w:tcW w:w="851" w:type="dxa"/>
            <w:vAlign w:val="center"/>
          </w:tcPr>
          <w:p w14:paraId="7ECF0558">
            <w:pPr>
              <w:jc w:val="center"/>
              <w:rPr>
                <w:rFonts w:ascii="宋体" w:hAnsi="宋体"/>
                <w:szCs w:val="21"/>
              </w:rPr>
            </w:pPr>
            <w:r>
              <w:rPr>
                <w:rFonts w:hint="eastAsia" w:ascii="宋体" w:hAnsi="宋体"/>
                <w:szCs w:val="21"/>
              </w:rPr>
              <w:t>否</w:t>
            </w:r>
          </w:p>
        </w:tc>
        <w:tc>
          <w:tcPr>
            <w:tcW w:w="992" w:type="dxa"/>
            <w:vAlign w:val="center"/>
          </w:tcPr>
          <w:p w14:paraId="3E399FEE">
            <w:pPr>
              <w:jc w:val="center"/>
              <w:rPr>
                <w:rFonts w:ascii="宋体" w:hAnsi="宋体"/>
                <w:szCs w:val="21"/>
              </w:rPr>
            </w:pPr>
            <w:r>
              <w:rPr>
                <w:rFonts w:hint="eastAsia" w:ascii="宋体" w:hAnsi="宋体"/>
                <w:szCs w:val="21"/>
              </w:rPr>
              <w:t>每周6天</w:t>
            </w:r>
          </w:p>
          <w:p w14:paraId="51FB3A3F">
            <w:pPr>
              <w:rPr>
                <w:rFonts w:ascii="宋体" w:hAnsi="宋体"/>
                <w:szCs w:val="21"/>
              </w:rPr>
            </w:pPr>
            <w:r>
              <w:rPr>
                <w:rFonts w:hint="eastAsia" w:ascii="宋体" w:hAnsi="宋体"/>
                <w:szCs w:val="21"/>
              </w:rPr>
              <w:t>每天7小时</w:t>
            </w:r>
          </w:p>
        </w:tc>
      </w:tr>
      <w:tr w14:paraId="419E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exact"/>
        </w:trPr>
        <w:tc>
          <w:tcPr>
            <w:tcW w:w="534" w:type="dxa"/>
            <w:vAlign w:val="center"/>
          </w:tcPr>
          <w:p w14:paraId="12DB0A2B">
            <w:pPr>
              <w:jc w:val="center"/>
              <w:rPr>
                <w:rFonts w:hint="eastAsia" w:ascii="宋体" w:hAnsi="宋体"/>
                <w:szCs w:val="21"/>
              </w:rPr>
            </w:pPr>
            <w:r>
              <w:rPr>
                <w:rFonts w:hint="eastAsia" w:ascii="宋体" w:hAnsi="宋体"/>
                <w:szCs w:val="21"/>
              </w:rPr>
              <w:t>5</w:t>
            </w:r>
          </w:p>
        </w:tc>
        <w:tc>
          <w:tcPr>
            <w:tcW w:w="918" w:type="dxa"/>
            <w:vAlign w:val="center"/>
          </w:tcPr>
          <w:p w14:paraId="1ACA8A55">
            <w:pPr>
              <w:rPr>
                <w:rFonts w:hint="eastAsia" w:ascii="宋体" w:hAnsi="宋体"/>
                <w:szCs w:val="21"/>
              </w:rPr>
            </w:pPr>
            <w:r>
              <w:rPr>
                <w:rFonts w:hint="eastAsia" w:ascii="宋体" w:hAnsi="宋体"/>
                <w:szCs w:val="21"/>
              </w:rPr>
              <w:t>保洁人员</w:t>
            </w:r>
          </w:p>
        </w:tc>
        <w:tc>
          <w:tcPr>
            <w:tcW w:w="0" w:type="auto"/>
            <w:vAlign w:val="center"/>
          </w:tcPr>
          <w:p w14:paraId="0326A509">
            <w:pPr>
              <w:rPr>
                <w:rFonts w:hint="eastAsia" w:ascii="宋体" w:hAnsi="宋体"/>
                <w:szCs w:val="21"/>
              </w:rPr>
            </w:pPr>
            <w:r>
              <w:rPr>
                <w:rFonts w:hint="eastAsia" w:ascii="宋体" w:hAnsi="宋体"/>
                <w:szCs w:val="21"/>
              </w:rPr>
              <w:t>1人</w:t>
            </w:r>
          </w:p>
        </w:tc>
        <w:tc>
          <w:tcPr>
            <w:tcW w:w="5752" w:type="dxa"/>
            <w:vAlign w:val="center"/>
          </w:tcPr>
          <w:p w14:paraId="37FC28E3">
            <w:r>
              <w:t xml:space="preserve">（1）女性，45 周岁或以下； </w:t>
            </w:r>
          </w:p>
          <w:p w14:paraId="4BD09510">
            <w:r>
              <w:t>（</w:t>
            </w:r>
            <w:r>
              <w:rPr>
                <w:rFonts w:hint="eastAsia"/>
              </w:rPr>
              <w:t>2</w:t>
            </w:r>
            <w:r>
              <w:t xml:space="preserve">）持《特种作业操作证（高处作业证）》及《天津市病媒生物防制培训证书》。 </w:t>
            </w:r>
          </w:p>
        </w:tc>
        <w:tc>
          <w:tcPr>
            <w:tcW w:w="851" w:type="dxa"/>
            <w:vAlign w:val="center"/>
          </w:tcPr>
          <w:p w14:paraId="7552BC45">
            <w:pPr>
              <w:jc w:val="center"/>
              <w:rPr>
                <w:rFonts w:ascii="宋体" w:hAnsi="宋体"/>
                <w:szCs w:val="21"/>
              </w:rPr>
            </w:pPr>
            <w:r>
              <w:rPr>
                <w:rFonts w:hint="eastAsia" w:ascii="宋体" w:hAnsi="宋体"/>
                <w:szCs w:val="21"/>
              </w:rPr>
              <w:t>否</w:t>
            </w:r>
          </w:p>
        </w:tc>
        <w:tc>
          <w:tcPr>
            <w:tcW w:w="992" w:type="dxa"/>
            <w:vAlign w:val="center"/>
          </w:tcPr>
          <w:p w14:paraId="77029782">
            <w:pPr>
              <w:jc w:val="center"/>
              <w:rPr>
                <w:rFonts w:ascii="宋体" w:hAnsi="宋体"/>
                <w:szCs w:val="21"/>
              </w:rPr>
            </w:pPr>
            <w:r>
              <w:rPr>
                <w:rFonts w:hint="eastAsia" w:ascii="宋体" w:hAnsi="宋体"/>
                <w:szCs w:val="21"/>
              </w:rPr>
              <w:t>每周6天</w:t>
            </w:r>
          </w:p>
          <w:p w14:paraId="2937898E">
            <w:pPr>
              <w:rPr>
                <w:rFonts w:ascii="宋体" w:hAnsi="宋体"/>
                <w:szCs w:val="21"/>
              </w:rPr>
            </w:pPr>
            <w:r>
              <w:rPr>
                <w:rFonts w:hint="eastAsia" w:ascii="宋体" w:hAnsi="宋体"/>
                <w:szCs w:val="21"/>
              </w:rPr>
              <w:t>每天7小时</w:t>
            </w:r>
          </w:p>
        </w:tc>
      </w:tr>
      <w:tr w14:paraId="7F93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534" w:type="dxa"/>
            <w:vAlign w:val="center"/>
          </w:tcPr>
          <w:p w14:paraId="008A78A3">
            <w:pPr>
              <w:jc w:val="center"/>
              <w:rPr>
                <w:rFonts w:ascii="宋体" w:hAnsi="宋体"/>
                <w:szCs w:val="21"/>
              </w:rPr>
            </w:pPr>
            <w:r>
              <w:rPr>
                <w:rFonts w:hint="eastAsia" w:ascii="宋体" w:hAnsi="宋体"/>
                <w:szCs w:val="21"/>
              </w:rPr>
              <w:t>6</w:t>
            </w:r>
          </w:p>
        </w:tc>
        <w:tc>
          <w:tcPr>
            <w:tcW w:w="918" w:type="dxa"/>
            <w:vAlign w:val="center"/>
          </w:tcPr>
          <w:p w14:paraId="41FD1B11">
            <w:pPr>
              <w:rPr>
                <w:rFonts w:ascii="宋体" w:hAnsi="宋体" w:eastAsia="宋体" w:cs="宋体"/>
                <w:sz w:val="24"/>
                <w:szCs w:val="24"/>
              </w:rPr>
            </w:pPr>
            <w:r>
              <w:rPr>
                <w:rFonts w:hint="eastAsia" w:ascii="宋体" w:hAnsi="宋体" w:eastAsia="宋体" w:cs="宋体"/>
                <w:sz w:val="22"/>
                <w:szCs w:val="24"/>
              </w:rPr>
              <w:t>工程维修工</w:t>
            </w:r>
          </w:p>
        </w:tc>
        <w:tc>
          <w:tcPr>
            <w:tcW w:w="0" w:type="auto"/>
            <w:vAlign w:val="center"/>
          </w:tcPr>
          <w:p w14:paraId="0137F608">
            <w:pPr>
              <w:jc w:val="center"/>
              <w:rPr>
                <w:rFonts w:ascii="宋体" w:hAnsi="宋体" w:eastAsia="宋体" w:cs="宋体"/>
                <w:sz w:val="24"/>
                <w:szCs w:val="24"/>
              </w:rPr>
            </w:pPr>
            <w:r>
              <w:rPr>
                <w:rFonts w:hint="eastAsia" w:ascii="宋体" w:hAnsi="宋体" w:eastAsia="宋体" w:cs="宋体"/>
                <w:sz w:val="24"/>
                <w:szCs w:val="24"/>
              </w:rPr>
              <w:t>2人</w:t>
            </w:r>
          </w:p>
        </w:tc>
        <w:tc>
          <w:tcPr>
            <w:tcW w:w="5752" w:type="dxa"/>
            <w:vAlign w:val="center"/>
          </w:tcPr>
          <w:p w14:paraId="357C953B">
            <w:pPr>
              <w:rPr>
                <w:rFonts w:ascii="宋体" w:hAnsi="宋体" w:eastAsia="宋体" w:cs="宋体"/>
                <w:sz w:val="24"/>
                <w:szCs w:val="24"/>
              </w:rPr>
            </w:pPr>
            <w:r>
              <w:rPr>
                <w:rFonts w:hint="eastAsia" w:ascii="宋体" w:hAnsi="宋体" w:eastAsia="宋体" w:cs="宋体"/>
                <w:sz w:val="24"/>
                <w:szCs w:val="24"/>
              </w:rPr>
              <w:t>（1）男性，35周岁或以下；</w:t>
            </w:r>
          </w:p>
          <w:p w14:paraId="59807BEA">
            <w:pPr>
              <w:rPr>
                <w:rFonts w:ascii="宋体" w:hAnsi="宋体" w:eastAsia="宋体" w:cs="宋体"/>
                <w:sz w:val="24"/>
                <w:szCs w:val="24"/>
              </w:rPr>
            </w:pPr>
            <w:r>
              <w:rPr>
                <w:rFonts w:hint="eastAsia" w:ascii="宋体" w:hAnsi="宋体" w:eastAsia="宋体" w:cs="宋体"/>
                <w:sz w:val="24"/>
                <w:szCs w:val="24"/>
              </w:rPr>
              <w:t>（2）持《特种作业操作证（高压电工作业）》及《特种作业操作证（低压电工作业）》上岗。</w:t>
            </w:r>
          </w:p>
        </w:tc>
        <w:tc>
          <w:tcPr>
            <w:tcW w:w="851" w:type="dxa"/>
            <w:vAlign w:val="center"/>
          </w:tcPr>
          <w:p w14:paraId="4454E834">
            <w:pPr>
              <w:jc w:val="center"/>
              <w:rPr>
                <w:rFonts w:ascii="宋体" w:hAnsi="宋体"/>
                <w:szCs w:val="21"/>
              </w:rPr>
            </w:pPr>
            <w:r>
              <w:rPr>
                <w:rFonts w:hint="eastAsia" w:ascii="宋体" w:hAnsi="宋体"/>
                <w:szCs w:val="21"/>
              </w:rPr>
              <w:t>否</w:t>
            </w:r>
          </w:p>
        </w:tc>
        <w:tc>
          <w:tcPr>
            <w:tcW w:w="992" w:type="dxa"/>
            <w:vAlign w:val="center"/>
          </w:tcPr>
          <w:p w14:paraId="45564FE5">
            <w:pPr>
              <w:jc w:val="center"/>
              <w:rPr>
                <w:rFonts w:ascii="宋体" w:hAnsi="宋体"/>
                <w:szCs w:val="21"/>
              </w:rPr>
            </w:pPr>
            <w:r>
              <w:rPr>
                <w:rFonts w:hint="eastAsia" w:ascii="宋体" w:hAnsi="宋体"/>
                <w:szCs w:val="21"/>
              </w:rPr>
              <w:t>每周6天</w:t>
            </w:r>
          </w:p>
          <w:p w14:paraId="156D4797">
            <w:pPr>
              <w:jc w:val="center"/>
              <w:rPr>
                <w:rFonts w:ascii="宋体" w:hAnsi="宋体"/>
                <w:szCs w:val="21"/>
              </w:rPr>
            </w:pPr>
            <w:r>
              <w:rPr>
                <w:rFonts w:hint="eastAsia" w:ascii="宋体" w:hAnsi="宋体"/>
                <w:szCs w:val="21"/>
              </w:rPr>
              <w:t>每天7小时</w:t>
            </w:r>
          </w:p>
        </w:tc>
      </w:tr>
      <w:tr w14:paraId="31AF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534" w:type="dxa"/>
            <w:vAlign w:val="center"/>
          </w:tcPr>
          <w:p w14:paraId="60FAFF15">
            <w:pPr>
              <w:jc w:val="center"/>
              <w:rPr>
                <w:rFonts w:ascii="宋体" w:hAnsi="宋体"/>
                <w:szCs w:val="21"/>
              </w:rPr>
            </w:pPr>
            <w:r>
              <w:rPr>
                <w:rFonts w:hint="eastAsia" w:ascii="宋体" w:hAnsi="宋体"/>
                <w:szCs w:val="21"/>
              </w:rPr>
              <w:t>7</w:t>
            </w:r>
          </w:p>
        </w:tc>
        <w:tc>
          <w:tcPr>
            <w:tcW w:w="918" w:type="dxa"/>
            <w:vAlign w:val="center"/>
          </w:tcPr>
          <w:p w14:paraId="3BA50C3F">
            <w:pPr>
              <w:rPr>
                <w:rFonts w:ascii="宋体" w:hAnsi="宋体"/>
                <w:szCs w:val="21"/>
              </w:rPr>
            </w:pPr>
            <w:r>
              <w:rPr>
                <w:rFonts w:hint="eastAsia" w:ascii="宋体" w:hAnsi="宋体"/>
                <w:szCs w:val="21"/>
              </w:rPr>
              <w:t>会务服务</w:t>
            </w:r>
          </w:p>
        </w:tc>
        <w:tc>
          <w:tcPr>
            <w:tcW w:w="0" w:type="auto"/>
            <w:vAlign w:val="center"/>
          </w:tcPr>
          <w:p w14:paraId="016E596A">
            <w:pPr>
              <w:jc w:val="center"/>
              <w:rPr>
                <w:rFonts w:ascii="宋体" w:hAnsi="宋体"/>
                <w:szCs w:val="21"/>
              </w:rPr>
            </w:pPr>
            <w:r>
              <w:rPr>
                <w:rFonts w:hint="eastAsia" w:ascii="宋体" w:hAnsi="宋体"/>
                <w:szCs w:val="21"/>
              </w:rPr>
              <w:t>1人</w:t>
            </w:r>
          </w:p>
        </w:tc>
        <w:tc>
          <w:tcPr>
            <w:tcW w:w="5752" w:type="dxa"/>
            <w:vAlign w:val="center"/>
          </w:tcPr>
          <w:p w14:paraId="7D327C82">
            <w:r>
              <w:t>（1）女，3</w:t>
            </w:r>
            <w:r>
              <w:rPr>
                <w:rFonts w:hint="eastAsia"/>
              </w:rPr>
              <w:t>5</w:t>
            </w:r>
            <w:r>
              <w:t xml:space="preserve">周岁或以下。 </w:t>
            </w:r>
          </w:p>
          <w:p w14:paraId="19270C53">
            <w:r>
              <w:t xml:space="preserve">（2）大学本科或以上学历。 </w:t>
            </w:r>
          </w:p>
        </w:tc>
        <w:tc>
          <w:tcPr>
            <w:tcW w:w="851" w:type="dxa"/>
            <w:vAlign w:val="center"/>
          </w:tcPr>
          <w:p w14:paraId="014AB8C3">
            <w:pPr>
              <w:jc w:val="center"/>
              <w:rPr>
                <w:rFonts w:ascii="宋体" w:hAnsi="宋体"/>
                <w:szCs w:val="21"/>
              </w:rPr>
            </w:pPr>
            <w:r>
              <w:rPr>
                <w:rFonts w:hint="eastAsia" w:ascii="宋体" w:hAnsi="宋体"/>
                <w:szCs w:val="21"/>
              </w:rPr>
              <w:t>否</w:t>
            </w:r>
          </w:p>
        </w:tc>
        <w:tc>
          <w:tcPr>
            <w:tcW w:w="992" w:type="dxa"/>
            <w:vAlign w:val="center"/>
          </w:tcPr>
          <w:p w14:paraId="171DFE5F">
            <w:pPr>
              <w:jc w:val="center"/>
              <w:rPr>
                <w:rFonts w:ascii="宋体" w:hAnsi="宋体"/>
                <w:szCs w:val="21"/>
              </w:rPr>
            </w:pPr>
            <w:r>
              <w:rPr>
                <w:rFonts w:hint="eastAsia" w:ascii="宋体" w:hAnsi="宋体"/>
                <w:szCs w:val="21"/>
              </w:rPr>
              <w:t>每周6天</w:t>
            </w:r>
          </w:p>
          <w:p w14:paraId="47216766">
            <w:pPr>
              <w:jc w:val="center"/>
              <w:rPr>
                <w:rFonts w:ascii="宋体" w:hAnsi="宋体"/>
                <w:szCs w:val="21"/>
              </w:rPr>
            </w:pPr>
            <w:r>
              <w:rPr>
                <w:rFonts w:hint="eastAsia" w:ascii="宋体" w:hAnsi="宋体"/>
                <w:szCs w:val="21"/>
              </w:rPr>
              <w:t>每天7小时</w:t>
            </w:r>
          </w:p>
        </w:tc>
      </w:tr>
      <w:tr w14:paraId="718F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534" w:type="dxa"/>
            <w:vAlign w:val="center"/>
          </w:tcPr>
          <w:p w14:paraId="2789C732">
            <w:pPr>
              <w:jc w:val="center"/>
              <w:rPr>
                <w:rFonts w:ascii="宋体" w:hAnsi="宋体"/>
                <w:szCs w:val="21"/>
              </w:rPr>
            </w:pPr>
          </w:p>
        </w:tc>
        <w:tc>
          <w:tcPr>
            <w:tcW w:w="918" w:type="dxa"/>
            <w:vAlign w:val="center"/>
          </w:tcPr>
          <w:p w14:paraId="4DAC64E1">
            <w:pPr>
              <w:rPr>
                <w:rFonts w:ascii="宋体" w:hAnsi="宋体"/>
                <w:szCs w:val="21"/>
              </w:rPr>
            </w:pPr>
            <w:r>
              <w:rPr>
                <w:rFonts w:hint="eastAsia" w:ascii="宋体" w:hAnsi="宋体"/>
                <w:szCs w:val="21"/>
              </w:rPr>
              <w:t>总计</w:t>
            </w:r>
          </w:p>
        </w:tc>
        <w:tc>
          <w:tcPr>
            <w:tcW w:w="8075" w:type="dxa"/>
            <w:gridSpan w:val="4"/>
            <w:vAlign w:val="center"/>
          </w:tcPr>
          <w:p w14:paraId="1BD2418A">
            <w:pPr>
              <w:rPr>
                <w:rFonts w:ascii="宋体" w:hAnsi="宋体"/>
                <w:szCs w:val="21"/>
              </w:rPr>
            </w:pPr>
            <w:r>
              <w:rPr>
                <w:rFonts w:hint="eastAsia" w:ascii="宋体" w:hAnsi="宋体"/>
                <w:szCs w:val="21"/>
              </w:rPr>
              <w:t>11人</w:t>
            </w:r>
          </w:p>
        </w:tc>
      </w:tr>
    </w:tbl>
    <w:p w14:paraId="390519F3">
      <w:pPr>
        <w:spacing w:line="360" w:lineRule="auto"/>
        <w:jc w:val="left"/>
        <w:rPr>
          <w:sz w:val="24"/>
          <w:highlight w:val="yellow"/>
        </w:rPr>
      </w:pPr>
    </w:p>
    <w:p w14:paraId="2978AAF5">
      <w:pPr>
        <w:spacing w:line="360" w:lineRule="auto"/>
        <w:ind w:firstLine="480" w:firstLineChars="200"/>
        <w:jc w:val="left"/>
        <w:rPr>
          <w:sz w:val="24"/>
        </w:rPr>
      </w:pPr>
      <w:r>
        <w:rPr>
          <w:rFonts w:hint="eastAsia"/>
          <w:sz w:val="24"/>
        </w:rPr>
        <w:t>按劳动法和国务院关于职工工作时间的规定，正常情况下，上述人员每日工作不超过</w:t>
      </w:r>
      <w:r>
        <w:rPr>
          <w:sz w:val="24"/>
        </w:rPr>
        <w:t>8</w:t>
      </w:r>
      <w:r>
        <w:rPr>
          <w:rFonts w:hint="eastAsia"/>
          <w:sz w:val="24"/>
        </w:rPr>
        <w:t>小时，每周工作不超过</w:t>
      </w:r>
      <w:r>
        <w:rPr>
          <w:sz w:val="24"/>
        </w:rPr>
        <w:t>40</w:t>
      </w:r>
      <w:r>
        <w:rPr>
          <w:rFonts w:hint="eastAsia"/>
          <w:sz w:val="24"/>
        </w:rPr>
        <w:t>小时。需安排加班的，中标供应商应配合并向劳动者支付加班费。</w:t>
      </w:r>
    </w:p>
    <w:p w14:paraId="736DB4AC">
      <w:pPr>
        <w:autoSpaceDE w:val="0"/>
        <w:autoSpaceDN w:val="0"/>
        <w:adjustRightInd w:val="0"/>
        <w:spacing w:line="360" w:lineRule="auto"/>
        <w:ind w:firstLine="480" w:firstLineChars="200"/>
        <w:rPr>
          <w:color w:val="000000"/>
          <w:sz w:val="24"/>
        </w:rPr>
      </w:pPr>
      <w:r>
        <w:rPr>
          <w:color w:val="000000"/>
          <w:sz w:val="24"/>
        </w:rPr>
        <w:t>根据《中华人民共和国劳动合同法》及其他法律法规的要求，本项目中标供应商须与实施物业管理服务人员签订用工合同</w:t>
      </w:r>
      <w:r>
        <w:rPr>
          <w:rFonts w:hint="eastAsia"/>
          <w:color w:val="000000"/>
          <w:sz w:val="24"/>
        </w:rPr>
        <w:t>，按国家及天津市相关政策规定，支付工资、加班费和福利费及</w:t>
      </w:r>
      <w:r>
        <w:rPr>
          <w:color w:val="000000"/>
          <w:sz w:val="24"/>
        </w:rPr>
        <w:t>缴纳社会保险</w:t>
      </w:r>
      <w:r>
        <w:rPr>
          <w:rFonts w:hint="eastAsia"/>
          <w:color w:val="000000"/>
          <w:sz w:val="24"/>
        </w:rPr>
        <w:t>和公积金</w:t>
      </w:r>
      <w:r>
        <w:rPr>
          <w:color w:val="000000"/>
          <w:sz w:val="24"/>
        </w:rPr>
        <w:t>。</w:t>
      </w:r>
      <w:r>
        <w:rPr>
          <w:rFonts w:hint="eastAsia"/>
          <w:color w:val="000000"/>
          <w:sz w:val="24"/>
        </w:rPr>
        <w:t>否则履约保证金不予退还。</w:t>
      </w:r>
    </w:p>
    <w:p w14:paraId="773A652C">
      <w:pPr>
        <w:spacing w:line="360" w:lineRule="auto"/>
        <w:ind w:firstLine="480" w:firstLineChars="200"/>
        <w:rPr>
          <w:rFonts w:ascii="Times New Roman" w:hAnsi="Times New Roman" w:cs="Times New Roman"/>
          <w:sz w:val="24"/>
          <w:szCs w:val="24"/>
        </w:rPr>
      </w:pPr>
    </w:p>
    <w:p w14:paraId="6B9BAF1E">
      <w:pPr>
        <w:spacing w:line="360" w:lineRule="auto"/>
        <w:rPr>
          <w:rFonts w:ascii="Times New Roman" w:hAnsi="Times New Roman" w:cs="Times New Roman"/>
          <w:b/>
          <w:sz w:val="24"/>
          <w:szCs w:val="24"/>
        </w:rPr>
      </w:pPr>
      <w:r>
        <w:rPr>
          <w:rFonts w:hint="eastAsia" w:ascii="Times New Roman" w:hAnsi="Times New Roman" w:cs="Times New Roman"/>
          <w:b/>
          <w:sz w:val="24"/>
          <w:szCs w:val="24"/>
        </w:rPr>
        <w:t>五、</w:t>
      </w:r>
      <w:r>
        <w:rPr>
          <w:rFonts w:hint="eastAsia"/>
          <w:b/>
          <w:color w:val="000000"/>
          <w:sz w:val="24"/>
          <w:szCs w:val="24"/>
        </w:rPr>
        <w:t>各岗位人员具体工作内容、职责及服务标准</w:t>
      </w:r>
    </w:p>
    <w:p w14:paraId="5940DEDD">
      <w:pPr>
        <w:spacing w:line="360" w:lineRule="auto"/>
        <w:ind w:firstLine="482" w:firstLineChars="200"/>
        <w:jc w:val="left"/>
        <w:rPr>
          <w:b/>
          <w:sz w:val="24"/>
        </w:rPr>
      </w:pPr>
      <w:r>
        <w:rPr>
          <w:rFonts w:hint="eastAsia"/>
          <w:b/>
          <w:sz w:val="24"/>
        </w:rPr>
        <w:t>项目经理工作内容及岗位职责</w:t>
      </w:r>
    </w:p>
    <w:p w14:paraId="09305D59">
      <w:pPr>
        <w:spacing w:line="360" w:lineRule="auto"/>
        <w:ind w:firstLine="480" w:firstLineChars="200"/>
        <w:jc w:val="left"/>
        <w:rPr>
          <w:sz w:val="24"/>
        </w:rPr>
      </w:pPr>
      <w:r>
        <w:rPr>
          <w:sz w:val="24"/>
        </w:rPr>
        <w:t>1</w:t>
      </w:r>
      <w:r>
        <w:rPr>
          <w:rFonts w:hint="eastAsia"/>
          <w:sz w:val="24"/>
        </w:rPr>
        <w:t xml:space="preserve">. </w:t>
      </w:r>
      <w:r>
        <w:rPr>
          <w:sz w:val="24"/>
          <w:szCs w:val="24"/>
        </w:rPr>
        <w:t>负责项目物业管理全面日常管理工作</w:t>
      </w:r>
      <w:r>
        <w:rPr>
          <w:rFonts w:hint="eastAsia"/>
          <w:sz w:val="24"/>
        </w:rPr>
        <w:t>。</w:t>
      </w:r>
    </w:p>
    <w:p w14:paraId="28892E50">
      <w:pPr>
        <w:spacing w:line="360" w:lineRule="auto"/>
        <w:ind w:firstLine="480" w:firstLineChars="200"/>
        <w:jc w:val="left"/>
        <w:rPr>
          <w:sz w:val="24"/>
        </w:rPr>
      </w:pPr>
      <w:r>
        <w:rPr>
          <w:sz w:val="24"/>
        </w:rPr>
        <w:t>2</w:t>
      </w:r>
      <w:r>
        <w:rPr>
          <w:rFonts w:hint="eastAsia"/>
          <w:sz w:val="24"/>
        </w:rPr>
        <w:t>.制定项目的年度计划，包括设施设备管理程序及制度，人员编制计划及工作内容，备品备件申购计划等管理工作。</w:t>
      </w:r>
    </w:p>
    <w:p w14:paraId="54FF007F">
      <w:pPr>
        <w:spacing w:line="360" w:lineRule="auto"/>
        <w:ind w:firstLine="480" w:firstLineChars="200"/>
        <w:jc w:val="left"/>
        <w:rPr>
          <w:sz w:val="24"/>
        </w:rPr>
      </w:pPr>
      <w:r>
        <w:rPr>
          <w:sz w:val="24"/>
        </w:rPr>
        <w:t>3</w:t>
      </w:r>
      <w:r>
        <w:rPr>
          <w:rFonts w:hint="eastAsia"/>
          <w:sz w:val="24"/>
        </w:rPr>
        <w:t>审定及检查各部门工作计划的制定与执行。</w:t>
      </w:r>
    </w:p>
    <w:p w14:paraId="28F16D2C">
      <w:pPr>
        <w:spacing w:line="360" w:lineRule="auto"/>
        <w:ind w:firstLine="480" w:firstLineChars="200"/>
        <w:jc w:val="left"/>
        <w:rPr>
          <w:sz w:val="24"/>
        </w:rPr>
      </w:pPr>
      <w:r>
        <w:rPr>
          <w:sz w:val="24"/>
        </w:rPr>
        <w:t>4</w:t>
      </w:r>
      <w:r>
        <w:rPr>
          <w:rFonts w:hint="eastAsia"/>
          <w:sz w:val="24"/>
        </w:rPr>
        <w:t>.制定部门内各级员工工作程序，并使之正确且行之有效。</w:t>
      </w:r>
    </w:p>
    <w:p w14:paraId="4FCE7306">
      <w:pPr>
        <w:spacing w:line="360" w:lineRule="auto"/>
        <w:ind w:firstLine="480" w:firstLineChars="200"/>
        <w:jc w:val="left"/>
        <w:rPr>
          <w:sz w:val="24"/>
        </w:rPr>
      </w:pPr>
      <w:r>
        <w:rPr>
          <w:sz w:val="24"/>
        </w:rPr>
        <w:t>5</w:t>
      </w:r>
      <w:r>
        <w:rPr>
          <w:rFonts w:hint="eastAsia"/>
          <w:sz w:val="24"/>
        </w:rPr>
        <w:t>.建立部门各类资料管理制度，以符合档案管理的要求。</w:t>
      </w:r>
    </w:p>
    <w:p w14:paraId="318493BB">
      <w:pPr>
        <w:spacing w:line="360" w:lineRule="auto"/>
        <w:ind w:firstLine="480" w:firstLineChars="200"/>
        <w:jc w:val="left"/>
        <w:rPr>
          <w:sz w:val="24"/>
        </w:rPr>
      </w:pPr>
      <w:r>
        <w:rPr>
          <w:sz w:val="24"/>
        </w:rPr>
        <w:t>6</w:t>
      </w:r>
      <w:r>
        <w:rPr>
          <w:rFonts w:hint="eastAsia"/>
          <w:sz w:val="24"/>
        </w:rPr>
        <w:t>.制定设备管理安全工作制度及突发事件应急处理程序。</w:t>
      </w:r>
    </w:p>
    <w:p w14:paraId="3C21987F">
      <w:pPr>
        <w:spacing w:line="360" w:lineRule="auto"/>
        <w:ind w:firstLine="480" w:firstLineChars="200"/>
        <w:jc w:val="left"/>
        <w:rPr>
          <w:sz w:val="24"/>
        </w:rPr>
      </w:pPr>
      <w:r>
        <w:rPr>
          <w:sz w:val="24"/>
        </w:rPr>
        <w:t>7</w:t>
      </w:r>
      <w:r>
        <w:rPr>
          <w:rFonts w:hint="eastAsia"/>
          <w:sz w:val="24"/>
        </w:rPr>
        <w:t>.制定各级员工考核制度，并组织实施。</w:t>
      </w:r>
    </w:p>
    <w:p w14:paraId="10F352F8">
      <w:pPr>
        <w:spacing w:line="360" w:lineRule="auto"/>
        <w:ind w:firstLine="480" w:firstLineChars="200"/>
        <w:jc w:val="left"/>
        <w:rPr>
          <w:sz w:val="24"/>
        </w:rPr>
      </w:pPr>
      <w:r>
        <w:rPr>
          <w:sz w:val="24"/>
        </w:rPr>
        <w:t>8</w:t>
      </w:r>
      <w:r>
        <w:rPr>
          <w:rFonts w:hint="eastAsia"/>
          <w:sz w:val="24"/>
        </w:rPr>
        <w:t>.负责人员的管理培训，制定培训计划和组织实施以提高整体管理水平。</w:t>
      </w:r>
    </w:p>
    <w:p w14:paraId="5DB1A17D">
      <w:pPr>
        <w:spacing w:line="360" w:lineRule="auto"/>
        <w:ind w:firstLine="480" w:firstLineChars="200"/>
        <w:jc w:val="left"/>
        <w:rPr>
          <w:sz w:val="24"/>
        </w:rPr>
      </w:pPr>
      <w:r>
        <w:rPr>
          <w:sz w:val="24"/>
        </w:rPr>
        <w:t>9</w:t>
      </w:r>
      <w:r>
        <w:rPr>
          <w:rFonts w:hint="eastAsia"/>
          <w:sz w:val="24"/>
        </w:rPr>
        <w:t>.处理客户或其他部门对本部门的投诉。</w:t>
      </w:r>
    </w:p>
    <w:p w14:paraId="6D533074">
      <w:pPr>
        <w:spacing w:line="360" w:lineRule="auto"/>
        <w:ind w:firstLine="480" w:firstLineChars="200"/>
        <w:jc w:val="left"/>
        <w:rPr>
          <w:sz w:val="24"/>
        </w:rPr>
      </w:pPr>
      <w:r>
        <w:rPr>
          <w:sz w:val="24"/>
        </w:rPr>
        <w:t>10</w:t>
      </w:r>
      <w:r>
        <w:rPr>
          <w:rFonts w:hint="eastAsia"/>
          <w:sz w:val="24"/>
        </w:rPr>
        <w:t>.监督及检查属下的行为、纪律、衣着，确保员工的行为规范符合管理处要求。</w:t>
      </w:r>
    </w:p>
    <w:p w14:paraId="1DE5F95E">
      <w:pPr>
        <w:spacing w:line="360" w:lineRule="auto"/>
        <w:ind w:firstLine="480" w:firstLineChars="200"/>
        <w:jc w:val="left"/>
        <w:rPr>
          <w:sz w:val="24"/>
        </w:rPr>
      </w:pPr>
      <w:r>
        <w:rPr>
          <w:rFonts w:hint="eastAsia"/>
          <w:sz w:val="24"/>
        </w:rPr>
        <w:t>1</w:t>
      </w:r>
      <w:r>
        <w:rPr>
          <w:sz w:val="24"/>
        </w:rPr>
        <w:t>1</w:t>
      </w:r>
      <w:r>
        <w:rPr>
          <w:rFonts w:hint="eastAsia"/>
          <w:sz w:val="24"/>
        </w:rPr>
        <w:t>.因管委会有事需要马上到场，需要项目经理自行配备车辆，有应急事宜半小时内开车到达。需要持</w:t>
      </w:r>
      <w:r>
        <w:rPr>
          <w:sz w:val="24"/>
        </w:rPr>
        <w:t>《机动车驾驶证（准驾车型至少包括C1）》</w:t>
      </w:r>
    </w:p>
    <w:p w14:paraId="28591500">
      <w:pPr>
        <w:spacing w:line="360" w:lineRule="auto"/>
        <w:ind w:firstLine="480" w:firstLineChars="200"/>
        <w:jc w:val="left"/>
        <w:rPr>
          <w:sz w:val="24"/>
        </w:rPr>
      </w:pPr>
      <w:r>
        <w:rPr>
          <w:rFonts w:hint="eastAsia"/>
          <w:sz w:val="24"/>
        </w:rPr>
        <w:t>12.完成上级交办的其他工作任务。</w:t>
      </w:r>
    </w:p>
    <w:p w14:paraId="424E24EF">
      <w:pPr>
        <w:spacing w:line="360" w:lineRule="auto"/>
        <w:ind w:firstLine="482" w:firstLineChars="200"/>
        <w:jc w:val="left"/>
        <w:rPr>
          <w:rFonts w:ascii="Times New Roman" w:hAnsi="Times New Roman" w:eastAsia="宋体" w:cs="Times New Roman"/>
          <w:b/>
          <w:sz w:val="24"/>
          <w:szCs w:val="20"/>
        </w:rPr>
      </w:pPr>
      <w:r>
        <w:rPr>
          <w:rFonts w:hint="eastAsia" w:ascii="Times New Roman" w:hAnsi="Times New Roman" w:eastAsia="宋体" w:cs="Times New Roman"/>
          <w:b/>
          <w:bCs/>
          <w:sz w:val="24"/>
          <w:szCs w:val="20"/>
        </w:rPr>
        <w:t>工程主管工作内容及</w:t>
      </w:r>
      <w:r>
        <w:rPr>
          <w:rFonts w:hint="eastAsia" w:ascii="Times New Roman" w:hAnsi="Times New Roman" w:eastAsia="宋体" w:cs="Times New Roman"/>
          <w:b/>
          <w:sz w:val="24"/>
          <w:szCs w:val="20"/>
        </w:rPr>
        <w:t>岗位职责</w:t>
      </w:r>
    </w:p>
    <w:p w14:paraId="33ECF858">
      <w:pPr>
        <w:spacing w:line="360" w:lineRule="auto"/>
        <w:ind w:firstLine="480" w:firstLineChars="200"/>
        <w:jc w:val="left"/>
        <w:rPr>
          <w:rFonts w:ascii="Times New Roman" w:hAnsi="Times New Roman" w:eastAsia="宋体" w:cs="Times New Roman"/>
          <w:sz w:val="24"/>
          <w:szCs w:val="20"/>
        </w:rPr>
      </w:pPr>
      <w:r>
        <w:rPr>
          <w:rFonts w:ascii="Times New Roman" w:hAnsi="Times New Roman" w:eastAsia="宋体" w:cs="Times New Roman"/>
          <w:sz w:val="24"/>
          <w:szCs w:val="20"/>
        </w:rPr>
        <w:t>1</w:t>
      </w:r>
      <w:r>
        <w:rPr>
          <w:rFonts w:hint="eastAsia" w:ascii="Times New Roman" w:hAnsi="Times New Roman" w:eastAsia="宋体" w:cs="Times New Roman"/>
          <w:sz w:val="24"/>
          <w:szCs w:val="20"/>
        </w:rPr>
        <w:t>.持证上岗，严格执行国家有关安全操作规程，并树立“安全第一”的思想，既要保证工作人员的人身安全，又要保证设备的运行安全。</w:t>
      </w:r>
    </w:p>
    <w:p w14:paraId="3E954474">
      <w:pPr>
        <w:spacing w:line="360" w:lineRule="auto"/>
        <w:ind w:firstLine="480" w:firstLineChars="200"/>
        <w:jc w:val="left"/>
        <w:rPr>
          <w:rFonts w:ascii="Times New Roman" w:hAnsi="Times New Roman" w:eastAsia="宋体" w:cs="Times New Roman"/>
          <w:sz w:val="24"/>
          <w:szCs w:val="20"/>
        </w:rPr>
      </w:pPr>
      <w:r>
        <w:rPr>
          <w:rFonts w:ascii="Times New Roman" w:hAnsi="Times New Roman" w:eastAsia="宋体" w:cs="Times New Roman"/>
          <w:sz w:val="24"/>
          <w:szCs w:val="20"/>
        </w:rPr>
        <w:t>2</w:t>
      </w:r>
      <w:r>
        <w:rPr>
          <w:rFonts w:hint="eastAsia" w:ascii="Times New Roman" w:hAnsi="Times New Roman" w:eastAsia="宋体" w:cs="Times New Roman"/>
          <w:sz w:val="24"/>
          <w:szCs w:val="20"/>
        </w:rPr>
        <w:t>.负责楼内设施设备的日常维修工作。</w:t>
      </w:r>
    </w:p>
    <w:p w14:paraId="254EC71F">
      <w:pPr>
        <w:spacing w:line="360" w:lineRule="auto"/>
        <w:ind w:firstLine="480" w:firstLineChars="200"/>
        <w:jc w:val="left"/>
        <w:rPr>
          <w:rFonts w:ascii="Times New Roman" w:hAnsi="Times New Roman" w:eastAsia="宋体" w:cs="Times New Roman"/>
          <w:sz w:val="24"/>
          <w:szCs w:val="20"/>
        </w:rPr>
      </w:pPr>
      <w:r>
        <w:rPr>
          <w:rFonts w:ascii="Times New Roman" w:hAnsi="Times New Roman" w:eastAsia="宋体" w:cs="Times New Roman"/>
          <w:sz w:val="24"/>
          <w:szCs w:val="20"/>
        </w:rPr>
        <w:t>3</w:t>
      </w:r>
      <w:r>
        <w:rPr>
          <w:rFonts w:hint="eastAsia" w:ascii="Times New Roman" w:hAnsi="Times New Roman" w:eastAsia="宋体" w:cs="Times New Roman"/>
          <w:sz w:val="24"/>
          <w:szCs w:val="20"/>
        </w:rPr>
        <w:t>.学习、掌握所负责设备可能出现的故障，以及紧急处理的方法，确保设备安全。</w:t>
      </w:r>
    </w:p>
    <w:p w14:paraId="17E73706">
      <w:pPr>
        <w:spacing w:line="360" w:lineRule="auto"/>
        <w:ind w:firstLine="480" w:firstLineChars="200"/>
        <w:jc w:val="left"/>
        <w:rPr>
          <w:rFonts w:ascii="Times New Roman" w:hAnsi="Times New Roman" w:eastAsia="宋体" w:cs="Times New Roman"/>
          <w:sz w:val="24"/>
          <w:szCs w:val="20"/>
        </w:rPr>
      </w:pPr>
      <w:r>
        <w:rPr>
          <w:rFonts w:ascii="Times New Roman" w:hAnsi="Times New Roman" w:eastAsia="宋体" w:cs="Times New Roman"/>
          <w:sz w:val="24"/>
          <w:szCs w:val="20"/>
        </w:rPr>
        <w:t>4</w:t>
      </w:r>
      <w:r>
        <w:rPr>
          <w:rFonts w:hint="eastAsia" w:ascii="Times New Roman" w:hAnsi="Times New Roman" w:eastAsia="宋体" w:cs="Times New Roman"/>
          <w:sz w:val="24"/>
          <w:szCs w:val="20"/>
        </w:rPr>
        <w:t>.配合、监督电梯维保单位工作，并详细记录。</w:t>
      </w:r>
    </w:p>
    <w:p w14:paraId="79292115">
      <w:pPr>
        <w:spacing w:line="360" w:lineRule="auto"/>
        <w:ind w:firstLine="480" w:firstLineChars="200"/>
        <w:jc w:val="left"/>
        <w:rPr>
          <w:rFonts w:ascii="Times New Roman" w:hAnsi="Times New Roman" w:eastAsia="宋体" w:cs="Times New Roman"/>
          <w:sz w:val="24"/>
          <w:szCs w:val="20"/>
        </w:rPr>
      </w:pPr>
      <w:r>
        <w:rPr>
          <w:rFonts w:ascii="Times New Roman" w:hAnsi="Times New Roman" w:eastAsia="宋体" w:cs="Times New Roman"/>
          <w:sz w:val="24"/>
          <w:szCs w:val="20"/>
        </w:rPr>
        <w:t>5</w:t>
      </w:r>
      <w:r>
        <w:rPr>
          <w:rFonts w:hint="eastAsia" w:ascii="Times New Roman" w:hAnsi="Times New Roman" w:eastAsia="宋体" w:cs="Times New Roman"/>
          <w:sz w:val="24"/>
          <w:szCs w:val="20"/>
        </w:rPr>
        <w:t>.保管好并合理利用本班组的公用工具、备品、备件、材料等，及时做好相应记录。</w:t>
      </w:r>
    </w:p>
    <w:p w14:paraId="50E35BA5">
      <w:pPr>
        <w:spacing w:line="360" w:lineRule="auto"/>
        <w:ind w:firstLine="480" w:firstLineChars="200"/>
        <w:jc w:val="left"/>
        <w:rPr>
          <w:rFonts w:ascii="Times New Roman" w:hAnsi="Times New Roman" w:eastAsia="宋体" w:cs="Times New Roman"/>
          <w:sz w:val="24"/>
          <w:szCs w:val="20"/>
        </w:rPr>
      </w:pPr>
      <w:r>
        <w:rPr>
          <w:rFonts w:ascii="Times New Roman" w:hAnsi="Times New Roman" w:eastAsia="宋体" w:cs="Times New Roman"/>
          <w:sz w:val="24"/>
          <w:szCs w:val="20"/>
        </w:rPr>
        <w:t>6</w:t>
      </w:r>
      <w:r>
        <w:rPr>
          <w:rFonts w:hint="eastAsia" w:ascii="Times New Roman" w:hAnsi="Times New Roman" w:eastAsia="宋体" w:cs="Times New Roman"/>
          <w:sz w:val="24"/>
          <w:szCs w:val="20"/>
        </w:rPr>
        <w:t>.严格遵照工作指令和有关规章制度进行工作，杜绝脱岗、串岗、旷工现象发生，不得作与工作无关的事情。同时做好相应记录与分析，并及时将工作结果、分析结果反馈给项目主管。</w:t>
      </w:r>
    </w:p>
    <w:p w14:paraId="7B0A4DF7">
      <w:pPr>
        <w:spacing w:line="360" w:lineRule="auto"/>
        <w:ind w:firstLine="480" w:firstLineChars="200"/>
        <w:jc w:val="left"/>
        <w:rPr>
          <w:rFonts w:ascii="Times New Roman" w:hAnsi="Times New Roman" w:eastAsia="宋体" w:cs="Times New Roman"/>
          <w:sz w:val="24"/>
          <w:szCs w:val="20"/>
        </w:rPr>
      </w:pPr>
      <w:r>
        <w:rPr>
          <w:rFonts w:ascii="Times New Roman" w:hAnsi="Times New Roman" w:eastAsia="宋体" w:cs="Times New Roman"/>
          <w:sz w:val="24"/>
          <w:szCs w:val="20"/>
        </w:rPr>
        <w:t>7</w:t>
      </w:r>
      <w:r>
        <w:rPr>
          <w:rFonts w:hint="eastAsia" w:ascii="Times New Roman" w:hAnsi="Times New Roman" w:eastAsia="宋体" w:cs="Times New Roman"/>
          <w:sz w:val="24"/>
          <w:szCs w:val="20"/>
        </w:rPr>
        <w:t>.办公室内维修尽量减少活动范围，禁止大声喧哗，影响业主办公环境，需要有大动作或声响的尽量安排下班时间或者周六日维修。</w:t>
      </w:r>
    </w:p>
    <w:p w14:paraId="08374E35">
      <w:pPr>
        <w:spacing w:line="360" w:lineRule="auto"/>
        <w:ind w:firstLine="480" w:firstLineChars="200"/>
        <w:jc w:val="left"/>
        <w:rPr>
          <w:rFonts w:ascii="Times New Roman" w:hAnsi="Times New Roman" w:eastAsia="宋体" w:cs="Times New Roman"/>
          <w:sz w:val="24"/>
          <w:szCs w:val="20"/>
        </w:rPr>
      </w:pPr>
      <w:r>
        <w:rPr>
          <w:rFonts w:ascii="Times New Roman" w:hAnsi="Times New Roman" w:eastAsia="宋体" w:cs="Times New Roman"/>
          <w:sz w:val="24"/>
          <w:szCs w:val="20"/>
        </w:rPr>
        <w:t>8</w:t>
      </w:r>
      <w:r>
        <w:rPr>
          <w:rFonts w:hint="eastAsia" w:ascii="Times New Roman" w:hAnsi="Times New Roman" w:eastAsia="宋体" w:cs="Times New Roman"/>
          <w:sz w:val="24"/>
          <w:szCs w:val="20"/>
        </w:rPr>
        <w:t>.服从分配，工作认真，完毕有汇报，协助其他岗位员工处理相关工作事宜。</w:t>
      </w:r>
    </w:p>
    <w:p w14:paraId="71B60289">
      <w:pPr>
        <w:spacing w:line="360" w:lineRule="auto"/>
        <w:ind w:firstLine="480" w:firstLineChars="200"/>
        <w:jc w:val="left"/>
        <w:rPr>
          <w:sz w:val="24"/>
        </w:rPr>
      </w:pPr>
      <w:r>
        <w:rPr>
          <w:rFonts w:hint="eastAsia"/>
          <w:sz w:val="24"/>
        </w:rPr>
        <w:t>9.管委</w:t>
      </w:r>
      <w:r>
        <w:rPr>
          <w:sz w:val="24"/>
        </w:rPr>
        <w:t>会下属的各个管理用房的</w:t>
      </w:r>
      <w:r>
        <w:rPr>
          <w:rFonts w:hint="eastAsia"/>
          <w:sz w:val="24"/>
        </w:rPr>
        <w:t>电气</w:t>
      </w:r>
      <w:r>
        <w:rPr>
          <w:sz w:val="24"/>
        </w:rPr>
        <w:t>设备比较多，需要</w:t>
      </w:r>
      <w:r>
        <w:rPr>
          <w:rFonts w:hint="eastAsia"/>
          <w:sz w:val="24"/>
        </w:rPr>
        <w:t>电气</w:t>
      </w:r>
      <w:r>
        <w:rPr>
          <w:sz w:val="24"/>
        </w:rPr>
        <w:t>工程相关专业的管理人员进行管理，并同时负责变电站设备及电梯维护。</w:t>
      </w:r>
    </w:p>
    <w:p w14:paraId="502583DB">
      <w:pPr>
        <w:spacing w:line="360" w:lineRule="auto"/>
        <w:ind w:firstLine="480" w:firstLineChars="200"/>
        <w:jc w:val="left"/>
        <w:rPr>
          <w:sz w:val="24"/>
        </w:rPr>
      </w:pPr>
      <w:r>
        <w:rPr>
          <w:rFonts w:hint="eastAsia"/>
          <w:sz w:val="24"/>
        </w:rPr>
        <w:t>10</w:t>
      </w:r>
      <w:r>
        <w:rPr>
          <w:sz w:val="24"/>
        </w:rPr>
        <w:t>.</w:t>
      </w:r>
      <w:r>
        <w:rPr>
          <w:rFonts w:hint="eastAsia"/>
          <w:sz w:val="24"/>
        </w:rPr>
        <w:t xml:space="preserve"> 负责对园区10KV变压器的检修巡检、公共照明、管线的检查、维护和保养工作。持《特种作业操作证（高压电工作业）》和《特种作业操作证（低压电工作业）》</w:t>
      </w:r>
    </w:p>
    <w:p w14:paraId="22D3FF0C">
      <w:pPr>
        <w:spacing w:line="360" w:lineRule="auto"/>
        <w:ind w:firstLine="480" w:firstLineChars="200"/>
        <w:jc w:val="left"/>
        <w:rPr>
          <w:sz w:val="24"/>
        </w:rPr>
      </w:pPr>
      <w:r>
        <w:rPr>
          <w:rFonts w:hint="eastAsia"/>
          <w:sz w:val="24"/>
        </w:rPr>
        <w:t>11</w:t>
      </w:r>
      <w:r>
        <w:rPr>
          <w:sz w:val="24"/>
        </w:rPr>
        <w:t>..配合、监督电梯维保单位工作，并详细记录。</w:t>
      </w:r>
    </w:p>
    <w:p w14:paraId="495F363F">
      <w:pPr>
        <w:spacing w:line="360" w:lineRule="auto"/>
        <w:ind w:firstLine="480" w:firstLineChars="200"/>
        <w:jc w:val="left"/>
        <w:rPr>
          <w:rFonts w:ascii="Times New Roman" w:hAnsi="Times New Roman" w:eastAsia="宋体" w:cs="Times New Roman"/>
          <w:sz w:val="24"/>
          <w:szCs w:val="20"/>
        </w:rPr>
      </w:pPr>
      <w:r>
        <w:rPr>
          <w:rFonts w:hint="eastAsia" w:ascii="Times New Roman" w:hAnsi="Times New Roman" w:eastAsia="宋体" w:cs="Times New Roman"/>
          <w:sz w:val="24"/>
          <w:szCs w:val="20"/>
        </w:rPr>
        <w:t>12.完成上级交办的其他工作任务</w:t>
      </w:r>
    </w:p>
    <w:p w14:paraId="452A04BE">
      <w:pPr>
        <w:spacing w:line="360" w:lineRule="auto"/>
        <w:ind w:firstLine="482" w:firstLineChars="200"/>
        <w:jc w:val="left"/>
        <w:rPr>
          <w:b/>
          <w:bCs/>
          <w:sz w:val="24"/>
        </w:rPr>
      </w:pPr>
      <w:bookmarkStart w:id="0" w:name="_Hlk57734473"/>
      <w:r>
        <w:rPr>
          <w:rFonts w:hint="eastAsia"/>
          <w:b/>
          <w:bCs/>
          <w:sz w:val="24"/>
        </w:rPr>
        <w:t>工程维修人员工作内容及岗位职责</w:t>
      </w:r>
    </w:p>
    <w:p w14:paraId="623635B3">
      <w:pPr>
        <w:spacing w:line="360" w:lineRule="auto"/>
        <w:ind w:firstLine="480" w:firstLineChars="200"/>
        <w:jc w:val="left"/>
        <w:rPr>
          <w:sz w:val="24"/>
        </w:rPr>
      </w:pPr>
      <w:r>
        <w:rPr>
          <w:rFonts w:hint="eastAsia"/>
          <w:sz w:val="24"/>
        </w:rPr>
        <w:t>1.持证上岗，严格执行国家有关安全操作规程，并树立“安全第一”的思想，既要保证工作人员的人身安全，又要保证设备的运行安全。</w:t>
      </w:r>
    </w:p>
    <w:p w14:paraId="155F622A">
      <w:pPr>
        <w:spacing w:line="360" w:lineRule="auto"/>
        <w:ind w:firstLine="480" w:firstLineChars="200"/>
        <w:jc w:val="left"/>
        <w:rPr>
          <w:sz w:val="24"/>
        </w:rPr>
      </w:pPr>
      <w:r>
        <w:rPr>
          <w:rFonts w:hint="eastAsia"/>
          <w:sz w:val="24"/>
        </w:rPr>
        <w:t>2.负责楼外10KV变压器的检修巡检、公共照明、管线的检查、维护和保养及楼内设施设备的日常维修工作。持《特种作业操作证（高压电工作业）》和《特种作业操作证（低压电工作业）》</w:t>
      </w:r>
    </w:p>
    <w:p w14:paraId="02BFF34E">
      <w:pPr>
        <w:spacing w:line="360" w:lineRule="auto"/>
        <w:ind w:firstLine="480" w:firstLineChars="200"/>
        <w:jc w:val="left"/>
        <w:rPr>
          <w:sz w:val="24"/>
        </w:rPr>
      </w:pPr>
      <w:r>
        <w:rPr>
          <w:rFonts w:hint="eastAsia"/>
          <w:sz w:val="24"/>
        </w:rPr>
        <w:t>3.学习、掌握所负责设备可能出现的故障，以及紧急处理的方法，确保设备安全。</w:t>
      </w:r>
    </w:p>
    <w:p w14:paraId="0A392C25">
      <w:pPr>
        <w:spacing w:line="360" w:lineRule="auto"/>
        <w:ind w:firstLine="480" w:firstLineChars="200"/>
        <w:jc w:val="left"/>
        <w:rPr>
          <w:sz w:val="24"/>
        </w:rPr>
      </w:pPr>
      <w:r>
        <w:rPr>
          <w:rFonts w:hint="eastAsia"/>
          <w:sz w:val="24"/>
        </w:rPr>
        <w:t>4.配合、监督维保单位工作，并详细记录。</w:t>
      </w:r>
    </w:p>
    <w:p w14:paraId="384C617A">
      <w:pPr>
        <w:spacing w:line="360" w:lineRule="auto"/>
        <w:ind w:firstLine="480" w:firstLineChars="200"/>
        <w:jc w:val="left"/>
        <w:rPr>
          <w:sz w:val="24"/>
        </w:rPr>
      </w:pPr>
      <w:r>
        <w:rPr>
          <w:rFonts w:hint="eastAsia"/>
          <w:sz w:val="24"/>
        </w:rPr>
        <w:t>5.保管好并合理利用本班组的公用工具、备品、备件、材料等，及时做好相应记录。</w:t>
      </w:r>
    </w:p>
    <w:p w14:paraId="732A6E23">
      <w:pPr>
        <w:spacing w:line="360" w:lineRule="auto"/>
        <w:ind w:firstLine="480" w:firstLineChars="200"/>
        <w:jc w:val="left"/>
        <w:rPr>
          <w:sz w:val="24"/>
        </w:rPr>
      </w:pPr>
      <w:r>
        <w:rPr>
          <w:rFonts w:hint="eastAsia"/>
          <w:sz w:val="24"/>
        </w:rPr>
        <w:t>6.严格遵照工作指令和有关规章制度进行工作，杜绝脱岗、串岗、旷工现象发生，不得作与工作无关的事情。同时做好相应记录与分析，并及时将工作结果、分析结果反馈给工程主管。</w:t>
      </w:r>
    </w:p>
    <w:p w14:paraId="402E3810">
      <w:pPr>
        <w:spacing w:line="360" w:lineRule="auto"/>
        <w:ind w:firstLine="480" w:firstLineChars="200"/>
        <w:jc w:val="left"/>
        <w:rPr>
          <w:sz w:val="24"/>
        </w:rPr>
      </w:pPr>
      <w:r>
        <w:rPr>
          <w:rFonts w:hint="eastAsia"/>
          <w:sz w:val="24"/>
        </w:rPr>
        <w:t>7.办公室内维修尽量减少活动范围，禁止大声喧哗，影响业主办公环境，需要有大动作或声响的尽量安排下班时间或者周六日维修。</w:t>
      </w:r>
    </w:p>
    <w:p w14:paraId="753F0ECD">
      <w:pPr>
        <w:spacing w:line="360" w:lineRule="auto"/>
        <w:ind w:firstLine="480" w:firstLineChars="200"/>
        <w:jc w:val="left"/>
        <w:rPr>
          <w:sz w:val="24"/>
        </w:rPr>
      </w:pPr>
      <w:r>
        <w:rPr>
          <w:rFonts w:hint="eastAsia"/>
          <w:sz w:val="24"/>
        </w:rPr>
        <w:t>8.服从分配，工作认真，完毕有汇报，协助其他岗位员工处理相关工作事宜。</w:t>
      </w:r>
    </w:p>
    <w:p w14:paraId="269EC995">
      <w:pPr>
        <w:spacing w:line="360" w:lineRule="auto"/>
        <w:ind w:firstLine="480" w:firstLineChars="200"/>
        <w:jc w:val="left"/>
        <w:rPr>
          <w:sz w:val="24"/>
        </w:rPr>
      </w:pPr>
      <w:r>
        <w:rPr>
          <w:rFonts w:hint="eastAsia"/>
          <w:sz w:val="24"/>
        </w:rPr>
        <w:t>9.完成上级交办的其他工作任务。</w:t>
      </w:r>
    </w:p>
    <w:p w14:paraId="38D3CB08">
      <w:pPr>
        <w:spacing w:line="360" w:lineRule="auto"/>
        <w:ind w:firstLine="482" w:firstLineChars="200"/>
        <w:jc w:val="left"/>
        <w:rPr>
          <w:b/>
          <w:bCs/>
          <w:sz w:val="24"/>
        </w:rPr>
      </w:pPr>
      <w:r>
        <w:rPr>
          <w:rFonts w:hint="eastAsia"/>
          <w:b/>
          <w:bCs/>
          <w:sz w:val="24"/>
        </w:rPr>
        <w:t>秩序维护兼消防安全员工作职责及具体要求</w:t>
      </w:r>
    </w:p>
    <w:bookmarkEnd w:id="0"/>
    <w:p w14:paraId="7E3C7218">
      <w:pPr>
        <w:spacing w:line="360" w:lineRule="auto"/>
        <w:ind w:firstLine="480" w:firstLineChars="200"/>
        <w:jc w:val="left"/>
        <w:rPr>
          <w:sz w:val="24"/>
        </w:rPr>
      </w:pPr>
      <w:r>
        <w:rPr>
          <w:rFonts w:hint="eastAsia"/>
          <w:sz w:val="24"/>
        </w:rPr>
        <w:t>1.负责服务项目内安全秩序维护工作。关注项目安全稳定情况，及时协助甲方处置突发安全事件，及时发现、上报重大安全因素、隐患和问题。持有具备公安机关颁发的保安员证。</w:t>
      </w:r>
    </w:p>
    <w:p w14:paraId="2E1ADA11">
      <w:pPr>
        <w:spacing w:line="360" w:lineRule="auto"/>
        <w:ind w:firstLine="480" w:firstLineChars="200"/>
        <w:jc w:val="left"/>
        <w:rPr>
          <w:sz w:val="24"/>
        </w:rPr>
      </w:pPr>
      <w:r>
        <w:rPr>
          <w:rFonts w:hint="eastAsia"/>
          <w:sz w:val="24"/>
        </w:rPr>
        <w:t>2.负责做好日常安全隐患巡查。根据甲方和物业公司要求，按规定区域、时间、路线排查安全隐患，认真维护服务区域安全，并做好巡逻记录。</w:t>
      </w:r>
    </w:p>
    <w:p w14:paraId="58388DD6">
      <w:pPr>
        <w:spacing w:line="360" w:lineRule="auto"/>
        <w:ind w:firstLine="480" w:firstLineChars="200"/>
        <w:jc w:val="left"/>
        <w:rPr>
          <w:sz w:val="24"/>
        </w:rPr>
      </w:pPr>
      <w:r>
        <w:rPr>
          <w:rFonts w:hint="eastAsia"/>
          <w:sz w:val="24"/>
        </w:rPr>
        <w:t>3.负责服务项目</w:t>
      </w:r>
      <w:r>
        <w:rPr>
          <w:rFonts w:hint="eastAsia" w:ascii="宋体" w:hAnsi="宋体"/>
          <w:sz w:val="24"/>
          <w:szCs w:val="24"/>
        </w:rPr>
        <w:t>消防设施巡查管理工作。建立消防设备台账，健全消防巡查记录、消防维保监督记录、消防演练记录。负责自动喷淋头、消防箱、灭火器、逃生牌等消防设备的巡查，中控室内消防设备和监控设备的运转监督和故障</w:t>
      </w:r>
      <w:r>
        <w:rPr>
          <w:rFonts w:hint="eastAsia"/>
          <w:sz w:val="24"/>
        </w:rPr>
        <w:t>申报。（由持有《职业资格证（建（构）筑物消防员或消防设施操作员）》四级/中级工证书的人员负责）</w:t>
      </w:r>
    </w:p>
    <w:p w14:paraId="071CC511">
      <w:pPr>
        <w:spacing w:line="360" w:lineRule="auto"/>
        <w:ind w:firstLine="480" w:firstLineChars="200"/>
        <w:jc w:val="left"/>
        <w:rPr>
          <w:sz w:val="24"/>
        </w:rPr>
      </w:pPr>
      <w:r>
        <w:rPr>
          <w:rFonts w:hint="eastAsia"/>
          <w:sz w:val="24"/>
        </w:rPr>
        <w:t>4</w:t>
      </w:r>
      <w:r>
        <w:rPr>
          <w:sz w:val="24"/>
        </w:rPr>
        <w:t>.</w:t>
      </w:r>
      <w:r>
        <w:rPr>
          <w:rFonts w:hint="eastAsia"/>
          <w:sz w:val="24"/>
        </w:rPr>
        <w:t>负责消防、监控室内设备的管理维护工作。熟悉监控室的所有设施、设备的运转及操作程序，熟知安全监控的准确位置。（由持有《职业资格证（建（构）筑物消防员或消防设施操作员）》四级/中级工证书的人员负责）</w:t>
      </w:r>
    </w:p>
    <w:p w14:paraId="18A43111">
      <w:pPr>
        <w:spacing w:line="360" w:lineRule="auto"/>
        <w:ind w:firstLine="480" w:firstLineChars="200"/>
        <w:jc w:val="left"/>
        <w:rPr>
          <w:sz w:val="24"/>
        </w:rPr>
      </w:pPr>
      <w:r>
        <w:rPr>
          <w:rFonts w:hint="eastAsia"/>
          <w:sz w:val="24"/>
        </w:rPr>
        <w:t>5. 负责做好单位门厅及门前的卫生保洁工作，协助做好快递、报刊收发，确保门口整洁畅通。</w:t>
      </w:r>
    </w:p>
    <w:p w14:paraId="7564B89F">
      <w:pPr>
        <w:spacing w:line="360" w:lineRule="auto"/>
        <w:ind w:firstLine="480" w:firstLineChars="200"/>
        <w:jc w:val="left"/>
        <w:rPr>
          <w:sz w:val="24"/>
        </w:rPr>
      </w:pPr>
      <w:r>
        <w:rPr>
          <w:rFonts w:hint="eastAsia"/>
          <w:sz w:val="24"/>
        </w:rPr>
        <w:t>6. 各岗位人员必须精通本职业务，熟练掌握安全规定和技能，保守工作秘密，服从管理，落实安全措施，有能力预防各种事故、案件的发生，有能力处理突发事件。</w:t>
      </w:r>
    </w:p>
    <w:p w14:paraId="15958D22">
      <w:pPr>
        <w:spacing w:line="360" w:lineRule="auto"/>
        <w:ind w:firstLine="480" w:firstLineChars="200"/>
        <w:jc w:val="left"/>
        <w:rPr>
          <w:sz w:val="24"/>
        </w:rPr>
      </w:pPr>
      <w:r>
        <w:rPr>
          <w:rFonts w:hint="eastAsia"/>
          <w:sz w:val="24"/>
        </w:rPr>
        <w:t>7.各岗位人员需要服从甲方和物业方的管理，积极配合、协助甲方和物业方完成临时任务。</w:t>
      </w:r>
    </w:p>
    <w:p w14:paraId="7EE7280E">
      <w:pPr>
        <w:spacing w:line="360" w:lineRule="auto"/>
        <w:ind w:firstLine="480" w:firstLineChars="200"/>
        <w:jc w:val="left"/>
        <w:rPr>
          <w:sz w:val="24"/>
        </w:rPr>
      </w:pPr>
      <w:r>
        <w:rPr>
          <w:rFonts w:hint="eastAsia"/>
          <w:sz w:val="24"/>
        </w:rPr>
        <w:t>8</w:t>
      </w:r>
      <w:r>
        <w:rPr>
          <w:sz w:val="24"/>
        </w:rPr>
        <w:t>.</w:t>
      </w:r>
      <w:r>
        <w:rPr>
          <w:rFonts w:hint="eastAsia"/>
          <w:sz w:val="24"/>
        </w:rPr>
        <w:t>负责做好甲方临时交办的有关工作。</w:t>
      </w:r>
    </w:p>
    <w:p w14:paraId="7DFDD128">
      <w:pPr>
        <w:spacing w:line="360" w:lineRule="auto"/>
        <w:ind w:firstLine="482" w:firstLineChars="200"/>
        <w:jc w:val="left"/>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综合主管工作内容及岗位职责</w:t>
      </w:r>
    </w:p>
    <w:p w14:paraId="623D1803">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1</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服从领导或管理人员安排，工作时间统一着装、戴胸卡。</w:t>
      </w:r>
    </w:p>
    <w:p w14:paraId="402696AB">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2</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严格遵守劳动纪律，不迟到早退。病事假必须提前向管理人员请假，未请假者按旷工论处。</w:t>
      </w:r>
    </w:p>
    <w:p w14:paraId="4F8CCD83">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3</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工作勤恳负责，做好本责任区内的卫生保洁工作及区域的电梯管理工作。</w:t>
      </w:r>
    </w:p>
    <w:p w14:paraId="59061EA0">
      <w:pPr>
        <w:pStyle w:val="13"/>
        <w:spacing w:line="360" w:lineRule="auto"/>
        <w:ind w:firstLine="480"/>
        <w:rPr>
          <w:sz w:val="24"/>
        </w:rPr>
      </w:pPr>
      <w:r>
        <w:rPr>
          <w:rFonts w:cs="Times New Roman" w:asciiTheme="minorEastAsia" w:hAnsiTheme="minorEastAsia"/>
          <w:sz w:val="24"/>
          <w:szCs w:val="20"/>
        </w:rPr>
        <w:t>4</w:t>
      </w:r>
      <w:r>
        <w:rPr>
          <w:rFonts w:hint="eastAsia" w:ascii="Times New Roman" w:hAnsi="Times New Roman" w:eastAsia="宋体" w:cs="Times New Roman"/>
          <w:sz w:val="24"/>
          <w:szCs w:val="20"/>
        </w:rPr>
        <w:t>.</w:t>
      </w:r>
      <w:r>
        <w:rPr>
          <w:sz w:val="24"/>
        </w:rPr>
        <w:t>负责定期组织项目内部消杀与管理工作</w:t>
      </w:r>
      <w:r>
        <w:rPr>
          <w:rFonts w:hint="eastAsia"/>
          <w:sz w:val="24"/>
        </w:rPr>
        <w:t>，</w:t>
      </w:r>
      <w:r>
        <w:rPr>
          <w:sz w:val="24"/>
        </w:rPr>
        <w:t>并根据防疫要求对楼内外的公共区域进行消杀。</w:t>
      </w:r>
    </w:p>
    <w:p w14:paraId="0E58E005">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5</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爱护公物、节约水电，维护楼内其他公共设施。上班期间卫生区内杜绝出现长明灯、长流水现象。</w:t>
      </w:r>
    </w:p>
    <w:p w14:paraId="671ECBBD">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6</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拾到物品主动上交，不留作私用。工作时间禁止干私活。</w:t>
      </w:r>
    </w:p>
    <w:p w14:paraId="0C430D63">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7</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保持上下水通畅，洗刷间、厕所堵塞应及时处理并上报。</w:t>
      </w:r>
    </w:p>
    <w:p w14:paraId="1A9EFFEE">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9</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未经主管同意，不准私自关锁洗刷间门和小厕所门，地漏盖保持在原位。</w:t>
      </w:r>
    </w:p>
    <w:p w14:paraId="5B98BB60">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10</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墙壁保持整洁，不能有粘贴脏物及乱刻画，瓷片不能有锈碱，顶棚等边角不能有蛛网灰。</w:t>
      </w:r>
    </w:p>
    <w:p w14:paraId="65827998">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1</w:t>
      </w:r>
      <w:r>
        <w:rPr>
          <w:rFonts w:cs="Times New Roman" w:asciiTheme="minorEastAsia" w:hAnsiTheme="minorEastAsia"/>
          <w:sz w:val="24"/>
          <w:szCs w:val="20"/>
        </w:rPr>
        <w:t>1</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洗刷间、厕所内玻璃洁净透亮，门面、门框、窗台及窗框内外不能有刻画或灰尘。</w:t>
      </w:r>
    </w:p>
    <w:p w14:paraId="2B00845F">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12</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地面保持干净，不能有泥垢、积水、纸屑、塑料、口香糖污渍等。</w:t>
      </w:r>
    </w:p>
    <w:p w14:paraId="2F5206D1">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14</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水池、水盆内外应洁净，不能有污垢、锈斑。厕所没有异味，便池内外保持清洁，不能有粪便等脏物。</w:t>
      </w:r>
    </w:p>
    <w:p w14:paraId="3495BA16">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1</w:t>
      </w:r>
      <w:r>
        <w:rPr>
          <w:rFonts w:cs="Times New Roman" w:asciiTheme="minorEastAsia" w:hAnsiTheme="minorEastAsia"/>
          <w:sz w:val="24"/>
          <w:szCs w:val="20"/>
        </w:rPr>
        <w:t>5</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厕所、洗刷间及休息室内清洁工具摆放整洁，不乱放杂物。</w:t>
      </w:r>
    </w:p>
    <w:p w14:paraId="681F6314">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16</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走廊及楼梯内门、扶手及铁栅栏应干净无灰尘。暖气设施、饮水设施、 消防器材、电器开关等应每日擦拭，及时清除墙壁上的踏痕。</w:t>
      </w:r>
    </w:p>
    <w:p w14:paraId="759DEBE2">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1</w:t>
      </w:r>
      <w:r>
        <w:rPr>
          <w:rFonts w:cs="Times New Roman" w:asciiTheme="minorEastAsia" w:hAnsiTheme="minorEastAsia"/>
          <w:sz w:val="24"/>
          <w:szCs w:val="20"/>
        </w:rPr>
        <w:t>7</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卫生间纸篓应及时清倒，纸篓内废弃物不应超过2/3，纸篓内废弃物一律倒入楼外指定垃圾箱内，不得冲入厕所(洗刷间)下水道内。</w:t>
      </w:r>
    </w:p>
    <w:p w14:paraId="61D6FDDA">
      <w:pPr>
        <w:spacing w:line="360" w:lineRule="auto"/>
        <w:ind w:firstLine="480" w:firstLineChars="200"/>
        <w:jc w:val="left"/>
        <w:rPr>
          <w:sz w:val="24"/>
        </w:rPr>
      </w:pPr>
      <w:r>
        <w:rPr>
          <w:sz w:val="24"/>
        </w:rPr>
        <w:t>18</w:t>
      </w:r>
      <w:r>
        <w:rPr>
          <w:rFonts w:hint="eastAsia"/>
          <w:sz w:val="24"/>
        </w:rPr>
        <w:t>.保洁主管需配合、监督电梯维保单位工作，并每半个月对电梯进行管理检查并详细记录。持《中华人民共和国特种设备作业人员证（电梯安全管理或特种设备安全管理）》</w:t>
      </w:r>
    </w:p>
    <w:p w14:paraId="182D95AA">
      <w:pPr>
        <w:spacing w:line="360" w:lineRule="auto"/>
        <w:ind w:firstLine="480" w:firstLineChars="200"/>
        <w:jc w:val="left"/>
        <w:rPr>
          <w:sz w:val="24"/>
        </w:rPr>
      </w:pPr>
      <w:r>
        <w:rPr>
          <w:rFonts w:hint="eastAsia" w:ascii="宋体" w:hAnsi="宋体"/>
          <w:sz w:val="24"/>
        </w:rPr>
        <w:t>19.</w:t>
      </w:r>
      <w:r>
        <w:rPr>
          <w:rFonts w:hint="eastAsia"/>
          <w:sz w:val="24"/>
        </w:rPr>
        <w:t>负责做好各服务项目的玻璃清洁工作，对部分建筑物2米以上的高空玻璃清洁、顶棚清洁人员需要持有《特种作业操作证（高处作业证）》证书。</w:t>
      </w:r>
    </w:p>
    <w:p w14:paraId="125FD370">
      <w:pPr>
        <w:spacing w:line="360" w:lineRule="auto"/>
        <w:ind w:firstLine="480" w:firstLineChars="200"/>
        <w:jc w:val="left"/>
        <w:rPr>
          <w:sz w:val="24"/>
        </w:rPr>
      </w:pPr>
      <w:r>
        <w:rPr>
          <w:rFonts w:hint="eastAsia"/>
          <w:sz w:val="24"/>
        </w:rPr>
        <w:t>20. 负责服务项目区域的病媒消杀工作。严防老鼠、蟑螂、蚂蚁、苍蝇、蚊虫等病虫害情况，定期开展病媒消杀。（由持有《天津市病媒生物防制培训证书》人员操作）。</w:t>
      </w:r>
    </w:p>
    <w:p w14:paraId="4D643479">
      <w:pPr>
        <w:spacing w:line="360" w:lineRule="auto"/>
        <w:ind w:firstLine="480" w:firstLineChars="200"/>
        <w:rPr>
          <w:sz w:val="24"/>
        </w:rPr>
      </w:pPr>
      <w:r>
        <w:rPr>
          <w:sz w:val="24"/>
        </w:rPr>
        <w:t>21</w:t>
      </w:r>
      <w:r>
        <w:rPr>
          <w:rFonts w:hint="eastAsia"/>
          <w:sz w:val="24"/>
        </w:rPr>
        <w:t>.积极完成领导交办的其他工作任务</w:t>
      </w:r>
    </w:p>
    <w:p w14:paraId="048CA147">
      <w:pPr>
        <w:spacing w:line="360" w:lineRule="auto"/>
        <w:ind w:firstLine="482" w:firstLineChars="200"/>
        <w:jc w:val="left"/>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保洁人员工作内容及岗位职责</w:t>
      </w:r>
    </w:p>
    <w:p w14:paraId="11EA5F13">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1</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服从领导或管理人员安排，工作时间统一着装、戴胸卡。</w:t>
      </w:r>
    </w:p>
    <w:p w14:paraId="37D3C1D4">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2</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严格遵守劳动纪律，不迟到早退。病事假必须提前向管理人员请假，未请假者按旷工论处。</w:t>
      </w:r>
    </w:p>
    <w:p w14:paraId="170069A0">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3</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工作勤恳负责，做好本责任区内的卫生保洁工作。</w:t>
      </w:r>
    </w:p>
    <w:p w14:paraId="1AF25BDA">
      <w:pPr>
        <w:pStyle w:val="13"/>
        <w:spacing w:line="360" w:lineRule="auto"/>
        <w:ind w:firstLine="480"/>
        <w:rPr>
          <w:sz w:val="24"/>
        </w:rPr>
      </w:pPr>
      <w:r>
        <w:rPr>
          <w:rFonts w:cs="Times New Roman" w:asciiTheme="minorEastAsia" w:hAnsiTheme="minorEastAsia"/>
          <w:sz w:val="24"/>
          <w:szCs w:val="20"/>
        </w:rPr>
        <w:t>4</w:t>
      </w:r>
      <w:r>
        <w:rPr>
          <w:rFonts w:hint="eastAsia" w:ascii="Times New Roman" w:hAnsi="Times New Roman" w:eastAsia="宋体" w:cs="Times New Roman"/>
          <w:sz w:val="24"/>
          <w:szCs w:val="20"/>
        </w:rPr>
        <w:t>.</w:t>
      </w:r>
      <w:r>
        <w:rPr>
          <w:sz w:val="24"/>
        </w:rPr>
        <w:t>负责定期组织项目内部消杀与管理工作</w:t>
      </w:r>
      <w:r>
        <w:rPr>
          <w:rFonts w:hint="eastAsia"/>
          <w:sz w:val="24"/>
        </w:rPr>
        <w:t>，</w:t>
      </w:r>
      <w:r>
        <w:rPr>
          <w:sz w:val="24"/>
        </w:rPr>
        <w:t>并根据防疫要求对楼内外的公共区域进行消杀。</w:t>
      </w:r>
    </w:p>
    <w:p w14:paraId="1FEAD928">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5</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爱护公物、节约水电，维护楼内其他公共设施。上班期间卫生区内杜绝出现长明灯、长流水现象。</w:t>
      </w:r>
    </w:p>
    <w:p w14:paraId="6F8C3CC8">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6</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拾到物品主动上交，不留作私用。工作时间禁止干私活。</w:t>
      </w:r>
    </w:p>
    <w:p w14:paraId="28FF583F">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7</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保持上下水通畅，洗刷间、厕所堵塞应及时处理并上报。</w:t>
      </w:r>
    </w:p>
    <w:p w14:paraId="1520FA1F">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9</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未经主管同意，不准私自关锁洗刷间门和小厕所门，地漏盖保持在原位。</w:t>
      </w:r>
    </w:p>
    <w:p w14:paraId="2F6127DE">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10</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墙壁保持整洁，不能有粘贴脏物及乱刻画，瓷片不能有锈碱，顶棚等边角不能有蛛网灰。</w:t>
      </w:r>
    </w:p>
    <w:p w14:paraId="489DD712">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1</w:t>
      </w:r>
      <w:r>
        <w:rPr>
          <w:rFonts w:cs="Times New Roman" w:asciiTheme="minorEastAsia" w:hAnsiTheme="minorEastAsia"/>
          <w:sz w:val="24"/>
          <w:szCs w:val="20"/>
        </w:rPr>
        <w:t>1</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洗刷间、厕所内玻璃洁净透亮，门面、门框、窗台及窗框内外不能有刻画或灰尘。</w:t>
      </w:r>
    </w:p>
    <w:p w14:paraId="56620FC3">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12</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地面保持干净，不能有泥垢、积水、纸屑、塑料、口香糖污渍等。</w:t>
      </w:r>
    </w:p>
    <w:p w14:paraId="0954C83C">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14</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水池、水盆内外应洁净，不能有污垢、锈斑。厕所没有异味，便池内外保持清洁，不能有粪便等脏物。</w:t>
      </w:r>
    </w:p>
    <w:p w14:paraId="28FC44A0">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1</w:t>
      </w:r>
      <w:r>
        <w:rPr>
          <w:rFonts w:cs="Times New Roman" w:asciiTheme="minorEastAsia" w:hAnsiTheme="minorEastAsia"/>
          <w:sz w:val="24"/>
          <w:szCs w:val="20"/>
        </w:rPr>
        <w:t>5</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厕所、洗刷间及休息室内清洁工具摆放整洁，不乱放杂物。</w:t>
      </w:r>
    </w:p>
    <w:p w14:paraId="407D8856">
      <w:pPr>
        <w:spacing w:line="360" w:lineRule="auto"/>
        <w:ind w:firstLine="480" w:firstLineChars="200"/>
        <w:jc w:val="left"/>
        <w:rPr>
          <w:rFonts w:cs="Times New Roman" w:asciiTheme="minorEastAsia" w:hAnsiTheme="minorEastAsia"/>
          <w:sz w:val="24"/>
          <w:szCs w:val="20"/>
        </w:rPr>
      </w:pPr>
      <w:r>
        <w:rPr>
          <w:rFonts w:cs="Times New Roman" w:asciiTheme="minorEastAsia" w:hAnsiTheme="minorEastAsia"/>
          <w:sz w:val="24"/>
          <w:szCs w:val="20"/>
        </w:rPr>
        <w:t>16</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走廊及楼梯内门、扶手及铁栅栏应干净无灰尘。暖气设施、饮水设施、 消防器材、电器开关等应每日擦拭，及时清除墙壁上的踏痕。</w:t>
      </w:r>
    </w:p>
    <w:p w14:paraId="7B172CBB">
      <w:pPr>
        <w:spacing w:line="360" w:lineRule="auto"/>
        <w:ind w:firstLine="480" w:firstLineChars="200"/>
        <w:jc w:val="left"/>
        <w:rPr>
          <w:rFonts w:cs="Times New Roman" w:asciiTheme="minorEastAsia" w:hAnsiTheme="minorEastAsia"/>
          <w:sz w:val="24"/>
          <w:szCs w:val="20"/>
        </w:rPr>
      </w:pPr>
      <w:r>
        <w:rPr>
          <w:rFonts w:hint="eastAsia" w:cs="Times New Roman" w:asciiTheme="minorEastAsia" w:hAnsiTheme="minorEastAsia"/>
          <w:sz w:val="24"/>
          <w:szCs w:val="20"/>
        </w:rPr>
        <w:t>1</w:t>
      </w:r>
      <w:r>
        <w:rPr>
          <w:rFonts w:cs="Times New Roman" w:asciiTheme="minorEastAsia" w:hAnsiTheme="minorEastAsia"/>
          <w:sz w:val="24"/>
          <w:szCs w:val="20"/>
        </w:rPr>
        <w:t>7</w:t>
      </w:r>
      <w:r>
        <w:rPr>
          <w:rFonts w:hint="eastAsia" w:ascii="Times New Roman" w:hAnsi="Times New Roman" w:eastAsia="宋体" w:cs="Times New Roman"/>
          <w:sz w:val="24"/>
          <w:szCs w:val="20"/>
        </w:rPr>
        <w:t>.</w:t>
      </w:r>
      <w:r>
        <w:rPr>
          <w:rFonts w:hint="eastAsia" w:cs="Times New Roman" w:asciiTheme="minorEastAsia" w:hAnsiTheme="minorEastAsia"/>
          <w:sz w:val="24"/>
          <w:szCs w:val="20"/>
        </w:rPr>
        <w:t>卫生间纸篓应及时清倒，纸篓内废弃物不应超过2/3，纸篓内废弃物一律倒入楼外指定垃圾箱内，不得冲入厕所(洗刷间)下水道内。</w:t>
      </w:r>
    </w:p>
    <w:p w14:paraId="07F690F8">
      <w:pPr>
        <w:spacing w:line="360" w:lineRule="auto"/>
        <w:ind w:firstLine="480" w:firstLineChars="200"/>
        <w:jc w:val="left"/>
        <w:rPr>
          <w:sz w:val="24"/>
        </w:rPr>
      </w:pPr>
      <w:r>
        <w:rPr>
          <w:rFonts w:hint="eastAsia" w:ascii="宋体" w:hAnsi="宋体"/>
          <w:sz w:val="24"/>
        </w:rPr>
        <w:t>18.</w:t>
      </w:r>
      <w:r>
        <w:rPr>
          <w:rFonts w:hint="eastAsia"/>
          <w:sz w:val="24"/>
        </w:rPr>
        <w:t>负责做好各服务项目的玻璃清洁工作，对部分建筑物2米以上的高空玻璃清洁、顶棚清洁人员需要持有《特种作业操作证（高处作业证）》证书。</w:t>
      </w:r>
    </w:p>
    <w:p w14:paraId="6921DE6E">
      <w:pPr>
        <w:spacing w:line="360" w:lineRule="auto"/>
        <w:ind w:firstLine="480" w:firstLineChars="200"/>
        <w:jc w:val="left"/>
        <w:rPr>
          <w:sz w:val="24"/>
        </w:rPr>
      </w:pPr>
      <w:r>
        <w:rPr>
          <w:rFonts w:hint="eastAsia"/>
          <w:sz w:val="24"/>
        </w:rPr>
        <w:t>19. 负责服务项目区域的病媒消杀工作。严防老鼠、蟑螂、蚂蚁、苍蝇、蚊虫等病虫害情况，定期开展病媒消杀。（由持有《天津市病媒生物防制培训证书》人员操作）。</w:t>
      </w:r>
    </w:p>
    <w:p w14:paraId="7AF5FB42">
      <w:pPr>
        <w:spacing w:line="360" w:lineRule="auto"/>
        <w:ind w:firstLine="480" w:firstLineChars="200"/>
        <w:rPr>
          <w:sz w:val="24"/>
        </w:rPr>
      </w:pPr>
      <w:r>
        <w:rPr>
          <w:sz w:val="24"/>
        </w:rPr>
        <w:t>2</w:t>
      </w:r>
      <w:r>
        <w:rPr>
          <w:rFonts w:hint="eastAsia"/>
          <w:sz w:val="24"/>
        </w:rPr>
        <w:t>0.积极完成领导交办的其他工作任务</w:t>
      </w:r>
    </w:p>
    <w:p w14:paraId="2D4D368C">
      <w:pPr>
        <w:spacing w:line="360" w:lineRule="auto"/>
        <w:jc w:val="left"/>
        <w:rPr>
          <w:rFonts w:cs="Times New Roman" w:asciiTheme="minorEastAsia" w:hAnsiTheme="minorEastAsia"/>
          <w:sz w:val="24"/>
          <w:szCs w:val="20"/>
        </w:rPr>
      </w:pPr>
      <w:r>
        <w:rPr>
          <w:rFonts w:ascii="Times New Roman" w:hAnsi="Times New Roman" w:eastAsia="宋体" w:cs="Times New Roman"/>
          <w:b/>
          <w:bCs/>
          <w:sz w:val="24"/>
          <w:szCs w:val="20"/>
        </w:rPr>
        <w:t>会议服务员</w:t>
      </w:r>
      <w:r>
        <w:rPr>
          <w:rFonts w:hint="eastAsia" w:ascii="Times New Roman" w:hAnsi="Times New Roman" w:eastAsia="宋体" w:cs="Times New Roman"/>
          <w:b/>
          <w:bCs/>
          <w:sz w:val="24"/>
          <w:szCs w:val="20"/>
        </w:rPr>
        <w:t>工作内容及岗位</w:t>
      </w:r>
      <w:r>
        <w:rPr>
          <w:rFonts w:ascii="Times New Roman" w:hAnsi="Times New Roman" w:eastAsia="宋体" w:cs="Times New Roman"/>
          <w:b/>
          <w:bCs/>
          <w:sz w:val="24"/>
          <w:szCs w:val="20"/>
        </w:rPr>
        <w:t>职责</w:t>
      </w:r>
      <w:r>
        <w:rPr>
          <w:rFonts w:cs="Times New Roman" w:asciiTheme="minorEastAsia" w:hAnsiTheme="minorEastAsia"/>
          <w:sz w:val="24"/>
          <w:szCs w:val="20"/>
        </w:rPr>
        <w:br w:type="textWrapping"/>
      </w:r>
      <w:r>
        <w:rPr>
          <w:rFonts w:hint="eastAsia" w:cs="Times New Roman" w:asciiTheme="minorEastAsia" w:hAnsiTheme="minorEastAsia"/>
          <w:sz w:val="24"/>
          <w:szCs w:val="20"/>
        </w:rPr>
        <w:t>1</w:t>
      </w:r>
      <w:r>
        <w:rPr>
          <w:rFonts w:cs="Times New Roman" w:asciiTheme="minorEastAsia" w:hAnsiTheme="minorEastAsia"/>
          <w:sz w:val="24"/>
          <w:szCs w:val="20"/>
        </w:rPr>
        <w:t>.会议前的各项服务准备及设备设施检查工作。</w:t>
      </w:r>
      <w:r>
        <w:rPr>
          <w:rFonts w:cs="Times New Roman" w:asciiTheme="minorEastAsia" w:hAnsiTheme="minorEastAsia"/>
          <w:sz w:val="24"/>
          <w:szCs w:val="20"/>
        </w:rPr>
        <w:br w:type="textWrapping"/>
      </w:r>
      <w:r>
        <w:rPr>
          <w:rFonts w:hint="eastAsia" w:cs="Times New Roman" w:asciiTheme="minorEastAsia" w:hAnsiTheme="minorEastAsia"/>
          <w:sz w:val="24"/>
          <w:szCs w:val="20"/>
        </w:rPr>
        <w:t>2</w:t>
      </w:r>
      <w:r>
        <w:rPr>
          <w:rFonts w:cs="Times New Roman" w:asciiTheme="minorEastAsia" w:hAnsiTheme="minorEastAsia"/>
          <w:sz w:val="24"/>
          <w:szCs w:val="20"/>
        </w:rPr>
        <w:t>.参会人员的导引、签到及开会物品、资料的发放工作。</w:t>
      </w:r>
      <w:r>
        <w:rPr>
          <w:rFonts w:cs="Times New Roman" w:asciiTheme="minorEastAsia" w:hAnsiTheme="minorEastAsia"/>
          <w:sz w:val="24"/>
          <w:szCs w:val="20"/>
        </w:rPr>
        <w:br w:type="textWrapping"/>
      </w:r>
      <w:r>
        <w:rPr>
          <w:rFonts w:hint="eastAsia" w:cs="Times New Roman" w:asciiTheme="minorEastAsia" w:hAnsiTheme="minorEastAsia"/>
          <w:sz w:val="24"/>
          <w:szCs w:val="20"/>
        </w:rPr>
        <w:t>3</w:t>
      </w:r>
      <w:r>
        <w:rPr>
          <w:rFonts w:cs="Times New Roman" w:asciiTheme="minorEastAsia" w:hAnsiTheme="minorEastAsia"/>
          <w:sz w:val="24"/>
          <w:szCs w:val="20"/>
        </w:rPr>
        <w:t>.参会贵宾的接待服务，并负责导引其到指定位置就座。</w:t>
      </w:r>
      <w:r>
        <w:rPr>
          <w:rFonts w:cs="Times New Roman" w:asciiTheme="minorEastAsia" w:hAnsiTheme="minorEastAsia"/>
          <w:sz w:val="24"/>
          <w:szCs w:val="20"/>
        </w:rPr>
        <w:br w:type="textWrapping"/>
      </w:r>
      <w:r>
        <w:rPr>
          <w:rFonts w:hint="eastAsia" w:cs="Times New Roman" w:asciiTheme="minorEastAsia" w:hAnsiTheme="minorEastAsia"/>
          <w:sz w:val="24"/>
          <w:szCs w:val="20"/>
        </w:rPr>
        <w:t>4</w:t>
      </w:r>
      <w:r>
        <w:rPr>
          <w:rFonts w:cs="Times New Roman" w:asciiTheme="minorEastAsia" w:hAnsiTheme="minorEastAsia"/>
          <w:sz w:val="24"/>
          <w:szCs w:val="20"/>
        </w:rPr>
        <w:t>.参会人员托管衣帽等物品的管理工作。</w:t>
      </w:r>
      <w:r>
        <w:rPr>
          <w:rFonts w:cs="Times New Roman" w:asciiTheme="minorEastAsia" w:hAnsiTheme="minorEastAsia"/>
          <w:sz w:val="24"/>
          <w:szCs w:val="20"/>
        </w:rPr>
        <w:br w:type="textWrapping"/>
      </w:r>
      <w:r>
        <w:rPr>
          <w:rFonts w:hint="eastAsia" w:cs="Times New Roman" w:asciiTheme="minorEastAsia" w:hAnsiTheme="minorEastAsia"/>
          <w:sz w:val="24"/>
          <w:szCs w:val="20"/>
        </w:rPr>
        <w:t>5</w:t>
      </w:r>
      <w:r>
        <w:rPr>
          <w:rFonts w:cs="Times New Roman" w:asciiTheme="minorEastAsia" w:hAnsiTheme="minorEastAsia"/>
          <w:sz w:val="24"/>
          <w:szCs w:val="20"/>
        </w:rPr>
        <w:t>.会议召开期间的茶水服务等工作；每15-20分钟添水一次</w:t>
      </w:r>
      <w:r>
        <w:rPr>
          <w:rFonts w:cs="Times New Roman" w:asciiTheme="minorEastAsia" w:hAnsiTheme="minorEastAsia"/>
          <w:sz w:val="24"/>
          <w:szCs w:val="20"/>
        </w:rPr>
        <w:br w:type="textWrapping"/>
      </w:r>
      <w:r>
        <w:rPr>
          <w:rFonts w:hint="eastAsia" w:cs="Times New Roman" w:asciiTheme="minorEastAsia" w:hAnsiTheme="minorEastAsia"/>
          <w:sz w:val="24"/>
          <w:szCs w:val="20"/>
        </w:rPr>
        <w:t>6</w:t>
      </w:r>
      <w:r>
        <w:rPr>
          <w:rFonts w:cs="Times New Roman" w:asciiTheme="minorEastAsia" w:hAnsiTheme="minorEastAsia"/>
          <w:sz w:val="24"/>
          <w:szCs w:val="20"/>
        </w:rPr>
        <w:t>.会后会议室的检查、清扫和整理工作。</w:t>
      </w:r>
      <w:r>
        <w:rPr>
          <w:rFonts w:cs="Times New Roman" w:asciiTheme="minorEastAsia" w:hAnsiTheme="minorEastAsia"/>
          <w:sz w:val="24"/>
          <w:szCs w:val="20"/>
        </w:rPr>
        <w:br w:type="textWrapping"/>
      </w:r>
      <w:r>
        <w:rPr>
          <w:rFonts w:hint="eastAsia" w:cs="Times New Roman" w:asciiTheme="minorEastAsia" w:hAnsiTheme="minorEastAsia"/>
          <w:sz w:val="24"/>
          <w:szCs w:val="20"/>
        </w:rPr>
        <w:t>7</w:t>
      </w:r>
      <w:r>
        <w:rPr>
          <w:rFonts w:cs="Times New Roman" w:asciiTheme="minorEastAsia" w:hAnsiTheme="minorEastAsia"/>
          <w:sz w:val="24"/>
          <w:szCs w:val="20"/>
        </w:rPr>
        <w:t>.会前会后的迎宾送宾工作；会前半小时，在会议室门口做好迎宾工作。</w:t>
      </w:r>
      <w:r>
        <w:rPr>
          <w:rFonts w:cs="Times New Roman" w:asciiTheme="minorEastAsia" w:hAnsiTheme="minorEastAsia"/>
          <w:sz w:val="24"/>
          <w:szCs w:val="20"/>
        </w:rPr>
        <w:br w:type="textWrapping"/>
      </w:r>
      <w:r>
        <w:rPr>
          <w:rFonts w:cs="Times New Roman" w:asciiTheme="minorEastAsia" w:hAnsiTheme="minorEastAsia"/>
          <w:sz w:val="24"/>
          <w:szCs w:val="20"/>
        </w:rPr>
        <w:t>8.会议室日常卫生维护和物品管理工作。</w:t>
      </w:r>
      <w:r>
        <w:rPr>
          <w:rFonts w:cs="Times New Roman" w:asciiTheme="minorEastAsia" w:hAnsiTheme="minorEastAsia"/>
          <w:sz w:val="24"/>
          <w:szCs w:val="20"/>
        </w:rPr>
        <w:br w:type="textWrapping"/>
      </w:r>
      <w:r>
        <w:rPr>
          <w:rFonts w:hint="eastAsia" w:cs="Times New Roman" w:asciiTheme="minorEastAsia" w:hAnsiTheme="minorEastAsia"/>
          <w:sz w:val="24"/>
          <w:szCs w:val="20"/>
        </w:rPr>
        <w:t>9</w:t>
      </w:r>
      <w:r>
        <w:rPr>
          <w:rFonts w:cs="Times New Roman" w:asciiTheme="minorEastAsia" w:hAnsiTheme="minorEastAsia"/>
          <w:sz w:val="24"/>
          <w:szCs w:val="20"/>
        </w:rPr>
        <w:t>.在服务区域内积极配合其他岗位做好服务工作。</w:t>
      </w:r>
      <w:r>
        <w:rPr>
          <w:rFonts w:cs="Times New Roman" w:asciiTheme="minorEastAsia" w:hAnsiTheme="minorEastAsia"/>
          <w:sz w:val="24"/>
          <w:szCs w:val="20"/>
        </w:rPr>
        <w:br w:type="textWrapping"/>
      </w:r>
      <w:r>
        <w:rPr>
          <w:rFonts w:hint="eastAsia" w:cs="Times New Roman" w:asciiTheme="minorEastAsia" w:hAnsiTheme="minorEastAsia"/>
          <w:sz w:val="24"/>
          <w:szCs w:val="20"/>
        </w:rPr>
        <w:t>1</w:t>
      </w:r>
      <w:r>
        <w:rPr>
          <w:rFonts w:cs="Times New Roman" w:asciiTheme="minorEastAsia" w:hAnsiTheme="minorEastAsia"/>
          <w:sz w:val="24"/>
          <w:szCs w:val="20"/>
        </w:rPr>
        <w:t>0.严格遵守业主和公司的保密制度，不得对外泄露领导及公司的有关信息</w:t>
      </w:r>
      <w:r>
        <w:rPr>
          <w:rFonts w:hint="eastAsia" w:cs="Times New Roman" w:asciiTheme="minorEastAsia" w:hAnsiTheme="minorEastAsia"/>
          <w:sz w:val="24"/>
          <w:szCs w:val="20"/>
        </w:rPr>
        <w:t>。</w:t>
      </w:r>
    </w:p>
    <w:p w14:paraId="18D21F6B">
      <w:pPr>
        <w:spacing w:line="360" w:lineRule="auto"/>
        <w:rPr>
          <w:rFonts w:ascii="Times New Roman" w:hAnsi="Times New Roman" w:cs="Times New Roman"/>
          <w:b/>
          <w:sz w:val="24"/>
          <w:szCs w:val="24"/>
        </w:rPr>
      </w:pPr>
      <w:r>
        <w:rPr>
          <w:rFonts w:hint="eastAsia" w:ascii="Times New Roman" w:hAnsi="Times New Roman" w:cs="Times New Roman"/>
          <w:b/>
          <w:sz w:val="24"/>
          <w:szCs w:val="24"/>
        </w:rPr>
        <w:t>六、应急服务要求</w:t>
      </w:r>
    </w:p>
    <w:p w14:paraId="72FB2CC1">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当出现不可预知紧急情况时</w:t>
      </w:r>
      <w:r>
        <w:rPr>
          <w:rFonts w:hint="eastAsia" w:ascii="Times New Roman" w:hAnsi="Times New Roman" w:cs="Times New Roman"/>
          <w:sz w:val="24"/>
          <w:szCs w:val="24"/>
        </w:rPr>
        <w:t>（例如停水停电、极端天气、群体事件、自然灾害等，可根据项目具体情况列举），</w:t>
      </w:r>
      <w:r>
        <w:rPr>
          <w:rFonts w:ascii="Times New Roman" w:hAnsi="Times New Roman" w:cs="Times New Roman"/>
          <w:sz w:val="24"/>
          <w:szCs w:val="24"/>
        </w:rPr>
        <w:t>保证物业服务正常运转的措施</w:t>
      </w:r>
      <w:r>
        <w:rPr>
          <w:rFonts w:hint="eastAsia" w:ascii="Times New Roman" w:hAnsi="Times New Roman" w:cs="Times New Roman"/>
          <w:sz w:val="24"/>
          <w:szCs w:val="24"/>
        </w:rPr>
        <w:t>，包括但不限于</w:t>
      </w:r>
      <w:r>
        <w:rPr>
          <w:rFonts w:ascii="Times New Roman" w:hAnsi="Times New Roman" w:cs="Times New Roman"/>
          <w:sz w:val="24"/>
          <w:szCs w:val="24"/>
        </w:rPr>
        <w:t>临时增配人员</w:t>
      </w:r>
      <w:r>
        <w:rPr>
          <w:rFonts w:hint="eastAsia" w:ascii="Times New Roman" w:hAnsi="Times New Roman" w:cs="Times New Roman"/>
          <w:sz w:val="24"/>
          <w:szCs w:val="24"/>
        </w:rPr>
        <w:t>、临时调集设备、现有人员岗位职责临时增加、与相关政府部门协调配合等。</w:t>
      </w:r>
    </w:p>
    <w:p w14:paraId="6E55AC51">
      <w:pPr>
        <w:spacing w:line="360" w:lineRule="auto"/>
        <w:rPr>
          <w:rFonts w:ascii="Times New Roman" w:hAnsi="Times New Roman" w:cs="Times New Roman"/>
          <w:b/>
          <w:sz w:val="24"/>
          <w:szCs w:val="24"/>
        </w:rPr>
      </w:pPr>
      <w:r>
        <w:rPr>
          <w:rFonts w:hint="eastAsia" w:ascii="Times New Roman" w:hAnsi="Times New Roman" w:cs="Times New Roman"/>
          <w:b/>
          <w:sz w:val="24"/>
          <w:szCs w:val="24"/>
        </w:rPr>
        <w:t>七、人员保密要求</w:t>
      </w:r>
    </w:p>
    <w:p w14:paraId="69202B7E">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保证物业服务过程中有可能获取的保密信息不泄露的措施，包括但不限于制定保密制度、服务人员保密培训、重点岗位双人服务、泄密惩罚办法。</w:t>
      </w:r>
    </w:p>
    <w:p w14:paraId="00C2D1FE">
      <w:pPr>
        <w:spacing w:line="360" w:lineRule="auto"/>
        <w:rPr>
          <w:rFonts w:ascii="Times New Roman" w:hAnsi="Times New Roman" w:cs="Times New Roman"/>
          <w:b/>
          <w:sz w:val="24"/>
          <w:szCs w:val="24"/>
        </w:rPr>
      </w:pPr>
      <w:r>
        <w:rPr>
          <w:rFonts w:hint="eastAsia" w:ascii="Times New Roman" w:hAnsi="Times New Roman" w:cs="Times New Roman"/>
          <w:b/>
          <w:sz w:val="24"/>
          <w:szCs w:val="24"/>
        </w:rPr>
        <w:t>八、人员稳定性要求</w:t>
      </w:r>
    </w:p>
    <w:p w14:paraId="7504AB93">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在整个服务期内，人员更换率不得超过</w:t>
      </w:r>
      <w:r>
        <w:rPr>
          <w:rFonts w:ascii="Times New Roman" w:hAnsi="Times New Roman" w:cs="Times New Roman"/>
          <w:sz w:val="24"/>
          <w:szCs w:val="24"/>
          <w:highlight w:val="yellow"/>
          <w:u w:val="single"/>
        </w:rPr>
        <w:t>10</w:t>
      </w:r>
      <w:r>
        <w:rPr>
          <w:rFonts w:hint="eastAsia" w:ascii="Times New Roman" w:hAnsi="Times New Roman" w:cs="Times New Roman"/>
          <w:sz w:val="24"/>
          <w:szCs w:val="24"/>
          <w:highlight w:val="yellow"/>
        </w:rPr>
        <w:t>%</w:t>
      </w:r>
      <w:r>
        <w:rPr>
          <w:rFonts w:hint="eastAsia" w:ascii="Times New Roman" w:hAnsi="Times New Roman" w:cs="Times New Roman"/>
          <w:sz w:val="24"/>
          <w:szCs w:val="24"/>
        </w:rPr>
        <w:t>，更换人员不得低于采购需求，且应经采购人同意。</w:t>
      </w:r>
    </w:p>
    <w:p w14:paraId="54891FB9">
      <w:pPr>
        <w:spacing w:line="360" w:lineRule="auto"/>
        <w:rPr>
          <w:rFonts w:ascii="Times New Roman" w:hAnsi="Times New Roman" w:cs="Times New Roman"/>
          <w:b/>
          <w:sz w:val="24"/>
          <w:szCs w:val="24"/>
        </w:rPr>
      </w:pPr>
      <w:r>
        <w:rPr>
          <w:rFonts w:hint="eastAsia" w:ascii="Times New Roman" w:hAnsi="Times New Roman" w:cs="Times New Roman"/>
          <w:b/>
          <w:sz w:val="24"/>
          <w:szCs w:val="24"/>
        </w:rPr>
        <w:t>九、进驻和接管要求</w:t>
      </w:r>
    </w:p>
    <w:p w14:paraId="7F964726">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中标（成交）后，及时配齐所需人员、工具、设备等，在规定的时间</w:t>
      </w:r>
      <w:r>
        <w:rPr>
          <w:rFonts w:ascii="Times New Roman" w:hAnsi="Times New Roman" w:cs="Times New Roman"/>
          <w:sz w:val="24"/>
          <w:szCs w:val="24"/>
          <w:highlight w:val="yellow"/>
        </w:rPr>
        <w:t>10</w:t>
      </w:r>
      <w:r>
        <w:rPr>
          <w:rFonts w:hint="eastAsia" w:ascii="Times New Roman" w:hAnsi="Times New Roman" w:cs="Times New Roman"/>
          <w:sz w:val="24"/>
          <w:szCs w:val="24"/>
          <w:highlight w:val="yellow"/>
        </w:rPr>
        <w:t>天内</w:t>
      </w:r>
      <w:r>
        <w:rPr>
          <w:rFonts w:hint="eastAsia" w:ascii="Times New Roman" w:hAnsi="Times New Roman" w:cs="Times New Roman"/>
          <w:sz w:val="24"/>
          <w:szCs w:val="24"/>
        </w:rPr>
        <w:t>保证全体服务人员按时进场服务，如果为新任物业服务公司，则还需与前任物业公司进行交接，保留相关记录，做到物业服务平稳过渡，对采购人工作无不良影响。</w:t>
      </w:r>
    </w:p>
    <w:p w14:paraId="15F071AB">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十、费用分割</w:t>
      </w:r>
    </w:p>
    <w:p w14:paraId="40448A54">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物业服务人员的服装、物业服务（</w:t>
      </w:r>
      <w:r>
        <w:rPr>
          <w:rFonts w:hint="eastAsia"/>
          <w:color w:val="000000"/>
          <w:sz w:val="24"/>
          <w:szCs w:val="24"/>
        </w:rPr>
        <w:t>保洁、设备维护、秩序维护、绿化养护、食堂服务等</w:t>
      </w:r>
      <w:r>
        <w:rPr>
          <w:rFonts w:hint="eastAsia" w:ascii="Times New Roman" w:hAnsi="Times New Roman" w:cs="Times New Roman"/>
          <w:sz w:val="24"/>
          <w:szCs w:val="24"/>
        </w:rPr>
        <w:t>）中使用的工具、耗材、维修更换的零配件等由谁提供？哪些由采购人提供，哪些由物业企业提供。</w:t>
      </w:r>
    </w:p>
    <w:p w14:paraId="4C6AF316">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需要供应商承担的工具、设备、耗材、零配件等费用须全部列出，否则视为采购人提供。</w:t>
      </w:r>
    </w:p>
    <w:p w14:paraId="1A8905F0">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是否提供物业服务人员免费食宿。</w:t>
      </w:r>
    </w:p>
    <w:p w14:paraId="40868FD5">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采购人免费提供多大面积的物业用房、提供什么物业办公家具及办公设备？</w:t>
      </w:r>
    </w:p>
    <w:p w14:paraId="5219F7CC">
      <w:pPr>
        <w:spacing w:line="360" w:lineRule="auto"/>
        <w:ind w:firstLine="480" w:firstLineChars="200"/>
        <w:rPr>
          <w:rFonts w:ascii="Times New Roman" w:hAnsi="Times New Roman" w:cs="Times New Roman"/>
          <w:sz w:val="24"/>
          <w:szCs w:val="24"/>
        </w:rPr>
      </w:pPr>
    </w:p>
    <w:p w14:paraId="6FBC041C">
      <w:pPr>
        <w:spacing w:line="360" w:lineRule="auto"/>
        <w:ind w:firstLine="480" w:firstLineChars="200"/>
        <w:jc w:val="left"/>
        <w:rPr>
          <w:bCs/>
          <w:sz w:val="24"/>
        </w:rPr>
      </w:pPr>
      <w:r>
        <w:rPr>
          <w:rFonts w:hint="eastAsia"/>
          <w:bCs/>
          <w:sz w:val="24"/>
        </w:rPr>
        <w:t>服装、工具及耗材</w:t>
      </w:r>
    </w:p>
    <w:p w14:paraId="52A168A0">
      <w:pPr>
        <w:spacing w:line="360" w:lineRule="auto"/>
        <w:ind w:firstLine="480" w:firstLineChars="200"/>
        <w:jc w:val="left"/>
        <w:rPr>
          <w:color w:val="000000"/>
          <w:sz w:val="24"/>
        </w:rPr>
      </w:pPr>
      <w:r>
        <w:rPr>
          <w:rFonts w:hint="eastAsia"/>
          <w:color w:val="000000"/>
          <w:sz w:val="24"/>
        </w:rPr>
        <w:t>1. 物业服务人员须统一服装，服装费用由中标供应商承担。</w:t>
      </w:r>
    </w:p>
    <w:p w14:paraId="3503C1A2">
      <w:pPr>
        <w:spacing w:line="360" w:lineRule="auto"/>
        <w:ind w:firstLine="480" w:firstLineChars="200"/>
        <w:jc w:val="left"/>
        <w:rPr>
          <w:color w:val="000000"/>
          <w:sz w:val="24"/>
        </w:rPr>
      </w:pPr>
      <w:r>
        <w:rPr>
          <w:rFonts w:hint="eastAsia"/>
          <w:color w:val="000000"/>
          <w:sz w:val="24"/>
        </w:rPr>
        <w:t>2.物业服务中所需的维修工具（含大型工具，机器等）费用、维修耗材费用、会服耗材费用，保洁工具费用等均由中标供应商承担。</w:t>
      </w:r>
    </w:p>
    <w:p w14:paraId="10B63810">
      <w:pPr>
        <w:spacing w:line="360" w:lineRule="auto"/>
        <w:ind w:firstLine="480" w:firstLineChars="200"/>
        <w:jc w:val="left"/>
        <w:rPr>
          <w:color w:val="FF0000"/>
          <w:sz w:val="24"/>
        </w:rPr>
      </w:pPr>
      <w:r>
        <w:rPr>
          <w:color w:val="FF0000"/>
          <w:sz w:val="24"/>
        </w:rPr>
        <w:t>3</w:t>
      </w:r>
      <w:r>
        <w:rPr>
          <w:rFonts w:hint="eastAsia"/>
          <w:color w:val="FF0000"/>
          <w:sz w:val="24"/>
        </w:rPr>
        <w:t>.在食堂设备维修和综合维修过程中，单次维修</w:t>
      </w:r>
      <w:r>
        <w:rPr>
          <w:color w:val="FF0000"/>
          <w:sz w:val="24"/>
        </w:rPr>
        <w:t>2</w:t>
      </w:r>
      <w:r>
        <w:rPr>
          <w:rFonts w:hint="eastAsia"/>
          <w:color w:val="FF0000"/>
          <w:sz w:val="24"/>
        </w:rPr>
        <w:t>00元及以下的易耗品属于中标供应商承担，单次维修高于</w:t>
      </w:r>
      <w:r>
        <w:rPr>
          <w:color w:val="FF0000"/>
          <w:sz w:val="24"/>
        </w:rPr>
        <w:t>2</w:t>
      </w:r>
      <w:r>
        <w:rPr>
          <w:rFonts w:hint="eastAsia"/>
          <w:color w:val="FF0000"/>
          <w:sz w:val="24"/>
        </w:rPr>
        <w:t>00元以上由甲方承担。</w:t>
      </w:r>
    </w:p>
    <w:p w14:paraId="78C942FE">
      <w:pPr>
        <w:spacing w:line="360" w:lineRule="auto"/>
        <w:ind w:firstLine="480" w:firstLineChars="200"/>
        <w:jc w:val="left"/>
        <w:rPr>
          <w:color w:val="FF0000"/>
          <w:sz w:val="24"/>
        </w:rPr>
      </w:pPr>
      <w:r>
        <w:rPr>
          <w:rFonts w:hint="eastAsia"/>
          <w:color w:val="FF0000"/>
          <w:sz w:val="24"/>
        </w:rPr>
        <w:t>4、提供物业服务人员就餐，但不提供住宿。</w:t>
      </w:r>
    </w:p>
    <w:p w14:paraId="60A5950F">
      <w:pPr>
        <w:spacing w:line="360" w:lineRule="auto"/>
        <w:ind w:firstLine="480" w:firstLineChars="200"/>
        <w:jc w:val="left"/>
        <w:rPr>
          <w:color w:val="000000"/>
          <w:sz w:val="24"/>
        </w:rPr>
      </w:pPr>
      <w:r>
        <w:rPr>
          <w:rFonts w:hint="eastAsia"/>
          <w:color w:val="FF0000"/>
          <w:sz w:val="24"/>
        </w:rPr>
        <w:t>5、提供一间2</w:t>
      </w:r>
      <w:r>
        <w:rPr>
          <w:color w:val="FF0000"/>
          <w:sz w:val="24"/>
        </w:rPr>
        <w:t>0</w:t>
      </w:r>
      <w:r>
        <w:rPr>
          <w:rFonts w:hint="eastAsia"/>
          <w:color w:val="FF0000"/>
          <w:sz w:val="24"/>
        </w:rPr>
        <w:t>平米的办公室，一间2</w:t>
      </w:r>
      <w:r>
        <w:rPr>
          <w:color w:val="FF0000"/>
          <w:sz w:val="24"/>
        </w:rPr>
        <w:t>0</w:t>
      </w:r>
      <w:r>
        <w:rPr>
          <w:rFonts w:hint="eastAsia"/>
          <w:color w:val="FF0000"/>
          <w:sz w:val="24"/>
        </w:rPr>
        <w:t>平米的库房。</w:t>
      </w:r>
    </w:p>
    <w:p w14:paraId="47FE195B">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十一、物业服务时间、服务地点及付款方式</w:t>
      </w:r>
    </w:p>
    <w:p w14:paraId="1DE98F2D">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服务</w:t>
      </w:r>
      <w:r>
        <w:rPr>
          <w:rFonts w:ascii="Times New Roman" w:hAnsi="Times New Roman" w:cs="Times New Roman"/>
          <w:sz w:val="24"/>
          <w:szCs w:val="24"/>
        </w:rPr>
        <w:t>时间：</w:t>
      </w:r>
      <w:r>
        <w:rPr>
          <w:rFonts w:hint="eastAsia" w:ascii="Times New Roman" w:hAnsi="Times New Roman" w:cs="Times New Roman"/>
          <w:color w:val="FF0000"/>
          <w:sz w:val="24"/>
          <w:szCs w:val="24"/>
        </w:rPr>
        <w:t>XX</w:t>
      </w:r>
      <w:r>
        <w:rPr>
          <w:rFonts w:hint="eastAsia" w:ascii="Times New Roman" w:hAnsi="Times New Roman" w:cs="Times New Roman"/>
          <w:sz w:val="24"/>
          <w:szCs w:val="24"/>
        </w:rPr>
        <w:t>个月/</w:t>
      </w:r>
      <w:r>
        <w:rPr>
          <w:rFonts w:hint="eastAsia" w:ascii="Times New Roman" w:hAnsi="Times New Roman" w:cs="Times New Roman"/>
          <w:color w:val="FF0000"/>
          <w:sz w:val="24"/>
          <w:szCs w:val="24"/>
        </w:rPr>
        <w:t>X</w:t>
      </w:r>
      <w:r>
        <w:rPr>
          <w:rFonts w:hint="eastAsia" w:ascii="Times New Roman" w:hAnsi="Times New Roman" w:cs="Times New Roman"/>
          <w:sz w:val="24"/>
          <w:szCs w:val="24"/>
        </w:rPr>
        <w:t>年（一般不超过三年）</w:t>
      </w:r>
      <w:r>
        <w:rPr>
          <w:rFonts w:hint="eastAsia" w:ascii="Times New Roman" w:hAnsi="Times New Roman" w:cs="Times New Roman"/>
          <w:sz w:val="24"/>
          <w:szCs w:val="24"/>
          <w:highlight w:val="yellow"/>
        </w:rPr>
        <w:t>一年</w:t>
      </w:r>
    </w:p>
    <w:p w14:paraId="7AC88EFA">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服务</w:t>
      </w:r>
      <w:r>
        <w:rPr>
          <w:rFonts w:ascii="Times New Roman" w:hAnsi="Times New Roman" w:cs="Times New Roman"/>
          <w:sz w:val="24"/>
          <w:szCs w:val="24"/>
        </w:rPr>
        <w:t>地点：</w:t>
      </w:r>
      <w:r>
        <w:rPr>
          <w:rFonts w:hint="eastAsia" w:ascii="Times New Roman" w:hAnsi="Times New Roman" w:cs="Times New Roman"/>
          <w:sz w:val="24"/>
          <w:szCs w:val="24"/>
        </w:rPr>
        <w:t>天津市津南区海河教育园区雅深路39号</w:t>
      </w:r>
    </w:p>
    <w:p w14:paraId="2020107C">
      <w:pPr>
        <w:spacing w:line="360" w:lineRule="auto"/>
        <w:ind w:firstLine="480" w:firstLineChars="200"/>
        <w:rPr>
          <w:color w:val="FF0000"/>
          <w:sz w:val="24"/>
        </w:rPr>
      </w:pPr>
      <w:r>
        <w:rPr>
          <w:rFonts w:hint="eastAsia" w:ascii="Times New Roman" w:hAnsi="Times New Roman" w:cs="Times New Roman"/>
          <w:sz w:val="24"/>
          <w:szCs w:val="24"/>
        </w:rPr>
        <w:t>付款方式：</w:t>
      </w:r>
      <w:r>
        <w:rPr>
          <w:color w:val="FF0000"/>
          <w:sz w:val="24"/>
          <w:highlight w:val="yellow"/>
          <w:u w:val="single"/>
        </w:rPr>
        <w:t>每</w:t>
      </w:r>
      <w:r>
        <w:rPr>
          <w:rFonts w:hint="eastAsia"/>
          <w:color w:val="FF0000"/>
          <w:sz w:val="24"/>
          <w:highlight w:val="yellow"/>
          <w:u w:val="single"/>
        </w:rPr>
        <w:t>半年后首</w:t>
      </w:r>
      <w:r>
        <w:rPr>
          <w:color w:val="FF0000"/>
          <w:sz w:val="24"/>
          <w:highlight w:val="yellow"/>
          <w:u w:val="single"/>
        </w:rPr>
        <w:t>月15日前支付上</w:t>
      </w:r>
      <w:r>
        <w:rPr>
          <w:rFonts w:hint="eastAsia"/>
          <w:color w:val="FF0000"/>
          <w:sz w:val="24"/>
          <w:highlight w:val="yellow"/>
          <w:u w:val="single"/>
        </w:rPr>
        <w:t>半年</w:t>
      </w:r>
      <w:r>
        <w:rPr>
          <w:color w:val="FF0000"/>
          <w:sz w:val="24"/>
          <w:highlight w:val="yellow"/>
          <w:u w:val="single"/>
        </w:rPr>
        <w:t>服务费</w:t>
      </w:r>
    </w:p>
    <w:p w14:paraId="3846CCC0">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十二、多包的项目是否接受兼投兼中</w:t>
      </w:r>
    </w:p>
    <w:p w14:paraId="6F39E59E">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单包项目</w:t>
      </w:r>
    </w:p>
    <w:p w14:paraId="1AE4742F">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十三、物业服务过程中，对物业公司评价考核验收标准</w:t>
      </w:r>
    </w:p>
    <w:p w14:paraId="212ACC72">
      <w:pPr>
        <w:tabs>
          <w:tab w:val="left" w:pos="640"/>
          <w:tab w:val="left" w:pos="840"/>
        </w:tabs>
        <w:spacing w:line="360" w:lineRule="auto"/>
        <w:ind w:firstLine="191" w:firstLineChars="91"/>
        <w:rPr>
          <w:rFonts w:ascii="宋体" w:hAnsi="宋体" w:cs="宋体"/>
          <w:szCs w:val="21"/>
        </w:rPr>
      </w:pPr>
      <w:r>
        <w:rPr>
          <w:rFonts w:hint="eastAsia" w:ascii="宋体" w:hAnsi="宋体" w:cs="宋体"/>
          <w:szCs w:val="21"/>
        </w:rPr>
        <w:t>1、</w:t>
      </w:r>
      <w:r>
        <w:rPr>
          <w:rFonts w:hint="eastAsia" w:ascii="宋体" w:hAnsi="宋体" w:cs="宋体"/>
          <w:szCs w:val="21"/>
        </w:rPr>
        <w:tab/>
      </w:r>
      <w:r>
        <w:rPr>
          <w:rFonts w:hint="eastAsia" w:ascii="宋体" w:hAnsi="宋体" w:cs="宋体"/>
          <w:szCs w:val="21"/>
        </w:rPr>
        <w:t>现场工作人员按要求配备。服装统一、整洁。</w:t>
      </w:r>
    </w:p>
    <w:p w14:paraId="5E9CC291">
      <w:pPr>
        <w:tabs>
          <w:tab w:val="left" w:pos="640"/>
          <w:tab w:val="left" w:pos="840"/>
        </w:tabs>
        <w:spacing w:line="360" w:lineRule="auto"/>
        <w:ind w:firstLine="191" w:firstLineChars="91"/>
        <w:rPr>
          <w:rFonts w:ascii="宋体" w:hAnsi="宋体" w:cs="宋体"/>
          <w:szCs w:val="21"/>
        </w:rPr>
      </w:pPr>
      <w:r>
        <w:rPr>
          <w:rFonts w:hint="eastAsia" w:ascii="宋体" w:hAnsi="宋体" w:cs="宋体"/>
          <w:szCs w:val="21"/>
        </w:rPr>
        <w:t>2、</w:t>
      </w:r>
      <w:r>
        <w:rPr>
          <w:rFonts w:hint="eastAsia" w:ascii="宋体" w:hAnsi="宋体" w:cs="宋体"/>
          <w:szCs w:val="21"/>
        </w:rPr>
        <w:tab/>
      </w:r>
      <w:r>
        <w:rPr>
          <w:rFonts w:hint="eastAsia" w:ascii="宋体" w:hAnsi="宋体" w:cs="宋体"/>
          <w:szCs w:val="21"/>
        </w:rPr>
        <w:t>按工作要求的频次完成服务工作。</w:t>
      </w:r>
    </w:p>
    <w:p w14:paraId="0B8639C4">
      <w:pPr>
        <w:tabs>
          <w:tab w:val="left" w:pos="640"/>
          <w:tab w:val="left" w:pos="840"/>
        </w:tabs>
        <w:spacing w:line="360" w:lineRule="auto"/>
        <w:ind w:firstLine="191" w:firstLineChars="91"/>
        <w:rPr>
          <w:rFonts w:ascii="宋体" w:hAnsi="宋体" w:cs="宋体"/>
          <w:szCs w:val="21"/>
        </w:rPr>
      </w:pPr>
      <w:r>
        <w:rPr>
          <w:rFonts w:hint="eastAsia" w:ascii="宋体" w:hAnsi="宋体" w:cs="宋体"/>
          <w:szCs w:val="21"/>
        </w:rPr>
        <w:t>3、</w:t>
      </w:r>
      <w:r>
        <w:rPr>
          <w:rFonts w:hint="eastAsia" w:ascii="宋体" w:hAnsi="宋体" w:cs="宋体"/>
          <w:szCs w:val="21"/>
        </w:rPr>
        <w:tab/>
      </w:r>
      <w:r>
        <w:rPr>
          <w:rFonts w:hint="eastAsia" w:ascii="宋体" w:hAnsi="宋体" w:cs="宋体"/>
          <w:szCs w:val="21"/>
        </w:rPr>
        <w:t>洗手间内保持整洁、无污物、无异味，定期消毒杀菌。小便器、坐厕洗手盆、地面无黄斑，保持干净，洗手液、擦手纸、卷纸提供充足，并保持设施的完好。</w:t>
      </w:r>
    </w:p>
    <w:p w14:paraId="45EC0C12">
      <w:pPr>
        <w:tabs>
          <w:tab w:val="left" w:pos="640"/>
          <w:tab w:val="left" w:pos="840"/>
        </w:tabs>
        <w:spacing w:line="360" w:lineRule="auto"/>
        <w:ind w:firstLine="191" w:firstLineChars="91"/>
        <w:rPr>
          <w:rFonts w:ascii="宋体" w:hAnsi="宋体" w:cs="宋体"/>
          <w:szCs w:val="21"/>
        </w:rPr>
      </w:pPr>
      <w:r>
        <w:rPr>
          <w:rFonts w:hint="eastAsia" w:ascii="宋体" w:hAnsi="宋体" w:cs="宋体"/>
          <w:szCs w:val="21"/>
        </w:rPr>
        <w:t>4、</w:t>
      </w:r>
      <w:r>
        <w:rPr>
          <w:rFonts w:hint="eastAsia" w:ascii="宋体" w:hAnsi="宋体" w:cs="宋体"/>
          <w:szCs w:val="21"/>
        </w:rPr>
        <w:tab/>
      </w:r>
      <w:r>
        <w:rPr>
          <w:rFonts w:hint="eastAsia" w:ascii="宋体" w:hAnsi="宋体" w:cs="宋体"/>
          <w:szCs w:val="21"/>
        </w:rPr>
        <w:t>各处玻璃无污渍、无浮尘、无蜘蛛网。</w:t>
      </w:r>
    </w:p>
    <w:p w14:paraId="7AD84B6C">
      <w:pPr>
        <w:tabs>
          <w:tab w:val="left" w:pos="640"/>
          <w:tab w:val="left" w:pos="840"/>
        </w:tabs>
        <w:spacing w:line="360" w:lineRule="auto"/>
        <w:ind w:firstLine="191" w:firstLineChars="91"/>
        <w:rPr>
          <w:rFonts w:ascii="宋体" w:hAnsi="宋体" w:cs="宋体"/>
          <w:szCs w:val="21"/>
        </w:rPr>
      </w:pPr>
      <w:r>
        <w:rPr>
          <w:rFonts w:hint="eastAsia" w:ascii="宋体" w:hAnsi="宋体" w:cs="宋体"/>
          <w:szCs w:val="21"/>
        </w:rPr>
        <w:t>5、</w:t>
      </w:r>
      <w:r>
        <w:rPr>
          <w:rFonts w:hint="eastAsia" w:ascii="宋体" w:hAnsi="宋体" w:cs="宋体"/>
          <w:szCs w:val="21"/>
        </w:rPr>
        <w:tab/>
      </w:r>
      <w:r>
        <w:rPr>
          <w:rFonts w:hint="eastAsia" w:ascii="宋体" w:hAnsi="宋体" w:cs="宋体"/>
          <w:szCs w:val="21"/>
        </w:rPr>
        <w:t>区域内通道干净、整洁、无杂草。格栅顶无浮尘和无蜘蛛网。雨水沟内无异物。</w:t>
      </w:r>
    </w:p>
    <w:p w14:paraId="075B399D">
      <w:pPr>
        <w:tabs>
          <w:tab w:val="left" w:pos="640"/>
          <w:tab w:val="left" w:pos="840"/>
        </w:tabs>
        <w:spacing w:line="360" w:lineRule="auto"/>
        <w:ind w:firstLine="191" w:firstLineChars="91"/>
        <w:rPr>
          <w:rFonts w:ascii="宋体" w:hAnsi="宋体" w:cs="宋体"/>
          <w:szCs w:val="21"/>
        </w:rPr>
      </w:pPr>
      <w:r>
        <w:rPr>
          <w:rFonts w:hint="eastAsia" w:ascii="宋体" w:hAnsi="宋体" w:cs="宋体"/>
          <w:szCs w:val="21"/>
        </w:rPr>
        <w:t>6、</w:t>
      </w:r>
      <w:r>
        <w:rPr>
          <w:rFonts w:hint="eastAsia" w:ascii="宋体" w:hAnsi="宋体" w:cs="宋体"/>
          <w:szCs w:val="21"/>
        </w:rPr>
        <w:tab/>
      </w:r>
      <w:r>
        <w:rPr>
          <w:rFonts w:hint="eastAsia" w:ascii="宋体" w:hAnsi="宋体" w:cs="宋体"/>
          <w:szCs w:val="21"/>
        </w:rPr>
        <w:t>定期清理垃圾，并且垃圾箱能够定期消毒。</w:t>
      </w:r>
    </w:p>
    <w:p w14:paraId="66051D69">
      <w:pPr>
        <w:tabs>
          <w:tab w:val="left" w:pos="640"/>
          <w:tab w:val="left" w:pos="840"/>
        </w:tabs>
        <w:spacing w:line="360" w:lineRule="auto"/>
        <w:ind w:firstLine="191" w:firstLineChars="91"/>
        <w:rPr>
          <w:rFonts w:ascii="宋体" w:hAnsi="宋体" w:cs="宋体"/>
          <w:szCs w:val="21"/>
        </w:rPr>
      </w:pPr>
      <w:r>
        <w:rPr>
          <w:rFonts w:hint="eastAsia" w:ascii="宋体" w:hAnsi="宋体" w:cs="宋体"/>
          <w:szCs w:val="21"/>
        </w:rPr>
        <w:t>7、</w:t>
      </w:r>
      <w:r>
        <w:rPr>
          <w:rFonts w:hint="eastAsia" w:ascii="宋体" w:hAnsi="宋体" w:cs="宋体"/>
          <w:szCs w:val="21"/>
        </w:rPr>
        <w:tab/>
      </w:r>
      <w:r>
        <w:rPr>
          <w:rFonts w:hint="eastAsia" w:ascii="宋体" w:hAnsi="宋体" w:cs="宋体"/>
          <w:szCs w:val="21"/>
        </w:rPr>
        <w:t>做好防汛和冬季清雪工作。</w:t>
      </w:r>
    </w:p>
    <w:p w14:paraId="3DA17456">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十四、物业服务过程中须执行的国家相关标准、行业标准、地方标准或其他标准、规范</w:t>
      </w:r>
    </w:p>
    <w:p w14:paraId="705DA406">
      <w:pPr>
        <w:spacing w:line="360" w:lineRule="auto"/>
        <w:rPr>
          <w:rFonts w:ascii="Times New Roman" w:hAnsi="Times New Roman" w:cs="Times New Roman"/>
          <w:b/>
          <w:sz w:val="24"/>
          <w:szCs w:val="24"/>
        </w:rPr>
      </w:pPr>
      <w:r>
        <w:rPr>
          <w:rFonts w:hint="eastAsia" w:ascii="Times New Roman" w:hAnsi="Times New Roman" w:cs="Times New Roman"/>
          <w:b/>
          <w:sz w:val="24"/>
          <w:szCs w:val="24"/>
          <w:highlight w:val="yellow"/>
        </w:rPr>
        <w:t>物业服务须执行天津市物业服务标准。</w:t>
      </w:r>
    </w:p>
    <w:p w14:paraId="6F56C26A">
      <w:pPr>
        <w:spacing w:line="360" w:lineRule="auto"/>
        <w:rPr>
          <w:rFonts w:ascii="Times New Roman" w:hAnsi="Times New Roman" w:cs="Times New Roman"/>
          <w:b/>
          <w:sz w:val="24"/>
          <w:szCs w:val="24"/>
        </w:rPr>
      </w:pPr>
      <w:r>
        <w:rPr>
          <w:rFonts w:hint="eastAsia" w:ascii="Times New Roman" w:hAnsi="Times New Roman" w:cs="Times New Roman"/>
          <w:b/>
          <w:sz w:val="24"/>
          <w:szCs w:val="24"/>
        </w:rPr>
        <w:t>十五、其他要求     无</w:t>
      </w:r>
    </w:p>
    <w:p w14:paraId="2D878B5D">
      <w:pPr>
        <w:autoSpaceDE w:val="0"/>
        <w:autoSpaceDN w:val="0"/>
        <w:adjustRightInd w:val="0"/>
        <w:spacing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highlight w:val="yellow"/>
        </w:rPr>
        <w:t>一、供应商资格要求（实质性要求）</w:t>
      </w:r>
    </w:p>
    <w:p w14:paraId="38AE42F2">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（一）供应商应具备独立法人资格。</w:t>
      </w:r>
    </w:p>
    <w:p w14:paraId="0A40B753">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（二）投标人须具备《中华人民共和国政府采购法》第二十二条第一款规定的条件，提供以下材料：</w:t>
      </w:r>
    </w:p>
    <w:p w14:paraId="0AF2EA0F">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3B44639F">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财务状况报告等相关材料：</w:t>
      </w:r>
    </w:p>
    <w:p w14:paraId="7BF5BAE0">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A.经第三方会计师事务所审计的2023年度财务报告扫描件。</w:t>
      </w:r>
    </w:p>
    <w:p w14:paraId="103CE3F5">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B. 具有良好的商业信誉和健全的财务会计制度的书面声明。</w:t>
      </w:r>
    </w:p>
    <w:p w14:paraId="3D84E8FE">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注：A、B两项提供任意一项均可。</w:t>
      </w:r>
    </w:p>
    <w:p w14:paraId="16F0C0F6">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依法缴纳税收和社会保障资金的书面声明。</w:t>
      </w:r>
    </w:p>
    <w:p w14:paraId="5FD044C5">
      <w:pPr>
        <w:pStyle w:val="14"/>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投标截止日前3年在经营活动中没有重大违法记录的书面声明（截至开标日成立不足3年的供应商可提供自成立以来无重大违法记录的书面声明）。</w:t>
      </w:r>
    </w:p>
    <w:p w14:paraId="43CDE714">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 提交具备履行合同所必需的设备和专业技术能力证明材料。</w:t>
      </w:r>
    </w:p>
    <w:p w14:paraId="44D89C44">
      <w:pPr>
        <w:pStyle w:val="14"/>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（三）本项目不接受联合体投标。</w:t>
      </w:r>
    </w:p>
    <w:p w14:paraId="47FE4BCC">
      <w:pPr>
        <w:pStyle w:val="14"/>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（四）本项目专门面向中小企业采购，提供《中小企业声明函》。</w:t>
      </w:r>
    </w:p>
    <w:p w14:paraId="37BF8489">
      <w:pPr>
        <w:pStyle w:val="14"/>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技术要求：</w:t>
      </w:r>
    </w:p>
    <w:p w14:paraId="5B33AF64">
      <w:pPr>
        <w:autoSpaceDE w:val="0"/>
        <w:autoSpaceDN w:val="0"/>
        <w:adjustRightInd w:val="0"/>
        <w:spacing w:line="360" w:lineRule="auto"/>
        <w:ind w:firstLine="480" w:firstLineChars="200"/>
        <w:rPr>
          <w:color w:val="000000"/>
          <w:sz w:val="24"/>
        </w:rPr>
      </w:pPr>
      <w:r>
        <w:rPr>
          <w:color w:val="000000"/>
          <w:sz w:val="24"/>
        </w:rPr>
        <w:t>（一）具体需求详见本部分项目需求书。</w:t>
      </w:r>
    </w:p>
    <w:p w14:paraId="7859870D">
      <w:pPr>
        <w:spacing w:line="360" w:lineRule="auto"/>
        <w:ind w:firstLine="480" w:firstLineChars="200"/>
        <w:outlineLvl w:val="0"/>
        <w:rPr>
          <w:sz w:val="24"/>
        </w:rPr>
      </w:pPr>
      <w:r>
        <w:rPr>
          <w:rFonts w:hint="eastAsia"/>
          <w:sz w:val="24"/>
        </w:rPr>
        <w:t>★</w:t>
      </w: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4B4900C7">
      <w:pPr>
        <w:autoSpaceDE w:val="0"/>
        <w:autoSpaceDN w:val="0"/>
        <w:adjustRightInd w:val="0"/>
        <w:spacing w:line="360" w:lineRule="auto"/>
        <w:ind w:firstLine="480" w:firstLineChars="20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245FFA07">
      <w:pPr>
        <w:autoSpaceDE w:val="0"/>
        <w:autoSpaceDN w:val="0"/>
        <w:adjustRightInd w:val="0"/>
        <w:spacing w:line="360" w:lineRule="auto"/>
        <w:ind w:firstLine="480" w:firstLineChars="200"/>
        <w:rPr>
          <w:color w:val="000000"/>
          <w:sz w:val="24"/>
        </w:rPr>
      </w:pPr>
      <w:r>
        <w:rPr>
          <w:rFonts w:hint="eastAsia"/>
          <w:color w:val="000000"/>
          <w:sz w:val="24"/>
        </w:rPr>
        <w:t>★</w:t>
      </w:r>
      <w:r>
        <w:rPr>
          <w:color w:val="000000"/>
          <w:sz w:val="24"/>
        </w:rPr>
        <w:t>（</w:t>
      </w:r>
      <w:r>
        <w:rPr>
          <w:rFonts w:hint="eastAsia"/>
          <w:color w:val="000000"/>
          <w:sz w:val="24"/>
        </w:rPr>
        <w:t>四</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p w14:paraId="4EF9BC8C">
      <w:pPr>
        <w:autoSpaceDE w:val="0"/>
        <w:autoSpaceDN w:val="0"/>
        <w:adjustRightInd w:val="0"/>
        <w:spacing w:line="360" w:lineRule="auto"/>
        <w:ind w:firstLine="480" w:firstLineChars="200"/>
        <w:rPr>
          <w:rFonts w:ascii="Calibri" w:hAnsi="Calibri" w:eastAsia="宋体" w:cs="Times New Roman"/>
          <w:bCs/>
          <w:sz w:val="24"/>
        </w:rPr>
      </w:pPr>
      <w:r>
        <w:rPr>
          <w:rFonts w:hint="eastAsia" w:ascii="Calibri" w:hAnsi="Calibri" w:eastAsia="宋体" w:cs="Times New Roman"/>
          <w:bCs/>
          <w:sz w:val="24"/>
          <w:highlight w:val="yellow"/>
        </w:rPr>
        <w:t>三、评审因素及评标标准</w:t>
      </w:r>
    </w:p>
    <w:tbl>
      <w:tblPr>
        <w:tblStyle w:val="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538"/>
        <w:gridCol w:w="916"/>
      </w:tblGrid>
      <w:tr w14:paraId="7153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20" w:type="dxa"/>
            <w:gridSpan w:val="3"/>
            <w:shd w:val="clear" w:color="auto" w:fill="auto"/>
            <w:vAlign w:val="center"/>
          </w:tcPr>
          <w:p w14:paraId="7357A8A7">
            <w:pPr>
              <w:widowControl/>
              <w:adjustRightInd w:val="0"/>
              <w:snapToGrid w:val="0"/>
              <w:spacing w:line="360" w:lineRule="auto"/>
              <w:jc w:val="center"/>
              <w:rPr>
                <w:color w:val="000000"/>
                <w:kern w:val="0"/>
                <w:sz w:val="24"/>
                <w:szCs w:val="24"/>
              </w:rPr>
            </w:pPr>
            <w:r>
              <w:rPr>
                <w:color w:val="000000"/>
                <w:kern w:val="0"/>
                <w:sz w:val="24"/>
                <w:szCs w:val="24"/>
              </w:rPr>
              <w:t>第一部分 价格（</w:t>
            </w:r>
            <w:r>
              <w:rPr>
                <w:rFonts w:hint="eastAsia"/>
                <w:color w:val="000000"/>
                <w:kern w:val="0"/>
                <w:sz w:val="24"/>
                <w:szCs w:val="24"/>
              </w:rPr>
              <w:t>10</w:t>
            </w:r>
            <w:r>
              <w:rPr>
                <w:color w:val="000000"/>
                <w:kern w:val="0"/>
                <w:sz w:val="24"/>
                <w:szCs w:val="24"/>
              </w:rPr>
              <w:t>分）</w:t>
            </w:r>
          </w:p>
        </w:tc>
        <w:tc>
          <w:tcPr>
            <w:tcW w:w="916" w:type="dxa"/>
            <w:shd w:val="clear" w:color="auto" w:fill="auto"/>
            <w:vAlign w:val="center"/>
          </w:tcPr>
          <w:p w14:paraId="51170F05">
            <w:pPr>
              <w:widowControl/>
              <w:adjustRightInd w:val="0"/>
              <w:snapToGrid w:val="0"/>
              <w:spacing w:line="360" w:lineRule="auto"/>
              <w:jc w:val="center"/>
              <w:rPr>
                <w:color w:val="000000"/>
                <w:kern w:val="0"/>
                <w:sz w:val="24"/>
                <w:szCs w:val="24"/>
              </w:rPr>
            </w:pPr>
            <w:r>
              <w:rPr>
                <w:color w:val="000000"/>
                <w:kern w:val="0"/>
                <w:sz w:val="24"/>
                <w:szCs w:val="24"/>
              </w:rPr>
              <w:t>分值</w:t>
            </w:r>
          </w:p>
        </w:tc>
      </w:tr>
      <w:tr w14:paraId="2D0A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02A303D8">
            <w:pPr>
              <w:widowControl/>
              <w:adjustRightInd w:val="0"/>
              <w:snapToGrid w:val="0"/>
              <w:spacing w:line="360" w:lineRule="auto"/>
              <w:jc w:val="center"/>
              <w:rPr>
                <w:color w:val="000000"/>
                <w:kern w:val="0"/>
                <w:sz w:val="24"/>
                <w:szCs w:val="24"/>
              </w:rPr>
            </w:pPr>
            <w:r>
              <w:rPr>
                <w:color w:val="000000"/>
                <w:kern w:val="0"/>
                <w:sz w:val="24"/>
                <w:szCs w:val="24"/>
              </w:rPr>
              <w:t>1</w:t>
            </w:r>
          </w:p>
        </w:tc>
        <w:tc>
          <w:tcPr>
            <w:tcW w:w="1419" w:type="dxa"/>
            <w:shd w:val="clear" w:color="auto" w:fill="auto"/>
            <w:vAlign w:val="center"/>
          </w:tcPr>
          <w:p w14:paraId="5909C0D6">
            <w:pPr>
              <w:widowControl/>
              <w:adjustRightInd w:val="0"/>
              <w:snapToGrid w:val="0"/>
              <w:spacing w:line="360" w:lineRule="auto"/>
              <w:jc w:val="center"/>
              <w:rPr>
                <w:kern w:val="0"/>
                <w:sz w:val="24"/>
                <w:szCs w:val="24"/>
              </w:rPr>
            </w:pPr>
            <w:r>
              <w:rPr>
                <w:kern w:val="0"/>
                <w:sz w:val="24"/>
                <w:szCs w:val="24"/>
              </w:rPr>
              <w:t>价格</w:t>
            </w:r>
          </w:p>
        </w:tc>
        <w:tc>
          <w:tcPr>
            <w:tcW w:w="7538" w:type="dxa"/>
            <w:shd w:val="clear" w:color="auto" w:fill="auto"/>
            <w:vAlign w:val="center"/>
          </w:tcPr>
          <w:p w14:paraId="2A004123">
            <w:pPr>
              <w:widowControl/>
              <w:adjustRightInd w:val="0"/>
              <w:snapToGrid w:val="0"/>
              <w:spacing w:line="360" w:lineRule="auto"/>
              <w:rPr>
                <w:kern w:val="0"/>
                <w:sz w:val="24"/>
                <w:szCs w:val="24"/>
              </w:rPr>
            </w:pPr>
            <w:r>
              <w:rPr>
                <w:kern w:val="0"/>
                <w:sz w:val="24"/>
                <w:szCs w:val="24"/>
              </w:rPr>
              <w:t>（1）投标报价超过采购预算的，投标无效，未超过采购预算的投标报价按以下公式进行计算。</w:t>
            </w:r>
          </w:p>
          <w:p w14:paraId="0FD1F1F6">
            <w:pPr>
              <w:widowControl/>
              <w:adjustRightInd w:val="0"/>
              <w:snapToGrid w:val="0"/>
              <w:spacing w:line="360" w:lineRule="auto"/>
              <w:rPr>
                <w:kern w:val="0"/>
                <w:sz w:val="24"/>
                <w:szCs w:val="24"/>
              </w:rPr>
            </w:pPr>
            <w:r>
              <w:rPr>
                <w:kern w:val="0"/>
                <w:sz w:val="24"/>
                <w:szCs w:val="24"/>
              </w:rPr>
              <w:t>（2）投标报价得分=（评标基准价/投标报价）×</w:t>
            </w:r>
            <w:r>
              <w:rPr>
                <w:rFonts w:hint="eastAsia"/>
                <w:kern w:val="0"/>
                <w:sz w:val="24"/>
                <w:szCs w:val="24"/>
              </w:rPr>
              <w:t>10</w:t>
            </w:r>
          </w:p>
          <w:p w14:paraId="7DE40CA4">
            <w:pPr>
              <w:widowControl/>
              <w:adjustRightInd w:val="0"/>
              <w:snapToGrid w:val="0"/>
              <w:spacing w:line="360" w:lineRule="auto"/>
              <w:rPr>
                <w:kern w:val="0"/>
                <w:sz w:val="24"/>
                <w:szCs w:val="24"/>
              </w:rPr>
            </w:pPr>
            <w:r>
              <w:rPr>
                <w:kern w:val="0"/>
                <w:sz w:val="24"/>
                <w:szCs w:val="24"/>
              </w:rPr>
              <w:t>注：满足招标文件要求且投标报价最低的投标报价为评标基准价。</w:t>
            </w:r>
          </w:p>
        </w:tc>
        <w:tc>
          <w:tcPr>
            <w:tcW w:w="916" w:type="dxa"/>
            <w:shd w:val="clear" w:color="auto" w:fill="auto"/>
            <w:vAlign w:val="center"/>
          </w:tcPr>
          <w:p w14:paraId="38A71189">
            <w:pPr>
              <w:widowControl/>
              <w:adjustRightInd w:val="0"/>
              <w:snapToGrid w:val="0"/>
              <w:spacing w:line="360" w:lineRule="auto"/>
              <w:jc w:val="center"/>
              <w:rPr>
                <w:color w:val="000000"/>
                <w:kern w:val="0"/>
                <w:sz w:val="24"/>
                <w:szCs w:val="24"/>
              </w:rPr>
            </w:pPr>
            <w:r>
              <w:rPr>
                <w:rFonts w:hint="eastAsia"/>
                <w:color w:val="000000"/>
                <w:kern w:val="0"/>
                <w:sz w:val="24"/>
                <w:szCs w:val="24"/>
              </w:rPr>
              <w:t>10</w:t>
            </w:r>
          </w:p>
        </w:tc>
      </w:tr>
      <w:tr w14:paraId="6475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620" w:type="dxa"/>
            <w:gridSpan w:val="3"/>
            <w:shd w:val="clear" w:color="auto" w:fill="auto"/>
            <w:noWrap/>
            <w:vAlign w:val="center"/>
          </w:tcPr>
          <w:p w14:paraId="029C9246">
            <w:pPr>
              <w:widowControl/>
              <w:adjustRightInd w:val="0"/>
              <w:snapToGrid w:val="0"/>
              <w:spacing w:line="360" w:lineRule="auto"/>
              <w:jc w:val="center"/>
              <w:rPr>
                <w:kern w:val="0"/>
                <w:sz w:val="24"/>
                <w:szCs w:val="24"/>
              </w:rPr>
            </w:pPr>
            <w:r>
              <w:rPr>
                <w:color w:val="000000"/>
                <w:kern w:val="0"/>
                <w:sz w:val="24"/>
                <w:szCs w:val="24"/>
              </w:rPr>
              <w:t>第二部分 客观分（</w:t>
            </w:r>
            <w:r>
              <w:rPr>
                <w:rFonts w:hint="eastAsia"/>
                <w:color w:val="000000"/>
                <w:kern w:val="0"/>
                <w:sz w:val="24"/>
                <w:szCs w:val="24"/>
              </w:rPr>
              <w:t>60</w:t>
            </w:r>
            <w:r>
              <w:rPr>
                <w:color w:val="000000"/>
                <w:kern w:val="0"/>
                <w:sz w:val="24"/>
                <w:szCs w:val="24"/>
              </w:rPr>
              <w:t>分）</w:t>
            </w:r>
          </w:p>
        </w:tc>
        <w:tc>
          <w:tcPr>
            <w:tcW w:w="916" w:type="dxa"/>
            <w:shd w:val="clear" w:color="auto" w:fill="auto"/>
            <w:vAlign w:val="center"/>
          </w:tcPr>
          <w:p w14:paraId="11257076">
            <w:pPr>
              <w:widowControl/>
              <w:adjustRightInd w:val="0"/>
              <w:snapToGrid w:val="0"/>
              <w:spacing w:line="360" w:lineRule="auto"/>
              <w:jc w:val="center"/>
              <w:rPr>
                <w:color w:val="000000"/>
                <w:kern w:val="0"/>
                <w:sz w:val="24"/>
                <w:szCs w:val="24"/>
              </w:rPr>
            </w:pPr>
            <w:r>
              <w:rPr>
                <w:color w:val="000000"/>
                <w:kern w:val="0"/>
                <w:sz w:val="24"/>
                <w:szCs w:val="24"/>
              </w:rPr>
              <w:t>分值</w:t>
            </w:r>
          </w:p>
        </w:tc>
      </w:tr>
      <w:tr w14:paraId="39D2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D5482F2">
            <w:pPr>
              <w:widowControl/>
              <w:adjustRightInd w:val="0"/>
              <w:snapToGrid w:val="0"/>
              <w:spacing w:line="360" w:lineRule="auto"/>
              <w:jc w:val="center"/>
              <w:rPr>
                <w:color w:val="000000"/>
                <w:kern w:val="0"/>
                <w:sz w:val="24"/>
                <w:szCs w:val="24"/>
              </w:rPr>
            </w:pPr>
            <w:r>
              <w:rPr>
                <w:color w:val="000000"/>
                <w:kern w:val="0"/>
                <w:sz w:val="24"/>
                <w:szCs w:val="24"/>
              </w:rPr>
              <w:t>1</w:t>
            </w:r>
          </w:p>
        </w:tc>
        <w:tc>
          <w:tcPr>
            <w:tcW w:w="1419" w:type="dxa"/>
            <w:shd w:val="clear" w:color="auto" w:fill="auto"/>
            <w:vAlign w:val="center"/>
          </w:tcPr>
          <w:p w14:paraId="0639462A">
            <w:pPr>
              <w:widowControl/>
              <w:adjustRightInd w:val="0"/>
              <w:snapToGrid w:val="0"/>
              <w:spacing w:line="360" w:lineRule="auto"/>
              <w:jc w:val="center"/>
              <w:rPr>
                <w:kern w:val="0"/>
                <w:sz w:val="24"/>
                <w:szCs w:val="24"/>
              </w:rPr>
            </w:pPr>
            <w:r>
              <w:rPr>
                <w:kern w:val="0"/>
                <w:sz w:val="24"/>
                <w:szCs w:val="24"/>
              </w:rPr>
              <w:t>投标人业绩</w:t>
            </w:r>
          </w:p>
        </w:tc>
        <w:tc>
          <w:tcPr>
            <w:tcW w:w="7538" w:type="dxa"/>
            <w:shd w:val="clear" w:color="auto" w:fill="auto"/>
            <w:vAlign w:val="center"/>
          </w:tcPr>
          <w:p w14:paraId="75D6CFC9">
            <w:pPr>
              <w:widowControl/>
              <w:adjustRightInd w:val="0"/>
              <w:snapToGrid w:val="0"/>
              <w:spacing w:line="360" w:lineRule="auto"/>
              <w:rPr>
                <w:kern w:val="0"/>
                <w:sz w:val="24"/>
                <w:szCs w:val="24"/>
              </w:rPr>
            </w:pPr>
            <w:r>
              <w:rPr>
                <w:rFonts w:hint="eastAsia"/>
                <w:kern w:val="0"/>
                <w:sz w:val="24"/>
                <w:szCs w:val="24"/>
              </w:rPr>
              <w:t>完全按照以下要求提供投标人曾实施的非住宅物业服务业绩，提供的证明材料均不得遮挡涂黑，否则不予认定加分。</w:t>
            </w:r>
          </w:p>
          <w:p w14:paraId="16A94344">
            <w:pPr>
              <w:widowControl/>
              <w:adjustRightInd w:val="0"/>
              <w:snapToGrid w:val="0"/>
              <w:spacing w:line="360" w:lineRule="auto"/>
              <w:rPr>
                <w:kern w:val="0"/>
                <w:sz w:val="24"/>
                <w:szCs w:val="24"/>
              </w:rPr>
            </w:pPr>
            <w:r>
              <w:rPr>
                <w:rFonts w:hint="eastAsia"/>
                <w:kern w:val="0"/>
                <w:sz w:val="24"/>
                <w:szCs w:val="24"/>
              </w:rPr>
              <w:t>A. 合同原件扫描件。包括合同金额、买卖双方名称及盖章、物业服务期限（合同服务起始日期为2022年1月1日或以后，且已经履行至少1年的时间）、物业服务内容。</w:t>
            </w:r>
          </w:p>
          <w:p w14:paraId="705678C6">
            <w:pPr>
              <w:widowControl/>
              <w:adjustRightInd w:val="0"/>
              <w:snapToGrid w:val="0"/>
              <w:spacing w:line="360" w:lineRule="auto"/>
              <w:rPr>
                <w:kern w:val="0"/>
                <w:sz w:val="24"/>
                <w:szCs w:val="24"/>
              </w:rPr>
            </w:pPr>
            <w:r>
              <w:rPr>
                <w:rFonts w:hint="eastAsia"/>
                <w:kern w:val="0"/>
                <w:sz w:val="24"/>
                <w:szCs w:val="24"/>
              </w:rPr>
              <w:t>B. 提供上述合同服务期限内至少一个月的服务方开具的物业费发票凭证原件扫描件。</w:t>
            </w:r>
          </w:p>
          <w:p w14:paraId="126AC201">
            <w:pPr>
              <w:widowControl/>
              <w:adjustRightInd w:val="0"/>
              <w:snapToGrid w:val="0"/>
              <w:spacing w:line="360" w:lineRule="auto"/>
              <w:rPr>
                <w:color w:val="FF0000"/>
                <w:kern w:val="0"/>
                <w:sz w:val="24"/>
                <w:szCs w:val="24"/>
              </w:rPr>
            </w:pPr>
            <w:r>
              <w:rPr>
                <w:kern w:val="0"/>
                <w:sz w:val="24"/>
                <w:szCs w:val="24"/>
              </w:rPr>
              <w:t>每个业绩2分，最多</w:t>
            </w:r>
            <w:r>
              <w:rPr>
                <w:rFonts w:hint="eastAsia"/>
                <w:kern w:val="0"/>
                <w:sz w:val="24"/>
                <w:szCs w:val="24"/>
              </w:rPr>
              <w:t>10</w:t>
            </w:r>
            <w:r>
              <w:rPr>
                <w:kern w:val="0"/>
                <w:sz w:val="24"/>
                <w:szCs w:val="24"/>
              </w:rPr>
              <w:t>分</w:t>
            </w:r>
          </w:p>
        </w:tc>
        <w:tc>
          <w:tcPr>
            <w:tcW w:w="916" w:type="dxa"/>
            <w:shd w:val="clear" w:color="auto" w:fill="auto"/>
            <w:vAlign w:val="center"/>
          </w:tcPr>
          <w:p w14:paraId="6651F55E">
            <w:pPr>
              <w:widowControl/>
              <w:adjustRightInd w:val="0"/>
              <w:snapToGrid w:val="0"/>
              <w:spacing w:line="360" w:lineRule="auto"/>
              <w:jc w:val="center"/>
              <w:rPr>
                <w:color w:val="000000"/>
                <w:kern w:val="0"/>
                <w:sz w:val="24"/>
                <w:szCs w:val="24"/>
              </w:rPr>
            </w:pPr>
            <w:r>
              <w:rPr>
                <w:rFonts w:hint="eastAsia"/>
                <w:color w:val="000000"/>
                <w:kern w:val="0"/>
                <w:sz w:val="24"/>
                <w:szCs w:val="24"/>
              </w:rPr>
              <w:t>10</w:t>
            </w:r>
          </w:p>
        </w:tc>
      </w:tr>
      <w:tr w14:paraId="20FD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663" w:type="dxa"/>
            <w:shd w:val="clear" w:color="auto" w:fill="auto"/>
            <w:noWrap/>
            <w:vAlign w:val="center"/>
          </w:tcPr>
          <w:p w14:paraId="64D6F1EC">
            <w:pPr>
              <w:widowControl/>
              <w:adjustRightInd w:val="0"/>
              <w:snapToGrid w:val="0"/>
              <w:spacing w:line="360" w:lineRule="auto"/>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14:paraId="58D5C27D">
            <w:pPr>
              <w:widowControl/>
              <w:adjustRightInd w:val="0"/>
              <w:snapToGrid w:val="0"/>
              <w:spacing w:line="360" w:lineRule="auto"/>
              <w:jc w:val="center"/>
              <w:rPr>
                <w:kern w:val="0"/>
                <w:sz w:val="24"/>
                <w:szCs w:val="24"/>
              </w:rPr>
            </w:pPr>
            <w:r>
              <w:rPr>
                <w:kern w:val="0"/>
                <w:sz w:val="24"/>
                <w:szCs w:val="24"/>
              </w:rPr>
              <w:t>投标人相关证书评价</w:t>
            </w:r>
          </w:p>
        </w:tc>
        <w:tc>
          <w:tcPr>
            <w:tcW w:w="7538" w:type="dxa"/>
            <w:shd w:val="clear" w:color="auto" w:fill="auto"/>
            <w:vAlign w:val="center"/>
          </w:tcPr>
          <w:p w14:paraId="7A3AD49A">
            <w:pPr>
              <w:widowControl/>
              <w:adjustRightInd w:val="0"/>
              <w:snapToGrid w:val="0"/>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14:paraId="69CD1647">
            <w:pPr>
              <w:widowControl/>
              <w:adjustRightInd w:val="0"/>
              <w:snapToGrid w:val="0"/>
              <w:spacing w:line="360" w:lineRule="auto"/>
              <w:rPr>
                <w:kern w:val="0"/>
                <w:sz w:val="24"/>
                <w:szCs w:val="24"/>
              </w:rPr>
            </w:pPr>
            <w:r>
              <w:rPr>
                <w:rFonts w:hint="eastAsia"/>
                <w:kern w:val="0"/>
                <w:sz w:val="24"/>
                <w:szCs w:val="24"/>
              </w:rPr>
              <w:t>具备1个证书得1分，最高3分</w:t>
            </w:r>
          </w:p>
        </w:tc>
        <w:tc>
          <w:tcPr>
            <w:tcW w:w="916" w:type="dxa"/>
            <w:shd w:val="clear" w:color="auto" w:fill="auto"/>
            <w:vAlign w:val="center"/>
          </w:tcPr>
          <w:p w14:paraId="41B77DAC">
            <w:pPr>
              <w:widowControl/>
              <w:adjustRightInd w:val="0"/>
              <w:snapToGrid w:val="0"/>
              <w:spacing w:line="360" w:lineRule="auto"/>
              <w:jc w:val="center"/>
              <w:rPr>
                <w:color w:val="000000"/>
                <w:kern w:val="0"/>
                <w:sz w:val="24"/>
                <w:szCs w:val="24"/>
              </w:rPr>
            </w:pPr>
            <w:r>
              <w:rPr>
                <w:rFonts w:hint="eastAsia"/>
                <w:color w:val="000000"/>
                <w:kern w:val="0"/>
                <w:sz w:val="24"/>
                <w:szCs w:val="24"/>
              </w:rPr>
              <w:t>3</w:t>
            </w:r>
          </w:p>
        </w:tc>
      </w:tr>
      <w:tr w14:paraId="2638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663" w:type="dxa"/>
            <w:shd w:val="clear" w:color="auto" w:fill="auto"/>
            <w:noWrap/>
            <w:vAlign w:val="center"/>
          </w:tcPr>
          <w:p w14:paraId="4416C479">
            <w:pPr>
              <w:adjustRightInd w:val="0"/>
              <w:snapToGrid w:val="0"/>
              <w:spacing w:line="360" w:lineRule="auto"/>
              <w:jc w:val="center"/>
              <w:rPr>
                <w:color w:val="000000"/>
                <w:kern w:val="0"/>
                <w:sz w:val="24"/>
                <w:szCs w:val="24"/>
              </w:rPr>
            </w:pPr>
            <w:r>
              <w:rPr>
                <w:rFonts w:ascii="Times New Roman" w:eastAsia="宋体" w:cs="Times New Roman" w:hAnsiTheme="minorEastAsia"/>
                <w:kern w:val="0"/>
                <w:sz w:val="24"/>
                <w:szCs w:val="24"/>
              </w:rPr>
              <w:t>3</w:t>
            </w:r>
          </w:p>
        </w:tc>
        <w:tc>
          <w:tcPr>
            <w:tcW w:w="1419" w:type="dxa"/>
            <w:shd w:val="clear" w:color="auto" w:fill="auto"/>
            <w:vAlign w:val="center"/>
          </w:tcPr>
          <w:p w14:paraId="4F91A52F">
            <w:pPr>
              <w:adjustRightInd w:val="0"/>
              <w:snapToGrid w:val="0"/>
              <w:spacing w:line="360" w:lineRule="auto"/>
              <w:jc w:val="center"/>
              <w:rPr>
                <w:kern w:val="0"/>
                <w:sz w:val="24"/>
                <w:szCs w:val="24"/>
              </w:rPr>
            </w:pPr>
            <w:r>
              <w:rPr>
                <w:rFonts w:hint="eastAsia"/>
                <w:kern w:val="0"/>
                <w:sz w:val="24"/>
                <w:szCs w:val="24"/>
              </w:rPr>
              <w:t>派驻项目经理评价</w:t>
            </w:r>
          </w:p>
        </w:tc>
        <w:tc>
          <w:tcPr>
            <w:tcW w:w="7538" w:type="dxa"/>
            <w:shd w:val="clear" w:color="auto" w:fill="auto"/>
            <w:vAlign w:val="center"/>
          </w:tcPr>
          <w:p w14:paraId="11274C8A">
            <w:pPr>
              <w:widowControl/>
              <w:adjustRightInd w:val="0"/>
              <w:snapToGrid w:val="0"/>
              <w:spacing w:line="360" w:lineRule="auto"/>
              <w:rPr>
                <w:kern w:val="0"/>
                <w:sz w:val="24"/>
                <w:szCs w:val="24"/>
              </w:rPr>
            </w:pPr>
            <w:r>
              <w:rPr>
                <w:rFonts w:ascii="宋体" w:hAnsi="宋体" w:cs="宋体"/>
                <w:sz w:val="24"/>
                <w:szCs w:val="24"/>
              </w:rPr>
              <w:t>投入的项目经理为投标单位正式员工，提供项目经理姓名、递交响应文件前</w:t>
            </w:r>
            <w:r>
              <w:rPr>
                <w:kern w:val="0"/>
                <w:sz w:val="24"/>
                <w:szCs w:val="24"/>
              </w:rPr>
              <w:t>三个月中连续两个月的由投标单位为该项目经理缴纳社会保险证明扫描件，否则不予认定加分。</w:t>
            </w:r>
          </w:p>
          <w:p w14:paraId="5E4ADD03">
            <w:pPr>
              <w:widowControl/>
              <w:adjustRightInd w:val="0"/>
              <w:snapToGrid w:val="0"/>
              <w:spacing w:line="360" w:lineRule="auto"/>
              <w:rPr>
                <w:kern w:val="0"/>
                <w:sz w:val="24"/>
                <w:szCs w:val="24"/>
              </w:rPr>
            </w:pPr>
            <w:r>
              <w:rPr>
                <w:rFonts w:hint="eastAsia"/>
                <w:kern w:val="0"/>
                <w:sz w:val="24"/>
                <w:szCs w:val="24"/>
              </w:rPr>
              <w:t>（1）提供项目经理（物业管理相关专业）大本或上（含大本）毕业证书</w:t>
            </w:r>
            <w:r>
              <w:rPr>
                <w:kern w:val="0"/>
                <w:sz w:val="24"/>
                <w:szCs w:val="24"/>
              </w:rPr>
              <w:t>学信网查询的《学历证书电子注册备案表》</w:t>
            </w:r>
            <w:r>
              <w:rPr>
                <w:rFonts w:hint="eastAsia"/>
                <w:kern w:val="0"/>
                <w:sz w:val="24"/>
                <w:szCs w:val="24"/>
              </w:rPr>
              <w:t>扫描件，且性别年龄满足招标文件要求：3分，其他：0分；</w:t>
            </w:r>
          </w:p>
          <w:p w14:paraId="362935DC">
            <w:pPr>
              <w:widowControl/>
              <w:adjustRightInd w:val="0"/>
              <w:snapToGrid w:val="0"/>
              <w:spacing w:line="360" w:lineRule="auto"/>
              <w:rPr>
                <w:kern w:val="0"/>
                <w:sz w:val="24"/>
                <w:szCs w:val="24"/>
              </w:rPr>
            </w:pPr>
            <w:r>
              <w:rPr>
                <w:rFonts w:hint="eastAsia"/>
                <w:kern w:val="0"/>
                <w:sz w:val="24"/>
                <w:szCs w:val="24"/>
              </w:rPr>
              <w:t>（2）提供项目经理用</w:t>
            </w:r>
            <w:r>
              <w:rPr>
                <w:kern w:val="0"/>
                <w:sz w:val="24"/>
                <w:szCs w:val="24"/>
              </w:rPr>
              <w:t>机动车驾驶证（准驾车型至少包括C1）</w:t>
            </w:r>
            <w:r>
              <w:rPr>
                <w:rFonts w:hint="eastAsia"/>
                <w:kern w:val="0"/>
                <w:sz w:val="24"/>
                <w:szCs w:val="24"/>
              </w:rPr>
              <w:t>，且性别年龄满足招标文件要求：2分，其他：0分；</w:t>
            </w:r>
            <w:r>
              <w:rPr>
                <w:kern w:val="0"/>
                <w:sz w:val="24"/>
                <w:szCs w:val="24"/>
              </w:rPr>
              <w:t xml:space="preserve"> </w:t>
            </w:r>
          </w:p>
        </w:tc>
        <w:tc>
          <w:tcPr>
            <w:tcW w:w="916" w:type="dxa"/>
            <w:shd w:val="clear" w:color="auto" w:fill="auto"/>
            <w:vAlign w:val="center"/>
          </w:tcPr>
          <w:p w14:paraId="787C71D0">
            <w:pPr>
              <w:adjustRightInd w:val="0"/>
              <w:snapToGrid w:val="0"/>
              <w:spacing w:line="360" w:lineRule="auto"/>
              <w:jc w:val="center"/>
              <w:rPr>
                <w:color w:val="000000"/>
                <w:kern w:val="0"/>
                <w:sz w:val="24"/>
                <w:szCs w:val="24"/>
              </w:rPr>
            </w:pPr>
            <w:r>
              <w:rPr>
                <w:rFonts w:hint="eastAsia"/>
                <w:color w:val="000000"/>
                <w:kern w:val="0"/>
                <w:sz w:val="24"/>
                <w:szCs w:val="24"/>
              </w:rPr>
              <w:t>5</w:t>
            </w:r>
          </w:p>
        </w:tc>
      </w:tr>
      <w:tr w14:paraId="3D72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63" w:type="dxa"/>
            <w:shd w:val="clear" w:color="auto" w:fill="auto"/>
            <w:noWrap/>
            <w:vAlign w:val="center"/>
          </w:tcPr>
          <w:p w14:paraId="522E05FB">
            <w:pPr>
              <w:adjustRightInd w:val="0"/>
              <w:snapToGrid w:val="0"/>
              <w:spacing w:line="360" w:lineRule="auto"/>
              <w:jc w:val="center"/>
              <w:rPr>
                <w:rFonts w:ascii="Times New Roman" w:eastAsia="宋体" w:cs="Times New Roman" w:hAnsiTheme="minorEastAsia"/>
                <w:kern w:val="0"/>
                <w:sz w:val="24"/>
                <w:szCs w:val="24"/>
              </w:rPr>
            </w:pPr>
            <w:r>
              <w:rPr>
                <w:rFonts w:hint="eastAsia" w:ascii="Times New Roman" w:eastAsia="宋体" w:cs="Times New Roman" w:hAnsiTheme="minorEastAsia"/>
                <w:kern w:val="0"/>
                <w:sz w:val="24"/>
                <w:szCs w:val="24"/>
              </w:rPr>
              <w:t>4</w:t>
            </w:r>
          </w:p>
        </w:tc>
        <w:tc>
          <w:tcPr>
            <w:tcW w:w="1419" w:type="dxa"/>
            <w:shd w:val="clear" w:color="auto" w:fill="auto"/>
            <w:vAlign w:val="center"/>
          </w:tcPr>
          <w:p w14:paraId="2DB6257B">
            <w:pPr>
              <w:adjustRightInd w:val="0"/>
              <w:snapToGrid w:val="0"/>
              <w:spacing w:line="360" w:lineRule="auto"/>
              <w:jc w:val="center"/>
              <w:rPr>
                <w:kern w:val="0"/>
                <w:sz w:val="24"/>
                <w:szCs w:val="24"/>
              </w:rPr>
            </w:pPr>
            <w:r>
              <w:rPr>
                <w:rFonts w:hint="eastAsia"/>
                <w:kern w:val="0"/>
                <w:sz w:val="24"/>
                <w:szCs w:val="24"/>
              </w:rPr>
              <w:t>工程主管及综合主管评价</w:t>
            </w:r>
          </w:p>
        </w:tc>
        <w:tc>
          <w:tcPr>
            <w:tcW w:w="7538" w:type="dxa"/>
            <w:shd w:val="clear" w:color="auto" w:fill="auto"/>
          </w:tcPr>
          <w:p w14:paraId="5180B85E">
            <w:pPr>
              <w:widowControl/>
              <w:adjustRightInd w:val="0"/>
              <w:snapToGrid w:val="0"/>
              <w:spacing w:line="360" w:lineRule="auto"/>
              <w:rPr>
                <w:kern w:val="0"/>
                <w:sz w:val="24"/>
                <w:szCs w:val="24"/>
              </w:rPr>
            </w:pPr>
            <w:r>
              <w:rPr>
                <w:rFonts w:hint="eastAsia"/>
                <w:kern w:val="0"/>
                <w:sz w:val="24"/>
                <w:szCs w:val="24"/>
              </w:rPr>
              <w:t>投入的工程主管及综合主管为投标单位正式员工，提供工程主管及保洁消杀主管姓名、递交响应文件前三个月中连续两个月的由投标单位为该工程主管及综合主管缴纳社会保险证明扫描件。否则不予认定加分。</w:t>
            </w:r>
          </w:p>
          <w:p w14:paraId="4A08B922">
            <w:pPr>
              <w:spacing w:line="360" w:lineRule="auto"/>
              <w:jc w:val="left"/>
              <w:rPr>
                <w:rFonts w:ascii="宋体" w:hAnsi="宋体" w:cs="宋体"/>
                <w:sz w:val="24"/>
                <w:szCs w:val="24"/>
              </w:rPr>
            </w:pPr>
            <w:r>
              <w:rPr>
                <w:rFonts w:hint="eastAsia" w:ascii="宋体" w:hAnsi="宋体" w:cs="宋体"/>
                <w:sz w:val="24"/>
                <w:szCs w:val="24"/>
              </w:rPr>
              <w:t>（1）提供工程主管及综合主管本科毕业证书及学信网查询的《学历证书电子注册备案表》扫描件，</w:t>
            </w:r>
            <w:r>
              <w:rPr>
                <w:rFonts w:hint="eastAsia"/>
                <w:kern w:val="0"/>
                <w:sz w:val="24"/>
                <w:szCs w:val="24"/>
              </w:rPr>
              <w:t>且性别年龄满足招标文件要求，</w:t>
            </w:r>
            <w:r>
              <w:rPr>
                <w:rFonts w:hint="eastAsia" w:ascii="宋体" w:hAnsi="宋体" w:cs="宋体"/>
                <w:sz w:val="24"/>
                <w:szCs w:val="24"/>
              </w:rPr>
              <w:t>每个提供上述材料扫描件的人员得2分，最多4分；</w:t>
            </w:r>
          </w:p>
          <w:p w14:paraId="10A1B610">
            <w:pPr>
              <w:spacing w:line="360" w:lineRule="auto"/>
              <w:jc w:val="left"/>
              <w:rPr>
                <w:rFonts w:ascii="宋体" w:hAnsi="宋体" w:cs="宋体"/>
                <w:sz w:val="24"/>
                <w:szCs w:val="24"/>
              </w:rPr>
            </w:pPr>
            <w:r>
              <w:rPr>
                <w:rFonts w:hint="eastAsia" w:ascii="宋体" w:hAnsi="宋体" w:cs="宋体"/>
                <w:sz w:val="24"/>
                <w:szCs w:val="24"/>
              </w:rPr>
              <w:t>（2）工程主管：提供高级或以上工程序列职称证书（电气工程相关专业）及《特种作业操作证（高压电工作业）和（低压电工作业）》和</w:t>
            </w:r>
            <w:r>
              <w:rPr>
                <w:rFonts w:ascii="宋体" w:hAnsi="宋体" w:cs="宋体"/>
                <w:sz w:val="24"/>
                <w:szCs w:val="24"/>
              </w:rPr>
              <w:t>及原《特种 设备作业人员证（电梯安全管理）》或新《特种设备安全管理和作业人员证（特种设备安全管理）》的</w:t>
            </w:r>
            <w:r>
              <w:rPr>
                <w:rFonts w:hint="eastAsia" w:ascii="宋体" w:hAnsi="宋体" w:cs="宋体"/>
                <w:sz w:val="24"/>
                <w:szCs w:val="24"/>
              </w:rPr>
              <w:t>扫描件</w:t>
            </w:r>
            <w:r>
              <w:rPr>
                <w:rFonts w:hint="eastAsia"/>
                <w:kern w:val="0"/>
                <w:sz w:val="24"/>
                <w:szCs w:val="24"/>
              </w:rPr>
              <w:t>且性别年龄满足招标文件</w:t>
            </w:r>
            <w:r>
              <w:rPr>
                <w:rFonts w:hint="eastAsia" w:ascii="宋体" w:hAnsi="宋体" w:cs="宋体"/>
                <w:sz w:val="24"/>
                <w:szCs w:val="24"/>
              </w:rPr>
              <w:t>要求，</w:t>
            </w:r>
            <w:r>
              <w:rPr>
                <w:rFonts w:ascii="宋体" w:hAnsi="宋体" w:cs="宋体"/>
                <w:sz w:val="24"/>
                <w:szCs w:val="24"/>
              </w:rPr>
              <w:t>提供上述证书扫描件，得</w:t>
            </w:r>
            <w:r>
              <w:rPr>
                <w:rFonts w:hint="eastAsia" w:ascii="宋体" w:hAnsi="宋体" w:cs="宋体"/>
                <w:sz w:val="24"/>
                <w:szCs w:val="24"/>
              </w:rPr>
              <w:t>2</w:t>
            </w:r>
            <w:r>
              <w:rPr>
                <w:rFonts w:ascii="宋体" w:hAnsi="宋体" w:cs="宋体"/>
                <w:sz w:val="24"/>
                <w:szCs w:val="24"/>
              </w:rPr>
              <w:t>分，否则</w:t>
            </w:r>
            <w:r>
              <w:rPr>
                <w:rFonts w:hint="eastAsia" w:ascii="宋体" w:hAnsi="宋体" w:cs="宋体"/>
                <w:sz w:val="24"/>
                <w:szCs w:val="24"/>
              </w:rPr>
              <w:t>0</w:t>
            </w:r>
            <w:r>
              <w:rPr>
                <w:rFonts w:ascii="宋体" w:hAnsi="宋体" w:cs="宋体"/>
                <w:sz w:val="24"/>
                <w:szCs w:val="24"/>
              </w:rPr>
              <w:t>分；</w:t>
            </w:r>
          </w:p>
          <w:p w14:paraId="02B81F0A">
            <w:pPr>
              <w:spacing w:line="360" w:lineRule="auto"/>
              <w:jc w:val="left"/>
              <w:rPr>
                <w:kern w:val="0"/>
                <w:sz w:val="24"/>
                <w:szCs w:val="24"/>
              </w:rPr>
            </w:pPr>
            <w:r>
              <w:rPr>
                <w:rFonts w:hint="eastAsia" w:ascii="宋体" w:hAnsi="宋体" w:cs="宋体"/>
                <w:sz w:val="24"/>
                <w:szCs w:val="24"/>
              </w:rPr>
              <w:t>（3）综合主管：提供综合主管的《特种作业操作证（高处作业证）》及《天津市病媒生物防制培训证书》和</w:t>
            </w:r>
            <w:r>
              <w:rPr>
                <w:rFonts w:ascii="宋体" w:hAnsi="宋体" w:cs="宋体"/>
                <w:sz w:val="24"/>
                <w:szCs w:val="24"/>
              </w:rPr>
              <w:t>及原《特种设备作业人员证（电梯安全管理）》或新《特种设备安全管理和作业人员证（特种设备安全管理）》的</w:t>
            </w:r>
            <w:r>
              <w:rPr>
                <w:rFonts w:hint="eastAsia" w:ascii="宋体" w:hAnsi="宋体" w:cs="宋体"/>
                <w:sz w:val="24"/>
                <w:szCs w:val="24"/>
              </w:rPr>
              <w:t>扫描件</w:t>
            </w:r>
            <w:r>
              <w:rPr>
                <w:rFonts w:hint="eastAsia"/>
                <w:kern w:val="0"/>
                <w:sz w:val="24"/>
                <w:szCs w:val="24"/>
              </w:rPr>
              <w:t>且性别年龄满足招标文件要求</w:t>
            </w:r>
            <w:r>
              <w:rPr>
                <w:rFonts w:hint="eastAsia" w:ascii="宋体" w:hAnsi="宋体" w:cs="宋体"/>
                <w:sz w:val="24"/>
                <w:szCs w:val="24"/>
              </w:rPr>
              <w:t>，每个提供上述材料扫描件的人员得2分，最多2分；</w:t>
            </w:r>
          </w:p>
        </w:tc>
        <w:tc>
          <w:tcPr>
            <w:tcW w:w="916" w:type="dxa"/>
            <w:shd w:val="clear" w:color="auto" w:fill="auto"/>
            <w:vAlign w:val="center"/>
          </w:tcPr>
          <w:p w14:paraId="22951348">
            <w:pPr>
              <w:adjustRightInd w:val="0"/>
              <w:snapToGrid w:val="0"/>
              <w:spacing w:line="360" w:lineRule="auto"/>
              <w:jc w:val="center"/>
              <w:rPr>
                <w:color w:val="000000"/>
                <w:kern w:val="0"/>
                <w:sz w:val="24"/>
                <w:szCs w:val="24"/>
              </w:rPr>
            </w:pPr>
            <w:r>
              <w:rPr>
                <w:rFonts w:hint="eastAsia"/>
                <w:color w:val="000000"/>
                <w:kern w:val="0"/>
                <w:sz w:val="24"/>
                <w:szCs w:val="24"/>
              </w:rPr>
              <w:t>8</w:t>
            </w:r>
          </w:p>
        </w:tc>
      </w:tr>
      <w:tr w14:paraId="0303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63" w:type="dxa"/>
            <w:shd w:val="clear" w:color="auto" w:fill="auto"/>
            <w:noWrap/>
            <w:vAlign w:val="center"/>
          </w:tcPr>
          <w:p w14:paraId="13D320D3">
            <w:pPr>
              <w:widowControl/>
              <w:adjustRightInd w:val="0"/>
              <w:snapToGrid w:val="0"/>
              <w:spacing w:line="360" w:lineRule="auto"/>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14:paraId="427DCE75">
            <w:pPr>
              <w:widowControl/>
              <w:adjustRightInd w:val="0"/>
              <w:snapToGrid w:val="0"/>
              <w:spacing w:line="360" w:lineRule="auto"/>
              <w:jc w:val="center"/>
              <w:rPr>
                <w:kern w:val="0"/>
                <w:sz w:val="24"/>
                <w:szCs w:val="24"/>
              </w:rPr>
            </w:pPr>
            <w:r>
              <w:rPr>
                <w:rFonts w:hint="eastAsia"/>
                <w:kern w:val="0"/>
                <w:sz w:val="24"/>
                <w:szCs w:val="24"/>
              </w:rPr>
              <w:t>派驻服务人员评价</w:t>
            </w:r>
          </w:p>
        </w:tc>
        <w:tc>
          <w:tcPr>
            <w:tcW w:w="7538" w:type="dxa"/>
            <w:shd w:val="clear" w:color="auto" w:fill="auto"/>
            <w:vAlign w:val="center"/>
          </w:tcPr>
          <w:p w14:paraId="29920756">
            <w:pPr>
              <w:spacing w:line="360" w:lineRule="auto"/>
              <w:jc w:val="left"/>
              <w:rPr>
                <w:rFonts w:ascii="宋体" w:hAnsi="宋体" w:cs="宋体"/>
                <w:sz w:val="24"/>
                <w:szCs w:val="24"/>
              </w:rPr>
            </w:pPr>
            <w:r>
              <w:rPr>
                <w:rFonts w:ascii="宋体" w:hAnsi="宋体" w:cs="宋体"/>
                <w:sz w:val="24"/>
                <w:szCs w:val="24"/>
              </w:rPr>
              <w:t>（1）</w:t>
            </w:r>
            <w:r>
              <w:rPr>
                <w:rFonts w:hint="eastAsia" w:ascii="宋体" w:hAnsi="宋体" w:cs="宋体"/>
                <w:sz w:val="24"/>
                <w:szCs w:val="24"/>
              </w:rPr>
              <w:t>会服服务</w:t>
            </w:r>
            <w:r>
              <w:rPr>
                <w:rFonts w:ascii="宋体" w:hAnsi="宋体" w:cs="宋体"/>
                <w:sz w:val="24"/>
                <w:szCs w:val="24"/>
              </w:rPr>
              <w:t>：提供</w:t>
            </w:r>
            <w:r>
              <w:rPr>
                <w:rFonts w:hint="eastAsia"/>
                <w:kern w:val="0"/>
                <w:sz w:val="24"/>
                <w:szCs w:val="24"/>
              </w:rPr>
              <w:t>大本或上（含大本）毕业证书扫描件，且性别年龄满足招标文件要求</w:t>
            </w:r>
            <w:r>
              <w:rPr>
                <w:rFonts w:ascii="宋体" w:hAnsi="宋体" w:cs="宋体"/>
                <w:sz w:val="24"/>
                <w:szCs w:val="24"/>
              </w:rPr>
              <w:t>，每个合格的人员得2分，最多2分；</w:t>
            </w:r>
          </w:p>
          <w:p w14:paraId="1EA27717">
            <w:pPr>
              <w:spacing w:line="360" w:lineRule="auto"/>
              <w:jc w:val="left"/>
              <w:rPr>
                <w:rFonts w:ascii="宋体" w:hAnsi="宋体" w:cs="宋体"/>
                <w:sz w:val="24"/>
                <w:szCs w:val="24"/>
              </w:rPr>
            </w:pPr>
            <w:r>
              <w:rPr>
                <w:rFonts w:ascii="宋体" w:hAnsi="宋体" w:cs="宋体"/>
                <w:sz w:val="24"/>
                <w:szCs w:val="24"/>
              </w:rPr>
              <w:t>（2）</w:t>
            </w:r>
            <w:r>
              <w:rPr>
                <w:rFonts w:hint="eastAsia" w:ascii="宋体" w:hAnsi="宋体" w:cs="宋体"/>
                <w:sz w:val="24"/>
                <w:szCs w:val="24"/>
              </w:rPr>
              <w:t>会服</w:t>
            </w:r>
            <w:r>
              <w:rPr>
                <w:rFonts w:ascii="宋体" w:hAnsi="宋体" w:cs="宋体"/>
                <w:sz w:val="24"/>
                <w:szCs w:val="24"/>
              </w:rPr>
              <w:t>服务：提供上述人员（已提供（1）项合格证书扫描件的） 递交响应文件前三个月中连续两个月的由投标单位为该</w:t>
            </w:r>
            <w:r>
              <w:rPr>
                <w:rFonts w:hint="eastAsia"/>
                <w:kern w:val="0"/>
                <w:sz w:val="24"/>
                <w:szCs w:val="24"/>
              </w:rPr>
              <w:t>服务人员</w:t>
            </w:r>
            <w:r>
              <w:rPr>
                <w:rFonts w:ascii="宋体" w:hAnsi="宋体" w:cs="宋体"/>
                <w:sz w:val="24"/>
                <w:szCs w:val="24"/>
              </w:rPr>
              <w:t>缴纳社会保险证明扫描件，每个合格的人员社保证明扫描件得2分，最多2分；</w:t>
            </w:r>
          </w:p>
          <w:p w14:paraId="3961285D">
            <w:pPr>
              <w:spacing w:line="360" w:lineRule="auto"/>
              <w:jc w:val="left"/>
              <w:rPr>
                <w:rFonts w:ascii="宋体" w:hAnsi="宋体" w:cs="宋体"/>
                <w:sz w:val="24"/>
                <w:szCs w:val="24"/>
              </w:rPr>
            </w:pPr>
            <w:r>
              <w:rPr>
                <w:rFonts w:ascii="宋体" w:hAnsi="宋体" w:cs="宋体"/>
                <w:sz w:val="24"/>
                <w:szCs w:val="24"/>
              </w:rPr>
              <w:t>（3）工程维修工：提供《特种作业操作证（高压电工作业）》及《特种作业操作证（低压电工作业）》扫描件</w:t>
            </w:r>
            <w:r>
              <w:rPr>
                <w:rFonts w:hint="eastAsia"/>
                <w:kern w:val="0"/>
                <w:sz w:val="24"/>
                <w:szCs w:val="24"/>
              </w:rPr>
              <w:t>且性别年龄满足招标文件要求</w:t>
            </w:r>
            <w:r>
              <w:rPr>
                <w:rFonts w:ascii="宋体" w:hAnsi="宋体" w:cs="宋体"/>
                <w:sz w:val="24"/>
                <w:szCs w:val="24"/>
              </w:rPr>
              <w:t xml:space="preserve">，每个合格的人员得2分，最多2分； </w:t>
            </w:r>
          </w:p>
          <w:p w14:paraId="306DDF54">
            <w:pPr>
              <w:spacing w:line="360" w:lineRule="auto"/>
              <w:jc w:val="left"/>
              <w:rPr>
                <w:rFonts w:ascii="宋体" w:hAnsi="宋体" w:cs="宋体"/>
                <w:sz w:val="24"/>
                <w:szCs w:val="24"/>
              </w:rPr>
            </w:pPr>
            <w:r>
              <w:rPr>
                <w:rFonts w:ascii="宋体" w:hAnsi="宋体" w:cs="宋体"/>
                <w:sz w:val="24"/>
                <w:szCs w:val="24"/>
              </w:rPr>
              <w:t>（4）工程维修工：提供上述人员（已提供（3）项合格证书扫描件的） 递交响应文件前三个月中连续两个月的由投标单位为该</w:t>
            </w:r>
            <w:r>
              <w:rPr>
                <w:rFonts w:hint="eastAsia"/>
                <w:kern w:val="0"/>
                <w:sz w:val="24"/>
                <w:szCs w:val="24"/>
              </w:rPr>
              <w:t>服务人员</w:t>
            </w:r>
            <w:r>
              <w:rPr>
                <w:rFonts w:ascii="宋体" w:hAnsi="宋体" w:cs="宋体"/>
                <w:sz w:val="24"/>
                <w:szCs w:val="24"/>
              </w:rPr>
              <w:t xml:space="preserve">缴纳社会保险证明扫描件，每个合格的人员社保证明扫描件得2分，最多2分； </w:t>
            </w:r>
          </w:p>
          <w:p w14:paraId="10EBD940">
            <w:pPr>
              <w:spacing w:line="360" w:lineRule="auto"/>
              <w:jc w:val="left"/>
              <w:rPr>
                <w:rFonts w:ascii="宋体" w:hAnsi="宋体" w:cs="宋体"/>
                <w:sz w:val="24"/>
                <w:szCs w:val="24"/>
              </w:rPr>
            </w:pPr>
            <w:r>
              <w:rPr>
                <w:rFonts w:ascii="宋体" w:hAnsi="宋体" w:cs="宋体"/>
                <w:sz w:val="24"/>
                <w:szCs w:val="24"/>
              </w:rPr>
              <w:t>（5）消防监控管理员：提供《职业资格证（建（构）筑物消防员或 消防设施操作员）》（四级/中级工或以上）及公安机关盖章的保安员证扫描件</w:t>
            </w:r>
            <w:r>
              <w:rPr>
                <w:rFonts w:hint="eastAsia"/>
                <w:kern w:val="0"/>
                <w:sz w:val="24"/>
                <w:szCs w:val="24"/>
              </w:rPr>
              <w:t>且性别年龄满足招标文件要求</w:t>
            </w:r>
            <w:r>
              <w:rPr>
                <w:rFonts w:ascii="宋体" w:hAnsi="宋体" w:cs="宋体"/>
                <w:sz w:val="24"/>
                <w:szCs w:val="24"/>
              </w:rPr>
              <w:t>，每个合格的人员得2分，最多</w:t>
            </w:r>
            <w:r>
              <w:rPr>
                <w:rFonts w:hint="eastAsia" w:ascii="宋体" w:hAnsi="宋体" w:cs="宋体"/>
                <w:sz w:val="24"/>
                <w:szCs w:val="24"/>
              </w:rPr>
              <w:t>6</w:t>
            </w:r>
            <w:r>
              <w:rPr>
                <w:rFonts w:ascii="宋体" w:hAnsi="宋体" w:cs="宋体"/>
                <w:sz w:val="24"/>
                <w:szCs w:val="24"/>
              </w:rPr>
              <w:t>分；</w:t>
            </w:r>
          </w:p>
          <w:p w14:paraId="133895EE">
            <w:pPr>
              <w:spacing w:line="360" w:lineRule="auto"/>
              <w:jc w:val="left"/>
              <w:rPr>
                <w:kern w:val="0"/>
                <w:sz w:val="24"/>
                <w:szCs w:val="24"/>
              </w:rPr>
            </w:pPr>
            <w:r>
              <w:rPr>
                <w:rFonts w:ascii="宋体" w:hAnsi="宋体" w:cs="宋体"/>
                <w:sz w:val="24"/>
                <w:szCs w:val="24"/>
              </w:rPr>
              <w:t>（6）消防监控管理员：提供上述人员（已提供（5）项合格证书扫描件的）递交响应文件前三个月中连续两个月的由投标单位为该</w:t>
            </w:r>
            <w:r>
              <w:rPr>
                <w:rFonts w:hint="eastAsia"/>
                <w:kern w:val="0"/>
                <w:sz w:val="24"/>
                <w:szCs w:val="24"/>
              </w:rPr>
              <w:t>服务人员</w:t>
            </w:r>
            <w:r>
              <w:rPr>
                <w:rFonts w:ascii="宋体" w:hAnsi="宋体" w:cs="宋体"/>
                <w:sz w:val="24"/>
                <w:szCs w:val="24"/>
              </w:rPr>
              <w:t>缴纳社会保险证明扫描件，每个合格的人员社保证明扫描件得2分，最多</w:t>
            </w:r>
            <w:r>
              <w:rPr>
                <w:rFonts w:hint="eastAsia" w:ascii="宋体" w:hAnsi="宋体" w:cs="宋体"/>
                <w:sz w:val="24"/>
                <w:szCs w:val="24"/>
              </w:rPr>
              <w:t>6</w:t>
            </w:r>
            <w:r>
              <w:rPr>
                <w:rFonts w:ascii="宋体" w:hAnsi="宋体" w:cs="宋体"/>
                <w:sz w:val="24"/>
                <w:szCs w:val="24"/>
              </w:rPr>
              <w:t>分；</w:t>
            </w:r>
          </w:p>
        </w:tc>
        <w:tc>
          <w:tcPr>
            <w:tcW w:w="916" w:type="dxa"/>
            <w:shd w:val="clear" w:color="auto" w:fill="auto"/>
            <w:vAlign w:val="center"/>
          </w:tcPr>
          <w:p w14:paraId="35B4A285">
            <w:pPr>
              <w:widowControl/>
              <w:adjustRightInd w:val="0"/>
              <w:snapToGrid w:val="0"/>
              <w:spacing w:line="360" w:lineRule="auto"/>
              <w:jc w:val="center"/>
              <w:rPr>
                <w:color w:val="000000"/>
                <w:kern w:val="0"/>
                <w:sz w:val="24"/>
                <w:szCs w:val="24"/>
              </w:rPr>
            </w:pPr>
            <w:r>
              <w:rPr>
                <w:rFonts w:hint="eastAsia"/>
                <w:color w:val="000000"/>
                <w:kern w:val="0"/>
                <w:sz w:val="24"/>
                <w:szCs w:val="24"/>
              </w:rPr>
              <w:t>20</w:t>
            </w:r>
          </w:p>
        </w:tc>
      </w:tr>
      <w:tr w14:paraId="1963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21A15565">
            <w:pPr>
              <w:widowControl/>
              <w:adjustRightInd w:val="0"/>
              <w:snapToGrid w:val="0"/>
              <w:spacing w:line="360" w:lineRule="auto"/>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14:paraId="4931EA2A">
            <w:pPr>
              <w:widowControl/>
              <w:adjustRightInd w:val="0"/>
              <w:snapToGrid w:val="0"/>
              <w:spacing w:line="360" w:lineRule="auto"/>
              <w:jc w:val="center"/>
              <w:rPr>
                <w:kern w:val="0"/>
                <w:sz w:val="24"/>
                <w:szCs w:val="24"/>
              </w:rPr>
            </w:pPr>
            <w:r>
              <w:rPr>
                <w:color w:val="000000" w:themeColor="text1"/>
                <w:sz w:val="24"/>
              </w:rPr>
              <w:t>人员培训方案</w:t>
            </w:r>
          </w:p>
        </w:tc>
        <w:tc>
          <w:tcPr>
            <w:tcW w:w="7538" w:type="dxa"/>
            <w:shd w:val="clear" w:color="auto" w:fill="auto"/>
            <w:vAlign w:val="center"/>
          </w:tcPr>
          <w:p w14:paraId="2C9CB90C">
            <w:pPr>
              <w:widowControl/>
              <w:adjustRightInd w:val="0"/>
              <w:snapToGrid w:val="0"/>
              <w:spacing w:line="360" w:lineRule="auto"/>
              <w:rPr>
                <w:kern w:val="0"/>
                <w:sz w:val="24"/>
                <w:szCs w:val="24"/>
              </w:rPr>
            </w:pPr>
            <w:r>
              <w:rPr>
                <w:rFonts w:hint="eastAsia"/>
                <w:kern w:val="0"/>
                <w:sz w:val="24"/>
                <w:szCs w:val="24"/>
              </w:rPr>
              <w:t>人员培训方案应包含培训计划、培训方式、培训目标、言行规范、仪表仪容、公众形象等。</w:t>
            </w:r>
          </w:p>
          <w:p w14:paraId="0E05204E">
            <w:pPr>
              <w:widowControl/>
              <w:adjustRightInd w:val="0"/>
              <w:snapToGrid w:val="0"/>
              <w:spacing w:line="360" w:lineRule="auto"/>
              <w:rPr>
                <w:kern w:val="0"/>
                <w:sz w:val="24"/>
                <w:szCs w:val="24"/>
              </w:rPr>
            </w:pPr>
            <w:r>
              <w:rPr>
                <w:rFonts w:hint="eastAsia"/>
                <w:kern w:val="0"/>
                <w:sz w:val="24"/>
                <w:szCs w:val="24"/>
              </w:rPr>
              <w:t>每提供上述1项内容的得0.5分，最多3分。</w:t>
            </w:r>
          </w:p>
        </w:tc>
        <w:tc>
          <w:tcPr>
            <w:tcW w:w="916" w:type="dxa"/>
            <w:shd w:val="clear" w:color="auto" w:fill="auto"/>
            <w:vAlign w:val="center"/>
          </w:tcPr>
          <w:p w14:paraId="577716EA">
            <w:pPr>
              <w:widowControl/>
              <w:adjustRightInd w:val="0"/>
              <w:snapToGrid w:val="0"/>
              <w:spacing w:line="360" w:lineRule="auto"/>
              <w:jc w:val="center"/>
              <w:rPr>
                <w:color w:val="000000"/>
                <w:kern w:val="0"/>
                <w:sz w:val="24"/>
                <w:szCs w:val="24"/>
              </w:rPr>
            </w:pPr>
            <w:r>
              <w:rPr>
                <w:rFonts w:hint="eastAsia"/>
                <w:color w:val="000000"/>
                <w:kern w:val="0"/>
                <w:sz w:val="24"/>
                <w:szCs w:val="24"/>
              </w:rPr>
              <w:t>3</w:t>
            </w:r>
          </w:p>
        </w:tc>
      </w:tr>
      <w:tr w14:paraId="1CFA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663" w:type="dxa"/>
            <w:shd w:val="clear" w:color="auto" w:fill="auto"/>
            <w:noWrap/>
            <w:vAlign w:val="center"/>
          </w:tcPr>
          <w:p w14:paraId="7F3FD7ED">
            <w:pPr>
              <w:widowControl/>
              <w:adjustRightInd w:val="0"/>
              <w:snapToGrid w:val="0"/>
              <w:spacing w:line="360" w:lineRule="auto"/>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14:paraId="0A1E72CC">
            <w:pPr>
              <w:widowControl/>
              <w:adjustRightInd w:val="0"/>
              <w:snapToGrid w:val="0"/>
              <w:spacing w:line="360" w:lineRule="auto"/>
              <w:jc w:val="center"/>
              <w:rPr>
                <w:color w:val="000000" w:themeColor="text1"/>
                <w:sz w:val="24"/>
              </w:rPr>
            </w:pPr>
            <w:r>
              <w:rPr>
                <w:rFonts w:hint="eastAsia"/>
                <w:kern w:val="0"/>
                <w:sz w:val="24"/>
                <w:szCs w:val="24"/>
              </w:rPr>
              <w:t>保洁耗材评价</w:t>
            </w:r>
          </w:p>
        </w:tc>
        <w:tc>
          <w:tcPr>
            <w:tcW w:w="7538" w:type="dxa"/>
            <w:shd w:val="clear" w:color="auto" w:fill="auto"/>
            <w:vAlign w:val="center"/>
          </w:tcPr>
          <w:p w14:paraId="2E2AB8CA">
            <w:pPr>
              <w:widowControl/>
              <w:adjustRightInd w:val="0"/>
              <w:snapToGrid w:val="0"/>
              <w:spacing w:line="360" w:lineRule="auto"/>
              <w:rPr>
                <w:kern w:val="0"/>
                <w:sz w:val="24"/>
                <w:szCs w:val="24"/>
              </w:rPr>
            </w:pPr>
            <w:r>
              <w:rPr>
                <w:rFonts w:hint="eastAsia"/>
                <w:kern w:val="0"/>
                <w:sz w:val="24"/>
                <w:szCs w:val="24"/>
              </w:rPr>
              <w:t>提供具有检测资质的第三方检测机构出具的针对拟投入本项目保洁耗材的CMA检测报告扫描件，每个合格的扫描件得0.5分，最多1分。</w:t>
            </w:r>
          </w:p>
        </w:tc>
        <w:tc>
          <w:tcPr>
            <w:tcW w:w="916" w:type="dxa"/>
            <w:shd w:val="clear" w:color="auto" w:fill="auto"/>
            <w:vAlign w:val="center"/>
          </w:tcPr>
          <w:p w14:paraId="697A201B">
            <w:pPr>
              <w:widowControl/>
              <w:adjustRightInd w:val="0"/>
              <w:snapToGrid w:val="0"/>
              <w:spacing w:line="360" w:lineRule="auto"/>
              <w:jc w:val="center"/>
              <w:rPr>
                <w:color w:val="000000"/>
                <w:kern w:val="0"/>
                <w:sz w:val="24"/>
                <w:szCs w:val="24"/>
              </w:rPr>
            </w:pPr>
            <w:r>
              <w:rPr>
                <w:rFonts w:hint="eastAsia"/>
                <w:color w:val="000000"/>
                <w:kern w:val="0"/>
                <w:sz w:val="24"/>
                <w:szCs w:val="24"/>
              </w:rPr>
              <w:t>1</w:t>
            </w:r>
          </w:p>
        </w:tc>
      </w:tr>
      <w:tr w14:paraId="5718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63" w:type="dxa"/>
            <w:shd w:val="clear" w:color="auto" w:fill="auto"/>
            <w:noWrap/>
            <w:vAlign w:val="center"/>
          </w:tcPr>
          <w:p w14:paraId="239B5D98">
            <w:pPr>
              <w:adjustRightInd w:val="0"/>
              <w:snapToGrid w:val="0"/>
              <w:spacing w:line="360" w:lineRule="auto"/>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14:paraId="30141770">
            <w:pPr>
              <w:adjustRightInd w:val="0"/>
              <w:snapToGrid w:val="0"/>
              <w:spacing w:line="360" w:lineRule="auto"/>
              <w:jc w:val="center"/>
              <w:rPr>
                <w:kern w:val="0"/>
                <w:sz w:val="24"/>
                <w:szCs w:val="24"/>
              </w:rPr>
            </w:pPr>
            <w:r>
              <w:rPr>
                <w:kern w:val="0"/>
                <w:sz w:val="24"/>
                <w:szCs w:val="24"/>
              </w:rPr>
              <w:t>投标人承诺 评价</w:t>
            </w:r>
          </w:p>
        </w:tc>
        <w:tc>
          <w:tcPr>
            <w:tcW w:w="7538" w:type="dxa"/>
            <w:shd w:val="clear" w:color="auto" w:fill="auto"/>
            <w:vAlign w:val="center"/>
          </w:tcPr>
          <w:p w14:paraId="1087DF33">
            <w:pPr>
              <w:adjustRightInd w:val="0"/>
              <w:snapToGrid w:val="0"/>
              <w:spacing w:line="360" w:lineRule="auto"/>
              <w:rPr>
                <w:kern w:val="0"/>
                <w:sz w:val="24"/>
                <w:szCs w:val="24"/>
              </w:rPr>
            </w:pPr>
            <w:r>
              <w:rPr>
                <w:kern w:val="0"/>
                <w:sz w:val="24"/>
                <w:szCs w:val="24"/>
              </w:rPr>
              <w:t>承诺完全满足竞争性磋商文件“报价要求”、“时间地点要求”、“付 款方式要求”和技术要求中非“</w:t>
            </w:r>
            <w:r>
              <w:rPr>
                <w:rFonts w:hint="eastAsia"/>
                <w:kern w:val="0"/>
                <w:sz w:val="24"/>
                <w:szCs w:val="24"/>
              </w:rPr>
              <w:t>★</w:t>
            </w:r>
            <w:r>
              <w:rPr>
                <w:kern w:val="0"/>
                <w:sz w:val="24"/>
                <w:szCs w:val="24"/>
              </w:rPr>
              <w:t>”号要求的：</w:t>
            </w:r>
            <w:r>
              <w:rPr>
                <w:rFonts w:hint="eastAsia"/>
                <w:kern w:val="0"/>
                <w:sz w:val="24"/>
                <w:szCs w:val="24"/>
              </w:rPr>
              <w:t>10</w:t>
            </w:r>
            <w:r>
              <w:rPr>
                <w:kern w:val="0"/>
                <w:sz w:val="24"/>
                <w:szCs w:val="24"/>
              </w:rPr>
              <w:t>分，其他0分</w:t>
            </w:r>
          </w:p>
        </w:tc>
        <w:tc>
          <w:tcPr>
            <w:tcW w:w="916" w:type="dxa"/>
            <w:shd w:val="clear" w:color="auto" w:fill="auto"/>
            <w:vAlign w:val="center"/>
          </w:tcPr>
          <w:p w14:paraId="7C13BAC7">
            <w:pPr>
              <w:adjustRightInd w:val="0"/>
              <w:snapToGrid w:val="0"/>
              <w:spacing w:line="360" w:lineRule="auto"/>
              <w:jc w:val="center"/>
              <w:rPr>
                <w:color w:val="000000"/>
                <w:kern w:val="0"/>
                <w:sz w:val="24"/>
                <w:szCs w:val="24"/>
              </w:rPr>
            </w:pPr>
            <w:r>
              <w:rPr>
                <w:rFonts w:hint="eastAsia"/>
                <w:color w:val="000000"/>
                <w:kern w:val="0"/>
                <w:sz w:val="24"/>
                <w:szCs w:val="24"/>
              </w:rPr>
              <w:t>10</w:t>
            </w:r>
          </w:p>
        </w:tc>
      </w:tr>
      <w:tr w14:paraId="3951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620" w:type="dxa"/>
            <w:gridSpan w:val="3"/>
            <w:shd w:val="clear" w:color="auto" w:fill="auto"/>
            <w:noWrap/>
            <w:vAlign w:val="center"/>
          </w:tcPr>
          <w:p w14:paraId="7B88C483">
            <w:pPr>
              <w:widowControl/>
              <w:adjustRightInd w:val="0"/>
              <w:snapToGrid w:val="0"/>
              <w:spacing w:line="360" w:lineRule="auto"/>
              <w:jc w:val="center"/>
              <w:rPr>
                <w:kern w:val="0"/>
                <w:sz w:val="24"/>
                <w:szCs w:val="24"/>
              </w:rPr>
            </w:pPr>
            <w:r>
              <w:rPr>
                <w:kern w:val="0"/>
                <w:sz w:val="24"/>
                <w:szCs w:val="24"/>
              </w:rPr>
              <w:t>第三部分 主观分（</w:t>
            </w:r>
            <w:r>
              <w:rPr>
                <w:rFonts w:hint="eastAsia"/>
                <w:kern w:val="0"/>
                <w:sz w:val="24"/>
                <w:szCs w:val="24"/>
              </w:rPr>
              <w:t>30</w:t>
            </w:r>
            <w:r>
              <w:rPr>
                <w:kern w:val="0"/>
                <w:sz w:val="24"/>
                <w:szCs w:val="24"/>
              </w:rPr>
              <w:t>分）</w:t>
            </w:r>
          </w:p>
        </w:tc>
        <w:tc>
          <w:tcPr>
            <w:tcW w:w="916" w:type="dxa"/>
            <w:shd w:val="clear" w:color="auto" w:fill="auto"/>
            <w:vAlign w:val="center"/>
          </w:tcPr>
          <w:p w14:paraId="0149EC97">
            <w:pPr>
              <w:widowControl/>
              <w:adjustRightInd w:val="0"/>
              <w:snapToGrid w:val="0"/>
              <w:spacing w:line="360" w:lineRule="auto"/>
              <w:jc w:val="center"/>
              <w:rPr>
                <w:color w:val="000000"/>
                <w:kern w:val="0"/>
                <w:sz w:val="24"/>
                <w:szCs w:val="24"/>
              </w:rPr>
            </w:pPr>
            <w:r>
              <w:rPr>
                <w:color w:val="000000"/>
                <w:kern w:val="0"/>
                <w:sz w:val="24"/>
                <w:szCs w:val="24"/>
              </w:rPr>
              <w:t>分值</w:t>
            </w:r>
          </w:p>
        </w:tc>
      </w:tr>
      <w:tr w14:paraId="7706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A8EF90A">
            <w:pPr>
              <w:widowControl/>
              <w:adjustRightInd w:val="0"/>
              <w:snapToGrid w:val="0"/>
              <w:spacing w:line="360" w:lineRule="auto"/>
              <w:jc w:val="center"/>
              <w:rPr>
                <w:color w:val="000000"/>
                <w:kern w:val="0"/>
                <w:sz w:val="24"/>
                <w:szCs w:val="24"/>
              </w:rPr>
            </w:pPr>
            <w:r>
              <w:rPr>
                <w:color w:val="000000"/>
                <w:kern w:val="0"/>
                <w:sz w:val="24"/>
                <w:szCs w:val="24"/>
              </w:rPr>
              <w:t>1</w:t>
            </w:r>
          </w:p>
        </w:tc>
        <w:tc>
          <w:tcPr>
            <w:tcW w:w="1419" w:type="dxa"/>
            <w:shd w:val="clear" w:color="auto" w:fill="auto"/>
            <w:vAlign w:val="center"/>
          </w:tcPr>
          <w:p w14:paraId="5B32D1BC">
            <w:pPr>
              <w:widowControl/>
              <w:adjustRightInd w:val="0"/>
              <w:snapToGrid w:val="0"/>
              <w:spacing w:line="360" w:lineRule="auto"/>
              <w:jc w:val="center"/>
              <w:rPr>
                <w:kern w:val="0"/>
                <w:sz w:val="24"/>
                <w:szCs w:val="24"/>
              </w:rPr>
            </w:pPr>
            <w:r>
              <w:rPr>
                <w:kern w:val="0"/>
                <w:sz w:val="24"/>
                <w:szCs w:val="24"/>
              </w:rPr>
              <w:t>人员、岗位配置方案评价</w:t>
            </w:r>
          </w:p>
        </w:tc>
        <w:tc>
          <w:tcPr>
            <w:tcW w:w="7538" w:type="dxa"/>
            <w:shd w:val="clear" w:color="auto" w:fill="auto"/>
            <w:vAlign w:val="center"/>
          </w:tcPr>
          <w:p w14:paraId="5BDAD5A2">
            <w:pPr>
              <w:widowControl/>
              <w:adjustRightInd w:val="0"/>
              <w:snapToGrid w:val="0"/>
              <w:spacing w:line="360" w:lineRule="auto"/>
              <w:rPr>
                <w:kern w:val="0"/>
                <w:sz w:val="24"/>
                <w:szCs w:val="24"/>
              </w:rPr>
            </w:pPr>
            <w:r>
              <w:rPr>
                <w:rFonts w:hint="eastAsia"/>
                <w:kern w:val="0"/>
                <w:sz w:val="24"/>
                <w:szCs w:val="24"/>
              </w:rPr>
              <w:t>至少包含各岗位投入人员数量、各岗位内部人员安排配置方案</w:t>
            </w:r>
          </w:p>
          <w:p w14:paraId="06E12EE5">
            <w:pPr>
              <w:widowControl/>
              <w:adjustRightInd w:val="0"/>
              <w:snapToGrid w:val="0"/>
              <w:spacing w:line="360" w:lineRule="auto"/>
              <w:rPr>
                <w:kern w:val="0"/>
                <w:sz w:val="24"/>
                <w:szCs w:val="24"/>
              </w:rPr>
            </w:pPr>
            <w:r>
              <w:rPr>
                <w:rFonts w:hint="eastAsia"/>
                <w:kern w:val="0"/>
                <w:sz w:val="24"/>
                <w:szCs w:val="24"/>
              </w:rPr>
              <w:t>满足项目需求书</w:t>
            </w:r>
            <w:r>
              <w:rPr>
                <w:kern w:val="0"/>
                <w:sz w:val="24"/>
                <w:szCs w:val="24"/>
              </w:rPr>
              <w:t>要求，无瑕疵：3分；</w:t>
            </w:r>
          </w:p>
          <w:p w14:paraId="3F534712">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0B82956D">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30EB8AB9">
            <w:pPr>
              <w:widowControl/>
              <w:adjustRightInd w:val="0"/>
              <w:snapToGrid w:val="0"/>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45916A12">
            <w:pPr>
              <w:widowControl/>
              <w:adjustRightInd w:val="0"/>
              <w:snapToGrid w:val="0"/>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16" w:type="dxa"/>
            <w:shd w:val="clear" w:color="auto" w:fill="auto"/>
            <w:vAlign w:val="center"/>
          </w:tcPr>
          <w:p w14:paraId="317AF72E">
            <w:pPr>
              <w:widowControl/>
              <w:adjustRightInd w:val="0"/>
              <w:snapToGrid w:val="0"/>
              <w:spacing w:line="360" w:lineRule="auto"/>
              <w:jc w:val="center"/>
              <w:rPr>
                <w:color w:val="000000"/>
                <w:kern w:val="0"/>
                <w:sz w:val="24"/>
                <w:szCs w:val="24"/>
              </w:rPr>
            </w:pPr>
            <w:r>
              <w:rPr>
                <w:rFonts w:hint="eastAsia"/>
                <w:color w:val="000000"/>
                <w:kern w:val="0"/>
                <w:sz w:val="24"/>
                <w:szCs w:val="24"/>
              </w:rPr>
              <w:t>3</w:t>
            </w:r>
          </w:p>
        </w:tc>
      </w:tr>
      <w:tr w14:paraId="4330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AEBF790">
            <w:pPr>
              <w:widowControl/>
              <w:adjustRightInd w:val="0"/>
              <w:snapToGrid w:val="0"/>
              <w:spacing w:line="360" w:lineRule="auto"/>
              <w:jc w:val="center"/>
              <w:rPr>
                <w:color w:val="000000"/>
                <w:kern w:val="0"/>
                <w:sz w:val="24"/>
                <w:szCs w:val="24"/>
              </w:rPr>
            </w:pPr>
            <w:r>
              <w:rPr>
                <w:color w:val="000000"/>
                <w:kern w:val="0"/>
                <w:sz w:val="24"/>
                <w:szCs w:val="24"/>
              </w:rPr>
              <w:t>2</w:t>
            </w:r>
          </w:p>
        </w:tc>
        <w:tc>
          <w:tcPr>
            <w:tcW w:w="1419" w:type="dxa"/>
            <w:shd w:val="clear" w:color="auto" w:fill="auto"/>
            <w:vAlign w:val="center"/>
          </w:tcPr>
          <w:p w14:paraId="28C5B3D8">
            <w:pPr>
              <w:widowControl/>
              <w:adjustRightInd w:val="0"/>
              <w:snapToGrid w:val="0"/>
              <w:spacing w:line="360" w:lineRule="auto"/>
              <w:jc w:val="center"/>
              <w:rPr>
                <w:kern w:val="0"/>
                <w:sz w:val="24"/>
                <w:szCs w:val="24"/>
              </w:rPr>
            </w:pPr>
            <w:r>
              <w:rPr>
                <w:rFonts w:hint="eastAsia"/>
                <w:color w:val="000000" w:themeColor="text1"/>
                <w:sz w:val="24"/>
              </w:rPr>
              <w:t>针对本项目特点的专业化管理方案评价</w:t>
            </w:r>
          </w:p>
        </w:tc>
        <w:tc>
          <w:tcPr>
            <w:tcW w:w="7538" w:type="dxa"/>
            <w:shd w:val="clear" w:color="auto" w:fill="auto"/>
            <w:vAlign w:val="center"/>
          </w:tcPr>
          <w:p w14:paraId="7A5BE070">
            <w:pPr>
              <w:widowControl/>
              <w:adjustRightInd w:val="0"/>
              <w:snapToGrid w:val="0"/>
              <w:spacing w:line="360" w:lineRule="auto"/>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w:t>
            </w:r>
            <w:r>
              <w:rPr>
                <w:kern w:val="0"/>
                <w:sz w:val="24"/>
                <w:szCs w:val="24"/>
              </w:rPr>
              <w:t>秩序维护</w:t>
            </w:r>
            <w:r>
              <w:rPr>
                <w:rFonts w:hint="eastAsia"/>
                <w:kern w:val="0"/>
                <w:sz w:val="24"/>
                <w:szCs w:val="24"/>
              </w:rPr>
              <w:t>、综合维修</w:t>
            </w:r>
            <w:r>
              <w:rPr>
                <w:kern w:val="0"/>
                <w:sz w:val="24"/>
                <w:szCs w:val="24"/>
              </w:rPr>
              <w:t>方案</w:t>
            </w:r>
          </w:p>
          <w:p w14:paraId="5DB255B1">
            <w:pPr>
              <w:widowControl/>
              <w:adjustRightInd w:val="0"/>
              <w:snapToGrid w:val="0"/>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14:paraId="49DA0172">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36E176D9">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p>
          <w:p w14:paraId="3B50C343">
            <w:pPr>
              <w:widowControl/>
              <w:adjustRightInd w:val="0"/>
              <w:snapToGrid w:val="0"/>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7345ABA4">
            <w:pPr>
              <w:widowControl/>
              <w:adjustRightInd w:val="0"/>
              <w:snapToGrid w:val="0"/>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16" w:type="dxa"/>
            <w:shd w:val="clear" w:color="auto" w:fill="auto"/>
            <w:vAlign w:val="center"/>
          </w:tcPr>
          <w:p w14:paraId="2F712FC3">
            <w:pPr>
              <w:widowControl/>
              <w:adjustRightInd w:val="0"/>
              <w:snapToGrid w:val="0"/>
              <w:spacing w:line="360" w:lineRule="auto"/>
              <w:jc w:val="center"/>
              <w:rPr>
                <w:color w:val="000000"/>
                <w:kern w:val="0"/>
                <w:sz w:val="24"/>
                <w:szCs w:val="24"/>
              </w:rPr>
            </w:pPr>
            <w:r>
              <w:rPr>
                <w:rFonts w:hint="eastAsia"/>
                <w:color w:val="000000"/>
                <w:kern w:val="0"/>
                <w:sz w:val="24"/>
                <w:szCs w:val="24"/>
              </w:rPr>
              <w:t>6</w:t>
            </w:r>
          </w:p>
        </w:tc>
      </w:tr>
      <w:tr w14:paraId="2F69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D66CB75">
            <w:pPr>
              <w:widowControl/>
              <w:adjustRightInd w:val="0"/>
              <w:snapToGrid w:val="0"/>
              <w:spacing w:line="360" w:lineRule="auto"/>
              <w:jc w:val="center"/>
              <w:rPr>
                <w:color w:val="000000"/>
                <w:kern w:val="0"/>
                <w:sz w:val="24"/>
                <w:szCs w:val="24"/>
              </w:rPr>
            </w:pPr>
            <w:r>
              <w:rPr>
                <w:color w:val="000000"/>
                <w:kern w:val="0"/>
                <w:sz w:val="24"/>
                <w:szCs w:val="24"/>
              </w:rPr>
              <w:t>3</w:t>
            </w:r>
          </w:p>
        </w:tc>
        <w:tc>
          <w:tcPr>
            <w:tcW w:w="1419" w:type="dxa"/>
            <w:shd w:val="clear" w:color="auto" w:fill="auto"/>
            <w:vAlign w:val="center"/>
          </w:tcPr>
          <w:p w14:paraId="50613A53">
            <w:pPr>
              <w:widowControl/>
              <w:adjustRightInd w:val="0"/>
              <w:snapToGrid w:val="0"/>
              <w:spacing w:line="360" w:lineRule="auto"/>
              <w:jc w:val="center"/>
              <w:rPr>
                <w:kern w:val="0"/>
                <w:sz w:val="24"/>
                <w:szCs w:val="24"/>
              </w:rPr>
            </w:pPr>
            <w:r>
              <w:rPr>
                <w:rFonts w:hint="eastAsia"/>
                <w:color w:val="000000" w:themeColor="text1"/>
                <w:sz w:val="24"/>
              </w:rPr>
              <w:t>对项目重点、难点的理解评价</w:t>
            </w:r>
          </w:p>
        </w:tc>
        <w:tc>
          <w:tcPr>
            <w:tcW w:w="7538" w:type="dxa"/>
            <w:shd w:val="clear" w:color="auto" w:fill="auto"/>
            <w:vAlign w:val="center"/>
          </w:tcPr>
          <w:p w14:paraId="3D3C330B">
            <w:pPr>
              <w:widowControl/>
              <w:adjustRightInd w:val="0"/>
              <w:snapToGrid w:val="0"/>
              <w:spacing w:line="360" w:lineRule="auto"/>
              <w:rPr>
                <w:kern w:val="0"/>
                <w:sz w:val="24"/>
                <w:szCs w:val="24"/>
              </w:rPr>
            </w:pPr>
            <w:r>
              <w:rPr>
                <w:rFonts w:hint="eastAsia"/>
                <w:kern w:val="0"/>
                <w:sz w:val="24"/>
                <w:szCs w:val="24"/>
              </w:rPr>
              <w:t>至少包含针对本项目重点和难点的理解以及针对重点难点的应对解决方案</w:t>
            </w:r>
          </w:p>
          <w:p w14:paraId="7F9E3DC3">
            <w:pPr>
              <w:widowControl/>
              <w:adjustRightInd w:val="0"/>
              <w:snapToGrid w:val="0"/>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14:paraId="31F23DF3">
            <w:pPr>
              <w:widowControl/>
              <w:adjustRightInd w:val="0"/>
              <w:snapToGrid w:val="0"/>
              <w:spacing w:line="360" w:lineRule="auto"/>
              <w:rPr>
                <w:kern w:val="0"/>
                <w:sz w:val="24"/>
                <w:szCs w:val="24"/>
              </w:rPr>
            </w:pPr>
            <w:r>
              <w:rPr>
                <w:kern w:val="0"/>
                <w:sz w:val="24"/>
                <w:szCs w:val="24"/>
              </w:rPr>
              <w:t>重点难点理解或应对解决方案内容存在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0CC73DD2">
            <w:pPr>
              <w:widowControl/>
              <w:adjustRightInd w:val="0"/>
              <w:snapToGrid w:val="0"/>
              <w:spacing w:line="360" w:lineRule="auto"/>
              <w:rPr>
                <w:kern w:val="0"/>
                <w:sz w:val="24"/>
                <w:szCs w:val="24"/>
              </w:rPr>
            </w:pPr>
            <w:r>
              <w:rPr>
                <w:kern w:val="0"/>
                <w:sz w:val="24"/>
                <w:szCs w:val="24"/>
              </w:rPr>
              <w:t>重点难点理解或应对解决方案内容存在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p>
          <w:p w14:paraId="67503F43">
            <w:pPr>
              <w:widowControl/>
              <w:adjustRightInd w:val="0"/>
              <w:snapToGrid w:val="0"/>
              <w:spacing w:line="360" w:lineRule="auto"/>
              <w:rPr>
                <w:kern w:val="0"/>
                <w:sz w:val="24"/>
                <w:szCs w:val="24"/>
              </w:rPr>
            </w:pPr>
            <w:r>
              <w:rPr>
                <w:kern w:val="0"/>
                <w:sz w:val="24"/>
                <w:szCs w:val="24"/>
              </w:rPr>
              <w:t>未提供重点难点理解或应对解决方案或不满足</w:t>
            </w:r>
            <w:r>
              <w:rPr>
                <w:rFonts w:hint="eastAsia"/>
                <w:kern w:val="0"/>
                <w:sz w:val="24"/>
                <w:szCs w:val="24"/>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59ED75EB">
            <w:pPr>
              <w:widowControl/>
              <w:adjustRightInd w:val="0"/>
              <w:snapToGrid w:val="0"/>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16" w:type="dxa"/>
            <w:shd w:val="clear" w:color="auto" w:fill="auto"/>
            <w:vAlign w:val="center"/>
          </w:tcPr>
          <w:p w14:paraId="0260DF61">
            <w:pPr>
              <w:widowControl/>
              <w:adjustRightInd w:val="0"/>
              <w:snapToGrid w:val="0"/>
              <w:spacing w:line="360" w:lineRule="auto"/>
              <w:jc w:val="center"/>
              <w:rPr>
                <w:color w:val="000000"/>
                <w:kern w:val="0"/>
                <w:sz w:val="24"/>
                <w:szCs w:val="24"/>
              </w:rPr>
            </w:pPr>
            <w:r>
              <w:rPr>
                <w:rFonts w:hint="eastAsia"/>
                <w:color w:val="000000"/>
                <w:kern w:val="0"/>
                <w:sz w:val="24"/>
                <w:szCs w:val="24"/>
              </w:rPr>
              <w:t>6</w:t>
            </w:r>
          </w:p>
        </w:tc>
      </w:tr>
      <w:tr w14:paraId="0920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E34C1F3">
            <w:pPr>
              <w:widowControl/>
              <w:adjustRightInd w:val="0"/>
              <w:snapToGrid w:val="0"/>
              <w:spacing w:line="360" w:lineRule="auto"/>
              <w:jc w:val="center"/>
              <w:rPr>
                <w:color w:val="000000"/>
                <w:kern w:val="0"/>
                <w:sz w:val="24"/>
                <w:szCs w:val="24"/>
              </w:rPr>
            </w:pPr>
            <w:r>
              <w:rPr>
                <w:color w:val="000000"/>
                <w:kern w:val="0"/>
                <w:sz w:val="24"/>
                <w:szCs w:val="24"/>
              </w:rPr>
              <w:t>4</w:t>
            </w:r>
          </w:p>
        </w:tc>
        <w:tc>
          <w:tcPr>
            <w:tcW w:w="1419" w:type="dxa"/>
            <w:shd w:val="clear" w:color="auto" w:fill="auto"/>
            <w:vAlign w:val="center"/>
          </w:tcPr>
          <w:p w14:paraId="1A4FC16F">
            <w:pPr>
              <w:widowControl/>
              <w:adjustRightInd w:val="0"/>
              <w:snapToGrid w:val="0"/>
              <w:spacing w:line="360" w:lineRule="auto"/>
              <w:jc w:val="center"/>
              <w:rPr>
                <w:kern w:val="0"/>
                <w:sz w:val="24"/>
                <w:szCs w:val="24"/>
              </w:rPr>
            </w:pPr>
            <w:r>
              <w:rPr>
                <w:rFonts w:hint="eastAsia"/>
                <w:kern w:val="0"/>
                <w:sz w:val="24"/>
                <w:szCs w:val="24"/>
              </w:rPr>
              <w:t>进驻和接管方案评价</w:t>
            </w:r>
          </w:p>
        </w:tc>
        <w:tc>
          <w:tcPr>
            <w:tcW w:w="7538" w:type="dxa"/>
            <w:shd w:val="clear" w:color="auto" w:fill="auto"/>
            <w:vAlign w:val="center"/>
          </w:tcPr>
          <w:p w14:paraId="069B012F">
            <w:pPr>
              <w:widowControl/>
              <w:adjustRightInd w:val="0"/>
              <w:snapToGrid w:val="0"/>
              <w:spacing w:line="360" w:lineRule="auto"/>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34B42961">
            <w:pPr>
              <w:widowControl/>
              <w:adjustRightInd w:val="0"/>
              <w:snapToGrid w:val="0"/>
              <w:spacing w:line="360" w:lineRule="auto"/>
              <w:rPr>
                <w:kern w:val="0"/>
                <w:sz w:val="24"/>
                <w:szCs w:val="24"/>
              </w:rPr>
            </w:pPr>
            <w:r>
              <w:rPr>
                <w:rFonts w:hint="eastAsia"/>
                <w:kern w:val="0"/>
                <w:sz w:val="24"/>
                <w:szCs w:val="24"/>
              </w:rPr>
              <w:t>满足项目需求书</w:t>
            </w:r>
            <w:r>
              <w:rPr>
                <w:kern w:val="0"/>
                <w:sz w:val="24"/>
                <w:szCs w:val="24"/>
              </w:rPr>
              <w:t>要求，无瑕疵：3分；</w:t>
            </w:r>
          </w:p>
          <w:p w14:paraId="4B725B57">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2FD89FBC">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3024E61C">
            <w:pPr>
              <w:widowControl/>
              <w:adjustRightInd w:val="0"/>
              <w:snapToGrid w:val="0"/>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0013A980">
            <w:pPr>
              <w:widowControl/>
              <w:adjustRightInd w:val="0"/>
              <w:snapToGrid w:val="0"/>
              <w:spacing w:line="360" w:lineRule="auto"/>
              <w:rPr>
                <w:color w:val="000000" w:themeColor="text1"/>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16" w:type="dxa"/>
            <w:shd w:val="clear" w:color="auto" w:fill="auto"/>
            <w:vAlign w:val="center"/>
          </w:tcPr>
          <w:p w14:paraId="0237221B">
            <w:pPr>
              <w:widowControl/>
              <w:adjustRightInd w:val="0"/>
              <w:snapToGrid w:val="0"/>
              <w:spacing w:line="360" w:lineRule="auto"/>
              <w:jc w:val="center"/>
              <w:rPr>
                <w:color w:val="000000"/>
                <w:kern w:val="0"/>
                <w:sz w:val="24"/>
                <w:szCs w:val="24"/>
              </w:rPr>
            </w:pPr>
            <w:r>
              <w:rPr>
                <w:rFonts w:hint="eastAsia"/>
                <w:color w:val="000000"/>
                <w:kern w:val="0"/>
                <w:sz w:val="24"/>
                <w:szCs w:val="24"/>
              </w:rPr>
              <w:t>3</w:t>
            </w:r>
          </w:p>
        </w:tc>
      </w:tr>
      <w:tr w14:paraId="69FF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E35D81A">
            <w:pPr>
              <w:widowControl/>
              <w:adjustRightInd w:val="0"/>
              <w:snapToGrid w:val="0"/>
              <w:spacing w:line="360" w:lineRule="auto"/>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14:paraId="100CE9F9">
            <w:pPr>
              <w:widowControl/>
              <w:adjustRightInd w:val="0"/>
              <w:snapToGrid w:val="0"/>
              <w:spacing w:line="360" w:lineRule="auto"/>
              <w:jc w:val="center"/>
              <w:rPr>
                <w:kern w:val="0"/>
                <w:sz w:val="24"/>
                <w:szCs w:val="24"/>
              </w:rPr>
            </w:pPr>
            <w:r>
              <w:rPr>
                <w:rFonts w:hint="eastAsia"/>
                <w:kern w:val="0"/>
                <w:sz w:val="24"/>
                <w:szCs w:val="24"/>
              </w:rPr>
              <w:t>应急预案评价</w:t>
            </w:r>
          </w:p>
        </w:tc>
        <w:tc>
          <w:tcPr>
            <w:tcW w:w="7538" w:type="dxa"/>
            <w:shd w:val="clear" w:color="auto" w:fill="auto"/>
            <w:vAlign w:val="center"/>
          </w:tcPr>
          <w:p w14:paraId="54FB6028">
            <w:pPr>
              <w:widowControl/>
              <w:adjustRightInd w:val="0"/>
              <w:snapToGrid w:val="0"/>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0CD6F31E">
            <w:pPr>
              <w:widowControl/>
              <w:adjustRightInd w:val="0"/>
              <w:snapToGrid w:val="0"/>
              <w:spacing w:line="360" w:lineRule="auto"/>
              <w:rPr>
                <w:kern w:val="0"/>
                <w:sz w:val="24"/>
                <w:szCs w:val="24"/>
              </w:rPr>
            </w:pPr>
            <w:r>
              <w:rPr>
                <w:rFonts w:hint="eastAsia"/>
                <w:kern w:val="0"/>
                <w:sz w:val="24"/>
                <w:szCs w:val="24"/>
              </w:rPr>
              <w:t>满足项目需求书</w:t>
            </w:r>
            <w:r>
              <w:rPr>
                <w:kern w:val="0"/>
                <w:sz w:val="24"/>
                <w:szCs w:val="24"/>
              </w:rPr>
              <w:t>要求，无瑕疵：3分；</w:t>
            </w:r>
          </w:p>
          <w:p w14:paraId="20F39099">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687131CA">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5F4EFF48">
            <w:pPr>
              <w:widowControl/>
              <w:adjustRightInd w:val="0"/>
              <w:snapToGrid w:val="0"/>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6B7ECE4A">
            <w:pPr>
              <w:widowControl/>
              <w:adjustRightInd w:val="0"/>
              <w:snapToGrid w:val="0"/>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16" w:type="dxa"/>
            <w:shd w:val="clear" w:color="auto" w:fill="auto"/>
            <w:vAlign w:val="center"/>
          </w:tcPr>
          <w:p w14:paraId="532076FC">
            <w:pPr>
              <w:widowControl/>
              <w:adjustRightInd w:val="0"/>
              <w:snapToGrid w:val="0"/>
              <w:spacing w:line="360" w:lineRule="auto"/>
              <w:jc w:val="center"/>
              <w:rPr>
                <w:color w:val="000000"/>
                <w:kern w:val="0"/>
                <w:sz w:val="24"/>
                <w:szCs w:val="24"/>
              </w:rPr>
            </w:pPr>
            <w:r>
              <w:rPr>
                <w:rFonts w:hint="eastAsia"/>
                <w:color w:val="000000"/>
                <w:kern w:val="0"/>
                <w:sz w:val="24"/>
                <w:szCs w:val="24"/>
              </w:rPr>
              <w:t>3</w:t>
            </w:r>
          </w:p>
        </w:tc>
      </w:tr>
      <w:tr w14:paraId="62C7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3A23AFF">
            <w:pPr>
              <w:widowControl/>
              <w:adjustRightInd w:val="0"/>
              <w:snapToGrid w:val="0"/>
              <w:spacing w:line="360" w:lineRule="auto"/>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14:paraId="1311C465">
            <w:pPr>
              <w:widowControl/>
              <w:adjustRightInd w:val="0"/>
              <w:snapToGrid w:val="0"/>
              <w:spacing w:line="360" w:lineRule="auto"/>
              <w:jc w:val="center"/>
              <w:rPr>
                <w:kern w:val="0"/>
                <w:sz w:val="24"/>
                <w:szCs w:val="24"/>
              </w:rPr>
            </w:pPr>
            <w:r>
              <w:rPr>
                <w:rFonts w:hint="eastAsia"/>
                <w:color w:val="000000" w:themeColor="text1"/>
                <w:sz w:val="24"/>
              </w:rPr>
              <w:t>人员保密管理方案评价</w:t>
            </w:r>
          </w:p>
        </w:tc>
        <w:tc>
          <w:tcPr>
            <w:tcW w:w="7538" w:type="dxa"/>
            <w:shd w:val="clear" w:color="auto" w:fill="auto"/>
            <w:vAlign w:val="center"/>
          </w:tcPr>
          <w:p w14:paraId="647483EE">
            <w:pPr>
              <w:widowControl/>
              <w:adjustRightInd w:val="0"/>
              <w:snapToGrid w:val="0"/>
              <w:spacing w:line="360" w:lineRule="auto"/>
              <w:rPr>
                <w:color w:val="000000" w:themeColor="text1"/>
                <w:sz w:val="24"/>
              </w:rPr>
            </w:pPr>
            <w:r>
              <w:rPr>
                <w:rFonts w:hint="eastAsia"/>
                <w:color w:val="000000" w:themeColor="text1"/>
                <w:sz w:val="24"/>
              </w:rPr>
              <w:t>至少包含保证服务过程中有可能获取的保密信息不泄露的措施：制定保密制度、服务人员保密培训、重点岗位双人服务、泄密惩罚办法。</w:t>
            </w:r>
          </w:p>
          <w:p w14:paraId="471FF50D">
            <w:pPr>
              <w:widowControl/>
              <w:adjustRightInd w:val="0"/>
              <w:snapToGrid w:val="0"/>
              <w:spacing w:line="360" w:lineRule="auto"/>
              <w:rPr>
                <w:kern w:val="0"/>
                <w:sz w:val="24"/>
                <w:szCs w:val="24"/>
              </w:rPr>
            </w:pPr>
            <w:r>
              <w:rPr>
                <w:rFonts w:hint="eastAsia"/>
                <w:kern w:val="0"/>
                <w:sz w:val="24"/>
                <w:szCs w:val="24"/>
              </w:rPr>
              <w:t>满足项目需求书</w:t>
            </w:r>
            <w:r>
              <w:rPr>
                <w:kern w:val="0"/>
                <w:sz w:val="24"/>
                <w:szCs w:val="24"/>
              </w:rPr>
              <w:t>要求，无瑕疵：3分；</w:t>
            </w:r>
          </w:p>
          <w:p w14:paraId="2DEB54CB">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4EECF067">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0308501C">
            <w:pPr>
              <w:widowControl/>
              <w:adjustRightInd w:val="0"/>
              <w:snapToGrid w:val="0"/>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099D2406">
            <w:pPr>
              <w:widowControl/>
              <w:adjustRightInd w:val="0"/>
              <w:snapToGrid w:val="0"/>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16" w:type="dxa"/>
            <w:shd w:val="clear" w:color="auto" w:fill="auto"/>
            <w:vAlign w:val="center"/>
          </w:tcPr>
          <w:p w14:paraId="5AB70302">
            <w:pPr>
              <w:widowControl/>
              <w:adjustRightInd w:val="0"/>
              <w:snapToGrid w:val="0"/>
              <w:spacing w:line="360" w:lineRule="auto"/>
              <w:jc w:val="center"/>
              <w:rPr>
                <w:color w:val="000000"/>
                <w:kern w:val="0"/>
                <w:sz w:val="24"/>
                <w:szCs w:val="24"/>
              </w:rPr>
            </w:pPr>
            <w:r>
              <w:rPr>
                <w:rFonts w:hint="eastAsia"/>
                <w:color w:val="000000"/>
                <w:kern w:val="0"/>
                <w:sz w:val="24"/>
                <w:szCs w:val="24"/>
              </w:rPr>
              <w:t>3</w:t>
            </w:r>
          </w:p>
        </w:tc>
      </w:tr>
      <w:tr w14:paraId="42BA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107CE94B">
            <w:pPr>
              <w:widowControl/>
              <w:adjustRightInd w:val="0"/>
              <w:snapToGrid w:val="0"/>
              <w:spacing w:line="360" w:lineRule="auto"/>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14:paraId="49273F3C">
            <w:pPr>
              <w:widowControl/>
              <w:adjustRightInd w:val="0"/>
              <w:snapToGrid w:val="0"/>
              <w:spacing w:line="360" w:lineRule="auto"/>
              <w:jc w:val="center"/>
              <w:rPr>
                <w:kern w:val="0"/>
                <w:sz w:val="24"/>
                <w:szCs w:val="24"/>
              </w:rPr>
            </w:pPr>
            <w:r>
              <w:rPr>
                <w:rFonts w:hint="eastAsia"/>
                <w:color w:val="000000" w:themeColor="text1"/>
                <w:sz w:val="24"/>
              </w:rPr>
              <w:t>人员稳定性方案评价</w:t>
            </w:r>
          </w:p>
        </w:tc>
        <w:tc>
          <w:tcPr>
            <w:tcW w:w="7538" w:type="dxa"/>
            <w:shd w:val="clear" w:color="auto" w:fill="auto"/>
            <w:vAlign w:val="center"/>
          </w:tcPr>
          <w:p w14:paraId="10BCD044">
            <w:pPr>
              <w:widowControl/>
              <w:adjustRightInd w:val="0"/>
              <w:snapToGrid w:val="0"/>
              <w:spacing w:line="360" w:lineRule="auto"/>
              <w:rPr>
                <w:color w:val="000000" w:themeColor="text1"/>
                <w:sz w:val="24"/>
              </w:rPr>
            </w:pPr>
            <w:r>
              <w:rPr>
                <w:rFonts w:hint="eastAsia"/>
                <w:color w:val="000000" w:themeColor="text1"/>
                <w:sz w:val="24"/>
              </w:rPr>
              <w:t>至少包含服务期内保证人员更换率不得超过项目需求书要求的措施，保证更换人员不得低于采购需求，且应经采购人同意的措施</w:t>
            </w:r>
          </w:p>
          <w:p w14:paraId="25D5E0D1">
            <w:pPr>
              <w:widowControl/>
              <w:adjustRightInd w:val="0"/>
              <w:snapToGrid w:val="0"/>
              <w:spacing w:line="360" w:lineRule="auto"/>
              <w:rPr>
                <w:kern w:val="0"/>
                <w:sz w:val="24"/>
                <w:szCs w:val="24"/>
              </w:rPr>
            </w:pPr>
            <w:r>
              <w:rPr>
                <w:rFonts w:hint="eastAsia"/>
                <w:kern w:val="0"/>
                <w:sz w:val="24"/>
                <w:szCs w:val="24"/>
              </w:rPr>
              <w:t>满足项目需求书</w:t>
            </w:r>
            <w:r>
              <w:rPr>
                <w:kern w:val="0"/>
                <w:sz w:val="24"/>
                <w:szCs w:val="24"/>
              </w:rPr>
              <w:t>要求，无瑕疵：3分；</w:t>
            </w:r>
          </w:p>
          <w:p w14:paraId="014C9F58">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46AC196D">
            <w:pPr>
              <w:widowControl/>
              <w:adjustRightInd w:val="0"/>
              <w:snapToGrid w:val="0"/>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68B5EBF9">
            <w:pPr>
              <w:widowControl/>
              <w:adjustRightInd w:val="0"/>
              <w:snapToGrid w:val="0"/>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3处及以上瑕疵</w:t>
            </w:r>
            <w:r>
              <w:rPr>
                <w:kern w:val="0"/>
                <w:sz w:val="24"/>
                <w:szCs w:val="24"/>
              </w:rPr>
              <w:t>：0分；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16" w:type="dxa"/>
            <w:shd w:val="clear" w:color="auto" w:fill="auto"/>
            <w:vAlign w:val="center"/>
          </w:tcPr>
          <w:p w14:paraId="0C157CB7">
            <w:pPr>
              <w:widowControl/>
              <w:adjustRightInd w:val="0"/>
              <w:snapToGrid w:val="0"/>
              <w:spacing w:line="360" w:lineRule="auto"/>
              <w:jc w:val="center"/>
              <w:rPr>
                <w:color w:val="000000"/>
                <w:kern w:val="0"/>
                <w:sz w:val="24"/>
                <w:szCs w:val="24"/>
              </w:rPr>
            </w:pPr>
            <w:r>
              <w:rPr>
                <w:color w:val="000000"/>
                <w:kern w:val="0"/>
                <w:sz w:val="24"/>
                <w:szCs w:val="24"/>
              </w:rPr>
              <w:t>3</w:t>
            </w:r>
          </w:p>
        </w:tc>
      </w:tr>
      <w:tr w14:paraId="6825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3B026C50">
            <w:pPr>
              <w:widowControl/>
              <w:adjustRightInd w:val="0"/>
              <w:snapToGrid w:val="0"/>
              <w:spacing w:line="360" w:lineRule="auto"/>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14:paraId="5C0F1C52">
            <w:pPr>
              <w:widowControl/>
              <w:adjustRightInd w:val="0"/>
              <w:snapToGrid w:val="0"/>
              <w:spacing w:line="360" w:lineRule="auto"/>
              <w:jc w:val="center"/>
              <w:rPr>
                <w:sz w:val="24"/>
              </w:rPr>
            </w:pPr>
            <w:r>
              <w:rPr>
                <w:rFonts w:hint="eastAsia"/>
                <w:sz w:val="24"/>
              </w:rPr>
              <w:t>价格测算方案评价</w:t>
            </w:r>
          </w:p>
        </w:tc>
        <w:tc>
          <w:tcPr>
            <w:tcW w:w="7538" w:type="dxa"/>
            <w:shd w:val="clear" w:color="auto" w:fill="auto"/>
            <w:vAlign w:val="center"/>
          </w:tcPr>
          <w:p w14:paraId="242AA8B6">
            <w:pPr>
              <w:widowControl/>
              <w:adjustRightInd w:val="0"/>
              <w:snapToGrid w:val="0"/>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0798730D">
            <w:pPr>
              <w:widowControl/>
              <w:adjustRightInd w:val="0"/>
              <w:snapToGrid w:val="0"/>
              <w:spacing w:line="360" w:lineRule="auto"/>
              <w:rPr>
                <w:sz w:val="24"/>
              </w:rPr>
            </w:pPr>
            <w:r>
              <w:rPr>
                <w:rFonts w:hint="eastAsia"/>
                <w:sz w:val="24"/>
              </w:rPr>
              <w:t>价格测算方案科学合理，无瑕疵：3分；</w:t>
            </w:r>
          </w:p>
          <w:p w14:paraId="06F40B50">
            <w:pPr>
              <w:widowControl/>
              <w:adjustRightInd w:val="0"/>
              <w:snapToGrid w:val="0"/>
              <w:spacing w:line="360" w:lineRule="auto"/>
              <w:rPr>
                <w:sz w:val="24"/>
              </w:rPr>
            </w:pPr>
            <w:r>
              <w:rPr>
                <w:rFonts w:hint="eastAsia"/>
                <w:sz w:val="24"/>
              </w:rPr>
              <w:t>内容存在1处瑕疵：2分；</w:t>
            </w:r>
          </w:p>
          <w:p w14:paraId="10192E5F">
            <w:pPr>
              <w:widowControl/>
              <w:adjustRightInd w:val="0"/>
              <w:snapToGrid w:val="0"/>
              <w:spacing w:line="360" w:lineRule="auto"/>
              <w:rPr>
                <w:sz w:val="24"/>
              </w:rPr>
            </w:pPr>
            <w:r>
              <w:rPr>
                <w:rFonts w:hint="eastAsia"/>
                <w:sz w:val="24"/>
              </w:rPr>
              <w:t>内容存在2处瑕疵：1分；</w:t>
            </w:r>
          </w:p>
          <w:p w14:paraId="18A1D81B">
            <w:pPr>
              <w:widowControl/>
              <w:adjustRightInd w:val="0"/>
              <w:snapToGrid w:val="0"/>
              <w:spacing w:line="360" w:lineRule="auto"/>
              <w:rPr>
                <w:sz w:val="24"/>
              </w:rPr>
            </w:pPr>
            <w:r>
              <w:rPr>
                <w:rFonts w:hint="eastAsia"/>
                <w:sz w:val="24"/>
              </w:rPr>
              <w:t>未提供测算方案或方案存在3处及以上瑕疵或社会保险、住房公积金应缴未缴的：0分。</w:t>
            </w:r>
          </w:p>
          <w:p w14:paraId="101BCC7E">
            <w:pPr>
              <w:widowControl/>
              <w:adjustRightInd w:val="0"/>
              <w:snapToGrid w:val="0"/>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916" w:type="dxa"/>
            <w:shd w:val="clear" w:color="auto" w:fill="auto"/>
            <w:vAlign w:val="center"/>
          </w:tcPr>
          <w:p w14:paraId="32F8314C">
            <w:pPr>
              <w:widowControl/>
              <w:adjustRightInd w:val="0"/>
              <w:snapToGrid w:val="0"/>
              <w:spacing w:line="360" w:lineRule="auto"/>
              <w:jc w:val="center"/>
              <w:rPr>
                <w:color w:val="000000"/>
                <w:kern w:val="0"/>
                <w:sz w:val="24"/>
                <w:szCs w:val="24"/>
              </w:rPr>
            </w:pPr>
            <w:r>
              <w:rPr>
                <w:rFonts w:hint="eastAsia"/>
                <w:color w:val="000000"/>
                <w:kern w:val="0"/>
                <w:sz w:val="24"/>
                <w:szCs w:val="24"/>
              </w:rPr>
              <w:t>3</w:t>
            </w:r>
          </w:p>
        </w:tc>
      </w:tr>
      <w:tr w14:paraId="15CD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620" w:type="dxa"/>
            <w:gridSpan w:val="3"/>
            <w:shd w:val="clear" w:color="auto" w:fill="auto"/>
            <w:noWrap/>
            <w:vAlign w:val="center"/>
          </w:tcPr>
          <w:p w14:paraId="3D5D78A8">
            <w:pPr>
              <w:widowControl/>
              <w:adjustRightInd w:val="0"/>
              <w:snapToGrid w:val="0"/>
              <w:spacing w:line="360" w:lineRule="auto"/>
              <w:jc w:val="center"/>
              <w:rPr>
                <w:color w:val="000000" w:themeColor="text1"/>
                <w:sz w:val="24"/>
              </w:rPr>
            </w:pPr>
            <w:r>
              <w:rPr>
                <w:color w:val="000000" w:themeColor="text1"/>
                <w:sz w:val="24"/>
              </w:rPr>
              <w:t>合计</w:t>
            </w:r>
          </w:p>
        </w:tc>
        <w:tc>
          <w:tcPr>
            <w:tcW w:w="916" w:type="dxa"/>
            <w:shd w:val="clear" w:color="auto" w:fill="auto"/>
            <w:vAlign w:val="center"/>
          </w:tcPr>
          <w:p w14:paraId="5DFA1409">
            <w:pPr>
              <w:widowControl/>
              <w:adjustRightInd w:val="0"/>
              <w:snapToGrid w:val="0"/>
              <w:spacing w:line="360" w:lineRule="auto"/>
              <w:jc w:val="center"/>
              <w:rPr>
                <w:color w:val="000000"/>
                <w:kern w:val="0"/>
                <w:sz w:val="24"/>
                <w:szCs w:val="24"/>
              </w:rPr>
            </w:pPr>
            <w:r>
              <w:rPr>
                <w:color w:val="000000"/>
                <w:kern w:val="0"/>
                <w:sz w:val="24"/>
                <w:szCs w:val="24"/>
              </w:rPr>
              <w:t>100</w:t>
            </w:r>
          </w:p>
        </w:tc>
      </w:tr>
    </w:tbl>
    <w:p w14:paraId="56008AD0">
      <w:pPr>
        <w:spacing w:line="360" w:lineRule="auto"/>
        <w:rPr>
          <w:rFonts w:ascii="Times New Roman" w:hAnsi="Times New Roman" w:cs="Times New Roman"/>
          <w:b/>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
    <w:altName w:val="Arial"/>
    <w:panose1 w:val="00000000000000000000"/>
    <w:charset w:val="00"/>
    <w:family w:val="auto"/>
    <w:pitch w:val="default"/>
    <w:sig w:usb0="00000000" w:usb1="00000000" w:usb2="00000000" w:usb3="00000000" w:csb0="0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1023835"/>
    </w:sdtPr>
    <w:sdtContent>
      <w:p w14:paraId="05AD4FD9">
        <w:pPr>
          <w:pStyle w:val="3"/>
          <w:jc w:val="center"/>
        </w:pPr>
        <w:r>
          <w:fldChar w:fldCharType="begin"/>
        </w:r>
        <w:r>
          <w:instrText xml:space="preserve">PAGE   \* MERGEFORMAT</w:instrText>
        </w:r>
        <w:r>
          <w:fldChar w:fldCharType="separate"/>
        </w:r>
        <w:r>
          <w:rPr>
            <w:lang w:val="zh-CN"/>
          </w:rPr>
          <w:t>2</w:t>
        </w:r>
        <w:r>
          <w:fldChar w:fldCharType="end"/>
        </w:r>
      </w:p>
    </w:sdtContent>
  </w:sdt>
  <w:p w14:paraId="6791D286">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900547"/>
    <w:multiLevelType w:val="multilevel"/>
    <w:tmpl w:val="48900547"/>
    <w:lvl w:ilvl="0" w:tentative="0">
      <w:start w:val="1"/>
      <w:numFmt w:val="none"/>
      <w:lvlText w:val="一、"/>
      <w:lvlJc w:val="left"/>
      <w:pPr>
        <w:ind w:left="905"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C7180"/>
    <w:rsid w:val="00005AF9"/>
    <w:rsid w:val="0000760C"/>
    <w:rsid w:val="00007943"/>
    <w:rsid w:val="0001154C"/>
    <w:rsid w:val="00014E2F"/>
    <w:rsid w:val="00015878"/>
    <w:rsid w:val="00016F98"/>
    <w:rsid w:val="0003276A"/>
    <w:rsid w:val="0003379E"/>
    <w:rsid w:val="000378B2"/>
    <w:rsid w:val="00041F8F"/>
    <w:rsid w:val="00044AC7"/>
    <w:rsid w:val="0004720F"/>
    <w:rsid w:val="00051078"/>
    <w:rsid w:val="00051CCD"/>
    <w:rsid w:val="00056A21"/>
    <w:rsid w:val="000767F8"/>
    <w:rsid w:val="00085B00"/>
    <w:rsid w:val="000B04E8"/>
    <w:rsid w:val="000B299E"/>
    <w:rsid w:val="000B79A9"/>
    <w:rsid w:val="000C3CED"/>
    <w:rsid w:val="000C3FC9"/>
    <w:rsid w:val="000D0AB5"/>
    <w:rsid w:val="000D11E6"/>
    <w:rsid w:val="000D4A9C"/>
    <w:rsid w:val="000E11C4"/>
    <w:rsid w:val="000E24F5"/>
    <w:rsid w:val="000E3C50"/>
    <w:rsid w:val="000E484C"/>
    <w:rsid w:val="000E6D77"/>
    <w:rsid w:val="000F0B61"/>
    <w:rsid w:val="00122751"/>
    <w:rsid w:val="00123384"/>
    <w:rsid w:val="00132E24"/>
    <w:rsid w:val="00141664"/>
    <w:rsid w:val="0015324F"/>
    <w:rsid w:val="0015712D"/>
    <w:rsid w:val="0016472D"/>
    <w:rsid w:val="001678B0"/>
    <w:rsid w:val="001748A7"/>
    <w:rsid w:val="001902B6"/>
    <w:rsid w:val="00193BCD"/>
    <w:rsid w:val="00197190"/>
    <w:rsid w:val="001A5C56"/>
    <w:rsid w:val="001B1C4F"/>
    <w:rsid w:val="001B4E6F"/>
    <w:rsid w:val="001C0D26"/>
    <w:rsid w:val="001C5253"/>
    <w:rsid w:val="001D2ED7"/>
    <w:rsid w:val="001D357E"/>
    <w:rsid w:val="001E070E"/>
    <w:rsid w:val="001F403B"/>
    <w:rsid w:val="00210AA6"/>
    <w:rsid w:val="002247AE"/>
    <w:rsid w:val="002274D7"/>
    <w:rsid w:val="00227E53"/>
    <w:rsid w:val="0024212B"/>
    <w:rsid w:val="00263E55"/>
    <w:rsid w:val="00265F10"/>
    <w:rsid w:val="0026774D"/>
    <w:rsid w:val="002864A5"/>
    <w:rsid w:val="002968A5"/>
    <w:rsid w:val="002B082F"/>
    <w:rsid w:val="002B0930"/>
    <w:rsid w:val="002B1941"/>
    <w:rsid w:val="002B3A6A"/>
    <w:rsid w:val="002B5F70"/>
    <w:rsid w:val="002C16D2"/>
    <w:rsid w:val="002C7467"/>
    <w:rsid w:val="002D0E8F"/>
    <w:rsid w:val="002D5995"/>
    <w:rsid w:val="002E03C9"/>
    <w:rsid w:val="002F02D8"/>
    <w:rsid w:val="002F2B9D"/>
    <w:rsid w:val="00301469"/>
    <w:rsid w:val="00312673"/>
    <w:rsid w:val="00317684"/>
    <w:rsid w:val="00326CB2"/>
    <w:rsid w:val="00335529"/>
    <w:rsid w:val="00345DEB"/>
    <w:rsid w:val="003561B3"/>
    <w:rsid w:val="00360C1B"/>
    <w:rsid w:val="00365E21"/>
    <w:rsid w:val="00380063"/>
    <w:rsid w:val="0038326B"/>
    <w:rsid w:val="003878A9"/>
    <w:rsid w:val="00394B36"/>
    <w:rsid w:val="003B2268"/>
    <w:rsid w:val="003F0868"/>
    <w:rsid w:val="003F4F9B"/>
    <w:rsid w:val="003F5A6C"/>
    <w:rsid w:val="0041037D"/>
    <w:rsid w:val="00416AFE"/>
    <w:rsid w:val="00420103"/>
    <w:rsid w:val="004223BD"/>
    <w:rsid w:val="004231A4"/>
    <w:rsid w:val="004233E8"/>
    <w:rsid w:val="00423894"/>
    <w:rsid w:val="00430DE2"/>
    <w:rsid w:val="004500C9"/>
    <w:rsid w:val="00476843"/>
    <w:rsid w:val="00482210"/>
    <w:rsid w:val="00487896"/>
    <w:rsid w:val="004912F4"/>
    <w:rsid w:val="004A0EBB"/>
    <w:rsid w:val="004A1A73"/>
    <w:rsid w:val="004A7A47"/>
    <w:rsid w:val="004B4FD1"/>
    <w:rsid w:val="004B5CF6"/>
    <w:rsid w:val="004D78D6"/>
    <w:rsid w:val="004E1D47"/>
    <w:rsid w:val="004E6DEB"/>
    <w:rsid w:val="004F0614"/>
    <w:rsid w:val="00512BA4"/>
    <w:rsid w:val="0052479E"/>
    <w:rsid w:val="005253EF"/>
    <w:rsid w:val="00527C21"/>
    <w:rsid w:val="0053398E"/>
    <w:rsid w:val="00533E55"/>
    <w:rsid w:val="0054747A"/>
    <w:rsid w:val="00547D4D"/>
    <w:rsid w:val="00550616"/>
    <w:rsid w:val="0057368B"/>
    <w:rsid w:val="00573A0C"/>
    <w:rsid w:val="005815F8"/>
    <w:rsid w:val="0058568C"/>
    <w:rsid w:val="0059255C"/>
    <w:rsid w:val="005978F7"/>
    <w:rsid w:val="005A2D13"/>
    <w:rsid w:val="005C1E3D"/>
    <w:rsid w:val="005C25CF"/>
    <w:rsid w:val="005D1D4A"/>
    <w:rsid w:val="005D3852"/>
    <w:rsid w:val="005D497B"/>
    <w:rsid w:val="005F297C"/>
    <w:rsid w:val="00604020"/>
    <w:rsid w:val="00610AEA"/>
    <w:rsid w:val="00612E05"/>
    <w:rsid w:val="00613ECD"/>
    <w:rsid w:val="00615DB8"/>
    <w:rsid w:val="00617FCC"/>
    <w:rsid w:val="00625F1C"/>
    <w:rsid w:val="00627562"/>
    <w:rsid w:val="00634CD9"/>
    <w:rsid w:val="00645D99"/>
    <w:rsid w:val="00652A1A"/>
    <w:rsid w:val="006534F9"/>
    <w:rsid w:val="00662743"/>
    <w:rsid w:val="00663D9B"/>
    <w:rsid w:val="0067106C"/>
    <w:rsid w:val="00674640"/>
    <w:rsid w:val="00674E64"/>
    <w:rsid w:val="006764CF"/>
    <w:rsid w:val="00676B90"/>
    <w:rsid w:val="00680E10"/>
    <w:rsid w:val="006836EF"/>
    <w:rsid w:val="00686BBC"/>
    <w:rsid w:val="006A1FE2"/>
    <w:rsid w:val="006A3081"/>
    <w:rsid w:val="006A5855"/>
    <w:rsid w:val="006A7FA3"/>
    <w:rsid w:val="006B70DF"/>
    <w:rsid w:val="006C4270"/>
    <w:rsid w:val="006C4F76"/>
    <w:rsid w:val="006D2029"/>
    <w:rsid w:val="006E18B9"/>
    <w:rsid w:val="006E37AC"/>
    <w:rsid w:val="007033A5"/>
    <w:rsid w:val="0070676A"/>
    <w:rsid w:val="007075F9"/>
    <w:rsid w:val="00710D9C"/>
    <w:rsid w:val="00714622"/>
    <w:rsid w:val="0072157E"/>
    <w:rsid w:val="00721FB8"/>
    <w:rsid w:val="00730B05"/>
    <w:rsid w:val="00746A9A"/>
    <w:rsid w:val="00751C80"/>
    <w:rsid w:val="0075407C"/>
    <w:rsid w:val="007551DA"/>
    <w:rsid w:val="007602AD"/>
    <w:rsid w:val="00760CF1"/>
    <w:rsid w:val="0077182B"/>
    <w:rsid w:val="00782544"/>
    <w:rsid w:val="0079380C"/>
    <w:rsid w:val="0079432B"/>
    <w:rsid w:val="00796238"/>
    <w:rsid w:val="007966C0"/>
    <w:rsid w:val="007A5033"/>
    <w:rsid w:val="007A58EF"/>
    <w:rsid w:val="007A6E7A"/>
    <w:rsid w:val="007A7B78"/>
    <w:rsid w:val="007C388D"/>
    <w:rsid w:val="007C56AC"/>
    <w:rsid w:val="007C606E"/>
    <w:rsid w:val="007C675F"/>
    <w:rsid w:val="007D0938"/>
    <w:rsid w:val="007D1022"/>
    <w:rsid w:val="007D10D0"/>
    <w:rsid w:val="007D4B79"/>
    <w:rsid w:val="007D5363"/>
    <w:rsid w:val="007E1AD3"/>
    <w:rsid w:val="007E3AC2"/>
    <w:rsid w:val="007E42AB"/>
    <w:rsid w:val="007F0250"/>
    <w:rsid w:val="007F074C"/>
    <w:rsid w:val="008016EE"/>
    <w:rsid w:val="00811C74"/>
    <w:rsid w:val="00836B96"/>
    <w:rsid w:val="0085570C"/>
    <w:rsid w:val="00862638"/>
    <w:rsid w:val="00865C59"/>
    <w:rsid w:val="00875CD8"/>
    <w:rsid w:val="00883214"/>
    <w:rsid w:val="00887237"/>
    <w:rsid w:val="008901C0"/>
    <w:rsid w:val="008A1E8A"/>
    <w:rsid w:val="008A3B8A"/>
    <w:rsid w:val="008B0880"/>
    <w:rsid w:val="008B282C"/>
    <w:rsid w:val="008B541C"/>
    <w:rsid w:val="008B613E"/>
    <w:rsid w:val="008D1034"/>
    <w:rsid w:val="008D6B2D"/>
    <w:rsid w:val="008D79C9"/>
    <w:rsid w:val="008E1F93"/>
    <w:rsid w:val="008E247A"/>
    <w:rsid w:val="008F1094"/>
    <w:rsid w:val="009027B4"/>
    <w:rsid w:val="009111F6"/>
    <w:rsid w:val="0091492D"/>
    <w:rsid w:val="00930783"/>
    <w:rsid w:val="0094475E"/>
    <w:rsid w:val="00947EC9"/>
    <w:rsid w:val="00954A38"/>
    <w:rsid w:val="00962475"/>
    <w:rsid w:val="00977FB6"/>
    <w:rsid w:val="0098214B"/>
    <w:rsid w:val="00993F3C"/>
    <w:rsid w:val="00995C90"/>
    <w:rsid w:val="009B3625"/>
    <w:rsid w:val="009B66D0"/>
    <w:rsid w:val="009B6776"/>
    <w:rsid w:val="009C02C5"/>
    <w:rsid w:val="009C135E"/>
    <w:rsid w:val="009E0796"/>
    <w:rsid w:val="009E0E52"/>
    <w:rsid w:val="009E7D35"/>
    <w:rsid w:val="00A0674A"/>
    <w:rsid w:val="00A158E6"/>
    <w:rsid w:val="00A24248"/>
    <w:rsid w:val="00A2459A"/>
    <w:rsid w:val="00A31D33"/>
    <w:rsid w:val="00A560B2"/>
    <w:rsid w:val="00A560CB"/>
    <w:rsid w:val="00A56140"/>
    <w:rsid w:val="00A567D4"/>
    <w:rsid w:val="00A57FFC"/>
    <w:rsid w:val="00A60CFE"/>
    <w:rsid w:val="00A76CAF"/>
    <w:rsid w:val="00A85CE2"/>
    <w:rsid w:val="00A92B69"/>
    <w:rsid w:val="00A93B9B"/>
    <w:rsid w:val="00AA56EC"/>
    <w:rsid w:val="00AB748E"/>
    <w:rsid w:val="00AC4358"/>
    <w:rsid w:val="00B0010E"/>
    <w:rsid w:val="00B07FAC"/>
    <w:rsid w:val="00B249A5"/>
    <w:rsid w:val="00B2793E"/>
    <w:rsid w:val="00B30F32"/>
    <w:rsid w:val="00B31B1F"/>
    <w:rsid w:val="00B40D1C"/>
    <w:rsid w:val="00B52D0A"/>
    <w:rsid w:val="00B54577"/>
    <w:rsid w:val="00B56EC2"/>
    <w:rsid w:val="00B61999"/>
    <w:rsid w:val="00B73F77"/>
    <w:rsid w:val="00BA05DA"/>
    <w:rsid w:val="00BA4D83"/>
    <w:rsid w:val="00BC181D"/>
    <w:rsid w:val="00BC2BB4"/>
    <w:rsid w:val="00BC3509"/>
    <w:rsid w:val="00BC481E"/>
    <w:rsid w:val="00BD2FB3"/>
    <w:rsid w:val="00BD315F"/>
    <w:rsid w:val="00BD46FC"/>
    <w:rsid w:val="00BE0CD8"/>
    <w:rsid w:val="00BF4037"/>
    <w:rsid w:val="00C04DD4"/>
    <w:rsid w:val="00C12B2B"/>
    <w:rsid w:val="00C158AE"/>
    <w:rsid w:val="00C175A4"/>
    <w:rsid w:val="00C21C9F"/>
    <w:rsid w:val="00C23E6E"/>
    <w:rsid w:val="00C30424"/>
    <w:rsid w:val="00C323E1"/>
    <w:rsid w:val="00C44A85"/>
    <w:rsid w:val="00C44E6E"/>
    <w:rsid w:val="00C6183A"/>
    <w:rsid w:val="00C667E7"/>
    <w:rsid w:val="00C82D44"/>
    <w:rsid w:val="00C84835"/>
    <w:rsid w:val="00C960D2"/>
    <w:rsid w:val="00C975D7"/>
    <w:rsid w:val="00CC5448"/>
    <w:rsid w:val="00CC7180"/>
    <w:rsid w:val="00CD09E3"/>
    <w:rsid w:val="00CD57D6"/>
    <w:rsid w:val="00CD5840"/>
    <w:rsid w:val="00CE4078"/>
    <w:rsid w:val="00CE4DAC"/>
    <w:rsid w:val="00CE6E78"/>
    <w:rsid w:val="00CF0AA7"/>
    <w:rsid w:val="00CF51BD"/>
    <w:rsid w:val="00D00BFE"/>
    <w:rsid w:val="00D01E04"/>
    <w:rsid w:val="00D17BD1"/>
    <w:rsid w:val="00D26DDC"/>
    <w:rsid w:val="00D56790"/>
    <w:rsid w:val="00D57E7B"/>
    <w:rsid w:val="00D60121"/>
    <w:rsid w:val="00D621E3"/>
    <w:rsid w:val="00DA2DEE"/>
    <w:rsid w:val="00DA3B07"/>
    <w:rsid w:val="00DB37CF"/>
    <w:rsid w:val="00DC2440"/>
    <w:rsid w:val="00DC2CB1"/>
    <w:rsid w:val="00DD760D"/>
    <w:rsid w:val="00DF37E7"/>
    <w:rsid w:val="00DF5F77"/>
    <w:rsid w:val="00DF7D75"/>
    <w:rsid w:val="00E11C29"/>
    <w:rsid w:val="00E157A8"/>
    <w:rsid w:val="00E1733D"/>
    <w:rsid w:val="00E33574"/>
    <w:rsid w:val="00E37463"/>
    <w:rsid w:val="00E474C6"/>
    <w:rsid w:val="00E52652"/>
    <w:rsid w:val="00E569A8"/>
    <w:rsid w:val="00E619EC"/>
    <w:rsid w:val="00E62A68"/>
    <w:rsid w:val="00E67C04"/>
    <w:rsid w:val="00E73330"/>
    <w:rsid w:val="00E830FC"/>
    <w:rsid w:val="00E83A0E"/>
    <w:rsid w:val="00EA6AE5"/>
    <w:rsid w:val="00EB1CB6"/>
    <w:rsid w:val="00EB1F35"/>
    <w:rsid w:val="00EB7EA7"/>
    <w:rsid w:val="00EC23CE"/>
    <w:rsid w:val="00EC2C93"/>
    <w:rsid w:val="00EC6ED5"/>
    <w:rsid w:val="00EC7407"/>
    <w:rsid w:val="00ED37F7"/>
    <w:rsid w:val="00EE1DC2"/>
    <w:rsid w:val="00EE365F"/>
    <w:rsid w:val="00EF5154"/>
    <w:rsid w:val="00F013F2"/>
    <w:rsid w:val="00F05908"/>
    <w:rsid w:val="00F15C2D"/>
    <w:rsid w:val="00F30251"/>
    <w:rsid w:val="00F33DDF"/>
    <w:rsid w:val="00F5186B"/>
    <w:rsid w:val="00F60E3F"/>
    <w:rsid w:val="00F6101A"/>
    <w:rsid w:val="00F63EAD"/>
    <w:rsid w:val="00F66D70"/>
    <w:rsid w:val="00F722D5"/>
    <w:rsid w:val="00F7457E"/>
    <w:rsid w:val="00F82CC5"/>
    <w:rsid w:val="00FA1E9C"/>
    <w:rsid w:val="00FB6DC5"/>
    <w:rsid w:val="00FB7D49"/>
    <w:rsid w:val="00FC4344"/>
    <w:rsid w:val="00FC776B"/>
    <w:rsid w:val="00FD2929"/>
    <w:rsid w:val="00FD2AF1"/>
    <w:rsid w:val="00FD2BB6"/>
    <w:rsid w:val="00FD3C55"/>
    <w:rsid w:val="00FE2722"/>
    <w:rsid w:val="00FF4502"/>
    <w:rsid w:val="0F3D1342"/>
    <w:rsid w:val="2EEE0A3E"/>
    <w:rsid w:val="2EF83F4E"/>
    <w:rsid w:val="6645250B"/>
    <w:rsid w:val="6E541231"/>
    <w:rsid w:val="70307B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7"/>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rPr>
  </w:style>
  <w:style w:type="character" w:customStyle="1" w:styleId="10">
    <w:name w:val="标题 Char"/>
    <w:basedOn w:val="8"/>
    <w:link w:val="5"/>
    <w:qFormat/>
    <w:uiPriority w:val="10"/>
    <w:rPr>
      <w:rFonts w:eastAsia="宋体" w:asciiTheme="majorHAnsi" w:hAnsiTheme="majorHAnsi" w:cstheme="majorBidi"/>
      <w:b/>
      <w:bCs/>
      <w:sz w:val="32"/>
      <w:szCs w:val="32"/>
    </w:rPr>
  </w:style>
  <w:style w:type="character" w:customStyle="1" w:styleId="11">
    <w:name w:val="页眉 Char"/>
    <w:basedOn w:val="8"/>
    <w:link w:val="4"/>
    <w:qFormat/>
    <w:uiPriority w:val="99"/>
    <w:rPr>
      <w:sz w:val="18"/>
      <w:szCs w:val="18"/>
    </w:rPr>
  </w:style>
  <w:style w:type="character" w:customStyle="1" w:styleId="12">
    <w:name w:val="页脚 Char"/>
    <w:basedOn w:val="8"/>
    <w:link w:val="3"/>
    <w:qFormat/>
    <w:uiPriority w:val="99"/>
    <w:rPr>
      <w:sz w:val="18"/>
      <w:szCs w:val="18"/>
    </w:rPr>
  </w:style>
  <w:style w:type="paragraph" w:styleId="13">
    <w:name w:val="List Paragraph"/>
    <w:basedOn w:val="1"/>
    <w:link w:val="16"/>
    <w:qFormat/>
    <w:uiPriority w:val="34"/>
    <w:pPr>
      <w:ind w:firstLine="420" w:firstLineChars="200"/>
    </w:pPr>
  </w:style>
  <w:style w:type="paragraph" w:customStyle="1" w:styleId="14">
    <w:name w:val="Default"/>
    <w:link w:val="15"/>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15">
    <w:name w:val="Default Char"/>
    <w:link w:val="14"/>
    <w:qFormat/>
    <w:locked/>
    <w:uiPriority w:val="0"/>
    <w:rPr>
      <w:rFonts w:ascii="......." w:hAnsi="Calibri" w:eastAsia="......." w:cs="......."/>
      <w:color w:val="000000"/>
      <w:sz w:val="24"/>
      <w:szCs w:val="24"/>
    </w:rPr>
  </w:style>
  <w:style w:type="character" w:customStyle="1" w:styleId="16">
    <w:name w:val="列出段落 Char"/>
    <w:link w:val="13"/>
    <w:qFormat/>
    <w:uiPriority w:val="34"/>
    <w:rPr>
      <w:kern w:val="2"/>
      <w:sz w:val="21"/>
      <w:szCs w:val="22"/>
    </w:rPr>
  </w:style>
  <w:style w:type="character" w:customStyle="1" w:styleId="17">
    <w:name w:val="批注框文本 Char"/>
    <w:basedOn w:val="8"/>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916F2-24CD-4EF2-9617-7B835644F4CC}">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16</Pages>
  <Words>6792</Words>
  <Characters>6971</Characters>
  <Lines>81</Lines>
  <Paragraphs>22</Paragraphs>
  <TotalTime>120</TotalTime>
  <ScaleCrop>false</ScaleCrop>
  <LinksUpToDate>false</LinksUpToDate>
  <CharactersWithSpaces>7015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2021-06-11T03:24:00Z</dcterms:created>
  <dc:creator>未定义</dc:creator>
  <cp:lastModifiedBy>追着太阳跑</cp:lastModifiedBy>
  <cp:lastPrinted>2022-12-07T13:28:00Z</cp:lastPrinted>
  <dcterms:modified xsi:type="dcterms:W3CDTF">2026-02-04T08:27:54Z</dcterms:modified>
  <cp:revision>338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0A1FAF0DB7F4453ABA6739C14952A2E9</vt:lpwstr>
  </property>
  <property fmtid="{D5CDD505-2E9C-101B-9397-08002B2CF9AE}" pid="4" name="KSOTemplateDocerSaveRecord">
    <vt:lpwstr>eyJoZGlkIjoiYzM3MzA0MTJhY2NhZThkY2Q2NzFmNmNlNjRhNjYwMmIiLCJ1c2VySWQiOiI2NTM4NDc4NTcifQ==</vt:lpwstr>
  </property>
</Properties>
</file>