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2CADE9">
      <w:pPr>
        <w:jc w:val="center"/>
        <w:rPr>
          <w:rFonts w:hint="eastAsia" w:ascii="宋体" w:hAnsi="宋体" w:eastAsia="宋体" w:cs="宋体"/>
          <w:b/>
          <w:color w:val="auto"/>
          <w:sz w:val="44"/>
          <w:szCs w:val="44"/>
          <w:highlight w:val="none"/>
        </w:rPr>
      </w:pPr>
      <w:r>
        <w:rPr>
          <w:rFonts w:hint="eastAsia" w:ascii="宋体" w:hAnsi="宋体" w:cs="宋体"/>
          <w:b/>
          <w:color w:val="auto"/>
          <w:sz w:val="44"/>
          <w:szCs w:val="44"/>
          <w:highlight w:val="none"/>
          <w:lang w:eastAsia="zh-CN"/>
        </w:rPr>
        <w:t>消音室</w:t>
      </w:r>
      <w:r>
        <w:rPr>
          <w:rFonts w:hint="eastAsia" w:ascii="宋体" w:hAnsi="宋体" w:eastAsia="宋体" w:cs="宋体"/>
          <w:b/>
          <w:color w:val="auto"/>
          <w:sz w:val="44"/>
          <w:szCs w:val="44"/>
          <w:highlight w:val="none"/>
        </w:rPr>
        <w:t>项目用户需求书</w:t>
      </w:r>
    </w:p>
    <w:p w14:paraId="3D4CA0C4">
      <w:pPr>
        <w:jc w:val="center"/>
        <w:rPr>
          <w:rFonts w:hint="eastAsia" w:ascii="宋体" w:hAnsi="宋体" w:eastAsia="宋体" w:cs="宋体"/>
          <w:b/>
          <w:color w:val="auto"/>
          <w:sz w:val="44"/>
          <w:szCs w:val="44"/>
          <w:highlight w:val="none"/>
          <w:lang w:eastAsia="zh-CN"/>
        </w:rPr>
      </w:pPr>
      <w:r>
        <w:rPr>
          <w:rFonts w:hint="eastAsia" w:ascii="宋体" w:hAnsi="宋体" w:eastAsia="宋体" w:cs="宋体"/>
          <w:b/>
          <w:color w:val="auto"/>
          <w:sz w:val="44"/>
          <w:szCs w:val="44"/>
          <w:highlight w:val="none"/>
          <w:lang w:eastAsia="zh-CN"/>
        </w:rPr>
        <w:t>（</w:t>
      </w:r>
      <w:r>
        <w:rPr>
          <w:rFonts w:hint="eastAsia" w:ascii="宋体" w:hAnsi="宋体" w:eastAsia="宋体" w:cs="宋体"/>
          <w:b/>
          <w:color w:val="auto"/>
          <w:sz w:val="44"/>
          <w:szCs w:val="44"/>
          <w:highlight w:val="none"/>
          <w:lang w:val="en-US" w:eastAsia="zh-CN"/>
        </w:rPr>
        <w:t>建设方案</w:t>
      </w:r>
      <w:r>
        <w:rPr>
          <w:rFonts w:hint="eastAsia" w:ascii="宋体" w:hAnsi="宋体" w:eastAsia="宋体" w:cs="宋体"/>
          <w:b/>
          <w:color w:val="auto"/>
          <w:sz w:val="44"/>
          <w:szCs w:val="44"/>
          <w:highlight w:val="none"/>
          <w:lang w:eastAsia="zh-CN"/>
        </w:rPr>
        <w:t>）</w:t>
      </w:r>
    </w:p>
    <w:p w14:paraId="5062B8CD">
      <w:pPr>
        <w:spacing w:line="360" w:lineRule="auto"/>
        <w:ind w:firstLine="643" w:firstLineChars="200"/>
        <w:jc w:val="left"/>
        <w:rPr>
          <w:rFonts w:hint="eastAsia" w:ascii="宋体" w:hAnsi="宋体" w:eastAsia="宋体" w:cs="宋体"/>
          <w:b/>
          <w:color w:val="auto"/>
          <w:sz w:val="32"/>
          <w:szCs w:val="32"/>
          <w:highlight w:val="none"/>
        </w:rPr>
      </w:pPr>
    </w:p>
    <w:p w14:paraId="6EE928CD">
      <w:pPr>
        <w:keepNext w:val="0"/>
        <w:keepLines w:val="0"/>
        <w:pageBreakBefore w:val="0"/>
        <w:kinsoku/>
        <w:wordWrap/>
        <w:overflowPunct/>
        <w:topLinePunct w:val="0"/>
        <w:autoSpaceDN/>
        <w:bidi w:val="0"/>
        <w:spacing w:line="360" w:lineRule="auto"/>
        <w:ind w:firstLine="562" w:firstLineChars="200"/>
        <w:jc w:val="left"/>
        <w:textAlignment w:val="auto"/>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一、项目概况</w:t>
      </w:r>
    </w:p>
    <w:p w14:paraId="66CD5924">
      <w:pPr>
        <w:keepNext w:val="0"/>
        <w:keepLines w:val="0"/>
        <w:pageBreakBefore w:val="0"/>
        <w:kinsoku/>
        <w:wordWrap/>
        <w:overflowPunct/>
        <w:topLinePunct w:val="0"/>
        <w:autoSpaceDN/>
        <w:bidi w:val="0"/>
        <w:spacing w:line="360" w:lineRule="auto"/>
        <w:ind w:firstLine="560" w:firstLineChars="200"/>
        <w:jc w:val="left"/>
        <w:textAlignment w:val="auto"/>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本项目为</w:t>
      </w:r>
      <w:r>
        <w:rPr>
          <w:rFonts w:hint="eastAsia" w:ascii="宋体" w:hAnsi="宋体" w:eastAsia="宋体" w:cs="宋体"/>
          <w:color w:val="auto"/>
          <w:sz w:val="28"/>
          <w:szCs w:val="28"/>
          <w:highlight w:val="none"/>
          <w:lang w:eastAsia="zh-CN"/>
        </w:rPr>
        <w:t>消音室</w:t>
      </w:r>
      <w:r>
        <w:rPr>
          <w:rFonts w:hint="eastAsia" w:ascii="宋体" w:hAnsi="宋体" w:eastAsia="宋体" w:cs="宋体"/>
          <w:color w:val="auto"/>
          <w:sz w:val="28"/>
          <w:szCs w:val="28"/>
          <w:highlight w:val="none"/>
        </w:rPr>
        <w:t>采购项目。项目</w:t>
      </w:r>
      <w:r>
        <w:rPr>
          <w:rFonts w:hint="eastAsia" w:ascii="宋体" w:hAnsi="宋体" w:eastAsia="宋体" w:cs="宋体"/>
          <w:color w:val="auto"/>
          <w:sz w:val="28"/>
          <w:szCs w:val="28"/>
          <w:highlight w:val="none"/>
          <w:lang w:val="en-US" w:eastAsia="zh-CN"/>
        </w:rPr>
        <w:t>满足GB26851</w:t>
      </w:r>
      <w:r>
        <w:rPr>
          <w:rFonts w:hint="eastAsia" w:ascii="宋体" w:hAnsi="宋体" w:cs="宋体"/>
          <w:color w:val="auto"/>
          <w:sz w:val="28"/>
          <w:szCs w:val="28"/>
          <w:highlight w:val="none"/>
          <w:lang w:val="en-US" w:eastAsia="zh-CN"/>
        </w:rPr>
        <w:t>《</w:t>
      </w:r>
      <w:r>
        <w:rPr>
          <w:rFonts w:hint="eastAsia" w:ascii="宋体" w:hAnsi="宋体" w:eastAsia="宋体" w:cs="宋体"/>
          <w:color w:val="auto"/>
          <w:sz w:val="28"/>
          <w:szCs w:val="28"/>
          <w:highlight w:val="none"/>
          <w:lang w:val="en-US" w:eastAsia="zh-CN"/>
        </w:rPr>
        <w:t>火灾声和或光警报器</w:t>
      </w:r>
      <w:r>
        <w:rPr>
          <w:rFonts w:hint="eastAsia" w:ascii="宋体" w:hAnsi="宋体" w:cs="宋体"/>
          <w:color w:val="auto"/>
          <w:sz w:val="28"/>
          <w:szCs w:val="28"/>
          <w:highlight w:val="none"/>
          <w:lang w:val="en-US" w:eastAsia="zh-CN"/>
        </w:rPr>
        <w:t>》</w:t>
      </w:r>
      <w:r>
        <w:rPr>
          <w:rFonts w:hint="eastAsia" w:ascii="宋体" w:hAnsi="宋体" w:eastAsia="宋体" w:cs="宋体"/>
          <w:color w:val="auto"/>
          <w:sz w:val="28"/>
          <w:szCs w:val="28"/>
          <w:highlight w:val="none"/>
          <w:lang w:val="en-US" w:eastAsia="zh-CN"/>
        </w:rPr>
        <w:t>附录B要求，满足GB26851</w:t>
      </w:r>
      <w:r>
        <w:rPr>
          <w:rFonts w:hint="eastAsia" w:ascii="宋体" w:hAnsi="宋体" w:cs="宋体"/>
          <w:color w:val="auto"/>
          <w:sz w:val="28"/>
          <w:szCs w:val="28"/>
          <w:highlight w:val="none"/>
          <w:lang w:val="en-US" w:eastAsia="zh-CN"/>
        </w:rPr>
        <w:t>《</w:t>
      </w:r>
      <w:r>
        <w:rPr>
          <w:rFonts w:hint="eastAsia" w:ascii="宋体" w:hAnsi="宋体" w:eastAsia="宋体" w:cs="宋体"/>
          <w:color w:val="auto"/>
          <w:sz w:val="28"/>
          <w:szCs w:val="28"/>
          <w:highlight w:val="none"/>
          <w:lang w:val="en-US" w:eastAsia="zh-CN"/>
        </w:rPr>
        <w:t>火灾声和或光警报器</w:t>
      </w:r>
      <w:r>
        <w:rPr>
          <w:rFonts w:hint="eastAsia" w:ascii="宋体" w:hAnsi="宋体" w:cs="宋体"/>
          <w:color w:val="auto"/>
          <w:sz w:val="28"/>
          <w:szCs w:val="28"/>
          <w:highlight w:val="none"/>
          <w:lang w:val="en-US" w:eastAsia="zh-CN"/>
        </w:rPr>
        <w:t>》满警报信号一致性试验、警报信号性能要求试验验等。</w:t>
      </w:r>
      <w:r>
        <w:rPr>
          <w:rFonts w:hint="eastAsia" w:ascii="宋体" w:hAnsi="宋体" w:eastAsia="宋体" w:cs="宋体"/>
          <w:color w:val="auto"/>
          <w:sz w:val="28"/>
          <w:szCs w:val="28"/>
          <w:highlight w:val="none"/>
        </w:rPr>
        <w:t>项目主要包括</w:t>
      </w:r>
      <w:r>
        <w:rPr>
          <w:rFonts w:hint="eastAsia" w:ascii="宋体" w:hAnsi="宋体" w:cs="宋体"/>
          <w:color w:val="auto"/>
          <w:sz w:val="28"/>
          <w:szCs w:val="28"/>
          <w:highlight w:val="none"/>
          <w:lang w:eastAsia="zh-CN"/>
        </w:rPr>
        <w:t>消音室及</w:t>
      </w:r>
      <w:r>
        <w:rPr>
          <w:rFonts w:hint="eastAsia" w:ascii="宋体" w:hAnsi="宋体" w:eastAsia="宋体" w:cs="宋体"/>
          <w:b w:val="0"/>
          <w:bCs/>
          <w:color w:val="auto"/>
          <w:sz w:val="28"/>
          <w:szCs w:val="28"/>
          <w:highlight w:val="none"/>
        </w:rPr>
        <w:t>配套</w:t>
      </w:r>
      <w:r>
        <w:rPr>
          <w:rFonts w:hint="eastAsia" w:ascii="宋体" w:hAnsi="宋体" w:cs="宋体"/>
          <w:b w:val="0"/>
          <w:bCs/>
          <w:color w:val="auto"/>
          <w:sz w:val="28"/>
          <w:szCs w:val="28"/>
          <w:highlight w:val="none"/>
          <w:lang w:eastAsia="zh-CN"/>
        </w:rPr>
        <w:t>系统、</w:t>
      </w:r>
      <w:r>
        <w:rPr>
          <w:rFonts w:hint="eastAsia" w:ascii="宋体" w:hAnsi="宋体" w:eastAsia="宋体" w:cs="宋体"/>
          <w:color w:val="auto"/>
          <w:sz w:val="28"/>
          <w:szCs w:val="28"/>
          <w:highlight w:val="none"/>
          <w:lang w:eastAsia="zh-CN"/>
        </w:rPr>
        <w:t>相关</w:t>
      </w:r>
      <w:r>
        <w:rPr>
          <w:rFonts w:hint="eastAsia" w:ascii="宋体" w:hAnsi="宋体" w:eastAsia="宋体" w:cs="宋体"/>
          <w:color w:val="auto"/>
          <w:sz w:val="28"/>
          <w:szCs w:val="28"/>
          <w:highlight w:val="none"/>
        </w:rPr>
        <w:t>配</w:t>
      </w:r>
      <w:r>
        <w:rPr>
          <w:rFonts w:hint="eastAsia" w:ascii="宋体" w:hAnsi="宋体" w:eastAsia="宋体" w:cs="宋体"/>
          <w:color w:val="auto"/>
          <w:sz w:val="28"/>
          <w:szCs w:val="28"/>
          <w:highlight w:val="none"/>
          <w:lang w:eastAsia="zh-CN"/>
        </w:rPr>
        <w:t>件以及</w:t>
      </w:r>
      <w:r>
        <w:rPr>
          <w:rFonts w:hint="eastAsia" w:ascii="宋体" w:hAnsi="宋体" w:eastAsia="宋体" w:cs="宋体"/>
          <w:color w:val="auto"/>
          <w:sz w:val="28"/>
          <w:szCs w:val="28"/>
          <w:highlight w:val="none"/>
        </w:rPr>
        <w:t>安装调试</w:t>
      </w:r>
      <w:r>
        <w:rPr>
          <w:rFonts w:hint="eastAsia" w:ascii="宋体" w:hAnsi="宋体" w:eastAsia="宋体" w:cs="宋体"/>
          <w:color w:val="auto"/>
          <w:sz w:val="28"/>
          <w:szCs w:val="28"/>
          <w:highlight w:val="none"/>
          <w:lang w:eastAsia="zh-CN"/>
        </w:rPr>
        <w:t>培训等</w:t>
      </w:r>
      <w:r>
        <w:rPr>
          <w:rFonts w:hint="eastAsia" w:ascii="宋体" w:hAnsi="宋体" w:eastAsia="宋体" w:cs="宋体"/>
          <w:color w:val="auto"/>
          <w:sz w:val="28"/>
          <w:szCs w:val="28"/>
          <w:highlight w:val="none"/>
        </w:rPr>
        <w:t>。</w:t>
      </w:r>
    </w:p>
    <w:p w14:paraId="59AAC864">
      <w:pPr>
        <w:keepNext w:val="0"/>
        <w:keepLines w:val="0"/>
        <w:pageBreakBefore w:val="0"/>
        <w:kinsoku/>
        <w:wordWrap/>
        <w:overflowPunct/>
        <w:topLinePunct w:val="0"/>
        <w:autoSpaceDN/>
        <w:bidi w:val="0"/>
        <w:spacing w:line="360" w:lineRule="auto"/>
        <w:ind w:firstLine="560" w:firstLineChars="200"/>
        <w:jc w:val="left"/>
        <w:textAlignment w:val="auto"/>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本项目预算经费为</w:t>
      </w:r>
      <w:r>
        <w:rPr>
          <w:rFonts w:hint="eastAsia" w:ascii="宋体" w:hAnsi="宋体" w:cs="宋体"/>
          <w:color w:val="auto"/>
          <w:sz w:val="28"/>
          <w:szCs w:val="28"/>
          <w:highlight w:val="none"/>
          <w:lang w:val="en-US" w:eastAsia="zh-CN"/>
        </w:rPr>
        <w:t>786000</w:t>
      </w:r>
      <w:r>
        <w:rPr>
          <w:rFonts w:hint="eastAsia" w:ascii="宋体" w:hAnsi="宋体" w:eastAsia="宋体" w:cs="宋体"/>
          <w:color w:val="auto"/>
          <w:sz w:val="28"/>
          <w:szCs w:val="28"/>
          <w:highlight w:val="none"/>
        </w:rPr>
        <w:t>元。</w:t>
      </w:r>
    </w:p>
    <w:p w14:paraId="0F5720A8">
      <w:pPr>
        <w:keepNext w:val="0"/>
        <w:keepLines w:val="0"/>
        <w:pageBreakBefore w:val="0"/>
        <w:numPr>
          <w:ilvl w:val="0"/>
          <w:numId w:val="1"/>
        </w:numPr>
        <w:kinsoku/>
        <w:wordWrap/>
        <w:overflowPunct/>
        <w:topLinePunct w:val="0"/>
        <w:autoSpaceDN/>
        <w:bidi w:val="0"/>
        <w:spacing w:line="360" w:lineRule="auto"/>
        <w:ind w:firstLine="562" w:firstLineChars="200"/>
        <w:jc w:val="left"/>
        <w:textAlignment w:val="auto"/>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采购清单</w:t>
      </w:r>
    </w:p>
    <w:p w14:paraId="5A090E91">
      <w:pPr>
        <w:keepNext w:val="0"/>
        <w:keepLines w:val="0"/>
        <w:pageBreakBefore w:val="0"/>
        <w:kinsoku/>
        <w:wordWrap/>
        <w:overflowPunct/>
        <w:topLinePunct w:val="0"/>
        <w:autoSpaceDN/>
        <w:bidi w:val="0"/>
        <w:spacing w:line="360" w:lineRule="auto"/>
        <w:ind w:firstLine="560" w:firstLineChars="200"/>
        <w:jc w:val="left"/>
        <w:textAlignment w:val="auto"/>
        <w:rPr>
          <w:rFonts w:hint="eastAsia" w:ascii="宋体" w:hAnsi="宋体" w:eastAsia="宋体" w:cs="宋体"/>
          <w:b/>
          <w:color w:val="auto"/>
          <w:sz w:val="28"/>
          <w:szCs w:val="28"/>
          <w:highlight w:val="none"/>
        </w:rPr>
      </w:pPr>
      <w:r>
        <w:rPr>
          <w:rFonts w:hint="eastAsia" w:ascii="宋体" w:hAnsi="宋体" w:eastAsia="宋体" w:cs="宋体"/>
          <w:color w:val="auto"/>
          <w:sz w:val="28"/>
          <w:szCs w:val="28"/>
          <w:highlight w:val="none"/>
          <w:lang w:eastAsia="zh-CN"/>
        </w:rPr>
        <w:t>消音室</w:t>
      </w:r>
      <w:r>
        <w:rPr>
          <w:rFonts w:hint="eastAsia" w:ascii="宋体" w:hAnsi="宋体" w:eastAsia="宋体" w:cs="宋体"/>
          <w:color w:val="auto"/>
          <w:sz w:val="28"/>
          <w:szCs w:val="28"/>
          <w:highlight w:val="none"/>
        </w:rPr>
        <w:t>采购项目</w:t>
      </w:r>
      <w:r>
        <w:rPr>
          <w:rFonts w:hint="eastAsia" w:ascii="宋体" w:hAnsi="宋体" w:eastAsia="宋体" w:cs="宋体"/>
          <w:color w:val="auto"/>
          <w:sz w:val="28"/>
          <w:szCs w:val="28"/>
          <w:highlight w:val="none"/>
          <w:lang w:eastAsia="zh-CN"/>
        </w:rPr>
        <w:t>至少包括</w:t>
      </w:r>
      <w:r>
        <w:rPr>
          <w:rFonts w:hint="eastAsia" w:ascii="宋体" w:hAnsi="宋体" w:eastAsia="宋体" w:cs="宋体"/>
          <w:color w:val="auto"/>
          <w:sz w:val="28"/>
          <w:szCs w:val="28"/>
          <w:highlight w:val="none"/>
          <w:lang w:val="en-US" w:eastAsia="zh-CN"/>
        </w:rPr>
        <w:t>吸声材料 1套、隔声材料 1套、减震系统 1套、吸声照明灯具 1套</w:t>
      </w:r>
      <w:r>
        <w:rPr>
          <w:rFonts w:hint="eastAsia" w:ascii="宋体" w:hAnsi="宋体" w:cs="宋体"/>
          <w:color w:val="auto"/>
          <w:sz w:val="28"/>
          <w:szCs w:val="28"/>
          <w:highlight w:val="none"/>
          <w:lang w:val="en-US" w:eastAsia="zh-CN"/>
        </w:rPr>
        <w:t>、</w:t>
      </w:r>
      <w:r>
        <w:rPr>
          <w:rFonts w:hint="eastAsia" w:ascii="宋体" w:hAnsi="宋体" w:eastAsia="宋体" w:cs="宋体"/>
          <w:color w:val="auto"/>
          <w:sz w:val="28"/>
          <w:szCs w:val="28"/>
          <w:highlight w:val="none"/>
          <w:lang w:val="en-US" w:eastAsia="zh-CN"/>
        </w:rPr>
        <w:t>消声室隔声门 1套、视频监控系统 1套、消声室内接口的声学处理及信号端口处理 1套</w:t>
      </w:r>
      <w:r>
        <w:rPr>
          <w:rFonts w:hint="eastAsia" w:ascii="宋体" w:hAnsi="宋体" w:cs="宋体"/>
          <w:color w:val="auto"/>
          <w:sz w:val="28"/>
          <w:szCs w:val="28"/>
          <w:highlight w:val="none"/>
          <w:lang w:val="en-US" w:eastAsia="zh-CN"/>
        </w:rPr>
        <w:t>、</w:t>
      </w:r>
      <w:r>
        <w:rPr>
          <w:rFonts w:hint="eastAsia" w:ascii="宋体" w:hAnsi="宋体" w:eastAsia="宋体" w:cs="宋体"/>
          <w:color w:val="auto"/>
          <w:sz w:val="28"/>
          <w:szCs w:val="28"/>
          <w:highlight w:val="none"/>
          <w:lang w:val="en-US" w:eastAsia="zh-CN"/>
        </w:rPr>
        <w:t>声学设计及配合（总体协调和系统集成） 1套、空调系统 （通风系统）1套、多通道数据采集控制系统 1套。</w:t>
      </w:r>
    </w:p>
    <w:p w14:paraId="65468B3A">
      <w:pPr>
        <w:keepNext w:val="0"/>
        <w:keepLines w:val="0"/>
        <w:pageBreakBefore w:val="0"/>
        <w:kinsoku/>
        <w:wordWrap/>
        <w:overflowPunct/>
        <w:topLinePunct w:val="0"/>
        <w:autoSpaceDN/>
        <w:bidi w:val="0"/>
        <w:spacing w:line="360" w:lineRule="auto"/>
        <w:ind w:firstLine="562" w:firstLineChars="200"/>
        <w:jc w:val="left"/>
        <w:textAlignment w:val="auto"/>
        <w:rPr>
          <w:rFonts w:hint="eastAsia" w:ascii="宋体" w:hAnsi="宋体" w:cs="宋体"/>
          <w:b w:val="0"/>
          <w:bCs w:val="0"/>
          <w:color w:val="auto"/>
          <w:kern w:val="2"/>
          <w:sz w:val="28"/>
          <w:szCs w:val="28"/>
          <w:highlight w:val="none"/>
          <w:u w:val="none"/>
          <w:lang w:val="en-US" w:eastAsia="zh-CN" w:bidi="ar"/>
        </w:rPr>
      </w:pPr>
      <w:r>
        <w:rPr>
          <w:rFonts w:hint="eastAsia" w:ascii="宋体" w:hAnsi="宋体" w:eastAsia="宋体" w:cs="宋体"/>
          <w:b/>
          <w:color w:val="auto"/>
          <w:sz w:val="28"/>
          <w:szCs w:val="28"/>
          <w:highlight w:val="none"/>
          <w:lang w:val="en-US" w:eastAsia="zh-CN"/>
        </w:rPr>
        <w:t>三</w:t>
      </w:r>
      <w:r>
        <w:rPr>
          <w:rFonts w:hint="eastAsia" w:ascii="宋体" w:hAnsi="宋体" w:eastAsia="宋体" w:cs="宋体"/>
          <w:b/>
          <w:color w:val="auto"/>
          <w:sz w:val="28"/>
          <w:szCs w:val="28"/>
          <w:highlight w:val="none"/>
        </w:rPr>
        <w:t>、</w:t>
      </w:r>
      <w:bookmarkStart w:id="11" w:name="_GoBack"/>
      <w:r>
        <w:rPr>
          <w:rFonts w:hint="eastAsia" w:ascii="宋体" w:hAnsi="宋体" w:eastAsia="宋体" w:cs="宋体"/>
          <w:b/>
          <w:color w:val="auto"/>
          <w:sz w:val="28"/>
          <w:szCs w:val="28"/>
          <w:highlight w:val="yellow"/>
        </w:rPr>
        <w:t>技术设备参数及功能要求</w:t>
      </w:r>
      <w:bookmarkEnd w:id="11"/>
    </w:p>
    <w:tbl>
      <w:tblPr>
        <w:tblStyle w:val="10"/>
        <w:tblpPr w:leftFromText="180" w:rightFromText="180" w:vertAnchor="text" w:horzAnchor="page" w:tblpX="830" w:tblpY="454"/>
        <w:tblOverlap w:val="never"/>
        <w:tblW w:w="527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8"/>
        <w:gridCol w:w="1282"/>
        <w:gridCol w:w="3397"/>
        <w:gridCol w:w="693"/>
        <w:gridCol w:w="687"/>
        <w:gridCol w:w="2361"/>
        <w:gridCol w:w="1198"/>
      </w:tblGrid>
      <w:tr w14:paraId="159DE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trPr>
        <w:tc>
          <w:tcPr>
            <w:tcW w:w="374" w:type="pct"/>
            <w:shd w:val="clear" w:color="auto" w:fill="auto"/>
            <w:noWrap w:val="0"/>
            <w:vAlign w:val="center"/>
          </w:tcPr>
          <w:p w14:paraId="20491003">
            <w:pPr>
              <w:jc w:val="center"/>
              <w:rPr>
                <w:rFonts w:ascii="Times New Roman" w:hAnsi="Times New Roman" w:eastAsia="宋体" w:cs="Times New Roman"/>
                <w:szCs w:val="21"/>
              </w:rPr>
            </w:pPr>
            <w:r>
              <w:rPr>
                <w:rFonts w:ascii="Times New Roman" w:hAnsi="Times New Roman" w:eastAsia="宋体" w:cs="Times New Roman"/>
                <w:szCs w:val="21"/>
              </w:rPr>
              <w:t>序号</w:t>
            </w:r>
          </w:p>
        </w:tc>
        <w:tc>
          <w:tcPr>
            <w:tcW w:w="616" w:type="pct"/>
            <w:shd w:val="clear" w:color="auto" w:fill="auto"/>
            <w:noWrap w:val="0"/>
            <w:vAlign w:val="center"/>
          </w:tcPr>
          <w:p w14:paraId="25BC7E84">
            <w:pPr>
              <w:jc w:val="center"/>
              <w:rPr>
                <w:rFonts w:ascii="Times New Roman" w:hAnsi="Times New Roman" w:eastAsia="宋体" w:cs="Times New Roman"/>
                <w:szCs w:val="21"/>
              </w:rPr>
            </w:pPr>
            <w:r>
              <w:rPr>
                <w:rFonts w:hint="eastAsia" w:ascii="Times New Roman" w:hAnsi="Times New Roman" w:eastAsia="宋体" w:cs="Times New Roman"/>
                <w:szCs w:val="21"/>
              </w:rPr>
              <w:t>标的</w:t>
            </w:r>
            <w:r>
              <w:rPr>
                <w:rFonts w:ascii="Times New Roman" w:hAnsi="Times New Roman" w:eastAsia="宋体" w:cs="Times New Roman"/>
                <w:szCs w:val="21"/>
              </w:rPr>
              <w:t>名称</w:t>
            </w:r>
          </w:p>
        </w:tc>
        <w:tc>
          <w:tcPr>
            <w:tcW w:w="1633" w:type="pct"/>
            <w:shd w:val="clear" w:color="auto" w:fill="auto"/>
            <w:noWrap w:val="0"/>
            <w:vAlign w:val="center"/>
          </w:tcPr>
          <w:p w14:paraId="68BFCC3E">
            <w:pPr>
              <w:jc w:val="center"/>
              <w:rPr>
                <w:rFonts w:ascii="Times New Roman" w:hAnsi="Times New Roman" w:eastAsia="宋体" w:cs="Times New Roman"/>
                <w:szCs w:val="21"/>
              </w:rPr>
            </w:pPr>
            <w:r>
              <w:rPr>
                <w:rFonts w:ascii="Times New Roman" w:hAnsi="Times New Roman" w:eastAsia="宋体" w:cs="Times New Roman"/>
                <w:szCs w:val="21"/>
              </w:rPr>
              <w:t>技术要求</w:t>
            </w:r>
          </w:p>
        </w:tc>
        <w:tc>
          <w:tcPr>
            <w:tcW w:w="333" w:type="pct"/>
            <w:shd w:val="clear" w:color="auto" w:fill="auto"/>
            <w:noWrap w:val="0"/>
            <w:vAlign w:val="center"/>
          </w:tcPr>
          <w:p w14:paraId="40D210F6">
            <w:pPr>
              <w:jc w:val="center"/>
              <w:rPr>
                <w:rFonts w:ascii="Times New Roman" w:hAnsi="Times New Roman" w:eastAsia="宋体" w:cs="Times New Roman"/>
                <w:szCs w:val="21"/>
              </w:rPr>
            </w:pPr>
            <w:r>
              <w:rPr>
                <w:rFonts w:ascii="Times New Roman" w:hAnsi="Times New Roman" w:eastAsia="宋体" w:cs="Times New Roman"/>
                <w:szCs w:val="21"/>
              </w:rPr>
              <w:t>单位</w:t>
            </w:r>
          </w:p>
        </w:tc>
        <w:tc>
          <w:tcPr>
            <w:tcW w:w="330" w:type="pct"/>
            <w:shd w:val="clear" w:color="auto" w:fill="auto"/>
            <w:noWrap w:val="0"/>
            <w:vAlign w:val="center"/>
          </w:tcPr>
          <w:p w14:paraId="496B6A43">
            <w:pPr>
              <w:jc w:val="center"/>
              <w:rPr>
                <w:rFonts w:ascii="Times New Roman" w:hAnsi="Times New Roman" w:eastAsia="宋体" w:cs="Times New Roman"/>
                <w:szCs w:val="21"/>
              </w:rPr>
            </w:pPr>
            <w:r>
              <w:rPr>
                <w:rFonts w:ascii="Times New Roman" w:hAnsi="Times New Roman" w:eastAsia="宋体" w:cs="Times New Roman"/>
                <w:szCs w:val="21"/>
              </w:rPr>
              <w:t>数量</w:t>
            </w:r>
          </w:p>
        </w:tc>
        <w:tc>
          <w:tcPr>
            <w:tcW w:w="1135" w:type="pct"/>
            <w:noWrap w:val="0"/>
            <w:vAlign w:val="center"/>
          </w:tcPr>
          <w:p w14:paraId="751D15AE">
            <w:pPr>
              <w:jc w:val="center"/>
              <w:rPr>
                <w:rFonts w:ascii="Times New Roman" w:hAnsi="Times New Roman" w:eastAsia="宋体" w:cs="Times New Roman"/>
                <w:szCs w:val="21"/>
              </w:rPr>
            </w:pPr>
            <w:r>
              <w:rPr>
                <w:rFonts w:ascii="Times New Roman" w:hAnsi="Times New Roman" w:eastAsia="宋体" w:cs="Times New Roman"/>
                <w:szCs w:val="21"/>
              </w:rPr>
              <w:t>是否属于现行节能产品政府采购清单强制采购范围</w:t>
            </w:r>
          </w:p>
        </w:tc>
        <w:tc>
          <w:tcPr>
            <w:tcW w:w="576" w:type="pct"/>
            <w:noWrap w:val="0"/>
            <w:vAlign w:val="center"/>
          </w:tcPr>
          <w:p w14:paraId="120AA2DE">
            <w:pPr>
              <w:jc w:val="center"/>
              <w:rPr>
                <w:rFonts w:ascii="Times New Roman" w:hAnsi="Times New Roman" w:eastAsia="宋体" w:cs="Times New Roman"/>
                <w:szCs w:val="21"/>
              </w:rPr>
            </w:pPr>
            <w:r>
              <w:rPr>
                <w:rFonts w:ascii="Times New Roman" w:hAnsi="Times New Roman" w:eastAsia="宋体" w:cs="Times New Roman"/>
                <w:szCs w:val="21"/>
              </w:rPr>
              <w:t>是否属于集采目录内产品</w:t>
            </w:r>
          </w:p>
        </w:tc>
      </w:tr>
      <w:tr w14:paraId="6C0C9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4" w:hRule="atLeast"/>
        </w:trPr>
        <w:tc>
          <w:tcPr>
            <w:tcW w:w="374" w:type="pct"/>
            <w:shd w:val="clear" w:color="auto" w:fill="auto"/>
            <w:noWrap w:val="0"/>
            <w:vAlign w:val="center"/>
          </w:tcPr>
          <w:p w14:paraId="23C0720C">
            <w:pPr>
              <w:jc w:val="center"/>
              <w:rPr>
                <w:rFonts w:ascii="Times New Roman" w:hAnsi="Times New Roman" w:eastAsia="宋体" w:cs="Times New Roman"/>
                <w:szCs w:val="21"/>
              </w:rPr>
            </w:pPr>
            <w:r>
              <w:rPr>
                <w:rFonts w:ascii="Times New Roman" w:hAnsi="Times New Roman" w:eastAsia="宋体" w:cs="Times New Roman"/>
                <w:szCs w:val="21"/>
              </w:rPr>
              <w:t>1</w:t>
            </w:r>
          </w:p>
        </w:tc>
        <w:tc>
          <w:tcPr>
            <w:tcW w:w="616" w:type="pct"/>
            <w:shd w:val="clear" w:color="auto" w:fill="auto"/>
            <w:noWrap w:val="0"/>
            <w:vAlign w:val="center"/>
          </w:tcPr>
          <w:p w14:paraId="691F0294">
            <w:pPr>
              <w:rPr>
                <w:rFonts w:ascii="Times New Roman" w:hAnsi="Times New Roman" w:eastAsia="宋体" w:cs="Times New Roman"/>
                <w:szCs w:val="21"/>
              </w:rPr>
            </w:pPr>
            <w:r>
              <w:rPr>
                <w:rFonts w:hint="eastAsia" w:ascii="Times New Roman" w:hAnsi="Times New Roman" w:eastAsia="宋体" w:cs="Times New Roman"/>
                <w:szCs w:val="21"/>
                <w:lang w:eastAsia="zh-CN"/>
              </w:rPr>
              <w:t>消音室</w:t>
            </w:r>
          </w:p>
        </w:tc>
        <w:tc>
          <w:tcPr>
            <w:tcW w:w="1633" w:type="pct"/>
            <w:shd w:val="clear" w:color="auto" w:fill="auto"/>
            <w:noWrap w:val="0"/>
            <w:vAlign w:val="center"/>
          </w:tcPr>
          <w:p w14:paraId="42664060">
            <w:pPr>
              <w:rPr>
                <w:rFonts w:hint="eastAsia" w:ascii="宋体" w:hAnsi="宋体" w:eastAsia="宋体" w:cs="宋体"/>
                <w:szCs w:val="21"/>
                <w:lang w:val="en-US" w:eastAsia="zh-CN"/>
              </w:rPr>
            </w:pPr>
            <w:r>
              <w:rPr>
                <w:rFonts w:hint="eastAsia" w:ascii="宋体" w:hAnsi="宋体" w:eastAsia="宋体" w:cs="宋体"/>
                <w:szCs w:val="21"/>
              </w:rPr>
              <w:t>★</w:t>
            </w:r>
            <w:r>
              <w:rPr>
                <w:rFonts w:hint="eastAsia" w:ascii="宋体" w:hAnsi="宋体" w:eastAsia="宋体" w:cs="宋体"/>
                <w:szCs w:val="21"/>
                <w:lang w:val="en-US" w:eastAsia="zh-CN"/>
              </w:rPr>
              <w:t>在11m×7m×5.8m空间内进行双层隔声房建设，声学处理后全消声室净空尺寸不小于：6.2m×5m×4.3m，声控室内尺寸不小于6.2m×3.5m×4.3m。</w:t>
            </w:r>
          </w:p>
          <w:p w14:paraId="5D1B86B2">
            <w:pPr>
              <w:rPr>
                <w:rFonts w:hint="eastAsia" w:ascii="宋体" w:hAnsi="宋体" w:eastAsia="宋体" w:cs="宋体"/>
                <w:szCs w:val="21"/>
                <w:lang w:val="en-US" w:eastAsia="zh-CN"/>
              </w:rPr>
            </w:pPr>
            <w:r>
              <w:rPr>
                <w:rFonts w:hint="eastAsia" w:ascii="宋体" w:hAnsi="宋体" w:eastAsia="宋体" w:cs="宋体"/>
                <w:szCs w:val="21"/>
              </w:rPr>
              <w:t>★</w:t>
            </w:r>
            <w:r>
              <w:rPr>
                <w:rFonts w:hint="eastAsia" w:ascii="宋体" w:hAnsi="宋体" w:eastAsia="宋体" w:cs="宋体"/>
                <w:szCs w:val="21"/>
                <w:lang w:val="en-US" w:eastAsia="zh-CN"/>
              </w:rPr>
              <w:t>2、在外环境无强烈的低频噪声源，在小于70 dB(A).情况下,消声室的本底噪声约：LA ≤25dB(A);</w:t>
            </w:r>
          </w:p>
          <w:p w14:paraId="7ACC693E">
            <w:pPr>
              <w:rPr>
                <w:rFonts w:hint="eastAsia" w:ascii="宋体" w:hAnsi="宋体" w:eastAsia="宋体" w:cs="宋体"/>
                <w:szCs w:val="21"/>
                <w:lang w:val="en-US" w:eastAsia="zh-CN"/>
              </w:rPr>
            </w:pPr>
            <w:r>
              <w:rPr>
                <w:rFonts w:hint="eastAsia" w:ascii="宋体" w:hAnsi="宋体" w:eastAsia="宋体" w:cs="宋体"/>
                <w:szCs w:val="21"/>
              </w:rPr>
              <w:t>★</w:t>
            </w:r>
            <w:r>
              <w:rPr>
                <w:rFonts w:hint="eastAsia" w:ascii="宋体" w:hAnsi="宋体" w:eastAsia="宋体" w:cs="宋体"/>
                <w:szCs w:val="21"/>
                <w:lang w:val="en-US" w:eastAsia="zh-CN"/>
              </w:rPr>
              <w:t>3、自由场半径的测试距离(单向指向性)：r≥1.8米，吸音系数达到0.99-1之间;截止频率100Hz。</w:t>
            </w:r>
          </w:p>
          <w:p w14:paraId="278DC297">
            <w:pPr>
              <w:rPr>
                <w:rFonts w:hint="eastAsia" w:ascii="宋体" w:hAnsi="宋体" w:eastAsia="宋体" w:cs="宋体"/>
                <w:szCs w:val="21"/>
                <w:lang w:val="en-US" w:eastAsia="zh-CN"/>
              </w:rPr>
            </w:pPr>
            <w:r>
              <w:rPr>
                <w:rFonts w:hint="eastAsia" w:ascii="宋体" w:hAnsi="宋体" w:eastAsia="宋体" w:cs="宋体"/>
                <w:szCs w:val="21"/>
              </w:rPr>
              <w:t>★</w:t>
            </w:r>
            <w:r>
              <w:rPr>
                <w:rFonts w:hint="eastAsia" w:ascii="宋体" w:hAnsi="宋体" w:eastAsia="宋体" w:cs="宋体"/>
                <w:szCs w:val="21"/>
                <w:lang w:val="en-US" w:eastAsia="zh-CN"/>
              </w:rPr>
              <w:t>4、吸声性能:频率100～8000Hz、吸声系数≥0.99，提供第三方测试报告;</w:t>
            </w:r>
          </w:p>
          <w:p w14:paraId="3E0DC2E3">
            <w:pPr>
              <w:rPr>
                <w:rFonts w:hint="eastAsia" w:ascii="宋体" w:hAnsi="宋体" w:eastAsia="宋体" w:cs="宋体"/>
                <w:szCs w:val="21"/>
                <w:lang w:val="en-US" w:eastAsia="zh-CN"/>
              </w:rPr>
            </w:pPr>
            <w:r>
              <w:rPr>
                <w:rFonts w:hint="eastAsia" w:ascii="宋体" w:hAnsi="宋体" w:eastAsia="宋体" w:cs="宋体"/>
                <w:szCs w:val="21"/>
              </w:rPr>
              <w:t>★</w:t>
            </w:r>
            <w:r>
              <w:rPr>
                <w:rFonts w:hint="eastAsia" w:ascii="宋体" w:hAnsi="宋体" w:eastAsia="宋体" w:cs="宋体"/>
                <w:szCs w:val="21"/>
                <w:lang w:val="en-US" w:eastAsia="zh-CN"/>
              </w:rPr>
              <w:t>5、全消声室室内声压级与反平方律理论值的最大允许偏差（dB）：1/3倍频程（Hz）：≤630、800-5000、≥6300   消声室允许偏差（dB）：±1.5、±1.0、±1.5;</w:t>
            </w:r>
          </w:p>
          <w:p w14:paraId="62C9EF82">
            <w:pPr>
              <w:rPr>
                <w:rFonts w:hint="eastAsia" w:ascii="宋体" w:hAnsi="宋体" w:eastAsia="宋体" w:cs="宋体"/>
                <w:szCs w:val="21"/>
                <w:lang w:val="en-US" w:eastAsia="zh-CN"/>
              </w:rPr>
            </w:pPr>
            <w:r>
              <w:rPr>
                <w:rFonts w:hint="eastAsia" w:ascii="宋体" w:hAnsi="宋体" w:eastAsia="宋体" w:cs="宋体"/>
                <w:szCs w:val="21"/>
                <w:lang w:val="en-US" w:eastAsia="zh-CN"/>
              </w:rPr>
              <w:t>▲6、采用金属平板吸声结构，须提供</w:t>
            </w:r>
            <w:bookmarkStart w:id="0" w:name="OLE_LINK7"/>
            <w:r>
              <w:rPr>
                <w:rFonts w:hint="eastAsia" w:ascii="宋体" w:hAnsi="宋体" w:eastAsia="宋体" w:cs="宋体"/>
                <w:szCs w:val="21"/>
                <w:lang w:val="en-US" w:eastAsia="zh-CN"/>
              </w:rPr>
              <w:t>第三方检测机构</w:t>
            </w:r>
            <w:bookmarkEnd w:id="0"/>
            <w:r>
              <w:rPr>
                <w:rFonts w:hint="eastAsia" w:ascii="宋体" w:hAnsi="宋体" w:eastAsia="宋体" w:cs="宋体"/>
                <w:szCs w:val="21"/>
                <w:lang w:val="en-US" w:eastAsia="zh-CN"/>
              </w:rPr>
              <w:t>出具吸声结构的吸声系数检测报告，每个平板单独可拆卸，截止频率以上的吸声系数≥0.99；吸声材料应具有环保型，不吸潮，憎水性强，成型好，密度均匀， 吸声性能离散性小的优点，且为防火材料，满足标准规定的 B1级防火性能要求，并提供第三方测试报告。表面喷塑防锈处理。尖劈的吸音材料要求环保无毒， 使用的吸声材料粉尘污染应符合GB/T18883，并提供第三方测试报告。</w:t>
            </w:r>
          </w:p>
          <w:p w14:paraId="62D41E30">
            <w:pPr>
              <w:rPr>
                <w:rFonts w:hint="eastAsia" w:ascii="宋体" w:hAnsi="宋体" w:eastAsia="宋体" w:cs="宋体"/>
                <w:szCs w:val="21"/>
                <w:lang w:val="en-US" w:eastAsia="zh-CN"/>
              </w:rPr>
            </w:pPr>
            <w:r>
              <w:rPr>
                <w:rFonts w:hint="eastAsia" w:ascii="宋体" w:hAnsi="宋体" w:eastAsia="宋体" w:cs="宋体"/>
                <w:szCs w:val="21"/>
                <w:lang w:val="en-US" w:eastAsia="zh-CN"/>
              </w:rPr>
              <w:t>7、吸声结构吸声平面平齐规整，起伏误差≤1mm；安装完成后吸声面应平整，起伏误差≤5mm； 所有吸声结构颜色统一，无肉眼可察觉色差；底部横梁的包面处理及空调风口的声学处理，应与吸声结构保持一致；</w:t>
            </w:r>
          </w:p>
          <w:p w14:paraId="5E263EE9">
            <w:pPr>
              <w:rPr>
                <w:rFonts w:hint="eastAsia" w:ascii="宋体" w:hAnsi="宋体" w:eastAsia="宋体" w:cs="宋体"/>
                <w:szCs w:val="21"/>
                <w:lang w:val="en-US" w:eastAsia="zh-CN"/>
              </w:rPr>
            </w:pPr>
            <w:r>
              <w:rPr>
                <w:rFonts w:hint="eastAsia" w:ascii="宋体" w:hAnsi="宋体" w:eastAsia="宋体" w:cs="宋体"/>
                <w:szCs w:val="21"/>
                <w:lang w:val="en-US" w:eastAsia="zh-CN"/>
              </w:rPr>
              <w:t>▲8、吸音门：双层隔音门，外门往外开，内门往里开，门带自紧结构，无需额外锁扣，便于开启关闭及人员紧急逃生。门上装有吸音材料，隔声等级Rw55,单层门隔声量≥46dB(A)，须提供第三方机构出具的门的隔声计量检测报告，防火等级T90，须提供第三方机构出具的防火等级检验报告;</w:t>
            </w:r>
          </w:p>
          <w:p w14:paraId="6CB79439">
            <w:pPr>
              <w:rPr>
                <w:rFonts w:hint="eastAsia" w:ascii="宋体" w:hAnsi="宋体" w:eastAsia="宋体" w:cs="宋体"/>
                <w:szCs w:val="21"/>
                <w:lang w:val="en-US" w:eastAsia="zh-CN"/>
              </w:rPr>
            </w:pPr>
            <w:r>
              <w:rPr>
                <w:rFonts w:hint="eastAsia" w:ascii="宋体" w:hAnsi="宋体" w:eastAsia="宋体" w:cs="宋体"/>
                <w:szCs w:val="21"/>
                <w:lang w:val="en-US" w:eastAsia="zh-CN"/>
              </w:rPr>
              <w:t>9、穿线管：直径：60mm（使用隔声穿墙套筒形式），并配置隔声塞；</w:t>
            </w:r>
          </w:p>
          <w:p w14:paraId="411922AA">
            <w:pPr>
              <w:rPr>
                <w:rFonts w:hint="eastAsia" w:ascii="宋体" w:hAnsi="宋体" w:eastAsia="宋体" w:cs="宋体"/>
                <w:szCs w:val="21"/>
                <w:lang w:val="en-US" w:eastAsia="zh-CN"/>
              </w:rPr>
            </w:pPr>
            <w:bookmarkStart w:id="1" w:name="OLE_LINK25"/>
            <w:r>
              <w:rPr>
                <w:rFonts w:hint="eastAsia" w:ascii="宋体" w:hAnsi="宋体" w:eastAsia="宋体" w:cs="宋体"/>
                <w:szCs w:val="21"/>
              </w:rPr>
              <w:t>★</w:t>
            </w:r>
            <w:r>
              <w:rPr>
                <w:rFonts w:hint="eastAsia" w:ascii="宋体" w:hAnsi="宋体" w:eastAsia="宋体" w:cs="宋体"/>
                <w:szCs w:val="21"/>
                <w:lang w:val="en-US" w:eastAsia="zh-CN"/>
              </w:rPr>
              <w:t>10、为满足全消声室指标所涉及的改造，均需供应商承担</w:t>
            </w:r>
            <w:bookmarkEnd w:id="1"/>
            <w:r>
              <w:rPr>
                <w:rFonts w:hint="eastAsia" w:ascii="宋体" w:hAnsi="宋体" w:eastAsia="宋体" w:cs="宋体"/>
                <w:szCs w:val="21"/>
                <w:lang w:val="en-US" w:eastAsia="zh-CN"/>
              </w:rPr>
              <w:t>；</w:t>
            </w:r>
          </w:p>
          <w:p w14:paraId="13607274">
            <w:pPr>
              <w:rPr>
                <w:rFonts w:hint="eastAsia" w:ascii="宋体" w:hAnsi="宋体" w:eastAsia="宋体" w:cs="宋体"/>
                <w:szCs w:val="21"/>
                <w:lang w:val="en-US" w:eastAsia="zh-CN"/>
              </w:rPr>
            </w:pPr>
            <w:r>
              <w:rPr>
                <w:rFonts w:hint="eastAsia" w:ascii="宋体" w:hAnsi="宋体" w:eastAsia="宋体" w:cs="宋体"/>
                <w:szCs w:val="21"/>
                <w:lang w:val="en-US" w:eastAsia="zh-CN"/>
              </w:rPr>
              <w:t>▲11、消声室内房须采用复合隔声板结构，方便安装和拆卸，可搬迁并重复使用，墙体总厚度≥250mm，且表面须双侧各采用厚度不低于2.0mm的镀锌钢板结构，</w:t>
            </w:r>
            <w:bookmarkStart w:id="2" w:name="OLE_LINK8"/>
            <w:r>
              <w:rPr>
                <w:rFonts w:hint="eastAsia" w:ascii="宋体" w:hAnsi="宋体" w:eastAsia="宋体" w:cs="宋体"/>
                <w:szCs w:val="21"/>
                <w:lang w:val="en-US" w:eastAsia="zh-CN"/>
              </w:rPr>
              <w:t>且表面C4级干粉喷涂工艺处理，厚度≥100mm，满足标准规定的 A级防火性能要求，隔声量满足本底噪声要求</w:t>
            </w:r>
            <w:bookmarkEnd w:id="2"/>
            <w:r>
              <w:rPr>
                <w:rFonts w:hint="eastAsia" w:ascii="宋体" w:hAnsi="宋体" w:eastAsia="宋体" w:cs="宋体"/>
                <w:szCs w:val="21"/>
                <w:lang w:val="en-US" w:eastAsia="zh-CN"/>
              </w:rPr>
              <w:t>，须提供详细的隔声计算书；</w:t>
            </w:r>
          </w:p>
          <w:p w14:paraId="26A6921A">
            <w:pPr>
              <w:rPr>
                <w:rFonts w:hint="eastAsia" w:ascii="宋体" w:hAnsi="宋体" w:eastAsia="宋体" w:cs="宋体"/>
                <w:szCs w:val="21"/>
                <w:lang w:val="en-US" w:eastAsia="zh-CN"/>
              </w:rPr>
            </w:pPr>
            <w:bookmarkStart w:id="3" w:name="OLE_LINK9"/>
            <w:r>
              <w:rPr>
                <w:rFonts w:hint="eastAsia" w:ascii="宋体" w:hAnsi="宋体" w:eastAsia="宋体" w:cs="宋体"/>
                <w:szCs w:val="21"/>
                <w:lang w:val="en-US" w:eastAsia="zh-CN"/>
              </w:rPr>
              <w:t>▲12、吸声构造内部不允许填充石棉、岩棉及玻璃棉等不环保的矿物纤维，填充材料需</w:t>
            </w:r>
            <w:bookmarkEnd w:id="3"/>
            <w:r>
              <w:rPr>
                <w:rFonts w:hint="eastAsia" w:ascii="宋体" w:hAnsi="宋体" w:eastAsia="宋体" w:cs="宋体"/>
                <w:szCs w:val="21"/>
                <w:lang w:val="en-US" w:eastAsia="zh-CN"/>
              </w:rPr>
              <w:t>要采用聚酯纤维等环保材料。声学材料在0~45摄氏度，不排出有害物质，并提供有关证明文件或第三方测试报告。</w:t>
            </w:r>
            <w:bookmarkStart w:id="4" w:name="OLE_LINK10"/>
            <w:r>
              <w:rPr>
                <w:rFonts w:hint="eastAsia" w:ascii="宋体" w:hAnsi="宋体" w:eastAsia="宋体" w:cs="宋体"/>
                <w:szCs w:val="21"/>
                <w:lang w:val="en-US" w:eastAsia="zh-CN"/>
              </w:rPr>
              <w:t>室内空气污染质量须满足</w:t>
            </w:r>
            <w:bookmarkStart w:id="5" w:name="OLE_LINK11"/>
            <w:bookmarkStart w:id="6" w:name="OLE_LINK12"/>
            <w:r>
              <w:rPr>
                <w:rFonts w:hint="eastAsia" w:ascii="宋体" w:hAnsi="宋体" w:eastAsia="宋体" w:cs="宋体"/>
                <w:szCs w:val="21"/>
                <w:lang w:val="en-US" w:eastAsia="zh-CN"/>
              </w:rPr>
              <w:t>GB 50325-2020</w:t>
            </w:r>
            <w:bookmarkEnd w:id="5"/>
            <w:r>
              <w:rPr>
                <w:rFonts w:hint="eastAsia" w:ascii="宋体" w:hAnsi="宋体" w:eastAsia="宋体" w:cs="宋体"/>
                <w:szCs w:val="21"/>
                <w:lang w:val="en-US" w:eastAsia="zh-CN"/>
              </w:rPr>
              <w:t>《民用建筑工程室内环境污染控制标准》中Ⅱ类办公室环境要求</w:t>
            </w:r>
            <w:bookmarkEnd w:id="6"/>
            <w:r>
              <w:rPr>
                <w:rFonts w:hint="eastAsia" w:ascii="宋体" w:hAnsi="宋体" w:eastAsia="宋体" w:cs="宋体"/>
                <w:szCs w:val="21"/>
                <w:lang w:val="en-US" w:eastAsia="zh-CN"/>
              </w:rPr>
              <w:t>，并提供相应的室内空气质量检查报告；</w:t>
            </w:r>
            <w:bookmarkEnd w:id="4"/>
          </w:p>
          <w:p w14:paraId="789BDADF">
            <w:pPr>
              <w:rPr>
                <w:rFonts w:hint="eastAsia" w:ascii="宋体" w:hAnsi="宋体" w:eastAsia="宋体" w:cs="宋体"/>
                <w:szCs w:val="21"/>
                <w:lang w:val="en-US" w:eastAsia="zh-CN"/>
              </w:rPr>
            </w:pPr>
            <w:r>
              <w:rPr>
                <w:rFonts w:hint="eastAsia" w:ascii="宋体" w:hAnsi="宋体" w:eastAsia="宋体" w:cs="宋体"/>
                <w:szCs w:val="21"/>
                <w:lang w:val="en-US" w:eastAsia="zh-CN"/>
              </w:rPr>
              <w:t>13、室内照明：4个防爆照明灯，照度不小于500流明，提供照度计算书；照明设备不影响消声室声学性能。</w:t>
            </w:r>
          </w:p>
          <w:p w14:paraId="1AFFB618">
            <w:pPr>
              <w:rPr>
                <w:rFonts w:hint="eastAsia" w:ascii="宋体" w:hAnsi="宋体" w:eastAsia="宋体" w:cs="宋体"/>
                <w:szCs w:val="21"/>
                <w:lang w:val="en-US" w:eastAsia="zh-CN"/>
              </w:rPr>
            </w:pPr>
            <w:r>
              <w:rPr>
                <w:rFonts w:hint="eastAsia" w:ascii="宋体" w:hAnsi="宋体" w:eastAsia="宋体" w:cs="宋体"/>
                <w:szCs w:val="21"/>
                <w:lang w:val="en-US" w:eastAsia="zh-CN"/>
              </w:rPr>
              <w:t>▲14、内房隔振，采用独立悬浮隔振地基。消声室内外间完全安装分离，互不影响，在隔振器上 方建造独立悬浮的内隔声间。隔振系统保证了外界固体振动的隔离。要求隔振系统固有频率≤8Hz，隔振效率不低于95%，隔振系统采用的减振器需提供第三方检测报告：</w:t>
            </w:r>
          </w:p>
          <w:p w14:paraId="2B22B084">
            <w:pPr>
              <w:rPr>
                <w:rFonts w:hint="eastAsia" w:ascii="宋体" w:hAnsi="宋体" w:eastAsia="宋体" w:cs="宋体"/>
                <w:szCs w:val="21"/>
                <w:lang w:val="en-US" w:eastAsia="zh-CN"/>
              </w:rPr>
            </w:pPr>
            <w:r>
              <w:rPr>
                <w:rFonts w:hint="eastAsia" w:ascii="宋体" w:hAnsi="宋体" w:eastAsia="宋体" w:cs="宋体"/>
                <w:szCs w:val="21"/>
              </w:rPr>
              <w:t>★</w:t>
            </w:r>
            <w:r>
              <w:rPr>
                <w:rFonts w:hint="eastAsia" w:ascii="宋体" w:hAnsi="宋体" w:eastAsia="宋体" w:cs="宋体"/>
                <w:szCs w:val="21"/>
                <w:lang w:val="en-US" w:eastAsia="zh-CN"/>
              </w:rPr>
              <w:t>15、数采不少于4个通道ICP输入，支持不少于2个通道的扩展。每通道同步采样率至少100kHz，输入通道的动态范围：≥110dB，最高采集频率：192kHz ；</w:t>
            </w:r>
          </w:p>
          <w:p w14:paraId="09FA3328">
            <w:pPr>
              <w:rPr>
                <w:rFonts w:hint="eastAsia" w:ascii="宋体" w:hAnsi="宋体" w:eastAsia="宋体" w:cs="宋体"/>
                <w:szCs w:val="21"/>
                <w:lang w:val="en-US" w:eastAsia="zh-CN"/>
              </w:rPr>
            </w:pPr>
            <w:r>
              <w:rPr>
                <w:rFonts w:hint="eastAsia" w:ascii="宋体" w:hAnsi="宋体" w:eastAsia="宋体" w:cs="宋体"/>
                <w:szCs w:val="21"/>
              </w:rPr>
              <w:t>★</w:t>
            </w:r>
            <w:r>
              <w:rPr>
                <w:rFonts w:hint="eastAsia" w:ascii="宋体" w:hAnsi="宋体" w:eastAsia="宋体" w:cs="宋体"/>
                <w:szCs w:val="21"/>
                <w:lang w:val="en-US" w:eastAsia="zh-CN"/>
              </w:rPr>
              <w:t>16、数采系统输入信号通道幅值精度： 每通道peak ±10 V，幅值精度至少0.05%。通道间信号干扰：</w:t>
            </w:r>
            <w:bookmarkStart w:id="7" w:name="OLE_LINK21"/>
            <w:r>
              <w:rPr>
                <w:rFonts w:hint="eastAsia" w:ascii="宋体" w:hAnsi="宋体" w:eastAsia="宋体" w:cs="宋体"/>
                <w:szCs w:val="21"/>
                <w:lang w:val="en-US" w:eastAsia="zh-CN"/>
              </w:rPr>
              <w:t>≥</w:t>
            </w:r>
            <w:bookmarkEnd w:id="7"/>
            <w:r>
              <w:rPr>
                <w:rFonts w:hint="eastAsia" w:ascii="宋体" w:hAnsi="宋体" w:eastAsia="宋体" w:cs="宋体"/>
                <w:szCs w:val="21"/>
                <w:lang w:val="en-US" w:eastAsia="zh-CN"/>
              </w:rPr>
              <w:t>115dBc，通道间相位差：不大于0.1度；</w:t>
            </w:r>
          </w:p>
          <w:p w14:paraId="64459AAB">
            <w:pPr>
              <w:rPr>
                <w:rFonts w:hint="eastAsia" w:ascii="宋体" w:hAnsi="宋体" w:eastAsia="宋体" w:cs="宋体"/>
                <w:szCs w:val="21"/>
                <w:lang w:val="en-US" w:eastAsia="zh-CN"/>
              </w:rPr>
            </w:pPr>
            <w:r>
              <w:rPr>
                <w:rFonts w:hint="eastAsia" w:ascii="宋体" w:hAnsi="宋体" w:eastAsia="宋体" w:cs="宋体"/>
                <w:szCs w:val="21"/>
                <w:lang w:val="en-US" w:eastAsia="zh-CN"/>
              </w:rPr>
              <w:t>▲17、数采系统具有噪音分析功能;具有回放功能，可查看回放数据曲线，并可对相关分析参数进行设置,需具有数据导出功能；</w:t>
            </w:r>
          </w:p>
          <w:p w14:paraId="00A4C88F">
            <w:pPr>
              <w:rPr>
                <w:rFonts w:hint="eastAsia" w:ascii="宋体" w:hAnsi="宋体" w:eastAsia="宋体" w:cs="宋体"/>
                <w:szCs w:val="21"/>
                <w:lang w:val="en-US" w:eastAsia="zh-CN"/>
              </w:rPr>
            </w:pPr>
            <w:r>
              <w:rPr>
                <w:rFonts w:hint="eastAsia" w:ascii="宋体" w:hAnsi="宋体" w:eastAsia="宋体" w:cs="宋体"/>
                <w:szCs w:val="21"/>
                <w:lang w:val="en-US" w:eastAsia="zh-CN"/>
              </w:rPr>
              <w:t>▲18、传声器要求：数量2套，1/2英寸自由场麦克风，频率响应范围10Hz~20kHz，动态范围为22dB(A) to 161dB，灵敏度≥12.5mV/Pa，温度范围：-55℃-100℃，IEPE供电，含15米BNC线缆。</w:t>
            </w:r>
          </w:p>
          <w:p w14:paraId="0FE63746">
            <w:pPr>
              <w:rPr>
                <w:rFonts w:hint="eastAsia" w:ascii="宋体" w:hAnsi="宋体" w:eastAsia="宋体" w:cs="宋体"/>
                <w:szCs w:val="21"/>
                <w:lang w:val="en-US" w:eastAsia="zh-CN"/>
              </w:rPr>
            </w:pPr>
            <w:r>
              <w:rPr>
                <w:rFonts w:hint="eastAsia" w:ascii="宋体" w:hAnsi="宋体" w:eastAsia="宋体" w:cs="宋体"/>
                <w:szCs w:val="21"/>
                <w:lang w:val="en-US" w:eastAsia="zh-CN"/>
              </w:rPr>
              <w:t>▲19、室内强弱电接口及声学处理：4个网线接口；4个5孔220V电源插座,2个380V 多用插座；接口做相应声学处理，保证声学要求；预留两个DN32穿线孔与控制间连接且做好声学封堵处理；</w:t>
            </w:r>
          </w:p>
          <w:p w14:paraId="202C693A">
            <w:pPr>
              <w:rPr>
                <w:rFonts w:hint="eastAsia" w:ascii="宋体" w:hAnsi="宋体" w:eastAsia="宋体" w:cs="宋体"/>
                <w:szCs w:val="21"/>
                <w:lang w:val="en-US" w:eastAsia="zh-CN"/>
              </w:rPr>
            </w:pPr>
            <w:r>
              <w:rPr>
                <w:rFonts w:hint="eastAsia" w:ascii="宋体" w:hAnsi="宋体" w:eastAsia="宋体" w:cs="宋体"/>
                <w:szCs w:val="21"/>
                <w:lang w:val="en-US" w:eastAsia="zh-CN"/>
              </w:rPr>
              <w:t>20、视频监控系统：一套独立的视频监控系统，包含2个网络摄像头、1台硬盘摄像机（存储内存≥2T）、1台安装监控系统控制不低于32寸的液晶显示器，保证控制间能观察到消声室室内所有范围；监控摄像头对声学实验室室内声学特性不产生影响。监控摄像头不低于400万像素，可自动变焦。监控系统使用独立开关供电；</w:t>
            </w:r>
          </w:p>
          <w:p w14:paraId="2A2C427D">
            <w:pPr>
              <w:rPr>
                <w:rFonts w:hint="eastAsia" w:ascii="宋体" w:hAnsi="宋体" w:eastAsia="宋体" w:cs="宋体"/>
                <w:szCs w:val="21"/>
                <w:lang w:val="en-US" w:eastAsia="zh-CN"/>
              </w:rPr>
            </w:pPr>
            <w:r>
              <w:rPr>
                <w:rFonts w:hint="eastAsia" w:ascii="宋体" w:hAnsi="宋体" w:eastAsia="宋体" w:cs="宋体"/>
                <w:szCs w:val="21"/>
                <w:lang w:val="en-US" w:eastAsia="zh-CN"/>
              </w:rPr>
              <w:t>21、吸声装修的厚度不因低频截止频率的降低而加厚，无矿物性纤维，工作环境中没有纤维飞扬；有利工作人员的健康；有利机器设备的清洁；组件式构造，间距内可安装管线，再次节省体积；表面应易清洁和护理。耐油污，容易保持表面清洁。</w:t>
            </w:r>
          </w:p>
          <w:p w14:paraId="3A2E4DF3">
            <w:pPr>
              <w:rPr>
                <w:rFonts w:hint="eastAsia" w:ascii="宋体" w:hAnsi="宋体" w:eastAsia="宋体" w:cs="宋体"/>
                <w:szCs w:val="21"/>
                <w:lang w:val="en-US" w:eastAsia="zh-CN"/>
              </w:rPr>
            </w:pPr>
            <w:r>
              <w:rPr>
                <w:rFonts w:hint="eastAsia" w:ascii="宋体" w:hAnsi="宋体" w:eastAsia="宋体" w:cs="宋体"/>
                <w:szCs w:val="21"/>
                <w:lang w:val="en-US" w:eastAsia="zh-CN"/>
              </w:rPr>
              <w:t>▲22、声学材料在系统验收后20年内不发生脱落、变形、内部微粒外逸；表面采用厚度不低于1.5mm金属穿孔板且双面C4级干粉喷涂处理，穿孔率≥45%，声学施工安装材料模块组装，方便拆卸更换，可搬迁；</w:t>
            </w:r>
          </w:p>
          <w:p w14:paraId="1E5D6CCF">
            <w:pPr>
              <w:rPr>
                <w:rFonts w:hint="eastAsia" w:ascii="宋体" w:hAnsi="宋体" w:eastAsia="宋体" w:cs="宋体"/>
                <w:szCs w:val="21"/>
                <w:lang w:val="en-US" w:eastAsia="zh-CN"/>
              </w:rPr>
            </w:pPr>
            <w:r>
              <w:rPr>
                <w:rFonts w:hint="eastAsia" w:ascii="宋体" w:hAnsi="宋体" w:eastAsia="宋体" w:cs="宋体"/>
                <w:szCs w:val="21"/>
                <w:lang w:val="en-US" w:eastAsia="zh-CN"/>
              </w:rPr>
              <w:t>▲23、提供全消声和声控室空调系统，可以分别独立控制室内温度，同时配置新风系统，新风系统采用涡轮增压微循环结构，实验室空调系统噪声性能≤30dB(A)，消声室采用空调组单独送风，新风量可从 0%-100%区间内可调整，通风系统采用不少于 2 角通风，2角进风，2角出风，每人每小时新风量不小于30立方米（总量=人数*30），每小时房间换气次数不低于3次（最大风量下），空调及通风系统风管具有降噪措施，以满足消音室性能要求；</w:t>
            </w:r>
          </w:p>
          <w:p w14:paraId="1076F3BF">
            <w:pPr>
              <w:rPr>
                <w:rFonts w:hint="eastAsia" w:ascii="宋体" w:hAnsi="宋体" w:eastAsia="宋体" w:cs="宋体"/>
                <w:szCs w:val="21"/>
                <w:lang w:val="en-US" w:eastAsia="zh-CN"/>
              </w:rPr>
            </w:pPr>
            <w:r>
              <w:rPr>
                <w:rFonts w:hint="eastAsia" w:ascii="宋体" w:hAnsi="宋体" w:eastAsia="宋体" w:cs="宋体"/>
                <w:szCs w:val="21"/>
                <w:lang w:val="en-US" w:eastAsia="zh-CN"/>
              </w:rPr>
              <w:t>24、测试使用麦克风支架若干，测试麦克风支架对穿钢丝；</w:t>
            </w:r>
          </w:p>
          <w:p w14:paraId="74E1C452">
            <w:pPr>
              <w:rPr>
                <w:rFonts w:hint="eastAsia" w:ascii="宋体" w:hAnsi="宋体" w:eastAsia="宋体" w:cs="宋体"/>
                <w:szCs w:val="21"/>
                <w:lang w:val="en-US" w:eastAsia="zh-CN"/>
              </w:rPr>
            </w:pPr>
            <w:r>
              <w:rPr>
                <w:rFonts w:hint="eastAsia" w:ascii="宋体" w:hAnsi="宋体" w:eastAsia="宋体" w:cs="宋体"/>
                <w:szCs w:val="21"/>
                <w:lang w:val="en-US" w:eastAsia="zh-CN"/>
              </w:rPr>
              <w:t>▲25、测试使用样品自动旋转工装治具 2 个（顶部悬吊/地面测试），配有高精度精密自动旋转台，可调节360度工作机械移动台，轴系间隙可调圆周360°刻划方便读数，中心孔径可通光或安装连接其他产品，上下部均有标准孔距的连接孔，方便与其他位移台连接，组成多维移动台，实现自动化控制，满足不同尺寸样品固定及自动旋转需求，满足GB26851《火灾声和或光警报器》附录B试验要求；</w:t>
            </w:r>
          </w:p>
          <w:p w14:paraId="6D4F1B45">
            <w:pPr>
              <w:rPr>
                <w:rFonts w:hint="eastAsia" w:ascii="宋体" w:hAnsi="宋体" w:eastAsia="宋体" w:cs="宋体"/>
                <w:szCs w:val="21"/>
                <w:lang w:val="en-US" w:eastAsia="zh-CN"/>
              </w:rPr>
            </w:pPr>
            <w:r>
              <w:rPr>
                <w:rFonts w:hint="eastAsia" w:ascii="宋体" w:hAnsi="宋体" w:eastAsia="宋体" w:cs="宋体"/>
                <w:szCs w:val="21"/>
              </w:rPr>
              <w:t>★</w:t>
            </w:r>
            <w:r>
              <w:rPr>
                <w:rFonts w:hint="eastAsia" w:ascii="宋体" w:hAnsi="宋体" w:eastAsia="宋体" w:cs="宋体"/>
                <w:szCs w:val="21"/>
                <w:lang w:val="en-US" w:eastAsia="zh-CN"/>
              </w:rPr>
              <w:t>26、消声室符合GB 6882—2016 《声学噪声源声功率级的测定－消声室和全消声室精密法》、GB 3102.7—93 《声学的量和单位》、GB50800-2012《全消声室和半消声室技术规范》，满足GB26851《火灾声和或光警报器》附录B要求，满足GB26851《火灾声和或光警报器》警报信号一致性试验、警报信号性能要求试验验等。</w:t>
            </w:r>
          </w:p>
          <w:p w14:paraId="17544AEE">
            <w:pPr>
              <w:rPr>
                <w:rFonts w:hint="eastAsia" w:ascii="宋体" w:hAnsi="宋体" w:eastAsia="宋体" w:cs="宋体"/>
                <w:szCs w:val="21"/>
                <w:lang w:val="en-US" w:eastAsia="zh-CN"/>
              </w:rPr>
            </w:pPr>
            <w:r>
              <w:rPr>
                <w:rFonts w:hint="eastAsia" w:ascii="宋体" w:hAnsi="宋体" w:eastAsia="宋体" w:cs="宋体"/>
                <w:szCs w:val="21"/>
              </w:rPr>
              <w:t>★</w:t>
            </w:r>
            <w:r>
              <w:rPr>
                <w:rFonts w:hint="eastAsia" w:ascii="宋体" w:hAnsi="宋体" w:eastAsia="宋体" w:cs="宋体"/>
                <w:szCs w:val="21"/>
                <w:lang w:val="en-US" w:eastAsia="zh-CN"/>
              </w:rPr>
              <w:t>27、需提供需求方指定的省级及以上第三方校准机构进行计量校准，校准参数至少包括全消声室自由声场、背景噪声、本底噪声、自由场半径（截止频率）等，省级及以上第三方校准机构由需求方指定，计量校准相关的费用全部由供方支付，如不满足计量校准及相关指标要求，需方不予验收；</w:t>
            </w:r>
          </w:p>
          <w:p w14:paraId="0026B91C">
            <w:pPr>
              <w:rPr>
                <w:rFonts w:ascii="Times New Roman" w:hAnsi="Times New Roman" w:eastAsia="宋体" w:cs="Times New Roman"/>
                <w:szCs w:val="21"/>
              </w:rPr>
            </w:pPr>
          </w:p>
        </w:tc>
        <w:tc>
          <w:tcPr>
            <w:tcW w:w="333" w:type="pct"/>
            <w:shd w:val="clear" w:color="auto" w:fill="auto"/>
            <w:noWrap w:val="0"/>
            <w:vAlign w:val="center"/>
          </w:tcPr>
          <w:p w14:paraId="027CD781">
            <w:pPr>
              <w:rPr>
                <w:rFonts w:hint="eastAsia" w:ascii="Times New Roman" w:hAnsi="Times New Roman" w:eastAsia="宋体" w:cs="Times New Roman"/>
                <w:szCs w:val="21"/>
                <w:lang w:eastAsia="zh-CN"/>
              </w:rPr>
            </w:pPr>
            <w:r>
              <w:rPr>
                <w:rFonts w:hint="eastAsia" w:ascii="Times New Roman" w:hAnsi="Times New Roman" w:eastAsia="宋体" w:cs="Times New Roman"/>
                <w:szCs w:val="21"/>
                <w:lang w:eastAsia="zh-CN"/>
              </w:rPr>
              <w:t>套</w:t>
            </w:r>
          </w:p>
        </w:tc>
        <w:tc>
          <w:tcPr>
            <w:tcW w:w="330" w:type="pct"/>
            <w:shd w:val="clear" w:color="auto" w:fill="auto"/>
            <w:noWrap w:val="0"/>
            <w:vAlign w:val="center"/>
          </w:tcPr>
          <w:p w14:paraId="0C1947B8">
            <w:pPr>
              <w:rPr>
                <w:rFonts w:ascii="Times New Roman" w:hAnsi="Times New Roman" w:eastAsia="宋体" w:cs="Times New Roman"/>
                <w:szCs w:val="21"/>
              </w:rPr>
            </w:pPr>
            <w:r>
              <w:rPr>
                <w:rFonts w:ascii="Times New Roman" w:hAnsi="Times New Roman" w:eastAsia="宋体" w:cs="Times New Roman"/>
                <w:szCs w:val="21"/>
              </w:rPr>
              <w:t>1</w:t>
            </w:r>
          </w:p>
        </w:tc>
        <w:tc>
          <w:tcPr>
            <w:tcW w:w="1135" w:type="pct"/>
            <w:noWrap w:val="0"/>
            <w:vAlign w:val="center"/>
          </w:tcPr>
          <w:p w14:paraId="2E1D3CF3">
            <w:pPr>
              <w:jc w:val="center"/>
              <w:rPr>
                <w:rFonts w:hint="eastAsia" w:ascii="Times New Roman" w:hAnsi="Times New Roman" w:eastAsia="宋体" w:cs="Times New Roman"/>
                <w:szCs w:val="21"/>
                <w:lang w:eastAsia="zh-CN"/>
              </w:rPr>
            </w:pPr>
            <w:r>
              <w:rPr>
                <w:rFonts w:hint="eastAsia" w:ascii="Times New Roman" w:hAnsi="Times New Roman" w:eastAsia="宋体" w:cs="Times New Roman"/>
                <w:szCs w:val="21"/>
                <w:lang w:eastAsia="zh-CN"/>
              </w:rPr>
              <w:t>否</w:t>
            </w:r>
          </w:p>
        </w:tc>
        <w:tc>
          <w:tcPr>
            <w:tcW w:w="576" w:type="pct"/>
            <w:noWrap w:val="0"/>
            <w:vAlign w:val="center"/>
          </w:tcPr>
          <w:p w14:paraId="1116DD74">
            <w:pPr>
              <w:jc w:val="center"/>
              <w:rPr>
                <w:rFonts w:ascii="Times New Roman" w:hAnsi="Times New Roman" w:eastAsia="宋体" w:cs="Times New Roman"/>
                <w:szCs w:val="21"/>
              </w:rPr>
            </w:pPr>
            <w:r>
              <w:rPr>
                <w:rFonts w:ascii="Times New Roman" w:hAnsi="Times New Roman" w:eastAsia="宋体" w:cs="Times New Roman"/>
                <w:szCs w:val="21"/>
              </w:rPr>
              <w:t>否</w:t>
            </w:r>
          </w:p>
        </w:tc>
      </w:tr>
    </w:tbl>
    <w:p w14:paraId="79A6AE54">
      <w:pPr>
        <w:keepNext w:val="0"/>
        <w:keepLines w:val="0"/>
        <w:pageBreakBefore w:val="0"/>
        <w:kinsoku/>
        <w:wordWrap/>
        <w:overflowPunct/>
        <w:topLinePunct w:val="0"/>
        <w:autoSpaceDN/>
        <w:bidi w:val="0"/>
        <w:spacing w:line="360" w:lineRule="auto"/>
        <w:ind w:firstLine="560" w:firstLineChars="200"/>
        <w:jc w:val="left"/>
        <w:textAlignment w:val="auto"/>
        <w:rPr>
          <w:rFonts w:hint="eastAsia" w:ascii="宋体" w:hAnsi="宋体" w:cs="宋体"/>
          <w:b w:val="0"/>
          <w:bCs w:val="0"/>
          <w:color w:val="auto"/>
          <w:kern w:val="2"/>
          <w:sz w:val="28"/>
          <w:szCs w:val="28"/>
          <w:highlight w:val="none"/>
          <w:u w:val="none"/>
          <w:lang w:val="en-US" w:eastAsia="zh-CN" w:bidi="ar"/>
        </w:rPr>
      </w:pPr>
    </w:p>
    <w:p w14:paraId="69942DBA">
      <w:pPr>
        <w:keepNext w:val="0"/>
        <w:keepLines w:val="0"/>
        <w:pageBreakBefore w:val="0"/>
        <w:kinsoku/>
        <w:wordWrap/>
        <w:overflowPunct/>
        <w:topLinePunct w:val="0"/>
        <w:autoSpaceDN/>
        <w:bidi w:val="0"/>
        <w:spacing w:line="360" w:lineRule="auto"/>
        <w:ind w:firstLine="562" w:firstLineChars="200"/>
        <w:jc w:val="left"/>
        <w:textAlignment w:val="auto"/>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lang w:val="en-US" w:eastAsia="zh-CN"/>
        </w:rPr>
        <w:t>四</w:t>
      </w:r>
      <w:r>
        <w:rPr>
          <w:rFonts w:hint="eastAsia" w:ascii="宋体" w:hAnsi="宋体" w:eastAsia="宋体" w:cs="宋体"/>
          <w:b/>
          <w:color w:val="auto"/>
          <w:sz w:val="28"/>
          <w:szCs w:val="28"/>
          <w:highlight w:val="none"/>
        </w:rPr>
        <w:t>、实施要求或标准</w:t>
      </w:r>
    </w:p>
    <w:p w14:paraId="5E6C5403">
      <w:pPr>
        <w:keepNext w:val="0"/>
        <w:keepLines w:val="0"/>
        <w:pageBreakBefore w:val="0"/>
        <w:kinsoku/>
        <w:wordWrap/>
        <w:overflowPunct/>
        <w:topLinePunct w:val="0"/>
        <w:autoSpaceDN/>
        <w:bidi w:val="0"/>
        <w:spacing w:line="360" w:lineRule="auto"/>
        <w:ind w:firstLine="560" w:firstLineChars="200"/>
        <w:jc w:val="left"/>
        <w:textAlignment w:val="auto"/>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该</w:t>
      </w:r>
      <w:r>
        <w:rPr>
          <w:rFonts w:hint="eastAsia" w:ascii="宋体" w:hAnsi="宋体" w:cs="宋体"/>
          <w:color w:val="auto"/>
          <w:sz w:val="28"/>
          <w:szCs w:val="28"/>
          <w:highlight w:val="none"/>
          <w:lang w:eastAsia="zh-CN"/>
        </w:rPr>
        <w:t>项目</w:t>
      </w:r>
      <w:r>
        <w:rPr>
          <w:rFonts w:hint="eastAsia" w:ascii="宋体" w:hAnsi="宋体" w:eastAsia="宋体" w:cs="宋体"/>
          <w:color w:val="auto"/>
          <w:sz w:val="28"/>
          <w:szCs w:val="28"/>
          <w:highlight w:val="none"/>
        </w:rPr>
        <w:t>主要是</w:t>
      </w:r>
      <w:r>
        <w:rPr>
          <w:rFonts w:hint="eastAsia" w:ascii="宋体" w:hAnsi="宋体" w:cs="宋体"/>
          <w:color w:val="auto"/>
          <w:sz w:val="28"/>
          <w:szCs w:val="28"/>
          <w:highlight w:val="none"/>
          <w:lang w:eastAsia="zh-CN"/>
        </w:rPr>
        <w:t>消音室</w:t>
      </w:r>
      <w:r>
        <w:rPr>
          <w:rFonts w:hint="eastAsia" w:ascii="宋体" w:hAnsi="宋体" w:cs="宋体"/>
          <w:b w:val="0"/>
          <w:bCs/>
          <w:color w:val="auto"/>
          <w:sz w:val="28"/>
          <w:szCs w:val="28"/>
          <w:highlight w:val="none"/>
          <w:lang w:eastAsia="zh-CN"/>
        </w:rPr>
        <w:t>系统以及</w:t>
      </w:r>
      <w:r>
        <w:rPr>
          <w:rFonts w:hint="eastAsia" w:ascii="宋体" w:hAnsi="宋体" w:eastAsia="宋体" w:cs="宋体"/>
          <w:b w:val="0"/>
          <w:bCs/>
          <w:color w:val="auto"/>
          <w:sz w:val="28"/>
          <w:szCs w:val="28"/>
          <w:highlight w:val="none"/>
        </w:rPr>
        <w:t>安装、调试、运维工作，</w:t>
      </w:r>
      <w:r>
        <w:rPr>
          <w:rFonts w:hint="eastAsia" w:ascii="宋体" w:hAnsi="宋体" w:cs="宋体"/>
          <w:b w:val="0"/>
          <w:bCs/>
          <w:color w:val="auto"/>
          <w:sz w:val="28"/>
          <w:szCs w:val="28"/>
          <w:highlight w:val="none"/>
          <w:lang w:eastAsia="zh-CN"/>
        </w:rPr>
        <w:t>项目</w:t>
      </w:r>
      <w:r>
        <w:rPr>
          <w:rFonts w:hint="eastAsia" w:ascii="宋体" w:hAnsi="宋体" w:eastAsia="宋体" w:cs="宋体"/>
          <w:b w:val="0"/>
          <w:bCs/>
          <w:color w:val="auto"/>
          <w:sz w:val="28"/>
          <w:szCs w:val="28"/>
          <w:highlight w:val="none"/>
        </w:rPr>
        <w:t>结束后，业主部门要进行检测验收。系统到货后，</w:t>
      </w:r>
      <w:r>
        <w:rPr>
          <w:rFonts w:hint="eastAsia" w:ascii="宋体" w:hAnsi="宋体" w:eastAsia="宋体" w:cs="宋体"/>
          <w:color w:val="auto"/>
          <w:sz w:val="28"/>
          <w:szCs w:val="28"/>
          <w:highlight w:val="none"/>
        </w:rPr>
        <w:t>用户要进行验收。应当做到：</w:t>
      </w:r>
    </w:p>
    <w:p w14:paraId="2868E699">
      <w:pPr>
        <w:keepNext w:val="0"/>
        <w:keepLines w:val="0"/>
        <w:pageBreakBefore w:val="0"/>
        <w:kinsoku/>
        <w:wordWrap/>
        <w:overflowPunct/>
        <w:topLinePunct w:val="0"/>
        <w:autoSpaceDN/>
        <w:bidi w:val="0"/>
        <w:spacing w:line="360" w:lineRule="auto"/>
        <w:ind w:firstLine="560" w:firstLineChars="200"/>
        <w:jc w:val="left"/>
        <w:textAlignment w:val="auto"/>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1、</w:t>
      </w:r>
      <w:r>
        <w:rPr>
          <w:rFonts w:hint="eastAsia" w:ascii="宋体" w:hAnsi="宋体" w:cs="宋体"/>
          <w:color w:val="auto"/>
          <w:sz w:val="28"/>
          <w:szCs w:val="28"/>
          <w:highlight w:val="none"/>
          <w:lang w:eastAsia="zh-CN"/>
        </w:rPr>
        <w:t>消音室及</w:t>
      </w:r>
      <w:r>
        <w:rPr>
          <w:rFonts w:hint="eastAsia" w:ascii="宋体" w:hAnsi="宋体" w:eastAsia="宋体" w:cs="宋体"/>
          <w:b w:val="0"/>
          <w:bCs/>
          <w:color w:val="auto"/>
          <w:sz w:val="28"/>
          <w:szCs w:val="28"/>
          <w:highlight w:val="none"/>
        </w:rPr>
        <w:t>配套</w:t>
      </w:r>
      <w:r>
        <w:rPr>
          <w:rFonts w:hint="eastAsia" w:ascii="宋体" w:hAnsi="宋体" w:cs="宋体"/>
          <w:b w:val="0"/>
          <w:bCs/>
          <w:color w:val="auto"/>
          <w:sz w:val="28"/>
          <w:szCs w:val="28"/>
          <w:highlight w:val="none"/>
          <w:lang w:eastAsia="zh-CN"/>
        </w:rPr>
        <w:t>系统、</w:t>
      </w:r>
      <w:r>
        <w:rPr>
          <w:rFonts w:hint="eastAsia" w:ascii="宋体" w:hAnsi="宋体" w:eastAsia="宋体" w:cs="宋体"/>
          <w:color w:val="auto"/>
          <w:sz w:val="28"/>
          <w:szCs w:val="28"/>
          <w:highlight w:val="none"/>
          <w:lang w:eastAsia="zh-CN"/>
        </w:rPr>
        <w:t>相关</w:t>
      </w:r>
      <w:r>
        <w:rPr>
          <w:rFonts w:hint="eastAsia" w:ascii="宋体" w:hAnsi="宋体" w:eastAsia="宋体" w:cs="宋体"/>
          <w:color w:val="auto"/>
          <w:sz w:val="28"/>
          <w:szCs w:val="28"/>
          <w:highlight w:val="none"/>
        </w:rPr>
        <w:t>配</w:t>
      </w:r>
      <w:r>
        <w:rPr>
          <w:rFonts w:hint="eastAsia" w:ascii="宋体" w:hAnsi="宋体" w:eastAsia="宋体" w:cs="宋体"/>
          <w:color w:val="auto"/>
          <w:sz w:val="28"/>
          <w:szCs w:val="28"/>
          <w:highlight w:val="none"/>
          <w:lang w:eastAsia="zh-CN"/>
        </w:rPr>
        <w:t>件</w:t>
      </w:r>
      <w:r>
        <w:rPr>
          <w:rFonts w:hint="eastAsia" w:ascii="宋体" w:hAnsi="宋体" w:eastAsia="宋体" w:cs="宋体"/>
          <w:color w:val="auto"/>
          <w:sz w:val="28"/>
          <w:szCs w:val="28"/>
          <w:highlight w:val="none"/>
        </w:rPr>
        <w:t>外包装完好无破损</w:t>
      </w:r>
    </w:p>
    <w:p w14:paraId="1B1FB5E4">
      <w:pPr>
        <w:spacing w:line="360" w:lineRule="auto"/>
        <w:ind w:firstLine="560" w:firstLineChars="200"/>
        <w:jc w:val="left"/>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2、</w:t>
      </w:r>
      <w:r>
        <w:rPr>
          <w:rFonts w:hint="eastAsia" w:ascii="宋体" w:hAnsi="宋体" w:cs="宋体"/>
          <w:color w:val="auto"/>
          <w:sz w:val="28"/>
          <w:szCs w:val="28"/>
          <w:highlight w:val="none"/>
          <w:lang w:eastAsia="zh-CN"/>
        </w:rPr>
        <w:t>消音室及</w:t>
      </w:r>
      <w:r>
        <w:rPr>
          <w:rFonts w:hint="eastAsia" w:ascii="宋体" w:hAnsi="宋体" w:eastAsia="宋体" w:cs="宋体"/>
          <w:b w:val="0"/>
          <w:bCs/>
          <w:color w:val="auto"/>
          <w:sz w:val="28"/>
          <w:szCs w:val="28"/>
          <w:highlight w:val="none"/>
        </w:rPr>
        <w:t>配套</w:t>
      </w:r>
      <w:r>
        <w:rPr>
          <w:rFonts w:hint="eastAsia" w:ascii="宋体" w:hAnsi="宋体" w:cs="宋体"/>
          <w:b w:val="0"/>
          <w:bCs/>
          <w:color w:val="auto"/>
          <w:sz w:val="28"/>
          <w:szCs w:val="28"/>
          <w:highlight w:val="none"/>
          <w:lang w:eastAsia="zh-CN"/>
        </w:rPr>
        <w:t>系统</w:t>
      </w:r>
      <w:r>
        <w:rPr>
          <w:rFonts w:hint="eastAsia" w:ascii="宋体" w:hAnsi="宋体" w:eastAsia="宋体" w:cs="宋体"/>
          <w:color w:val="auto"/>
          <w:sz w:val="28"/>
          <w:szCs w:val="28"/>
          <w:highlight w:val="none"/>
        </w:rPr>
        <w:t>全新，配件齐全，与对应的装箱清单一致。</w:t>
      </w:r>
    </w:p>
    <w:p w14:paraId="264354EA">
      <w:pPr>
        <w:spacing w:line="360" w:lineRule="auto"/>
        <w:ind w:firstLine="560" w:firstLineChars="200"/>
        <w:jc w:val="left"/>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3、现场安装调试，</w:t>
      </w:r>
      <w:r>
        <w:rPr>
          <w:rFonts w:hint="eastAsia" w:ascii="宋体" w:hAnsi="宋体" w:cs="宋体"/>
          <w:color w:val="auto"/>
          <w:sz w:val="28"/>
          <w:szCs w:val="28"/>
          <w:highlight w:val="none"/>
          <w:lang w:eastAsia="zh-CN"/>
        </w:rPr>
        <w:t>消音室及</w:t>
      </w:r>
      <w:r>
        <w:rPr>
          <w:rFonts w:hint="eastAsia" w:ascii="宋体" w:hAnsi="宋体" w:eastAsia="宋体" w:cs="宋体"/>
          <w:b w:val="0"/>
          <w:bCs/>
          <w:color w:val="auto"/>
          <w:sz w:val="28"/>
          <w:szCs w:val="28"/>
          <w:highlight w:val="none"/>
        </w:rPr>
        <w:t>配套</w:t>
      </w:r>
      <w:r>
        <w:rPr>
          <w:rFonts w:hint="eastAsia" w:ascii="宋体" w:hAnsi="宋体" w:cs="宋体"/>
          <w:b w:val="0"/>
          <w:bCs/>
          <w:color w:val="auto"/>
          <w:sz w:val="28"/>
          <w:szCs w:val="28"/>
          <w:highlight w:val="none"/>
          <w:lang w:eastAsia="zh-CN"/>
        </w:rPr>
        <w:t>系统</w:t>
      </w:r>
      <w:r>
        <w:rPr>
          <w:rFonts w:hint="eastAsia" w:ascii="宋体" w:hAnsi="宋体" w:eastAsia="宋体" w:cs="宋体"/>
          <w:color w:val="auto"/>
          <w:sz w:val="28"/>
          <w:szCs w:val="28"/>
          <w:highlight w:val="none"/>
          <w:lang w:val="en-US" w:eastAsia="zh-CN"/>
        </w:rPr>
        <w:t>使用正常。</w:t>
      </w:r>
    </w:p>
    <w:p w14:paraId="5250F791">
      <w:pPr>
        <w:spacing w:line="360" w:lineRule="auto"/>
        <w:ind w:firstLine="562" w:firstLineChars="200"/>
        <w:jc w:val="left"/>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lang w:val="en-US" w:eastAsia="zh-CN"/>
        </w:rPr>
        <w:t>五</w:t>
      </w:r>
      <w:r>
        <w:rPr>
          <w:rFonts w:hint="eastAsia" w:ascii="宋体" w:hAnsi="宋体" w:eastAsia="宋体" w:cs="宋体"/>
          <w:b/>
          <w:bCs/>
          <w:color w:val="auto"/>
          <w:sz w:val="28"/>
          <w:szCs w:val="28"/>
          <w:highlight w:val="none"/>
        </w:rPr>
        <w:t>、商务需求</w:t>
      </w:r>
    </w:p>
    <w:p w14:paraId="028BA8F6">
      <w:pPr>
        <w:spacing w:line="360" w:lineRule="auto"/>
        <w:ind w:firstLine="560" w:firstLineChars="200"/>
        <w:jc w:val="left"/>
        <w:rPr>
          <w:rFonts w:hint="eastAsia" w:ascii="宋体" w:hAnsi="宋体" w:eastAsia="宋体" w:cs="宋体"/>
          <w:b w:val="0"/>
          <w:bCs/>
          <w:color w:val="auto"/>
          <w:sz w:val="28"/>
          <w:szCs w:val="28"/>
          <w:highlight w:val="none"/>
        </w:rPr>
      </w:pPr>
      <w:r>
        <w:rPr>
          <w:rFonts w:hint="eastAsia" w:ascii="宋体" w:hAnsi="宋体" w:eastAsia="宋体" w:cs="宋体"/>
          <w:b w:val="0"/>
          <w:bCs/>
          <w:color w:val="auto"/>
          <w:sz w:val="28"/>
          <w:szCs w:val="28"/>
          <w:highlight w:val="none"/>
        </w:rPr>
        <w:t>供应商资格条件</w:t>
      </w:r>
    </w:p>
    <w:p w14:paraId="7A9BCAE9">
      <w:pPr>
        <w:spacing w:line="360" w:lineRule="auto"/>
        <w:ind w:firstLine="560" w:firstLineChars="200"/>
        <w:jc w:val="left"/>
        <w:rPr>
          <w:rFonts w:hint="eastAsia" w:ascii="宋体" w:hAnsi="宋体" w:eastAsia="宋体" w:cs="宋体"/>
          <w:b/>
          <w:bCs/>
          <w:color w:val="auto"/>
          <w:sz w:val="28"/>
          <w:szCs w:val="28"/>
          <w:highlight w:val="none"/>
        </w:rPr>
      </w:pPr>
      <w:r>
        <w:rPr>
          <w:rFonts w:hint="eastAsia" w:ascii="宋体" w:hAnsi="宋体" w:eastAsia="宋体" w:cs="宋体"/>
          <w:b w:val="0"/>
          <w:bCs/>
          <w:color w:val="auto"/>
          <w:sz w:val="28"/>
          <w:szCs w:val="28"/>
          <w:highlight w:val="none"/>
          <w:lang w:val="en-US" w:eastAsia="zh-CN"/>
        </w:rPr>
        <w:t>1、</w:t>
      </w:r>
      <w:r>
        <w:rPr>
          <w:rFonts w:hint="eastAsia" w:ascii="宋体" w:hAnsi="宋体" w:eastAsia="宋体" w:cs="宋体"/>
          <w:color w:val="auto"/>
          <w:sz w:val="28"/>
          <w:szCs w:val="28"/>
          <w:highlight w:val="none"/>
        </w:rPr>
        <w:t>供应商具备独立法人资格，营业执照在有效期内，具备相应的营业范围</w:t>
      </w:r>
      <w:r>
        <w:rPr>
          <w:rFonts w:hint="eastAsia" w:ascii="宋体" w:hAnsi="宋体" w:eastAsia="宋体" w:cs="宋体"/>
          <w:b/>
          <w:bCs/>
          <w:color w:val="auto"/>
          <w:sz w:val="28"/>
          <w:szCs w:val="28"/>
          <w:highlight w:val="none"/>
        </w:rPr>
        <w:t>；</w:t>
      </w:r>
    </w:p>
    <w:p w14:paraId="55896C02">
      <w:pPr>
        <w:spacing w:line="360" w:lineRule="auto"/>
        <w:ind w:firstLine="562" w:firstLineChars="200"/>
        <w:jc w:val="left"/>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2、</w:t>
      </w:r>
      <w:r>
        <w:rPr>
          <w:rFonts w:hint="eastAsia" w:ascii="宋体" w:hAnsi="宋体" w:eastAsia="宋体" w:cs="宋体"/>
          <w:color w:val="auto"/>
          <w:sz w:val="28"/>
          <w:szCs w:val="28"/>
          <w:highlight w:val="none"/>
        </w:rPr>
        <w:t>在人员、设备、资金等方面具有相应的施工能力，具有履行合同所必需的设备和专业技术能力；</w:t>
      </w:r>
    </w:p>
    <w:p w14:paraId="5C935C1D">
      <w:pPr>
        <w:spacing w:line="360" w:lineRule="auto"/>
        <w:ind w:firstLine="562" w:firstLineChars="200"/>
        <w:jc w:val="left"/>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3、</w:t>
      </w:r>
      <w:r>
        <w:rPr>
          <w:rFonts w:hint="eastAsia" w:ascii="宋体" w:hAnsi="宋体" w:eastAsia="宋体" w:cs="宋体"/>
          <w:color w:val="auto"/>
          <w:sz w:val="28"/>
          <w:szCs w:val="28"/>
          <w:highlight w:val="none"/>
        </w:rPr>
        <w:t>具有良好的商业信誉和健全的财务会计制度；</w:t>
      </w:r>
    </w:p>
    <w:p w14:paraId="29134ABD">
      <w:pPr>
        <w:spacing w:line="360" w:lineRule="auto"/>
        <w:ind w:firstLine="650"/>
        <w:jc w:val="left"/>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4、</w:t>
      </w:r>
      <w:r>
        <w:rPr>
          <w:rFonts w:hint="eastAsia" w:ascii="宋体" w:hAnsi="宋体" w:eastAsia="宋体" w:cs="宋体"/>
          <w:color w:val="auto"/>
          <w:sz w:val="28"/>
          <w:szCs w:val="28"/>
          <w:highlight w:val="none"/>
        </w:rPr>
        <w:t>有依法缴纳税收和社会保障资金的良好记录；</w:t>
      </w:r>
    </w:p>
    <w:p w14:paraId="23315988">
      <w:pPr>
        <w:spacing w:line="360" w:lineRule="auto"/>
        <w:ind w:firstLine="640"/>
        <w:jc w:val="left"/>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5、</w:t>
      </w:r>
      <w:r>
        <w:rPr>
          <w:rFonts w:hint="eastAsia" w:ascii="宋体" w:hAnsi="宋体" w:eastAsia="宋体" w:cs="宋体"/>
          <w:color w:val="auto"/>
          <w:sz w:val="28"/>
          <w:szCs w:val="28"/>
          <w:highlight w:val="none"/>
        </w:rPr>
        <w:t>近三年内（本项目报价截止日前）供应商在经营活动中没有重大违法记录；</w:t>
      </w:r>
    </w:p>
    <w:p w14:paraId="00E9AFCE">
      <w:pPr>
        <w:spacing w:line="360" w:lineRule="auto"/>
        <w:ind w:firstLine="562" w:firstLineChars="200"/>
        <w:jc w:val="left"/>
        <w:rPr>
          <w:rFonts w:hint="eastAsia" w:ascii="宋体" w:hAnsi="宋体" w:cs="宋体"/>
          <w:color w:val="auto"/>
          <w:sz w:val="28"/>
          <w:szCs w:val="28"/>
          <w:highlight w:val="none"/>
          <w:lang w:eastAsia="zh-CN"/>
        </w:rPr>
      </w:pPr>
      <w:r>
        <w:rPr>
          <w:rFonts w:hint="eastAsia" w:ascii="宋体" w:hAnsi="宋体" w:eastAsia="宋体" w:cs="宋体"/>
          <w:b/>
          <w:bCs/>
          <w:color w:val="auto"/>
          <w:sz w:val="28"/>
          <w:szCs w:val="28"/>
          <w:highlight w:val="none"/>
        </w:rPr>
        <w:t>6、</w:t>
      </w:r>
      <w:r>
        <w:rPr>
          <w:rFonts w:hint="eastAsia" w:ascii="宋体" w:hAnsi="宋体" w:eastAsia="宋体" w:cs="宋体"/>
          <w:color w:val="auto"/>
          <w:sz w:val="28"/>
          <w:szCs w:val="28"/>
          <w:highlight w:val="none"/>
        </w:rPr>
        <w:t>信誉要求：“信用中国”网站或“中国政府采购网”网站等渠道查询投标主体信用记录，并打印网站查询结果的截图</w:t>
      </w:r>
      <w:r>
        <w:rPr>
          <w:rFonts w:hint="eastAsia" w:ascii="宋体" w:hAnsi="宋体" w:cs="宋体"/>
          <w:color w:val="auto"/>
          <w:sz w:val="28"/>
          <w:szCs w:val="28"/>
          <w:highlight w:val="none"/>
          <w:lang w:eastAsia="zh-CN"/>
        </w:rPr>
        <w:t>；</w:t>
      </w:r>
    </w:p>
    <w:p w14:paraId="148A9937">
      <w:pPr>
        <w:spacing w:line="360" w:lineRule="auto"/>
        <w:ind w:firstLine="560" w:firstLineChars="200"/>
        <w:jc w:val="left"/>
        <w:rPr>
          <w:rFonts w:hint="eastAsia" w:ascii="宋体" w:hAnsi="宋体" w:cs="宋体"/>
          <w:color w:val="auto"/>
          <w:sz w:val="28"/>
          <w:szCs w:val="28"/>
          <w:highlight w:val="none"/>
          <w:lang w:val="en-US" w:eastAsia="zh-CN"/>
        </w:rPr>
      </w:pPr>
      <w:r>
        <w:rPr>
          <w:rFonts w:hint="eastAsia" w:ascii="宋体" w:hAnsi="宋体" w:cs="宋体"/>
          <w:color w:val="auto"/>
          <w:sz w:val="28"/>
          <w:szCs w:val="28"/>
          <w:highlight w:val="none"/>
          <w:lang w:val="en-US" w:eastAsia="zh-CN"/>
        </w:rPr>
        <w:t>7、供应商（制造商或代理商）须按有关标准及规范完成本次采购仪器设备的制造与供货、运输（含保险、装卸车）、安装、调试与技术培训、检验、检测、通过有关部门验收、质保期内服务、终身维修等各项工作，并保证其使用的安全性与可靠性。供应商及制造商须对中标仪器设备使用的安全性、有效性及检测结果的可靠性负全部责任。</w:t>
      </w:r>
    </w:p>
    <w:p w14:paraId="593C6EC1">
      <w:pPr>
        <w:spacing w:line="360" w:lineRule="auto"/>
        <w:ind w:firstLine="560" w:firstLineChars="200"/>
        <w:jc w:val="left"/>
        <w:rPr>
          <w:rFonts w:hint="eastAsia" w:ascii="宋体" w:hAnsi="宋体" w:cs="宋体"/>
          <w:color w:val="auto"/>
          <w:sz w:val="28"/>
          <w:szCs w:val="28"/>
          <w:highlight w:val="none"/>
          <w:lang w:val="en-US" w:eastAsia="zh-CN"/>
        </w:rPr>
      </w:pPr>
      <w:r>
        <w:rPr>
          <w:rFonts w:hint="eastAsia" w:ascii="宋体" w:hAnsi="宋体" w:cs="宋体"/>
          <w:color w:val="auto"/>
          <w:sz w:val="28"/>
          <w:szCs w:val="28"/>
          <w:highlight w:val="none"/>
          <w:lang w:val="en-US" w:eastAsia="zh-CN"/>
        </w:rPr>
        <w:t>8、供应商应保证提供的货物为合法生产企业的产品，符合国家有关法律、法规、规定和标准。按国家规定应通过有关部门鉴定（批准）的产品，应保证已按国家规定通过了鉴定（批准），并附鉴定文件（批准证书）的复印件。实行产品许可证制度的产品还须提供生产许可证复印件，供应商提供的产品应适合采购人的工作条件。</w:t>
      </w:r>
    </w:p>
    <w:p w14:paraId="629E74BC">
      <w:pPr>
        <w:spacing w:line="360" w:lineRule="auto"/>
        <w:ind w:firstLine="560" w:firstLineChars="200"/>
        <w:jc w:val="left"/>
        <w:rPr>
          <w:rFonts w:hint="default" w:ascii="宋体" w:hAnsi="宋体" w:cs="宋体"/>
          <w:color w:val="auto"/>
          <w:sz w:val="28"/>
          <w:szCs w:val="28"/>
          <w:highlight w:val="none"/>
          <w:lang w:val="en-US" w:eastAsia="zh-CN"/>
        </w:rPr>
      </w:pPr>
      <w:r>
        <w:rPr>
          <w:rFonts w:hint="eastAsia" w:ascii="宋体" w:hAnsi="宋体" w:cs="宋体"/>
          <w:color w:val="auto"/>
          <w:sz w:val="28"/>
          <w:szCs w:val="28"/>
          <w:highlight w:val="none"/>
          <w:lang w:val="en-US" w:eastAsia="zh-CN"/>
        </w:rPr>
        <w:t>9、具有近两年省级或国家级第三方检测试验室（具有CNAS、MA认可资质）消音室应用案例并提供相关发票证明。</w:t>
      </w:r>
    </w:p>
    <w:p w14:paraId="3BD4FD21">
      <w:pPr>
        <w:spacing w:line="360" w:lineRule="auto"/>
        <w:ind w:firstLine="562" w:firstLineChars="200"/>
        <w:jc w:val="left"/>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1、供货要求</w:t>
      </w:r>
    </w:p>
    <w:p w14:paraId="0DACDF77">
      <w:pPr>
        <w:spacing w:line="360" w:lineRule="auto"/>
        <w:ind w:firstLine="560" w:firstLineChars="200"/>
        <w:jc w:val="left"/>
        <w:rPr>
          <w:rFonts w:hint="eastAsia" w:ascii="宋体" w:hAnsi="宋体" w:eastAsia="宋体" w:cs="宋体"/>
          <w:color w:val="auto"/>
          <w:sz w:val="28"/>
          <w:szCs w:val="28"/>
          <w:highlight w:val="none"/>
          <w:lang w:eastAsia="zh-CN"/>
        </w:rPr>
      </w:pPr>
      <w:r>
        <w:rPr>
          <w:rFonts w:hint="eastAsia" w:ascii="宋体" w:hAnsi="宋体" w:eastAsia="宋体" w:cs="宋体"/>
          <w:color w:val="auto"/>
          <w:sz w:val="28"/>
          <w:szCs w:val="28"/>
          <w:highlight w:val="none"/>
        </w:rPr>
        <w:t xml:space="preserve">交货期：合同签订后合同签订生效之日起 </w:t>
      </w:r>
      <w:r>
        <w:rPr>
          <w:rFonts w:hint="eastAsia" w:ascii="宋体" w:hAnsi="宋体" w:cs="宋体"/>
          <w:color w:val="auto"/>
          <w:sz w:val="28"/>
          <w:szCs w:val="28"/>
          <w:highlight w:val="none"/>
          <w:lang w:val="en-US" w:eastAsia="zh-CN"/>
        </w:rPr>
        <w:t>90</w:t>
      </w:r>
      <w:r>
        <w:rPr>
          <w:rFonts w:hint="eastAsia" w:ascii="宋体" w:hAnsi="宋体" w:eastAsia="宋体" w:cs="宋体"/>
          <w:color w:val="auto"/>
          <w:sz w:val="28"/>
          <w:szCs w:val="28"/>
          <w:highlight w:val="none"/>
        </w:rPr>
        <w:t xml:space="preserve"> 个日历天内完成整个项目的供货、安装、调试完毕并交付采购人使用</w:t>
      </w:r>
      <w:r>
        <w:rPr>
          <w:rFonts w:hint="eastAsia" w:ascii="宋体" w:hAnsi="宋体" w:cs="宋体"/>
          <w:color w:val="auto"/>
          <w:sz w:val="28"/>
          <w:szCs w:val="28"/>
          <w:highlight w:val="none"/>
          <w:lang w:eastAsia="zh-CN"/>
        </w:rPr>
        <w:t>；</w:t>
      </w:r>
    </w:p>
    <w:p w14:paraId="59721357">
      <w:pPr>
        <w:spacing w:line="360" w:lineRule="auto"/>
        <w:ind w:firstLine="560" w:firstLineChars="200"/>
        <w:jc w:val="left"/>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交货方式：卖方送货上门；</w:t>
      </w:r>
    </w:p>
    <w:p w14:paraId="41A32E62">
      <w:pPr>
        <w:spacing w:line="360" w:lineRule="auto"/>
        <w:ind w:firstLine="560" w:firstLineChars="200"/>
        <w:jc w:val="left"/>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交货地点：用户指定地点。</w:t>
      </w:r>
    </w:p>
    <w:p w14:paraId="308DDA26">
      <w:pPr>
        <w:spacing w:line="360" w:lineRule="auto"/>
        <w:ind w:firstLine="562" w:firstLineChars="200"/>
        <w:jc w:val="left"/>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2、安装调试</w:t>
      </w:r>
    </w:p>
    <w:p w14:paraId="2E9B4A0B">
      <w:pPr>
        <w:spacing w:line="360" w:lineRule="auto"/>
        <w:ind w:firstLine="560" w:firstLineChars="200"/>
        <w:jc w:val="left"/>
        <w:rPr>
          <w:rFonts w:hint="eastAsia" w:ascii="宋体" w:hAnsi="宋体" w:eastAsia="宋体" w:cs="宋体"/>
          <w:color w:val="auto"/>
          <w:sz w:val="28"/>
          <w:szCs w:val="28"/>
          <w:highlight w:val="none"/>
        </w:rPr>
      </w:pPr>
      <w:bookmarkStart w:id="8" w:name="_Hlk139053793"/>
      <w:r>
        <w:rPr>
          <w:rFonts w:hint="eastAsia" w:ascii="宋体" w:hAnsi="宋体" w:eastAsia="宋体" w:cs="宋体"/>
          <w:color w:val="auto"/>
          <w:sz w:val="28"/>
          <w:szCs w:val="28"/>
          <w:highlight w:val="none"/>
        </w:rPr>
        <w:t>卖方根据用户实际需求，上门为客户安装调试，直到满足用户使用需求。</w:t>
      </w:r>
      <w:bookmarkEnd w:id="8"/>
    </w:p>
    <w:p w14:paraId="01DF51FA">
      <w:pPr>
        <w:spacing w:line="360" w:lineRule="auto"/>
        <w:ind w:firstLine="562" w:firstLineChars="200"/>
        <w:jc w:val="left"/>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3、检测验收</w:t>
      </w:r>
    </w:p>
    <w:p w14:paraId="75C62D9D">
      <w:pPr>
        <w:spacing w:line="360" w:lineRule="auto"/>
        <w:ind w:firstLine="560" w:firstLineChars="200"/>
        <w:jc w:val="left"/>
        <w:rPr>
          <w:rFonts w:hint="eastAsia" w:ascii="宋体" w:hAnsi="宋体" w:eastAsia="宋体" w:cs="宋体"/>
          <w:color w:val="auto"/>
          <w:sz w:val="28"/>
          <w:szCs w:val="28"/>
          <w:highlight w:val="none"/>
        </w:rPr>
      </w:pPr>
      <w:bookmarkStart w:id="9" w:name="_Hlk139053806"/>
      <w:r>
        <w:rPr>
          <w:rFonts w:hint="eastAsia" w:ascii="宋体" w:hAnsi="宋体" w:eastAsia="宋体" w:cs="宋体"/>
          <w:color w:val="auto"/>
          <w:sz w:val="28"/>
          <w:szCs w:val="28"/>
          <w:highlight w:val="none"/>
        </w:rPr>
        <w:t>本项目完工后，采购单位根据规定组织验收小组按照国家有关规定组织验收并填写“合格验收单”，完成货物所有权的移交工作。</w:t>
      </w:r>
    </w:p>
    <w:p w14:paraId="10591CD3">
      <w:pPr>
        <w:spacing w:line="360" w:lineRule="auto"/>
        <w:ind w:firstLine="560" w:firstLineChars="200"/>
        <w:jc w:val="left"/>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（1）质量验收标准：按照此需求书第三项进项验收。</w:t>
      </w:r>
    </w:p>
    <w:p w14:paraId="5E1E7774">
      <w:pPr>
        <w:spacing w:line="360" w:lineRule="auto"/>
        <w:ind w:firstLine="560" w:firstLineChars="200"/>
        <w:jc w:val="left"/>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（2）卖方应保证所有货物质量符合技术标准和验收标准。</w:t>
      </w:r>
      <w:bookmarkEnd w:id="9"/>
    </w:p>
    <w:p w14:paraId="04D3A077">
      <w:pPr>
        <w:spacing w:line="360" w:lineRule="auto"/>
        <w:ind w:firstLine="562" w:firstLineChars="200"/>
        <w:jc w:val="left"/>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4、售后服务</w:t>
      </w:r>
    </w:p>
    <w:p w14:paraId="3C32CF66">
      <w:pPr>
        <w:spacing w:line="360" w:lineRule="auto"/>
        <w:ind w:firstLine="560" w:firstLineChars="200"/>
        <w:jc w:val="left"/>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对采购单位的服务通知，供应商应提供7*24响应服务，在接报后1小时内响应，4小时内到达现场， 12 小时内处理完毕。若在 12 小时内仍未能有效解决，供应商须免费提供同档次的设备予采购单位临时使用。</w:t>
      </w:r>
    </w:p>
    <w:p w14:paraId="6FDB0A75">
      <w:pPr>
        <w:spacing w:line="360" w:lineRule="auto"/>
        <w:ind w:firstLine="560" w:firstLineChars="200"/>
        <w:jc w:val="left"/>
        <w:rPr>
          <w:rFonts w:hint="eastAsia" w:ascii="宋体" w:hAnsi="宋体" w:eastAsia="宋体" w:cs="宋体"/>
          <w:color w:val="auto"/>
          <w:sz w:val="28"/>
          <w:szCs w:val="28"/>
          <w:highlight w:val="none"/>
          <w:lang w:eastAsia="zh-CN"/>
        </w:rPr>
      </w:pPr>
      <w:r>
        <w:rPr>
          <w:rFonts w:hint="eastAsia" w:ascii="宋体" w:hAnsi="宋体" w:eastAsia="宋体" w:cs="宋体"/>
          <w:color w:val="auto"/>
          <w:sz w:val="28"/>
          <w:szCs w:val="28"/>
          <w:highlight w:val="none"/>
          <w:lang w:eastAsia="zh-CN"/>
        </w:rPr>
        <w:t>日常维护保养</w:t>
      </w:r>
    </w:p>
    <w:p w14:paraId="3F8E4AAC">
      <w:pPr>
        <w:spacing w:line="360" w:lineRule="auto"/>
        <w:ind w:firstLine="560" w:firstLineChars="200"/>
        <w:jc w:val="left"/>
        <w:rPr>
          <w:rFonts w:hint="eastAsia" w:ascii="宋体" w:hAnsi="宋体" w:eastAsia="宋体" w:cs="宋体"/>
          <w:color w:val="auto"/>
          <w:sz w:val="28"/>
          <w:szCs w:val="28"/>
          <w:highlight w:val="none"/>
          <w:lang w:eastAsia="zh-CN"/>
        </w:rPr>
      </w:pPr>
      <w:r>
        <w:rPr>
          <w:rFonts w:hint="eastAsia" w:ascii="宋体" w:hAnsi="宋体" w:eastAsia="宋体" w:cs="宋体"/>
          <w:color w:val="auto"/>
          <w:sz w:val="28"/>
          <w:szCs w:val="28"/>
          <w:highlight w:val="none"/>
          <w:lang w:eastAsia="zh-CN"/>
        </w:rPr>
        <w:t>在免费质保期内</w:t>
      </w:r>
      <w:r>
        <w:rPr>
          <w:rFonts w:hint="eastAsia" w:ascii="宋体" w:hAnsi="宋体" w:eastAsia="宋体" w:cs="宋体"/>
          <w:color w:val="auto"/>
          <w:sz w:val="28"/>
          <w:szCs w:val="28"/>
          <w:highlight w:val="none"/>
          <w:lang w:val="en-US" w:eastAsia="zh-CN"/>
        </w:rPr>
        <w:t>卖方</w:t>
      </w:r>
      <w:r>
        <w:rPr>
          <w:rFonts w:hint="eastAsia" w:ascii="宋体" w:hAnsi="宋体" w:eastAsia="宋体" w:cs="宋体"/>
          <w:color w:val="auto"/>
          <w:sz w:val="28"/>
          <w:szCs w:val="28"/>
          <w:highlight w:val="none"/>
          <w:lang w:eastAsia="zh-CN"/>
        </w:rPr>
        <w:t>每年提供</w:t>
      </w:r>
      <w:r>
        <w:rPr>
          <w:rFonts w:hint="eastAsia" w:ascii="宋体" w:hAnsi="宋体" w:eastAsia="宋体" w:cs="宋体"/>
          <w:color w:val="auto"/>
          <w:sz w:val="28"/>
          <w:szCs w:val="28"/>
          <w:highlight w:val="none"/>
          <w:lang w:val="en-US" w:eastAsia="zh-CN"/>
        </w:rPr>
        <w:t>1</w:t>
      </w:r>
      <w:r>
        <w:rPr>
          <w:rFonts w:hint="eastAsia" w:ascii="宋体" w:hAnsi="宋体" w:eastAsia="宋体" w:cs="宋体"/>
          <w:color w:val="auto"/>
          <w:sz w:val="28"/>
          <w:szCs w:val="28"/>
          <w:highlight w:val="none"/>
          <w:lang w:eastAsia="zh-CN"/>
        </w:rPr>
        <w:t>次整机免费保养，终身负责维修，免费质保期内，因维修和保养所发生的一切费用，均由</w:t>
      </w:r>
      <w:r>
        <w:rPr>
          <w:rFonts w:hint="eastAsia" w:ascii="宋体" w:hAnsi="宋体" w:eastAsia="宋体" w:cs="宋体"/>
          <w:color w:val="auto"/>
          <w:sz w:val="28"/>
          <w:szCs w:val="28"/>
          <w:highlight w:val="none"/>
          <w:lang w:val="en-US" w:eastAsia="zh-CN"/>
        </w:rPr>
        <w:t>卖方</w:t>
      </w:r>
      <w:r>
        <w:rPr>
          <w:rFonts w:hint="eastAsia" w:ascii="宋体" w:hAnsi="宋体" w:eastAsia="宋体" w:cs="宋体"/>
          <w:color w:val="auto"/>
          <w:sz w:val="28"/>
          <w:szCs w:val="28"/>
          <w:highlight w:val="none"/>
          <w:lang w:eastAsia="zh-CN"/>
        </w:rPr>
        <w:t>负责。在保修期外，备件价格按照生产厂商用户优惠价供应；</w:t>
      </w:r>
    </w:p>
    <w:p w14:paraId="596E5E49">
      <w:pPr>
        <w:spacing w:line="360" w:lineRule="auto"/>
        <w:ind w:firstLine="560" w:firstLineChars="200"/>
        <w:jc w:val="left"/>
        <w:rPr>
          <w:rFonts w:hint="eastAsia" w:ascii="宋体" w:hAnsi="宋体" w:eastAsia="宋体" w:cs="宋体"/>
          <w:color w:val="auto"/>
          <w:sz w:val="28"/>
          <w:szCs w:val="28"/>
          <w:highlight w:val="yellow"/>
          <w:lang w:eastAsia="zh-CN"/>
        </w:rPr>
      </w:pPr>
      <w:r>
        <w:rPr>
          <w:rFonts w:hint="eastAsia" w:ascii="宋体" w:hAnsi="宋体" w:eastAsia="宋体" w:cs="宋体"/>
          <w:color w:val="auto"/>
          <w:sz w:val="28"/>
          <w:szCs w:val="28"/>
          <w:highlight w:val="yellow"/>
          <w:lang w:eastAsia="zh-CN"/>
        </w:rPr>
        <w:t>维护保养内容：至少包括：</w:t>
      </w:r>
      <w:r>
        <w:rPr>
          <w:rFonts w:hint="eastAsia" w:ascii="宋体" w:hAnsi="宋体" w:eastAsia="宋体" w:cs="宋体"/>
          <w:color w:val="auto"/>
          <w:sz w:val="28"/>
          <w:szCs w:val="28"/>
          <w:highlight w:val="yellow"/>
          <w:lang w:val="en-US" w:eastAsia="zh-CN"/>
        </w:rPr>
        <w:t>1、吸声结构维护：检查外观完整性、负压吸尘清洁、更换损坏的吸声结构； 2、隔声系统维护：隔声门密封胶条检查与更换、门锁及五金件保养；3、环境系统维护：通风滤网清洁、空调降噪部件检查；4、采集系统的维护与升级；保证消音室整体系统能够正常高效使用，符合</w:t>
      </w:r>
      <w:r>
        <w:rPr>
          <w:rFonts w:hint="eastAsia" w:ascii="宋体" w:hAnsi="宋体" w:eastAsia="宋体" w:cs="宋体"/>
          <w:color w:val="auto"/>
          <w:sz w:val="28"/>
          <w:szCs w:val="28"/>
          <w:highlight w:val="yellow"/>
          <w:lang w:eastAsia="zh-CN"/>
        </w:rPr>
        <w:t>标准试验</w:t>
      </w:r>
      <w:r>
        <w:rPr>
          <w:rFonts w:hint="eastAsia" w:ascii="宋体" w:hAnsi="宋体" w:eastAsia="宋体" w:cs="宋体"/>
          <w:color w:val="auto"/>
          <w:sz w:val="28"/>
          <w:szCs w:val="28"/>
          <w:highlight w:val="yellow"/>
          <w:lang w:val="en-US" w:eastAsia="zh-CN"/>
        </w:rPr>
        <w:t>要求；</w:t>
      </w:r>
    </w:p>
    <w:p w14:paraId="667E4E6C">
      <w:pPr>
        <w:spacing w:line="360" w:lineRule="auto"/>
        <w:ind w:firstLine="560" w:firstLineChars="200"/>
        <w:jc w:val="left"/>
        <w:rPr>
          <w:rFonts w:hint="eastAsia" w:ascii="宋体" w:hAnsi="宋体" w:eastAsia="宋体" w:cs="宋体"/>
          <w:color w:val="auto"/>
          <w:sz w:val="28"/>
          <w:szCs w:val="28"/>
          <w:highlight w:val="yellow"/>
        </w:rPr>
      </w:pPr>
      <w:r>
        <w:rPr>
          <w:rFonts w:hint="eastAsia" w:ascii="宋体" w:hAnsi="宋体" w:eastAsia="宋体" w:cs="宋体"/>
          <w:color w:val="auto"/>
          <w:sz w:val="28"/>
          <w:szCs w:val="28"/>
          <w:highlight w:val="yellow"/>
          <w:lang w:eastAsia="zh-CN"/>
        </w:rPr>
        <w:t>次数：免费质保期内</w:t>
      </w:r>
      <w:r>
        <w:rPr>
          <w:rFonts w:hint="eastAsia" w:ascii="宋体" w:hAnsi="宋体" w:eastAsia="宋体" w:cs="宋体"/>
          <w:color w:val="auto"/>
          <w:sz w:val="28"/>
          <w:szCs w:val="28"/>
          <w:highlight w:val="yellow"/>
          <w:lang w:val="en-US" w:eastAsia="zh-CN"/>
        </w:rPr>
        <w:t>卖方</w:t>
      </w:r>
      <w:r>
        <w:rPr>
          <w:rFonts w:hint="eastAsia" w:ascii="宋体" w:hAnsi="宋体" w:eastAsia="宋体" w:cs="宋体"/>
          <w:color w:val="auto"/>
          <w:sz w:val="28"/>
          <w:szCs w:val="28"/>
          <w:highlight w:val="yellow"/>
          <w:lang w:eastAsia="zh-CN"/>
        </w:rPr>
        <w:t>每年提供</w:t>
      </w:r>
      <w:r>
        <w:rPr>
          <w:rFonts w:hint="eastAsia" w:ascii="宋体" w:hAnsi="宋体" w:eastAsia="宋体" w:cs="宋体"/>
          <w:color w:val="auto"/>
          <w:sz w:val="28"/>
          <w:szCs w:val="28"/>
          <w:highlight w:val="yellow"/>
          <w:lang w:val="en-US" w:eastAsia="zh-CN"/>
        </w:rPr>
        <w:t>1</w:t>
      </w:r>
      <w:r>
        <w:rPr>
          <w:rFonts w:hint="eastAsia" w:ascii="宋体" w:hAnsi="宋体" w:eastAsia="宋体" w:cs="宋体"/>
          <w:color w:val="auto"/>
          <w:sz w:val="28"/>
          <w:szCs w:val="28"/>
          <w:highlight w:val="yellow"/>
          <w:lang w:eastAsia="zh-CN"/>
        </w:rPr>
        <w:t>次。</w:t>
      </w:r>
    </w:p>
    <w:p w14:paraId="2A0386D9">
      <w:pPr>
        <w:spacing w:line="360" w:lineRule="auto"/>
        <w:ind w:firstLine="562" w:firstLineChars="200"/>
        <w:jc w:val="left"/>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lang w:val="en-US" w:eastAsia="zh-CN"/>
        </w:rPr>
        <w:t>5、</w:t>
      </w:r>
      <w:r>
        <w:rPr>
          <w:rFonts w:hint="eastAsia" w:ascii="宋体" w:hAnsi="宋体" w:eastAsia="宋体" w:cs="宋体"/>
          <w:b/>
          <w:bCs/>
          <w:color w:val="auto"/>
          <w:sz w:val="28"/>
          <w:szCs w:val="28"/>
          <w:highlight w:val="none"/>
        </w:rPr>
        <w:t>质保期</w:t>
      </w:r>
    </w:p>
    <w:p w14:paraId="2D4C3F4E">
      <w:pPr>
        <w:spacing w:line="360" w:lineRule="auto"/>
        <w:ind w:firstLine="700" w:firstLineChars="250"/>
        <w:jc w:val="left"/>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验收合格后，消音室整套系统免费保修2年</w:t>
      </w:r>
      <w:r>
        <w:rPr>
          <w:rFonts w:hint="eastAsia" w:ascii="宋体" w:hAnsi="宋体" w:eastAsia="宋体" w:cs="宋体"/>
          <w:color w:val="auto"/>
          <w:sz w:val="28"/>
          <w:szCs w:val="28"/>
          <w:highlight w:val="none"/>
        </w:rPr>
        <w:t>，终身负责维修</w:t>
      </w:r>
      <w:r>
        <w:rPr>
          <w:rFonts w:hint="eastAsia" w:ascii="宋体" w:hAnsi="宋体" w:cs="宋体"/>
          <w:color w:val="auto"/>
          <w:sz w:val="28"/>
          <w:szCs w:val="28"/>
          <w:highlight w:val="none"/>
          <w:lang w:eastAsia="zh-CN"/>
        </w:rPr>
        <w:t>，</w:t>
      </w:r>
      <w:r>
        <w:rPr>
          <w:rFonts w:hint="eastAsia" w:ascii="宋体" w:hAnsi="宋体" w:eastAsia="宋体" w:cs="宋体"/>
          <w:color w:val="auto"/>
          <w:sz w:val="28"/>
          <w:szCs w:val="28"/>
          <w:highlight w:val="none"/>
        </w:rPr>
        <w:t>其它按照国家规定的标准执行。</w:t>
      </w:r>
    </w:p>
    <w:p w14:paraId="1F48B93A">
      <w:pPr>
        <w:spacing w:line="360" w:lineRule="auto"/>
        <w:ind w:firstLine="562" w:firstLineChars="200"/>
        <w:jc w:val="left"/>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lang w:val="en-US" w:eastAsia="zh-CN"/>
        </w:rPr>
        <w:t>6、</w:t>
      </w:r>
      <w:r>
        <w:rPr>
          <w:rFonts w:hint="eastAsia" w:ascii="宋体" w:hAnsi="宋体" w:eastAsia="宋体" w:cs="宋体"/>
          <w:b/>
          <w:bCs/>
          <w:color w:val="auto"/>
          <w:sz w:val="28"/>
          <w:szCs w:val="28"/>
          <w:highlight w:val="none"/>
        </w:rPr>
        <w:t>培训</w:t>
      </w:r>
    </w:p>
    <w:p w14:paraId="42A8F033">
      <w:pPr>
        <w:spacing w:line="360" w:lineRule="auto"/>
        <w:ind w:firstLine="560" w:firstLineChars="200"/>
        <w:jc w:val="left"/>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卖方</w:t>
      </w:r>
      <w:r>
        <w:rPr>
          <w:rFonts w:hint="eastAsia" w:ascii="宋体" w:hAnsi="宋体" w:cs="宋体"/>
          <w:color w:val="auto"/>
          <w:sz w:val="28"/>
          <w:szCs w:val="28"/>
          <w:highlight w:val="none"/>
          <w:lang w:eastAsia="zh-CN"/>
        </w:rPr>
        <w:t>需要为</w:t>
      </w:r>
      <w:r>
        <w:rPr>
          <w:rFonts w:hint="eastAsia" w:ascii="宋体" w:hAnsi="宋体" w:eastAsia="宋体" w:cs="宋体"/>
          <w:color w:val="auto"/>
          <w:sz w:val="28"/>
          <w:szCs w:val="28"/>
          <w:highlight w:val="none"/>
        </w:rPr>
        <w:t>采购方提供</w:t>
      </w:r>
      <w:r>
        <w:rPr>
          <w:rFonts w:hint="eastAsia" w:ascii="宋体" w:hAnsi="宋体" w:cs="宋体"/>
          <w:color w:val="auto"/>
          <w:sz w:val="28"/>
          <w:szCs w:val="28"/>
          <w:highlight w:val="none"/>
          <w:lang w:val="en-US" w:eastAsia="zh-CN"/>
        </w:rPr>
        <w:t>3</w:t>
      </w:r>
      <w:r>
        <w:rPr>
          <w:rFonts w:hint="eastAsia" w:ascii="宋体" w:hAnsi="宋体" w:eastAsia="宋体" w:cs="宋体"/>
          <w:color w:val="auto"/>
          <w:sz w:val="28"/>
          <w:szCs w:val="28"/>
          <w:highlight w:val="none"/>
          <w:lang w:val="en-US" w:eastAsia="zh-CN"/>
        </w:rPr>
        <w:t>-</w:t>
      </w:r>
      <w:r>
        <w:rPr>
          <w:rFonts w:hint="eastAsia" w:ascii="宋体" w:hAnsi="宋体" w:cs="宋体"/>
          <w:color w:val="auto"/>
          <w:sz w:val="28"/>
          <w:szCs w:val="28"/>
          <w:highlight w:val="none"/>
          <w:lang w:val="en-US" w:eastAsia="zh-CN"/>
        </w:rPr>
        <w:t>5</w:t>
      </w:r>
      <w:r>
        <w:rPr>
          <w:rFonts w:hint="eastAsia" w:ascii="宋体" w:hAnsi="宋体" w:eastAsia="宋体" w:cs="宋体"/>
          <w:color w:val="auto"/>
          <w:sz w:val="28"/>
          <w:szCs w:val="28"/>
          <w:highlight w:val="none"/>
        </w:rPr>
        <w:t>天的现场培训，保证采购方使用人员可以独立操作并依照标准进行测试，</w:t>
      </w:r>
      <w:r>
        <w:rPr>
          <w:rFonts w:hint="eastAsia" w:ascii="宋体" w:hAnsi="宋体" w:cs="宋体"/>
          <w:color w:val="auto"/>
          <w:sz w:val="28"/>
          <w:szCs w:val="28"/>
          <w:highlight w:val="none"/>
          <w:lang w:eastAsia="zh-CN"/>
        </w:rPr>
        <w:t>并</w:t>
      </w:r>
      <w:r>
        <w:rPr>
          <w:rFonts w:hint="eastAsia" w:ascii="宋体" w:hAnsi="宋体" w:eastAsia="宋体" w:cs="宋体"/>
          <w:color w:val="auto"/>
          <w:sz w:val="28"/>
          <w:szCs w:val="28"/>
          <w:highlight w:val="none"/>
        </w:rPr>
        <w:t>可以进行日常的维护和保养。</w:t>
      </w:r>
    </w:p>
    <w:p w14:paraId="42DF986C">
      <w:pPr>
        <w:spacing w:line="360" w:lineRule="auto"/>
        <w:ind w:firstLine="560" w:firstLineChars="200"/>
        <w:jc w:val="left"/>
        <w:rPr>
          <w:rFonts w:hint="eastAsia" w:ascii="宋体" w:hAnsi="宋体" w:eastAsia="宋体" w:cs="宋体"/>
          <w:color w:val="auto"/>
          <w:sz w:val="28"/>
          <w:szCs w:val="28"/>
          <w:highlight w:val="yellow"/>
          <w:lang w:val="en-US" w:eastAsia="zh-CN"/>
        </w:rPr>
      </w:pPr>
      <w:r>
        <w:rPr>
          <w:rFonts w:hint="eastAsia" w:ascii="宋体" w:hAnsi="宋体" w:eastAsia="宋体" w:cs="宋体"/>
          <w:color w:val="auto"/>
          <w:sz w:val="28"/>
          <w:szCs w:val="28"/>
          <w:highlight w:val="yellow"/>
          <w:lang w:val="en-US" w:eastAsia="zh-CN"/>
        </w:rPr>
        <w:t>培训场地：消音室施工现场</w:t>
      </w:r>
    </w:p>
    <w:p w14:paraId="330A324C">
      <w:pPr>
        <w:spacing w:line="360" w:lineRule="auto"/>
        <w:ind w:firstLine="560" w:firstLineChars="200"/>
        <w:jc w:val="left"/>
        <w:rPr>
          <w:rFonts w:hint="eastAsia" w:ascii="宋体" w:hAnsi="宋体" w:eastAsia="宋体" w:cs="宋体"/>
          <w:color w:val="auto"/>
          <w:sz w:val="28"/>
          <w:szCs w:val="28"/>
          <w:highlight w:val="yellow"/>
          <w:lang w:val="en-US" w:eastAsia="zh-CN"/>
        </w:rPr>
      </w:pPr>
      <w:r>
        <w:rPr>
          <w:rFonts w:hint="eastAsia" w:ascii="宋体" w:hAnsi="宋体" w:eastAsia="宋体" w:cs="宋体"/>
          <w:color w:val="auto"/>
          <w:sz w:val="28"/>
          <w:szCs w:val="28"/>
          <w:highlight w:val="yellow"/>
          <w:lang w:val="en-US" w:eastAsia="zh-CN"/>
        </w:rPr>
        <w:t>人员规模：10人</w:t>
      </w:r>
    </w:p>
    <w:p w14:paraId="6C9B2E34">
      <w:pPr>
        <w:spacing w:line="360" w:lineRule="auto"/>
        <w:ind w:firstLine="560" w:firstLineChars="200"/>
        <w:jc w:val="left"/>
        <w:rPr>
          <w:rFonts w:hint="eastAsia" w:ascii="宋体" w:hAnsi="宋体" w:eastAsia="宋体" w:cs="宋体"/>
          <w:color w:val="auto"/>
          <w:sz w:val="28"/>
          <w:szCs w:val="28"/>
          <w:highlight w:val="yellow"/>
          <w:lang w:val="en-US" w:eastAsia="zh-CN"/>
        </w:rPr>
      </w:pPr>
      <w:r>
        <w:rPr>
          <w:rFonts w:hint="eastAsia" w:ascii="宋体" w:hAnsi="宋体" w:eastAsia="宋体" w:cs="宋体"/>
          <w:color w:val="auto"/>
          <w:sz w:val="28"/>
          <w:szCs w:val="28"/>
          <w:highlight w:val="yellow"/>
          <w:lang w:val="en-US" w:eastAsia="zh-CN"/>
        </w:rPr>
        <w:t>培训内容：</w:t>
      </w:r>
      <w:r>
        <w:rPr>
          <w:rFonts w:hint="eastAsia" w:ascii="宋体" w:hAnsi="宋体" w:eastAsia="宋体" w:cs="宋体"/>
          <w:color w:val="auto"/>
          <w:sz w:val="28"/>
          <w:szCs w:val="28"/>
          <w:highlight w:val="yellow"/>
        </w:rPr>
        <w:t>培训内容</w:t>
      </w:r>
      <w:r>
        <w:rPr>
          <w:rFonts w:hint="eastAsia" w:ascii="宋体" w:hAnsi="宋体" w:eastAsia="宋体" w:cs="宋体"/>
          <w:color w:val="auto"/>
          <w:sz w:val="28"/>
          <w:szCs w:val="28"/>
          <w:highlight w:val="yellow"/>
          <w:lang w:eastAsia="zh-CN"/>
        </w:rPr>
        <w:t>至少</w:t>
      </w:r>
      <w:r>
        <w:rPr>
          <w:rFonts w:hint="eastAsia" w:ascii="宋体" w:hAnsi="宋体" w:eastAsia="宋体" w:cs="宋体"/>
          <w:color w:val="auto"/>
          <w:sz w:val="28"/>
          <w:szCs w:val="28"/>
          <w:highlight w:val="yellow"/>
        </w:rPr>
        <w:t>包括但不限于：声学实验室的设计、声学实验室及设备基本结构及工作原理、声学试验标准解读及标准试验方法解析、声学实验室维护与维修、</w:t>
      </w:r>
      <w:r>
        <w:rPr>
          <w:rFonts w:hint="eastAsia" w:ascii="宋体" w:hAnsi="宋体" w:eastAsia="宋体" w:cs="宋体"/>
          <w:color w:val="auto"/>
          <w:sz w:val="28"/>
          <w:szCs w:val="28"/>
          <w:highlight w:val="yellow"/>
          <w:lang w:eastAsia="zh-CN"/>
        </w:rPr>
        <w:t>系统</w:t>
      </w:r>
      <w:r>
        <w:rPr>
          <w:rFonts w:hint="eastAsia" w:ascii="宋体" w:hAnsi="宋体" w:eastAsia="宋体" w:cs="宋体"/>
          <w:color w:val="auto"/>
          <w:sz w:val="28"/>
          <w:szCs w:val="28"/>
          <w:highlight w:val="yellow"/>
        </w:rPr>
        <w:t>的操作使用</w:t>
      </w:r>
      <w:r>
        <w:rPr>
          <w:rFonts w:hint="eastAsia" w:ascii="宋体" w:hAnsi="宋体" w:eastAsia="宋体" w:cs="宋体"/>
          <w:color w:val="auto"/>
          <w:sz w:val="28"/>
          <w:szCs w:val="28"/>
          <w:highlight w:val="yellow"/>
          <w:lang w:eastAsia="zh-CN"/>
        </w:rPr>
        <w:t>、系统</w:t>
      </w:r>
      <w:r>
        <w:rPr>
          <w:rFonts w:hint="eastAsia" w:ascii="宋体" w:hAnsi="宋体" w:eastAsia="宋体" w:cs="宋体"/>
          <w:color w:val="auto"/>
          <w:sz w:val="28"/>
          <w:szCs w:val="28"/>
          <w:highlight w:val="yellow"/>
          <w:lang w:val="en-US" w:eastAsia="zh-CN"/>
        </w:rPr>
        <w:t>日常</w:t>
      </w:r>
      <w:r>
        <w:rPr>
          <w:rFonts w:hint="eastAsia" w:ascii="宋体" w:hAnsi="宋体" w:eastAsia="宋体" w:cs="宋体"/>
          <w:color w:val="auto"/>
          <w:sz w:val="28"/>
          <w:szCs w:val="28"/>
          <w:highlight w:val="yellow"/>
        </w:rPr>
        <w:t>的维护与保养、</w:t>
      </w:r>
      <w:r>
        <w:rPr>
          <w:rFonts w:hint="eastAsia" w:ascii="宋体" w:hAnsi="宋体" w:eastAsia="宋体" w:cs="宋体"/>
          <w:color w:val="auto"/>
          <w:sz w:val="28"/>
          <w:szCs w:val="28"/>
          <w:highlight w:val="yellow"/>
          <w:lang w:val="en-US" w:eastAsia="zh-CN"/>
        </w:rPr>
        <w:t>系统的操作和控制、</w:t>
      </w:r>
      <w:r>
        <w:rPr>
          <w:rFonts w:hint="eastAsia" w:ascii="宋体" w:hAnsi="宋体" w:eastAsia="宋体" w:cs="宋体"/>
          <w:color w:val="auto"/>
          <w:sz w:val="28"/>
          <w:szCs w:val="28"/>
          <w:highlight w:val="yellow"/>
        </w:rPr>
        <w:t>安全生产注意事项等，</w:t>
      </w:r>
      <w:r>
        <w:rPr>
          <w:rFonts w:hint="eastAsia" w:ascii="宋体" w:hAnsi="宋体" w:eastAsia="宋体" w:cs="宋体"/>
          <w:color w:val="auto"/>
          <w:sz w:val="28"/>
          <w:szCs w:val="28"/>
          <w:highlight w:val="yellow"/>
          <w:lang w:val="en-US" w:eastAsia="zh-CN"/>
        </w:rPr>
        <w:t>卖方安排相关技术人员负责现场安装调试和培训，</w:t>
      </w:r>
      <w:bookmarkStart w:id="10" w:name="_Hlk168305460"/>
      <w:r>
        <w:rPr>
          <w:rFonts w:hint="eastAsia" w:ascii="宋体" w:hAnsi="宋体" w:eastAsia="宋体" w:cs="宋体"/>
          <w:color w:val="auto"/>
          <w:sz w:val="28"/>
          <w:szCs w:val="28"/>
          <w:highlight w:val="yellow"/>
          <w:lang w:val="en-US" w:eastAsia="zh-CN"/>
        </w:rPr>
        <w:t>至采购人学会为止</w:t>
      </w:r>
      <w:bookmarkEnd w:id="10"/>
      <w:r>
        <w:rPr>
          <w:rFonts w:hint="eastAsia" w:ascii="宋体" w:hAnsi="宋体" w:eastAsia="宋体" w:cs="宋体"/>
          <w:color w:val="auto"/>
          <w:sz w:val="28"/>
          <w:szCs w:val="28"/>
          <w:highlight w:val="yellow"/>
          <w:lang w:val="en-US" w:eastAsia="zh-CN"/>
        </w:rPr>
        <w:t>。</w:t>
      </w:r>
    </w:p>
    <w:p w14:paraId="1203C156">
      <w:pPr>
        <w:spacing w:line="360" w:lineRule="auto"/>
        <w:ind w:firstLine="560" w:firstLineChars="200"/>
        <w:jc w:val="left"/>
        <w:rPr>
          <w:rFonts w:hint="eastAsia" w:ascii="宋体" w:hAnsi="宋体" w:eastAsia="宋体" w:cs="宋体"/>
          <w:color w:val="auto"/>
          <w:sz w:val="28"/>
          <w:szCs w:val="28"/>
          <w:highlight w:val="yellow"/>
        </w:rPr>
      </w:pPr>
      <w:r>
        <w:rPr>
          <w:rFonts w:hint="eastAsia" w:ascii="宋体" w:hAnsi="宋体" w:eastAsia="宋体" w:cs="宋体"/>
          <w:color w:val="auto"/>
          <w:sz w:val="28"/>
          <w:szCs w:val="28"/>
          <w:highlight w:val="yellow"/>
          <w:lang w:val="en-US" w:eastAsia="zh-CN"/>
        </w:rPr>
        <w:t xml:space="preserve"> 培训讲师资质要求：具有</w:t>
      </w:r>
      <w:r>
        <w:rPr>
          <w:rFonts w:hint="eastAsia" w:ascii="宋体" w:hAnsi="宋体" w:eastAsia="宋体" w:cs="宋体"/>
          <w:color w:val="auto"/>
          <w:sz w:val="28"/>
          <w:szCs w:val="28"/>
          <w:highlight w:val="yellow"/>
        </w:rPr>
        <w:t>从事声学测试及声学仿真计算方面的工作</w:t>
      </w:r>
      <w:r>
        <w:rPr>
          <w:rFonts w:hint="eastAsia" w:ascii="宋体" w:hAnsi="宋体" w:eastAsia="宋体" w:cs="宋体"/>
          <w:color w:val="auto"/>
          <w:sz w:val="28"/>
          <w:szCs w:val="28"/>
          <w:highlight w:val="yellow"/>
          <w:lang w:val="en-US" w:eastAsia="zh-CN"/>
        </w:rPr>
        <w:t>10年以上，熟练掌握</w:t>
      </w:r>
      <w:r>
        <w:rPr>
          <w:rFonts w:hint="eastAsia" w:ascii="宋体" w:hAnsi="宋体" w:eastAsia="宋体" w:cs="宋体"/>
          <w:color w:val="auto"/>
          <w:sz w:val="28"/>
          <w:szCs w:val="28"/>
          <w:highlight w:val="yellow"/>
        </w:rPr>
        <w:t>声学实验室的设计、声学实验室及设备基本结构及工作原理、声学试验标准</w:t>
      </w:r>
      <w:r>
        <w:rPr>
          <w:rFonts w:hint="eastAsia" w:ascii="宋体" w:hAnsi="宋体" w:eastAsia="宋体" w:cs="宋体"/>
          <w:color w:val="auto"/>
          <w:sz w:val="28"/>
          <w:szCs w:val="28"/>
          <w:highlight w:val="yellow"/>
          <w:lang w:eastAsia="zh-CN"/>
        </w:rPr>
        <w:t>等。</w:t>
      </w:r>
    </w:p>
    <w:p w14:paraId="18F5B8D4">
      <w:pPr>
        <w:spacing w:line="360" w:lineRule="auto"/>
        <w:ind w:firstLine="562" w:firstLineChars="200"/>
        <w:jc w:val="left"/>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lang w:val="en-US" w:eastAsia="zh-CN"/>
        </w:rPr>
        <w:t>7</w:t>
      </w:r>
      <w:r>
        <w:rPr>
          <w:rFonts w:hint="eastAsia" w:ascii="宋体" w:hAnsi="宋体" w:eastAsia="宋体" w:cs="宋体"/>
          <w:b/>
          <w:bCs/>
          <w:color w:val="auto"/>
          <w:sz w:val="28"/>
          <w:szCs w:val="28"/>
          <w:highlight w:val="none"/>
        </w:rPr>
        <w:t>、付款方式（必填）</w:t>
      </w:r>
    </w:p>
    <w:p w14:paraId="0E5839F5">
      <w:pPr>
        <w:spacing w:line="360" w:lineRule="auto"/>
        <w:ind w:firstLine="560" w:firstLineChars="200"/>
        <w:jc w:val="left"/>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合同签订后，供应商提供项目合同总金额5%的履约保证金及预付款发票，经采购人审核后，采购人以转账方式向供应商支付合同总金额的30%的预付款；供应商按采购合同交付项目所需吸声材料、隔声材料、减震系统、隔声门等相关材料，并向采购人提交本次付款发票，经采购人审核后，采购人以转账方式向供应商支付本项目合同总金额的30%；项目通过最终验收并向采购人提交计量证书以及项目剩余款项发票等相关资料，经采购人审核后，采购人以转账方式向供应商支付本项目合同总金额余款；验收合格试运行满3个月，如无质量问题，采购人无息返还履约保证金。</w:t>
      </w:r>
    </w:p>
    <w:p w14:paraId="0E55F8A3">
      <w:pPr>
        <w:spacing w:line="360" w:lineRule="auto"/>
        <w:ind w:firstLine="562" w:firstLineChars="200"/>
        <w:jc w:val="left"/>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lang w:val="en-US" w:eastAsia="zh-CN"/>
        </w:rPr>
        <w:t>8、</w:t>
      </w:r>
      <w:r>
        <w:rPr>
          <w:rFonts w:hint="eastAsia" w:ascii="宋体" w:hAnsi="宋体" w:eastAsia="宋体" w:cs="宋体"/>
          <w:b/>
          <w:bCs/>
          <w:color w:val="auto"/>
          <w:sz w:val="28"/>
          <w:szCs w:val="28"/>
          <w:highlight w:val="none"/>
        </w:rPr>
        <w:t>其他要求</w:t>
      </w:r>
    </w:p>
    <w:p w14:paraId="617817B5">
      <w:pPr>
        <w:spacing w:line="360" w:lineRule="auto"/>
        <w:ind w:firstLine="560" w:firstLineChars="200"/>
        <w:jc w:val="left"/>
        <w:rPr>
          <w:rFonts w:hint="eastAsia" w:ascii="宋体" w:hAnsi="宋体" w:eastAsia="宋体" w:cs="宋体"/>
          <w:color w:val="auto"/>
          <w:sz w:val="28"/>
          <w:szCs w:val="28"/>
          <w:highlight w:val="none"/>
          <w:lang w:eastAsia="zh-CN"/>
        </w:rPr>
      </w:pPr>
      <w:r>
        <w:rPr>
          <w:rFonts w:hint="eastAsia" w:ascii="宋体" w:hAnsi="宋体" w:eastAsia="宋体" w:cs="宋体"/>
          <w:color w:val="auto"/>
          <w:sz w:val="28"/>
          <w:szCs w:val="28"/>
          <w:highlight w:val="none"/>
          <w:lang w:eastAsia="zh-CN"/>
        </w:rPr>
        <w:t>无</w:t>
      </w:r>
    </w:p>
    <w:p w14:paraId="2ED6FA4F">
      <w:pPr>
        <w:spacing w:line="360" w:lineRule="auto"/>
        <w:ind w:firstLine="560" w:firstLineChars="200"/>
        <w:jc w:val="left"/>
        <w:rPr>
          <w:rFonts w:hint="eastAsia" w:ascii="宋体" w:hAnsi="宋体" w:eastAsia="宋体" w:cs="宋体"/>
          <w:color w:val="auto"/>
          <w:sz w:val="28"/>
          <w:szCs w:val="28"/>
          <w:highlight w:val="none"/>
        </w:rPr>
      </w:pPr>
    </w:p>
    <w:sectPr>
      <w:footerReference r:id="rId3" w:type="default"/>
      <w:pgSz w:w="11906" w:h="16838"/>
      <w:pgMar w:top="1440" w:right="1134" w:bottom="1440"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C81A7">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14:paraId="7E9D9785">
                          <w:pPr>
                            <w:pStyle w:val="7"/>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zql5uc8AAAAF&#10;AQAADwAAAAAAAAABACAAAAAiAAAAZHJzL2Rvd25yZXYueG1sUEsBAhQAFAAAAAgAh07iQPBAlRrs&#10;AQAA1QMAAA4AAAAAAAAAAQAgAAAAHgEAAGRycy9lMm9Eb2MueG1sUEsFBgAAAAAGAAYAWQEAAHwF&#10;AAAAAA==&#10;">
              <v:fill on="f" focussize="0,0"/>
              <v:stroke on="f"/>
              <v:imagedata o:title=""/>
              <o:lock v:ext="edit" aspectratio="f"/>
              <v:textbox inset="0mm,0mm,0mm,0mm" style="mso-fit-shape-to-text:t;">
                <w:txbxContent>
                  <w:p w14:paraId="7E9D9785">
                    <w:pPr>
                      <w:pStyle w:val="7"/>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A3DCFA"/>
    <w:multiLevelType w:val="singleLevel"/>
    <w:tmpl w:val="06A3DCFA"/>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embedTrueTypeFonts/>
  <w:saveSubsetFonts/>
  <w:bordersDoNotSurroundHeader w:val="0"/>
  <w:bordersDoNotSurroundFooter w:val="0"/>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JmYmVhMGQ2YWQwOTc0ZDFkYmVkZTE0NzFkNThlYzIifQ=="/>
    <w:docVar w:name="KSO_WPS_MARK_KEY" w:val="f59d32c7-c111-4cf5-b09a-954b5b453108"/>
  </w:docVars>
  <w:rsids>
    <w:rsidRoot w:val="00255921"/>
    <w:rsid w:val="00034ABB"/>
    <w:rsid w:val="0006542A"/>
    <w:rsid w:val="00077925"/>
    <w:rsid w:val="00097581"/>
    <w:rsid w:val="000A650C"/>
    <w:rsid w:val="00126F87"/>
    <w:rsid w:val="00146CA6"/>
    <w:rsid w:val="001729D5"/>
    <w:rsid w:val="001C22C8"/>
    <w:rsid w:val="00255921"/>
    <w:rsid w:val="002D7F26"/>
    <w:rsid w:val="0035294E"/>
    <w:rsid w:val="0036520B"/>
    <w:rsid w:val="003B31B3"/>
    <w:rsid w:val="003C668A"/>
    <w:rsid w:val="004551A0"/>
    <w:rsid w:val="004C305A"/>
    <w:rsid w:val="004E2683"/>
    <w:rsid w:val="005B1251"/>
    <w:rsid w:val="005B3010"/>
    <w:rsid w:val="005C3120"/>
    <w:rsid w:val="005D21A2"/>
    <w:rsid w:val="00615A50"/>
    <w:rsid w:val="00674AAE"/>
    <w:rsid w:val="006D6063"/>
    <w:rsid w:val="006E4100"/>
    <w:rsid w:val="00763A2E"/>
    <w:rsid w:val="007A0BEA"/>
    <w:rsid w:val="007A70C0"/>
    <w:rsid w:val="007C1FAF"/>
    <w:rsid w:val="007F039F"/>
    <w:rsid w:val="008034B2"/>
    <w:rsid w:val="00867145"/>
    <w:rsid w:val="00875462"/>
    <w:rsid w:val="008D7984"/>
    <w:rsid w:val="008F687C"/>
    <w:rsid w:val="009353C0"/>
    <w:rsid w:val="0098722C"/>
    <w:rsid w:val="009963F9"/>
    <w:rsid w:val="009C2FB8"/>
    <w:rsid w:val="00A26BBC"/>
    <w:rsid w:val="00A461FE"/>
    <w:rsid w:val="00A77A8A"/>
    <w:rsid w:val="00A82E9B"/>
    <w:rsid w:val="00AC1229"/>
    <w:rsid w:val="00AC37A8"/>
    <w:rsid w:val="00B2654B"/>
    <w:rsid w:val="00B90374"/>
    <w:rsid w:val="00C8205B"/>
    <w:rsid w:val="00CB6FBE"/>
    <w:rsid w:val="00CD7554"/>
    <w:rsid w:val="00D60C71"/>
    <w:rsid w:val="00D6132B"/>
    <w:rsid w:val="00DD5704"/>
    <w:rsid w:val="00DF34BE"/>
    <w:rsid w:val="00E00491"/>
    <w:rsid w:val="00E307AF"/>
    <w:rsid w:val="028275EC"/>
    <w:rsid w:val="02F474A0"/>
    <w:rsid w:val="03286D69"/>
    <w:rsid w:val="05AB4785"/>
    <w:rsid w:val="05FE221D"/>
    <w:rsid w:val="064B1FF4"/>
    <w:rsid w:val="066A2EBC"/>
    <w:rsid w:val="067526A6"/>
    <w:rsid w:val="06D762C8"/>
    <w:rsid w:val="07200499"/>
    <w:rsid w:val="083A38CD"/>
    <w:rsid w:val="093F546A"/>
    <w:rsid w:val="0954566D"/>
    <w:rsid w:val="09AA4D5C"/>
    <w:rsid w:val="0A314C48"/>
    <w:rsid w:val="0A3F208B"/>
    <w:rsid w:val="0AC36FE7"/>
    <w:rsid w:val="0B7D1FFD"/>
    <w:rsid w:val="0BDF6813"/>
    <w:rsid w:val="0BFB1311"/>
    <w:rsid w:val="0DB24AF2"/>
    <w:rsid w:val="0DDC74AE"/>
    <w:rsid w:val="0DF02F5A"/>
    <w:rsid w:val="0E161C1D"/>
    <w:rsid w:val="0E87566C"/>
    <w:rsid w:val="0ECB5548"/>
    <w:rsid w:val="0F0114F6"/>
    <w:rsid w:val="0F20161D"/>
    <w:rsid w:val="0F470031"/>
    <w:rsid w:val="0F7B6853"/>
    <w:rsid w:val="105B0B5E"/>
    <w:rsid w:val="11557CA8"/>
    <w:rsid w:val="11C95F9C"/>
    <w:rsid w:val="12434DD7"/>
    <w:rsid w:val="129245E0"/>
    <w:rsid w:val="12EA61CA"/>
    <w:rsid w:val="13C0517C"/>
    <w:rsid w:val="142A16CE"/>
    <w:rsid w:val="14B7032D"/>
    <w:rsid w:val="159468AC"/>
    <w:rsid w:val="16856AD3"/>
    <w:rsid w:val="173836E1"/>
    <w:rsid w:val="174A2248"/>
    <w:rsid w:val="1782307B"/>
    <w:rsid w:val="17FB6783"/>
    <w:rsid w:val="18091371"/>
    <w:rsid w:val="18BD0B49"/>
    <w:rsid w:val="1AF37BE5"/>
    <w:rsid w:val="1B1D4C32"/>
    <w:rsid w:val="1B4113A2"/>
    <w:rsid w:val="1C817C87"/>
    <w:rsid w:val="1DB95116"/>
    <w:rsid w:val="1DD034BE"/>
    <w:rsid w:val="1F7312F5"/>
    <w:rsid w:val="1FC77172"/>
    <w:rsid w:val="20983611"/>
    <w:rsid w:val="20C26575"/>
    <w:rsid w:val="21442F49"/>
    <w:rsid w:val="21647A3C"/>
    <w:rsid w:val="22C26FD6"/>
    <w:rsid w:val="23CB7951"/>
    <w:rsid w:val="23FB2603"/>
    <w:rsid w:val="24301D96"/>
    <w:rsid w:val="2460453E"/>
    <w:rsid w:val="247D563A"/>
    <w:rsid w:val="265A16DD"/>
    <w:rsid w:val="265E21C1"/>
    <w:rsid w:val="26A83F7A"/>
    <w:rsid w:val="27051524"/>
    <w:rsid w:val="27851EDB"/>
    <w:rsid w:val="27EC50CB"/>
    <w:rsid w:val="27FD4173"/>
    <w:rsid w:val="28D9666D"/>
    <w:rsid w:val="29B92045"/>
    <w:rsid w:val="29D02881"/>
    <w:rsid w:val="29DD03DE"/>
    <w:rsid w:val="2AF05EF0"/>
    <w:rsid w:val="2B36023C"/>
    <w:rsid w:val="2BAF51C1"/>
    <w:rsid w:val="2D0F08AF"/>
    <w:rsid w:val="2D345C7C"/>
    <w:rsid w:val="2D73270B"/>
    <w:rsid w:val="2DB15075"/>
    <w:rsid w:val="2DF37C26"/>
    <w:rsid w:val="2E113792"/>
    <w:rsid w:val="2FA1610F"/>
    <w:rsid w:val="2FB41BE1"/>
    <w:rsid w:val="2FE547A2"/>
    <w:rsid w:val="31056B4B"/>
    <w:rsid w:val="31353752"/>
    <w:rsid w:val="3143665C"/>
    <w:rsid w:val="317C672F"/>
    <w:rsid w:val="31A246EB"/>
    <w:rsid w:val="31C61758"/>
    <w:rsid w:val="31CA3EF1"/>
    <w:rsid w:val="33036EBE"/>
    <w:rsid w:val="330A4475"/>
    <w:rsid w:val="34857524"/>
    <w:rsid w:val="34B15FE5"/>
    <w:rsid w:val="34B44151"/>
    <w:rsid w:val="34CB5A03"/>
    <w:rsid w:val="36190D79"/>
    <w:rsid w:val="36195F56"/>
    <w:rsid w:val="36496A8C"/>
    <w:rsid w:val="36513BE5"/>
    <w:rsid w:val="384B29B7"/>
    <w:rsid w:val="388F06B2"/>
    <w:rsid w:val="38B93DC5"/>
    <w:rsid w:val="38C45EBD"/>
    <w:rsid w:val="38CA7A97"/>
    <w:rsid w:val="3A304BD0"/>
    <w:rsid w:val="3AC10794"/>
    <w:rsid w:val="3AEF3ACE"/>
    <w:rsid w:val="3C7A6596"/>
    <w:rsid w:val="3C962E97"/>
    <w:rsid w:val="3D4C16AB"/>
    <w:rsid w:val="3E726EF0"/>
    <w:rsid w:val="3F7E201D"/>
    <w:rsid w:val="4016360A"/>
    <w:rsid w:val="409A44DC"/>
    <w:rsid w:val="409B572D"/>
    <w:rsid w:val="416D2E41"/>
    <w:rsid w:val="41FB6646"/>
    <w:rsid w:val="42A11B51"/>
    <w:rsid w:val="43657E14"/>
    <w:rsid w:val="43E27087"/>
    <w:rsid w:val="451E30B0"/>
    <w:rsid w:val="452347C2"/>
    <w:rsid w:val="46A23EED"/>
    <w:rsid w:val="474C341E"/>
    <w:rsid w:val="47C51CB8"/>
    <w:rsid w:val="47DD7AD0"/>
    <w:rsid w:val="47E81B51"/>
    <w:rsid w:val="481D1460"/>
    <w:rsid w:val="49C43E11"/>
    <w:rsid w:val="4A655E61"/>
    <w:rsid w:val="4ABA6329"/>
    <w:rsid w:val="4BDC1E4C"/>
    <w:rsid w:val="4C632900"/>
    <w:rsid w:val="4C742085"/>
    <w:rsid w:val="4E7445BE"/>
    <w:rsid w:val="503F0BFC"/>
    <w:rsid w:val="5047000F"/>
    <w:rsid w:val="50CA2ED4"/>
    <w:rsid w:val="53C5471E"/>
    <w:rsid w:val="545E36E8"/>
    <w:rsid w:val="5474356A"/>
    <w:rsid w:val="56292132"/>
    <w:rsid w:val="57377899"/>
    <w:rsid w:val="5818420C"/>
    <w:rsid w:val="58334C34"/>
    <w:rsid w:val="58726012"/>
    <w:rsid w:val="58B23FC4"/>
    <w:rsid w:val="58C16652"/>
    <w:rsid w:val="59333331"/>
    <w:rsid w:val="5978615E"/>
    <w:rsid w:val="5A73789E"/>
    <w:rsid w:val="5B1E0F9D"/>
    <w:rsid w:val="5BF03C12"/>
    <w:rsid w:val="5C7B5A2C"/>
    <w:rsid w:val="5CD54DC2"/>
    <w:rsid w:val="5CE648D9"/>
    <w:rsid w:val="5D79399F"/>
    <w:rsid w:val="5D98699A"/>
    <w:rsid w:val="5DD27E24"/>
    <w:rsid w:val="5F554F7F"/>
    <w:rsid w:val="603808E2"/>
    <w:rsid w:val="61E138C1"/>
    <w:rsid w:val="620F525D"/>
    <w:rsid w:val="624207BD"/>
    <w:rsid w:val="631877B6"/>
    <w:rsid w:val="636C365E"/>
    <w:rsid w:val="63DC6A36"/>
    <w:rsid w:val="641542E0"/>
    <w:rsid w:val="64CF20F6"/>
    <w:rsid w:val="64EF04B3"/>
    <w:rsid w:val="65E322FD"/>
    <w:rsid w:val="666D7E19"/>
    <w:rsid w:val="66921333"/>
    <w:rsid w:val="66CD6B09"/>
    <w:rsid w:val="67257768"/>
    <w:rsid w:val="68170F2B"/>
    <w:rsid w:val="688E4077"/>
    <w:rsid w:val="691865FC"/>
    <w:rsid w:val="696D6B39"/>
    <w:rsid w:val="69782D5D"/>
    <w:rsid w:val="6A3550F2"/>
    <w:rsid w:val="6ACE13FF"/>
    <w:rsid w:val="6AD95A7D"/>
    <w:rsid w:val="6B0219F3"/>
    <w:rsid w:val="6C3E7B6A"/>
    <w:rsid w:val="6DAA5BFE"/>
    <w:rsid w:val="6F9401C4"/>
    <w:rsid w:val="6FA7331D"/>
    <w:rsid w:val="708741CD"/>
    <w:rsid w:val="71E847F7"/>
    <w:rsid w:val="71FC6AD4"/>
    <w:rsid w:val="729624A5"/>
    <w:rsid w:val="72EE757E"/>
    <w:rsid w:val="741C4C2C"/>
    <w:rsid w:val="748035FC"/>
    <w:rsid w:val="74E25E76"/>
    <w:rsid w:val="75E747AA"/>
    <w:rsid w:val="7614278B"/>
    <w:rsid w:val="76680B55"/>
    <w:rsid w:val="76685F07"/>
    <w:rsid w:val="7708194F"/>
    <w:rsid w:val="7745221F"/>
    <w:rsid w:val="77703B1E"/>
    <w:rsid w:val="791571C9"/>
    <w:rsid w:val="7A47138F"/>
    <w:rsid w:val="7B205002"/>
    <w:rsid w:val="7C09018C"/>
    <w:rsid w:val="7C3B053D"/>
    <w:rsid w:val="7CEB1442"/>
    <w:rsid w:val="7CFD48F1"/>
    <w:rsid w:val="7D7448E8"/>
    <w:rsid w:val="7DD32800"/>
    <w:rsid w:val="7E1B5582"/>
    <w:rsid w:val="7EDB7290"/>
    <w:rsid w:val="7FAC26F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qFormat="1" w:unhideWhenUsed="0" w:uiPriority="0" w:semiHidden="0"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12">
    <w:name w:val="Default Paragraph Font"/>
    <w:unhideWhenUsed/>
    <w:qFormat/>
    <w:uiPriority w:val="1"/>
  </w:style>
  <w:style w:type="table" w:default="1" w:styleId="10">
    <w:name w:val="Normal Table"/>
    <w:unhideWhenUsed/>
    <w:qFormat/>
    <w:uiPriority w:val="99"/>
    <w:tblPr>
      <w:tblCellMar>
        <w:top w:w="0" w:type="dxa"/>
        <w:left w:w="108" w:type="dxa"/>
        <w:bottom w:w="0" w:type="dxa"/>
        <w:right w:w="108" w:type="dxa"/>
      </w:tblCellMar>
    </w:tblPr>
  </w:style>
  <w:style w:type="paragraph" w:styleId="2">
    <w:name w:val="Note Heading"/>
    <w:basedOn w:val="1"/>
    <w:next w:val="1"/>
    <w:qFormat/>
    <w:uiPriority w:val="0"/>
    <w:pPr>
      <w:jc w:val="center"/>
    </w:pPr>
    <w:rPr>
      <w:rFonts w:ascii="Calibri" w:hAnsi="Calibri"/>
      <w:kern w:val="0"/>
      <w:sz w:val="24"/>
    </w:rPr>
  </w:style>
  <w:style w:type="paragraph" w:styleId="3">
    <w:name w:val="annotation text"/>
    <w:basedOn w:val="1"/>
    <w:unhideWhenUsed/>
    <w:qFormat/>
    <w:uiPriority w:val="99"/>
    <w:pPr>
      <w:jc w:val="left"/>
    </w:pPr>
  </w:style>
  <w:style w:type="paragraph" w:styleId="4">
    <w:name w:val="Body Text"/>
    <w:basedOn w:val="1"/>
    <w:next w:val="5"/>
    <w:qFormat/>
    <w:uiPriority w:val="99"/>
    <w:pPr>
      <w:spacing w:after="120"/>
    </w:pPr>
  </w:style>
  <w:style w:type="paragraph" w:styleId="5">
    <w:name w:val="Body Text First Indent"/>
    <w:basedOn w:val="4"/>
    <w:next w:val="1"/>
    <w:qFormat/>
    <w:uiPriority w:val="0"/>
    <w:pPr>
      <w:ind w:firstLine="420"/>
    </w:pPr>
    <w:rPr>
      <w:rFonts w:eastAsia="楷体_GB2312"/>
      <w:sz w:val="32"/>
      <w:szCs w:val="32"/>
    </w:rPr>
  </w:style>
  <w:style w:type="paragraph" w:styleId="6">
    <w:name w:val="Balloon Text"/>
    <w:basedOn w:val="1"/>
    <w:link w:val="14"/>
    <w:unhideWhenUsed/>
    <w:qFormat/>
    <w:uiPriority w:val="99"/>
    <w:rPr>
      <w:sz w:val="18"/>
      <w:szCs w:val="18"/>
    </w:rPr>
  </w:style>
  <w:style w:type="paragraph" w:styleId="7">
    <w:name w:val="footer"/>
    <w:basedOn w:val="1"/>
    <w:link w:val="15"/>
    <w:unhideWhenUsed/>
    <w:qFormat/>
    <w:uiPriority w:val="99"/>
    <w:pPr>
      <w:tabs>
        <w:tab w:val="center" w:pos="4153"/>
        <w:tab w:val="right" w:pos="8306"/>
      </w:tabs>
      <w:snapToGrid w:val="0"/>
      <w:jc w:val="left"/>
    </w:pPr>
    <w:rPr>
      <w:sz w:val="18"/>
      <w:szCs w:val="18"/>
    </w:rPr>
  </w:style>
  <w:style w:type="paragraph" w:styleId="8">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semiHidden/>
    <w:unhideWhenUsed/>
    <w:qFormat/>
    <w:uiPriority w:val="99"/>
    <w:pPr>
      <w:widowControl/>
      <w:spacing w:before="0" w:beforeAutospacing="1" w:after="0" w:afterAutospacing="1"/>
      <w:ind w:left="0" w:right="0"/>
      <w:jc w:val="left"/>
    </w:pPr>
    <w:rPr>
      <w:rFonts w:ascii="宋体" w:hAnsi="宋体" w:eastAsia="宋体" w:cs="宋体"/>
      <w:kern w:val="0"/>
      <w:sz w:val="24"/>
      <w:szCs w:val="24"/>
      <w:lang w:val="en-US" w:eastAsia="zh-CN" w:bidi="ar"/>
    </w:rPr>
  </w:style>
  <w:style w:type="table" w:styleId="11">
    <w:name w:val="Table Grid"/>
    <w:basedOn w:val="10"/>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3">
    <w:name w:val="annotation reference"/>
    <w:basedOn w:val="12"/>
    <w:unhideWhenUsed/>
    <w:qFormat/>
    <w:uiPriority w:val="99"/>
    <w:rPr>
      <w:sz w:val="21"/>
      <w:szCs w:val="21"/>
    </w:rPr>
  </w:style>
  <w:style w:type="character" w:customStyle="1" w:styleId="14">
    <w:name w:val="批注框文本 Char"/>
    <w:basedOn w:val="12"/>
    <w:link w:val="6"/>
    <w:semiHidden/>
    <w:qFormat/>
    <w:uiPriority w:val="99"/>
    <w:rPr>
      <w:rFonts w:ascii="Calibri" w:hAnsi="Calibri" w:eastAsia="宋体" w:cs="Times New Roman"/>
      <w:kern w:val="2"/>
      <w:sz w:val="18"/>
      <w:szCs w:val="18"/>
    </w:rPr>
  </w:style>
  <w:style w:type="character" w:customStyle="1" w:styleId="15">
    <w:name w:val="页脚 Char"/>
    <w:basedOn w:val="12"/>
    <w:link w:val="7"/>
    <w:semiHidden/>
    <w:qFormat/>
    <w:uiPriority w:val="99"/>
    <w:rPr>
      <w:sz w:val="18"/>
      <w:szCs w:val="18"/>
    </w:rPr>
  </w:style>
  <w:style w:type="character" w:customStyle="1" w:styleId="16">
    <w:name w:val="页眉 Char"/>
    <w:basedOn w:val="12"/>
    <w:link w:val="8"/>
    <w:semiHidden/>
    <w:qFormat/>
    <w:uiPriority w:val="99"/>
    <w:rPr>
      <w:sz w:val="18"/>
      <w:szCs w:val="18"/>
    </w:rPr>
  </w:style>
  <w:style w:type="paragraph" w:styleId="1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9</Pages>
  <Words>4664</Words>
  <Characters>5018</Characters>
  <Lines>1</Lines>
  <Paragraphs>1</Paragraphs>
  <TotalTime>0</TotalTime>
  <ScaleCrop>false</ScaleCrop>
  <LinksUpToDate>false</LinksUpToDate>
  <CharactersWithSpaces>5064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2020-08-28T02:28:00Z</dcterms:created>
  <dc:creator>个人用户</dc:creator>
  <cp:lastModifiedBy>AA</cp:lastModifiedBy>
  <dcterms:modified xsi:type="dcterms:W3CDTF">2025-12-04T03:43:05Z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61D68104C43E47E0894EE5CE9365D8C4</vt:lpwstr>
  </property>
  <property fmtid="{D5CDD505-2E9C-101B-9397-08002B2CF9AE}" pid="4" name="KSOTemplateDocerSaveRecord">
    <vt:lpwstr>eyJoZGlkIjoiZDg5YTRjNTg0YjkyNzk5NTg0YTRjMmRhZTYxNTNkNDciLCJ1c2VySWQiOiI1ODk0NTkxNDQifQ==</vt:lpwstr>
  </property>
</Properties>
</file>