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AD2AC0">
      <w:pPr>
        <w:pStyle w:val="6"/>
      </w:pPr>
      <w:r>
        <w:rPr>
          <w:rFonts w:hint="eastAsia"/>
        </w:rPr>
        <w:t>项目需求书</w:t>
      </w:r>
    </w:p>
    <w:p w14:paraId="0B2C8921">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一、项目背景</w:t>
      </w:r>
    </w:p>
    <w:p w14:paraId="0B6B044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本项目为2026年度修购专项“消防设施可靠性实验平台功能扩增改造项目”中</w:t>
      </w:r>
      <w:bookmarkStart w:id="0" w:name="_GoBack"/>
      <w:r>
        <w:rPr>
          <w:rFonts w:hint="eastAsia" w:ascii="Times New Roman" w:hAnsi="Times New Roman" w:cs="Times New Roman"/>
          <w:sz w:val="24"/>
          <w:szCs w:val="24"/>
        </w:rPr>
        <w:t>环境试验箱（高海拔模拟试验箱、高低温模拟试验箱）燃烧试验功能扩增改造采购项目</w:t>
      </w:r>
      <w:bookmarkEnd w:id="0"/>
      <w:r>
        <w:rPr>
          <w:rFonts w:hint="eastAsia" w:ascii="Times New Roman" w:hAnsi="Times New Roman" w:cs="Times New Roman"/>
          <w:sz w:val="24"/>
          <w:szCs w:val="24"/>
        </w:rPr>
        <w:t>。主要采购内容包括舱体防护改造、加热器防爆改造、监控摄像系统、通风与排烟系统、环境监测系统、消防控制系统、真空防护改造、新风系统、设备配套系统及集中监控系统，以及其它配套材料和安装调试。</w:t>
      </w:r>
    </w:p>
    <w:p w14:paraId="5E43264D">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二、项目预算</w:t>
      </w:r>
    </w:p>
    <w:p w14:paraId="042A5A0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本项目预算经费为1</w:t>
      </w:r>
      <w:r>
        <w:rPr>
          <w:rFonts w:hint="eastAsia" w:ascii="Times New Roman" w:hAnsi="Times New Roman" w:cs="Times New Roman"/>
          <w:sz w:val="24"/>
          <w:szCs w:val="24"/>
          <w:lang w:val="en-US" w:eastAsia="zh-CN"/>
        </w:rPr>
        <w:t>072137</w:t>
      </w:r>
      <w:r>
        <w:rPr>
          <w:rFonts w:hint="eastAsia" w:ascii="Times New Roman" w:hAnsi="Times New Roman" w:cs="Times New Roman"/>
          <w:sz w:val="24"/>
          <w:szCs w:val="24"/>
        </w:rPr>
        <w:t>元，其中高海拔模拟试验箱预算经费6</w:t>
      </w:r>
      <w:r>
        <w:rPr>
          <w:rFonts w:hint="eastAsia" w:ascii="Times New Roman" w:hAnsi="Times New Roman" w:cs="Times New Roman"/>
          <w:sz w:val="24"/>
          <w:szCs w:val="24"/>
          <w:lang w:val="en-US" w:eastAsia="zh-CN"/>
        </w:rPr>
        <w:t>05160</w:t>
      </w:r>
      <w:r>
        <w:rPr>
          <w:rFonts w:hint="eastAsia" w:ascii="Times New Roman" w:hAnsi="Times New Roman" w:cs="Times New Roman"/>
          <w:sz w:val="24"/>
          <w:szCs w:val="24"/>
        </w:rPr>
        <w:t>元，高低温模拟试验箱预算4</w:t>
      </w:r>
      <w:r>
        <w:rPr>
          <w:rFonts w:hint="eastAsia" w:ascii="Times New Roman" w:hAnsi="Times New Roman" w:cs="Times New Roman"/>
          <w:sz w:val="24"/>
          <w:szCs w:val="24"/>
          <w:lang w:val="en-US" w:eastAsia="zh-CN"/>
        </w:rPr>
        <w:t>66977</w:t>
      </w:r>
      <w:r>
        <w:rPr>
          <w:rFonts w:hint="eastAsia" w:ascii="Times New Roman" w:hAnsi="Times New Roman" w:cs="Times New Roman"/>
          <w:sz w:val="24"/>
          <w:szCs w:val="24"/>
        </w:rPr>
        <w:t>元。</w:t>
      </w:r>
    </w:p>
    <w:p w14:paraId="1F628A9E">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三、资格要求</w:t>
      </w:r>
    </w:p>
    <w:p w14:paraId="278FAA2E">
      <w:pPr>
        <w:spacing w:line="360" w:lineRule="auto"/>
        <w:ind w:firstLine="480" w:firstLineChars="200"/>
        <w:rPr>
          <w:rFonts w:hint="eastAsia" w:eastAsiaTheme="minorEastAsia"/>
          <w:lang w:eastAsia="zh-CN"/>
        </w:rPr>
      </w:pPr>
      <w:r>
        <w:rPr>
          <w:rFonts w:hint="eastAsia" w:ascii="宋体" w:hAnsi="宋体"/>
          <w:sz w:val="24"/>
          <w:lang w:val="en-US" w:eastAsia="zh-CN"/>
        </w:rPr>
        <w:t>（一）本项目属于消防设施可靠性实验平台功能扩增改造项目，除要求供应商提供近3年内相关环境可靠性试验系统相关改造的案例与业绩外，无其他特定投标资格条件要求。</w:t>
      </w:r>
    </w:p>
    <w:p w14:paraId="3E5F9B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（二）投标人须具备《中华人民共和国政府采购法》第二十二条第一款规定的条件。</w:t>
      </w:r>
    </w:p>
    <w:p w14:paraId="7C09D6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（三）本项目不接受联合体。</w:t>
      </w:r>
    </w:p>
    <w:p w14:paraId="124E26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（四）不单独面向中小微企业。</w:t>
      </w:r>
    </w:p>
    <w:p w14:paraId="13B6FA8E">
      <w:pPr>
        <w:spacing w:line="360" w:lineRule="auto"/>
        <w:ind w:firstLine="482" w:firstLineChars="200"/>
        <w:rPr>
          <w:rFonts w:hint="eastAsia"/>
          <w:b/>
          <w:sz w:val="24"/>
        </w:rPr>
      </w:pPr>
      <w:r>
        <w:rPr>
          <w:rFonts w:hint="eastAsia"/>
          <w:b/>
          <w:sz w:val="24"/>
          <w:lang w:val="en-US" w:eastAsia="zh-CN"/>
        </w:rPr>
        <w:t>四</w:t>
      </w:r>
      <w:r>
        <w:rPr>
          <w:rFonts w:hint="eastAsia"/>
          <w:b/>
          <w:sz w:val="24"/>
        </w:rPr>
        <w:t>、技术要求</w:t>
      </w:r>
    </w:p>
    <w:p w14:paraId="5D90F778">
      <w:pPr>
        <w:spacing w:line="360" w:lineRule="auto"/>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消防设施可靠性实验平台功能扩增改造主要包括以下两部分</w:t>
      </w:r>
    </w:p>
    <w:p w14:paraId="718A2F3F">
      <w:pPr>
        <w:spacing w:line="360" w:lineRule="auto"/>
        <w:ind w:firstLine="480" w:firstLineChars="200"/>
        <w:rPr>
          <w:rFonts w:hint="eastAsia" w:eastAsiaTheme="minorEastAsia"/>
          <w:lang w:eastAsia="zh-CN"/>
        </w:rPr>
      </w:pPr>
      <w:r>
        <w:rPr>
          <w:rFonts w:hint="eastAsia" w:ascii="宋体" w:hAnsi="宋体" w:eastAsia="宋体" w:cs="宋体"/>
          <w:b w:val="0"/>
          <w:bCs w:val="0"/>
          <w:sz w:val="24"/>
          <w:szCs w:val="24"/>
          <w:lang w:val="en-US" w:eastAsia="zh-CN"/>
        </w:rPr>
        <w:t>（</w:t>
      </w:r>
      <w:r>
        <w:rPr>
          <w:rFonts w:hint="eastAsia" w:ascii="宋体" w:hAnsi="宋体" w:eastAsia="宋体" w:cs="宋体"/>
          <w:b w:val="0"/>
          <w:bCs w:val="0"/>
          <w:sz w:val="24"/>
          <w:szCs w:val="24"/>
          <w:u w:val="none"/>
          <w:lang w:val="en-US" w:eastAsia="zh-CN"/>
        </w:rPr>
        <w:t>1）高低温模拟试验箱</w:t>
      </w:r>
      <w:r>
        <w:rPr>
          <w:rFonts w:hint="eastAsia" w:ascii="Times New Roman" w:hAnsi="Times New Roman" w:cs="Times New Roman"/>
          <w:sz w:val="24"/>
          <w:szCs w:val="24"/>
        </w:rPr>
        <w:t>燃烧试验功能扩增改造</w:t>
      </w:r>
      <w:r>
        <w:rPr>
          <w:rFonts w:hint="eastAsia" w:ascii="宋体" w:hAnsi="宋体" w:eastAsia="宋体" w:cs="宋体"/>
          <w:b w:val="0"/>
          <w:bCs w:val="0"/>
          <w:sz w:val="24"/>
          <w:szCs w:val="24"/>
          <w:u w:val="none"/>
          <w:lang w:val="en-US" w:eastAsia="zh-CN"/>
        </w:rPr>
        <w:t>：为保障燃烧试验安全、有效开展，需对试验箱开展安全防护改造，并升级燃烧测试相关数据采集能力。其中安全防护改造包含舱体防护改造与加热器防爆改造，同时将新增一套通风排烟系统，可及时排出试验过程中产生的燃烧废气；新增一套消防控制系统，满足燃烧测试出现异常情况时的紧急灭火需求。在数据采集方面，将新增一套高清热成像监控摄像系统，对舱内燃烧过程进行实时可视化观测；同时新增一套环境监测模块，用于实时采集并记录舱内温度、可燃气体浓度等关键参数，实现对燃烧试验全过程的状态监控。最后，为提升设备整体运行稳定性，保障其在夏季高温环境下可靠运行，将配置冷水机、水箱等配套设施，增强水塔换热能力。</w:t>
      </w:r>
    </w:p>
    <w:p w14:paraId="35788942">
      <w:pPr>
        <w:spacing w:line="360" w:lineRule="auto"/>
        <w:ind w:firstLine="480" w:firstLineChars="200"/>
        <w:rPr>
          <w:rFonts w:hint="eastAsia"/>
          <w:sz w:val="24"/>
          <w:lang w:val="en-US" w:eastAsia="zh-CN"/>
        </w:rPr>
      </w:pPr>
      <w:r>
        <w:rPr>
          <w:rFonts w:hint="eastAsia"/>
          <w:sz w:val="24"/>
          <w:lang w:val="en-US" w:eastAsia="zh-CN"/>
        </w:rPr>
        <w:t>具体技术指标要求如表1</w:t>
      </w:r>
    </w:p>
    <w:p w14:paraId="07D28E60">
      <w:pPr>
        <w:spacing w:line="360" w:lineRule="auto"/>
        <w:jc w:val="center"/>
        <w:rPr>
          <w:rFonts w:hint="default"/>
          <w:sz w:val="24"/>
          <w:lang w:val="en-US" w:eastAsia="zh-CN"/>
        </w:rPr>
      </w:pPr>
      <w:r>
        <w:rPr>
          <w:rFonts w:hint="eastAsia"/>
          <w:sz w:val="24"/>
          <w:lang w:val="en-US" w:eastAsia="zh-CN"/>
        </w:rPr>
        <w:t>表1</w:t>
      </w:r>
      <w:r>
        <w:rPr>
          <w:rFonts w:hint="eastAsia" w:ascii="宋体" w:hAnsi="宋体" w:eastAsia="宋体" w:cs="宋体"/>
          <w:b w:val="0"/>
          <w:bCs w:val="0"/>
          <w:sz w:val="24"/>
          <w:szCs w:val="24"/>
          <w:u w:val="none"/>
          <w:lang w:val="en-US" w:eastAsia="zh-CN"/>
        </w:rPr>
        <w:t>高低温模拟试验箱</w:t>
      </w:r>
      <w:r>
        <w:rPr>
          <w:rFonts w:hint="eastAsia" w:ascii="Times New Roman" w:hAnsi="Times New Roman" w:cs="Times New Roman"/>
          <w:sz w:val="24"/>
          <w:szCs w:val="24"/>
        </w:rPr>
        <w:t>燃烧试验功能扩增改造</w:t>
      </w:r>
    </w:p>
    <w:tbl>
      <w:tblPr>
        <w:tblStyle w:val="7"/>
        <w:tblW w:w="10377" w:type="dxa"/>
        <w:jc w:val="center"/>
        <w:tblBorders>
          <w:top w:val="none" w:color="auto" w:sz="4" w:space="0"/>
          <w:left w:val="none" w:color="auto" w:sz="4" w:space="0"/>
          <w:bottom w:val="none" w:color="auto" w:sz="4" w:space="0"/>
          <w:right w:val="none" w:color="auto" w:sz="4" w:space="0"/>
          <w:insideH w:val="none" w:color="auto" w:sz="4" w:space="0"/>
          <w:insideV w:val="none" w:color="auto" w:sz="4" w:space="0"/>
        </w:tblBorders>
        <w:tblLayout w:type="fixed"/>
        <w:tblCellMar>
          <w:top w:w="0" w:type="dxa"/>
          <w:left w:w="108" w:type="dxa"/>
          <w:bottom w:w="0" w:type="dxa"/>
          <w:right w:w="108" w:type="dxa"/>
        </w:tblCellMar>
      </w:tblPr>
      <w:tblGrid>
        <w:gridCol w:w="887"/>
        <w:gridCol w:w="1248"/>
        <w:gridCol w:w="1248"/>
        <w:gridCol w:w="2893"/>
        <w:gridCol w:w="708"/>
        <w:gridCol w:w="756"/>
        <w:gridCol w:w="1571"/>
        <w:gridCol w:w="1066"/>
      </w:tblGrid>
      <w:tr w14:paraId="27C1E62D">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tblHeader/>
          <w:jc w:val="center"/>
        </w:trPr>
        <w:tc>
          <w:tcPr>
            <w:tcW w:w="887" w:type="dxa"/>
            <w:tcBorders>
              <w:top w:val="single" w:color="auto" w:sz="12" w:space="0"/>
              <w:left w:val="single" w:color="auto" w:sz="12" w:space="0"/>
              <w:bottom w:val="nil"/>
              <w:right w:val="nil"/>
            </w:tcBorders>
            <w:shd w:val="clear" w:color="auto" w:fill="auto"/>
            <w:noWrap w:val="0"/>
            <w:tcMar>
              <w:top w:w="-1" w:type="dxa"/>
              <w:left w:w="-1" w:type="dxa"/>
              <w:bottom w:w="-1" w:type="dxa"/>
              <w:right w:w="-1" w:type="dxa"/>
            </w:tcMar>
            <w:vAlign w:val="center"/>
          </w:tcPr>
          <w:p w14:paraId="673EFF39">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序号</w:t>
            </w:r>
          </w:p>
        </w:tc>
        <w:tc>
          <w:tcPr>
            <w:tcW w:w="1248"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33DFEA9C">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标的名称</w:t>
            </w:r>
          </w:p>
        </w:tc>
        <w:tc>
          <w:tcPr>
            <w:tcW w:w="1248"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7CE89285">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eastAsiaTheme="minorEastAsia"/>
                <w:b/>
                <w:szCs w:val="21"/>
                <w:lang w:val="en-US" w:eastAsia="zh-CN"/>
              </w:rPr>
            </w:pPr>
            <w:r>
              <w:rPr>
                <w:rFonts w:hint="eastAsia" w:ascii="Times New Roman" w:hAnsi="Times New Roman" w:cs="Times New Roman"/>
                <w:b/>
                <w:szCs w:val="21"/>
                <w:lang w:val="en-US" w:eastAsia="zh-CN"/>
              </w:rPr>
              <w:t>部件构成</w:t>
            </w:r>
          </w:p>
        </w:tc>
        <w:tc>
          <w:tcPr>
            <w:tcW w:w="2893"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28AC0789">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技术要求</w:t>
            </w:r>
          </w:p>
        </w:tc>
        <w:tc>
          <w:tcPr>
            <w:tcW w:w="708"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5FA19DCD">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单位</w:t>
            </w:r>
          </w:p>
        </w:tc>
        <w:tc>
          <w:tcPr>
            <w:tcW w:w="756"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478B392D">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数量</w:t>
            </w:r>
          </w:p>
        </w:tc>
        <w:tc>
          <w:tcPr>
            <w:tcW w:w="1571" w:type="dxa"/>
            <w:tcBorders>
              <w:top w:val="single" w:color="auto" w:sz="12" w:space="0"/>
              <w:left w:val="single" w:color="auto" w:sz="4" w:space="0"/>
              <w:bottom w:val="nil"/>
              <w:right w:val="nil"/>
            </w:tcBorders>
            <w:noWrap w:val="0"/>
            <w:tcMar>
              <w:top w:w="-1" w:type="dxa"/>
              <w:left w:w="-1" w:type="dxa"/>
              <w:bottom w:w="-1" w:type="dxa"/>
              <w:right w:w="-1" w:type="dxa"/>
            </w:tcMar>
            <w:vAlign w:val="center"/>
          </w:tcPr>
          <w:p w14:paraId="36E8E2CE">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是否属于现行节能产品政府采购清单强制采购范围</w:t>
            </w:r>
          </w:p>
        </w:tc>
        <w:tc>
          <w:tcPr>
            <w:tcW w:w="1066" w:type="dxa"/>
            <w:tcBorders>
              <w:top w:val="single" w:color="auto" w:sz="12" w:space="0"/>
              <w:left w:val="single" w:color="auto" w:sz="4" w:space="0"/>
              <w:bottom w:val="nil"/>
              <w:right w:val="single" w:color="auto" w:sz="12" w:space="0"/>
            </w:tcBorders>
            <w:noWrap w:val="0"/>
            <w:tcMar>
              <w:top w:w="-1" w:type="dxa"/>
              <w:left w:w="-1" w:type="dxa"/>
              <w:bottom w:w="-1" w:type="dxa"/>
              <w:right w:w="-1" w:type="dxa"/>
            </w:tcMar>
            <w:vAlign w:val="center"/>
          </w:tcPr>
          <w:p w14:paraId="1371E7AD">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cs="Times New Roman"/>
                <w:b/>
                <w:szCs w:val="21"/>
              </w:rPr>
            </w:pPr>
            <w:r>
              <w:rPr>
                <w:rFonts w:hint="default" w:ascii="Times New Roman" w:hAnsi="Times New Roman" w:cs="Times New Roman"/>
                <w:b/>
                <w:szCs w:val="21"/>
              </w:rPr>
              <w:t>是否属于集采目录内产品</w:t>
            </w:r>
          </w:p>
        </w:tc>
      </w:tr>
      <w:tr w14:paraId="6EE26E43">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restart"/>
            <w:tcBorders>
              <w:top w:val="single" w:color="auto" w:sz="4" w:space="0"/>
              <w:left w:val="single" w:color="auto" w:sz="12" w:space="0"/>
              <w:right w:val="nil"/>
            </w:tcBorders>
            <w:shd w:val="clear" w:color="auto" w:fill="auto"/>
            <w:noWrap w:val="0"/>
            <w:tcMar>
              <w:top w:w="-1" w:type="dxa"/>
              <w:left w:w="-1" w:type="dxa"/>
              <w:bottom w:w="-1" w:type="dxa"/>
              <w:right w:w="-1" w:type="dxa"/>
            </w:tcMar>
            <w:vAlign w:val="center"/>
          </w:tcPr>
          <w:p w14:paraId="5D72CCE0">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p w14:paraId="795BB98B">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248" w:type="dxa"/>
            <w:vMerge w:val="restart"/>
            <w:tcBorders>
              <w:top w:val="single" w:color="auto" w:sz="4" w:space="0"/>
              <w:left w:val="single" w:color="auto" w:sz="4" w:space="0"/>
              <w:right w:val="nil"/>
            </w:tcBorders>
            <w:shd w:val="clear" w:color="auto" w:fill="auto"/>
            <w:noWrap w:val="0"/>
            <w:tcMar>
              <w:top w:w="-1" w:type="dxa"/>
              <w:left w:w="-1" w:type="dxa"/>
              <w:bottom w:w="-1" w:type="dxa"/>
              <w:right w:w="-1" w:type="dxa"/>
            </w:tcMar>
            <w:vAlign w:val="center"/>
          </w:tcPr>
          <w:p w14:paraId="67517021">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高低温模拟试验箱燃烧试验功能扩增改造</w:t>
            </w:r>
          </w:p>
        </w:tc>
        <w:tc>
          <w:tcPr>
            <w:tcW w:w="124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91B0DE0">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lang w:val="en-US" w:eastAsia="zh-CN"/>
              </w:rPr>
              <w:t>舱体防护改造</w:t>
            </w:r>
          </w:p>
        </w:tc>
        <w:tc>
          <w:tcPr>
            <w:tcW w:w="289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92A4D47">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highlight w:val="none"/>
                <w:lang w:val="en-US" w:eastAsia="zh-CN"/>
              </w:rPr>
            </w:pPr>
            <w:r>
              <w:rPr>
                <w:rFonts w:hint="default" w:ascii="Times New Roman" w:hAnsi="Times New Roman" w:eastAsia="宋体" w:cs="Times New Roman"/>
                <w:sz w:val="24"/>
                <w:highlight w:val="none"/>
                <w:lang w:val="en-US" w:eastAsia="zh-CN"/>
              </w:rPr>
              <w:t>★1.燃烧测试过程中舱体库板能够耐受燃烧测试产品的高温。其密封性、保温性满足设备原指标（-70℃~180℃）；</w:t>
            </w:r>
          </w:p>
          <w:p w14:paraId="7AB55820">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highlight w:val="none"/>
                <w:lang w:val="en-US" w:eastAsia="zh-CN"/>
              </w:rPr>
            </w:pPr>
            <w:r>
              <w:rPr>
                <w:rFonts w:hint="default" w:ascii="Times New Roman" w:hAnsi="Times New Roman" w:eastAsia="宋体" w:cs="Times New Roman"/>
                <w:sz w:val="24"/>
                <w:highlight w:val="none"/>
                <w:lang w:val="en-US" w:eastAsia="zh-CN"/>
              </w:rPr>
              <w:t>★</w:t>
            </w:r>
            <w:r>
              <w:rPr>
                <w:rFonts w:hint="eastAsia" w:ascii="Times New Roman" w:hAnsi="Times New Roman" w:eastAsia="宋体" w:cs="Times New Roman"/>
                <w:sz w:val="24"/>
                <w:highlight w:val="none"/>
                <w:lang w:val="en-US" w:eastAsia="zh-CN"/>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z w:val="24"/>
                <w:highlight w:val="none"/>
                <w:lang w:val="en-US" w:eastAsia="zh-CN"/>
              </w:rPr>
              <w:t>舱体防护改造所用主体材料</w:t>
            </w:r>
            <w:r>
              <w:rPr>
                <w:rFonts w:hint="eastAsia" w:ascii="Times New Roman" w:hAnsi="Times New Roman" w:eastAsia="宋体" w:cs="Times New Roman"/>
                <w:sz w:val="24"/>
                <w:highlight w:val="none"/>
                <w:lang w:val="en-US" w:eastAsia="zh-CN"/>
              </w:rPr>
              <w:t>采用</w:t>
            </w:r>
            <w:r>
              <w:rPr>
                <w:rFonts w:hint="default" w:ascii="Times New Roman" w:hAnsi="Times New Roman" w:eastAsia="宋体" w:cs="Times New Roman"/>
                <w:sz w:val="24"/>
                <w:highlight w:val="none"/>
                <w:lang w:val="en-US" w:eastAsia="zh-CN"/>
              </w:rPr>
              <w:t>A级防火标准</w:t>
            </w:r>
            <w:r>
              <w:rPr>
                <w:rFonts w:hint="eastAsia" w:ascii="Times New Roman" w:hAnsi="Times New Roman" w:eastAsia="宋体" w:cs="Times New Roman"/>
                <w:sz w:val="24"/>
                <w:highlight w:val="none"/>
                <w:lang w:val="en-US" w:eastAsia="zh-CN"/>
              </w:rPr>
              <w:t>材料；</w:t>
            </w:r>
          </w:p>
        </w:tc>
        <w:tc>
          <w:tcPr>
            <w:tcW w:w="70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68974B8E">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台</w:t>
            </w:r>
          </w:p>
        </w:tc>
        <w:tc>
          <w:tcPr>
            <w:tcW w:w="756"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EF000E8">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6F8BC9DF">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15A9D37B">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254DFE18">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70BDB77E">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p>
        </w:tc>
        <w:tc>
          <w:tcPr>
            <w:tcW w:w="1248"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3AF8740A">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p>
        </w:tc>
        <w:tc>
          <w:tcPr>
            <w:tcW w:w="124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139E53D3">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加热器防爆</w:t>
            </w:r>
            <w:r>
              <w:rPr>
                <w:rFonts w:hint="default" w:ascii="Times New Roman" w:hAnsi="Times New Roman" w:eastAsia="宋体" w:cs="Times New Roman"/>
                <w:sz w:val="24"/>
                <w:szCs w:val="24"/>
                <w:highlight w:val="none"/>
                <w:lang w:val="en-US" w:eastAsia="zh-CN"/>
              </w:rPr>
              <w:br w:type="textWrapping"/>
            </w:r>
            <w:r>
              <w:rPr>
                <w:rFonts w:hint="default" w:ascii="Times New Roman" w:hAnsi="Times New Roman" w:eastAsia="宋体" w:cs="Times New Roman"/>
                <w:sz w:val="24"/>
                <w:szCs w:val="24"/>
                <w:highlight w:val="none"/>
                <w:lang w:val="en-US" w:eastAsia="zh-CN"/>
              </w:rPr>
              <w:t>改造</w:t>
            </w:r>
          </w:p>
        </w:tc>
        <w:tc>
          <w:tcPr>
            <w:tcW w:w="289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73FB0FBD">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highlight w:val="none"/>
                <w:lang w:val="en-US" w:eastAsia="zh-CN"/>
              </w:rPr>
            </w:pPr>
            <w:r>
              <w:rPr>
                <w:rFonts w:hint="default" w:ascii="Times New Roman" w:hAnsi="Times New Roman" w:eastAsia="宋体" w:cs="Times New Roman"/>
                <w:sz w:val="24"/>
                <w:highlight w:val="none"/>
                <w:lang w:val="en-US" w:eastAsia="zh-CN"/>
              </w:rPr>
              <w:t>★1.</w:t>
            </w:r>
            <w:r>
              <w:rPr>
                <w:rFonts w:hint="eastAsia" w:ascii="Times New Roman" w:hAnsi="Times New Roman" w:eastAsia="宋体" w:cs="Times New Roman"/>
                <w:sz w:val="24"/>
                <w:highlight w:val="none"/>
                <w:lang w:val="en-US" w:eastAsia="zh-CN"/>
              </w:rPr>
              <w:t>防爆加热器在运行恒温测试时温度波动、偏差满足</w:t>
            </w:r>
            <w:r>
              <w:rPr>
                <w:rFonts w:hint="default" w:ascii="Times New Roman" w:hAnsi="Times New Roman" w:eastAsia="宋体" w:cs="Times New Roman"/>
                <w:sz w:val="24"/>
                <w:highlight w:val="none"/>
                <w:lang w:val="en-US" w:eastAsia="zh-CN"/>
              </w:rPr>
              <w:t>设备原指标（波动±0.5℃、偏差2℃）</w:t>
            </w:r>
            <w:r>
              <w:rPr>
                <w:rFonts w:hint="eastAsia" w:ascii="Times New Roman" w:hAnsi="Times New Roman" w:eastAsia="宋体" w:cs="Times New Roman"/>
                <w:sz w:val="24"/>
                <w:highlight w:val="none"/>
                <w:lang w:val="en-US" w:eastAsia="zh-CN"/>
              </w:rPr>
              <w:t>；</w:t>
            </w:r>
          </w:p>
          <w:p w14:paraId="5C11DE62">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rPr>
              <w:t>★</w:t>
            </w:r>
            <w:r>
              <w:rPr>
                <w:rFonts w:hint="default" w:ascii="Times New Roman" w:hAnsi="Times New Roman" w:eastAsia="宋体" w:cs="Times New Roman"/>
                <w:sz w:val="24"/>
                <w:szCs w:val="24"/>
                <w:highlight w:val="none"/>
                <w:lang w:val="en-US" w:eastAsia="zh-CN"/>
              </w:rPr>
              <w:t>2.防爆加热器满足电气</w:t>
            </w:r>
            <w:r>
              <w:rPr>
                <w:rFonts w:hint="default" w:ascii="Times New Roman" w:hAnsi="Times New Roman" w:eastAsia="宋体" w:cs="Times New Roman"/>
                <w:sz w:val="24"/>
                <w:szCs w:val="24"/>
                <w:highlight w:val="none"/>
                <w:lang w:eastAsia="zh-CN"/>
              </w:rPr>
              <w:t>防爆标准要求，</w:t>
            </w:r>
            <w:r>
              <w:rPr>
                <w:rFonts w:hint="default" w:ascii="Times New Roman" w:hAnsi="Times New Roman" w:eastAsia="宋体" w:cs="Times New Roman"/>
                <w:sz w:val="24"/>
                <w:szCs w:val="24"/>
                <w:highlight w:val="none"/>
                <w:lang w:val="en-US" w:eastAsia="zh-CN"/>
              </w:rPr>
              <w:t>无裸露</w:t>
            </w:r>
            <w:r>
              <w:rPr>
                <w:rFonts w:hint="default" w:ascii="Times New Roman" w:hAnsi="Times New Roman" w:eastAsia="宋体" w:cs="Times New Roman"/>
                <w:sz w:val="24"/>
                <w:szCs w:val="24"/>
                <w:highlight w:val="none"/>
                <w:lang w:eastAsia="zh-CN"/>
              </w:rPr>
              <w:t>带电体，所有接线部位做密封</w:t>
            </w:r>
            <w:r>
              <w:rPr>
                <w:rFonts w:hint="eastAsia" w:ascii="Times New Roman" w:hAnsi="Times New Roman" w:eastAsia="宋体" w:cs="Times New Roman"/>
                <w:sz w:val="24"/>
                <w:szCs w:val="24"/>
                <w:highlight w:val="none"/>
                <w:lang w:val="en-US" w:eastAsia="zh-CN"/>
              </w:rPr>
              <w:t>绝缘</w:t>
            </w:r>
            <w:r>
              <w:rPr>
                <w:rFonts w:hint="default" w:ascii="Times New Roman" w:hAnsi="Times New Roman" w:eastAsia="宋体" w:cs="Times New Roman"/>
                <w:sz w:val="24"/>
                <w:szCs w:val="24"/>
                <w:highlight w:val="none"/>
                <w:lang w:eastAsia="zh-CN"/>
              </w:rPr>
              <w:t>处理；</w:t>
            </w:r>
          </w:p>
          <w:p w14:paraId="0C938AF5">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3.防爆加热器具有联动保护，表面温度超过380℃时可自动切断加热电源，联动报警提示；</w:t>
            </w:r>
          </w:p>
        </w:tc>
        <w:tc>
          <w:tcPr>
            <w:tcW w:w="70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6814EA38">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项</w:t>
            </w:r>
          </w:p>
        </w:tc>
        <w:tc>
          <w:tcPr>
            <w:tcW w:w="756"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117ADB29">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5095934F">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612E023C">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6FFE70FE">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2B177CA0">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lang w:val="en-US" w:eastAsia="zh-CN"/>
              </w:rPr>
            </w:pPr>
          </w:p>
        </w:tc>
        <w:tc>
          <w:tcPr>
            <w:tcW w:w="1248"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0C6FA72A">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lang w:val="en-US" w:eastAsia="zh-CN"/>
              </w:rPr>
            </w:pPr>
          </w:p>
        </w:tc>
        <w:tc>
          <w:tcPr>
            <w:tcW w:w="124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4131F4F0">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lang w:val="en-US" w:eastAsia="zh-CN"/>
              </w:rPr>
              <w:t>监控摄像系统</w:t>
            </w:r>
          </w:p>
        </w:tc>
        <w:tc>
          <w:tcPr>
            <w:tcW w:w="289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063580E1">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rPr>
              <w:t>★</w:t>
            </w:r>
            <w:r>
              <w:rPr>
                <w:rFonts w:hint="default" w:ascii="Times New Roman" w:hAnsi="Times New Roman" w:eastAsia="宋体" w:cs="Times New Roman"/>
                <w:sz w:val="24"/>
                <w:szCs w:val="24"/>
                <w:highlight w:val="none"/>
                <w:lang w:val="en-US" w:eastAsia="zh-CN"/>
              </w:rPr>
              <w:t>1.热成像摄像头参数要求：画面分辨率不低于384*288；测温范围为-20℃~1600℃；测温精度为±2℃或读数的±2%，取二者较大值；</w:t>
            </w:r>
          </w:p>
          <w:p w14:paraId="2D1D15A8">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2.提供SDK开发包，便于开展二次开发与系统集成。</w:t>
            </w:r>
          </w:p>
          <w:p w14:paraId="7D7AA17A">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1"/>
              </w:rPr>
            </w:pPr>
            <w:r>
              <w:rPr>
                <w:rFonts w:hint="default" w:ascii="Times New Roman" w:hAnsi="Times New Roman" w:eastAsia="宋体" w:cs="Times New Roman"/>
                <w:sz w:val="24"/>
                <w:lang w:val="en-US" w:eastAsia="zh-CN"/>
              </w:rPr>
              <w:t>3</w:t>
            </w:r>
            <w:r>
              <w:rPr>
                <w:rFonts w:hint="default" w:ascii="Times New Roman" w:hAnsi="Times New Roman" w:eastAsia="宋体" w:cs="Times New Roman"/>
                <w:sz w:val="24"/>
                <w:szCs w:val="24"/>
                <w:highlight w:val="none"/>
                <w:lang w:val="en-US" w:eastAsia="zh-CN"/>
              </w:rPr>
              <w:t>.工作环境温度：-70℃~150℃；</w:t>
            </w:r>
          </w:p>
        </w:tc>
        <w:tc>
          <w:tcPr>
            <w:tcW w:w="70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ED7B511">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项</w:t>
            </w:r>
          </w:p>
        </w:tc>
        <w:tc>
          <w:tcPr>
            <w:tcW w:w="756"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D3BF421">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52A23EBF">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44F1E2A8">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2C5081A8">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4E3303F6">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248"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431A4AFB">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24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4A99348">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通风与排烟系统</w:t>
            </w:r>
          </w:p>
        </w:tc>
        <w:tc>
          <w:tcPr>
            <w:tcW w:w="289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24ECAF71">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rPr>
              <w:t>★</w:t>
            </w:r>
            <w:r>
              <w:rPr>
                <w:rFonts w:hint="default" w:ascii="Times New Roman" w:hAnsi="Times New Roman" w:eastAsia="宋体" w:cs="Times New Roman"/>
                <w:sz w:val="24"/>
                <w:szCs w:val="24"/>
                <w:highlight w:val="none"/>
                <w:lang w:val="en-US" w:eastAsia="zh-CN"/>
              </w:rPr>
              <w:t>1.排风风量应不小于760m³/h，排风管直径应不小于200mm；</w:t>
            </w:r>
          </w:p>
          <w:p w14:paraId="5E804578">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1"/>
              </w:rPr>
            </w:pPr>
            <w:r>
              <w:rPr>
                <w:rFonts w:hint="default" w:ascii="Times New Roman" w:hAnsi="Times New Roman" w:eastAsia="宋体" w:cs="Times New Roman"/>
                <w:sz w:val="24"/>
                <w:szCs w:val="24"/>
                <w:highlight w:val="none"/>
                <w:lang w:val="en-US" w:eastAsia="zh-CN"/>
              </w:rPr>
              <w:t>2.排风装置耐温范围：-40℃~+180℃；</w:t>
            </w:r>
          </w:p>
        </w:tc>
        <w:tc>
          <w:tcPr>
            <w:tcW w:w="70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29D380EE">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项</w:t>
            </w:r>
          </w:p>
        </w:tc>
        <w:tc>
          <w:tcPr>
            <w:tcW w:w="756"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5170F4B">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1C6553B1">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51AC58FA">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24DD420F">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17ABD105">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248"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61A8B11E">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sz w:val="24"/>
                <w:szCs w:val="24"/>
                <w:highlight w:val="none"/>
                <w:lang w:val="en-US" w:eastAsia="zh-CN"/>
              </w:rPr>
            </w:pPr>
          </w:p>
        </w:tc>
        <w:tc>
          <w:tcPr>
            <w:tcW w:w="124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F63D87F">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环境监测系统</w:t>
            </w:r>
          </w:p>
        </w:tc>
        <w:tc>
          <w:tcPr>
            <w:tcW w:w="289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F69032B">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rPr>
              <w:t>★</w:t>
            </w:r>
            <w:r>
              <w:rPr>
                <w:rFonts w:hint="default" w:ascii="Times New Roman" w:hAnsi="Times New Roman" w:eastAsia="宋体" w:cs="Times New Roman"/>
                <w:sz w:val="24"/>
                <w:szCs w:val="24"/>
                <w:highlight w:val="none"/>
                <w:lang w:val="en-US" w:eastAsia="zh-CN"/>
              </w:rPr>
              <w:t>1.气体监测传感器监测精度≤±3%F.S；响应时间T90≤30秒；工作环境温度：-20～+55℃，湿度：10～95%RH；防护等级IP66；</w:t>
            </w:r>
          </w:p>
          <w:p w14:paraId="4B6110C9">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2.传感器需支持本地显示，具备485、232、MODBUS、TCP、CAN中任意一种通讯功能，可与集中监控系统连接。</w:t>
            </w:r>
          </w:p>
        </w:tc>
        <w:tc>
          <w:tcPr>
            <w:tcW w:w="70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7D13656">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项</w:t>
            </w:r>
          </w:p>
        </w:tc>
        <w:tc>
          <w:tcPr>
            <w:tcW w:w="756"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60AD52D9">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342B5168">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1445C527">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17DC6B3C">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5C458B7E">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248"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4B93E966">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24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007D9833">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消防控制系统</w:t>
            </w:r>
          </w:p>
        </w:tc>
        <w:tc>
          <w:tcPr>
            <w:tcW w:w="289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11000791">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sz w:val="24"/>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1.水喷淋需要配置水箱、水泵，水箱容量不小于2T，具备自动补水功能，流量不小于20m³/h，压力不小于0.2mpa；</w:t>
            </w:r>
          </w:p>
        </w:tc>
        <w:tc>
          <w:tcPr>
            <w:tcW w:w="708"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846296D">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rPr>
            </w:pPr>
          </w:p>
        </w:tc>
        <w:tc>
          <w:tcPr>
            <w:tcW w:w="756"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A422572">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6DFE6663">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2AF06DB7">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232F3A43">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887" w:type="dxa"/>
            <w:vMerge w:val="continue"/>
            <w:tcBorders>
              <w:left w:val="single" w:color="auto" w:sz="12" w:space="0"/>
              <w:bottom w:val="single" w:color="auto" w:sz="12" w:space="0"/>
              <w:right w:val="nil"/>
            </w:tcBorders>
            <w:shd w:val="clear" w:color="auto" w:fill="auto"/>
            <w:noWrap w:val="0"/>
            <w:tcMar>
              <w:top w:w="-1" w:type="dxa"/>
              <w:left w:w="-1" w:type="dxa"/>
              <w:bottom w:w="-1" w:type="dxa"/>
              <w:right w:w="-1" w:type="dxa"/>
            </w:tcMar>
            <w:vAlign w:val="center"/>
          </w:tcPr>
          <w:p w14:paraId="15FDC76B">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248" w:type="dxa"/>
            <w:vMerge w:val="continue"/>
            <w:tcBorders>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19E867C2">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248"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39DDD871">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设备配套系统</w:t>
            </w:r>
          </w:p>
        </w:tc>
        <w:tc>
          <w:tcPr>
            <w:tcW w:w="2893"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579B16D5">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sz w:val="24"/>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1.需支持自动控温，控温精度不低于±3℃，可根据出水温度自动调整运行功率，具备自动启停、故障报警功能，报警信号、运行状态可接入集中监控系统；</w:t>
            </w:r>
          </w:p>
          <w:p w14:paraId="592EBB5A">
            <w:pPr>
              <w:keepNext w:val="0"/>
              <w:keepLines/>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2.冷水机控制系统需预留通讯接口，支持 Modbus RTU 或 TCP/IP 协议。</w:t>
            </w:r>
          </w:p>
        </w:tc>
        <w:tc>
          <w:tcPr>
            <w:tcW w:w="708"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07B866DC">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left"/>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台</w:t>
            </w:r>
          </w:p>
        </w:tc>
        <w:tc>
          <w:tcPr>
            <w:tcW w:w="756"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268306E0">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571" w:type="dxa"/>
            <w:tcBorders>
              <w:top w:val="single" w:color="auto" w:sz="4" w:space="0"/>
              <w:left w:val="single" w:color="auto" w:sz="4" w:space="0"/>
              <w:bottom w:val="single" w:color="auto" w:sz="12" w:space="0"/>
              <w:right w:val="nil"/>
            </w:tcBorders>
            <w:noWrap w:val="0"/>
            <w:tcMar>
              <w:top w:w="-1" w:type="dxa"/>
              <w:left w:w="-1" w:type="dxa"/>
              <w:bottom w:w="-1" w:type="dxa"/>
              <w:right w:w="-1" w:type="dxa"/>
            </w:tcMar>
            <w:vAlign w:val="center"/>
          </w:tcPr>
          <w:p w14:paraId="4F5D5549">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066" w:type="dxa"/>
            <w:tcBorders>
              <w:top w:val="single" w:color="auto" w:sz="4" w:space="0"/>
              <w:left w:val="single" w:color="auto" w:sz="4" w:space="0"/>
              <w:bottom w:val="single" w:color="auto" w:sz="12" w:space="0"/>
              <w:right w:val="single" w:color="auto" w:sz="12" w:space="0"/>
            </w:tcBorders>
            <w:noWrap w:val="0"/>
            <w:tcMar>
              <w:top w:w="-1" w:type="dxa"/>
              <w:left w:w="-1" w:type="dxa"/>
              <w:bottom w:w="-1" w:type="dxa"/>
              <w:right w:w="-1" w:type="dxa"/>
            </w:tcMar>
            <w:vAlign w:val="center"/>
          </w:tcPr>
          <w:p w14:paraId="764BA5EC">
            <w:pPr>
              <w:keepNext w:val="0"/>
              <w:keepLines/>
              <w:pageBreakBefore w:val="0"/>
              <w:widowControl w:val="0"/>
              <w:kinsoku/>
              <w:wordWrap/>
              <w:overflowPunct/>
              <w:topLinePunct w:val="0"/>
              <w:autoSpaceDE/>
              <w:autoSpaceDN/>
              <w:bidi w:val="0"/>
              <w:adjustRightInd/>
              <w:snapToGrid w:val="0"/>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bl>
    <w:p w14:paraId="3E2BB55C">
      <w:pPr>
        <w:keepNext w:val="0"/>
        <w:keepLines w:val="0"/>
        <w:pageBreakBefore w:val="0"/>
        <w:widowControl w:val="0"/>
        <w:kinsoku/>
        <w:wordWrap/>
        <w:overflowPunct/>
        <w:topLinePunct w:val="0"/>
        <w:autoSpaceDE/>
        <w:autoSpaceDN/>
        <w:bidi w:val="0"/>
        <w:adjustRightInd/>
        <w:snapToGrid/>
        <w:spacing w:before="313" w:beforeLines="100" w:line="360" w:lineRule="auto"/>
        <w:ind w:firstLine="480" w:firstLineChars="200"/>
        <w:textAlignment w:val="auto"/>
        <w:rPr>
          <w:rFonts w:hint="eastAsia" w:eastAsiaTheme="minorEastAsia"/>
          <w:lang w:eastAsia="zh-CN"/>
        </w:rPr>
      </w:pPr>
      <w:r>
        <w:rPr>
          <w:rFonts w:hint="eastAsia" w:ascii="宋体" w:hAnsi="宋体" w:eastAsia="宋体" w:cs="宋体"/>
          <w:b w:val="0"/>
          <w:bCs w:val="0"/>
          <w:sz w:val="24"/>
          <w:szCs w:val="24"/>
          <w:lang w:val="en-US" w:eastAsia="zh-CN"/>
        </w:rPr>
        <w:t>（2</w:t>
      </w:r>
      <w:r>
        <w:rPr>
          <w:rFonts w:hint="eastAsia" w:ascii="宋体" w:hAnsi="宋体" w:eastAsia="宋体" w:cs="宋体"/>
          <w:b w:val="0"/>
          <w:bCs w:val="0"/>
          <w:sz w:val="24"/>
          <w:szCs w:val="24"/>
          <w:u w:val="none"/>
          <w:lang w:val="en-US" w:eastAsia="zh-CN"/>
        </w:rPr>
        <w:t>）高海拔模拟试验箱</w:t>
      </w:r>
      <w:r>
        <w:rPr>
          <w:rFonts w:hint="eastAsia" w:ascii="Times New Roman" w:hAnsi="Times New Roman" w:cs="Times New Roman"/>
          <w:sz w:val="24"/>
          <w:szCs w:val="24"/>
          <w:lang w:val="en-US" w:eastAsia="zh-CN"/>
        </w:rPr>
        <w:t>燃烧试验功能扩增改造</w:t>
      </w:r>
      <w:r>
        <w:rPr>
          <w:rFonts w:hint="eastAsia" w:ascii="宋体" w:hAnsi="宋体" w:eastAsia="宋体" w:cs="宋体"/>
          <w:b w:val="0"/>
          <w:bCs w:val="0"/>
          <w:sz w:val="24"/>
          <w:szCs w:val="24"/>
          <w:u w:val="none"/>
          <w:lang w:val="en-US" w:eastAsia="zh-CN"/>
        </w:rPr>
        <w:t>：为保障燃烧试验安全、有效开展，需对试验箱进行安全防护改造，并升级燃烧测试相关的数据采集能力。本次改造包含以下内容：安全防护改造分为舱体防护改造与</w:t>
      </w:r>
      <w:r>
        <w:rPr>
          <w:rFonts w:hint="eastAsia" w:ascii="宋体" w:hAnsi="宋体" w:eastAsia="宋体" w:cs="宋体"/>
          <w:sz w:val="24"/>
          <w:szCs w:val="24"/>
          <w:lang w:val="en-US" w:eastAsia="zh-CN"/>
        </w:rPr>
        <w:t>真空泵防护</w:t>
      </w:r>
      <w:r>
        <w:rPr>
          <w:rFonts w:hint="eastAsia" w:ascii="宋体" w:hAnsi="宋体" w:eastAsia="宋体" w:cs="宋体"/>
          <w:b w:val="0"/>
          <w:bCs w:val="0"/>
          <w:sz w:val="24"/>
          <w:szCs w:val="24"/>
          <w:u w:val="none"/>
          <w:lang w:val="en-US" w:eastAsia="zh-CN"/>
        </w:rPr>
        <w:t>改造，同时新增一套新风系统，可在低气压环境下为燃烧测试及时提供充足新风；新增一套消防控制系统，满足燃烧测试出现异常情况时的紧急灭火需求。数据采集方面，新增一套高清热成像监控摄像系统，对舱内燃烧过程进行实时可视化观测；同时新增一套环境监测模块，用于实时采集并记录舱内温度、可燃气体浓度等关键参数，实现燃烧试验全过程的状态监控。最终通过集中监控系统统一汇总展示采集数据与设备运行状态，提供数据存储、查询与导出功能。</w:t>
      </w:r>
    </w:p>
    <w:p w14:paraId="47A0610E">
      <w:pPr>
        <w:spacing w:line="360" w:lineRule="auto"/>
        <w:ind w:firstLine="480" w:firstLineChars="200"/>
        <w:rPr>
          <w:rFonts w:hint="default"/>
          <w:sz w:val="24"/>
          <w:lang w:val="en-US" w:eastAsia="zh-CN"/>
        </w:rPr>
      </w:pPr>
      <w:r>
        <w:rPr>
          <w:rFonts w:hint="eastAsia"/>
          <w:sz w:val="24"/>
          <w:lang w:val="en-US" w:eastAsia="zh-CN"/>
        </w:rPr>
        <w:t>具体技术指标要求如表2</w:t>
      </w:r>
    </w:p>
    <w:p w14:paraId="13CB0290">
      <w:pPr>
        <w:spacing w:line="360" w:lineRule="auto"/>
        <w:jc w:val="center"/>
        <w:rPr>
          <w:rFonts w:hint="default"/>
          <w:sz w:val="24"/>
          <w:lang w:val="en-US" w:eastAsia="zh-CN"/>
        </w:rPr>
      </w:pPr>
      <w:r>
        <w:rPr>
          <w:rFonts w:hint="eastAsia"/>
          <w:sz w:val="24"/>
          <w:lang w:val="en-US" w:eastAsia="zh-CN"/>
        </w:rPr>
        <w:t>表2</w:t>
      </w:r>
      <w:r>
        <w:rPr>
          <w:rFonts w:hint="eastAsia" w:ascii="宋体" w:hAnsi="宋体" w:eastAsia="宋体" w:cs="宋体"/>
          <w:b w:val="0"/>
          <w:bCs w:val="0"/>
          <w:sz w:val="24"/>
          <w:szCs w:val="24"/>
          <w:u w:val="none"/>
          <w:lang w:val="en-US" w:eastAsia="zh-CN"/>
        </w:rPr>
        <w:t>高海拔模拟试验箱</w:t>
      </w:r>
      <w:r>
        <w:rPr>
          <w:rFonts w:hint="eastAsia" w:ascii="Times New Roman" w:hAnsi="Times New Roman" w:cs="Times New Roman"/>
          <w:sz w:val="24"/>
          <w:szCs w:val="24"/>
        </w:rPr>
        <w:t>燃烧试验功能扩增改造</w:t>
      </w:r>
    </w:p>
    <w:tbl>
      <w:tblPr>
        <w:tblStyle w:val="7"/>
        <w:tblW w:w="10693" w:type="dxa"/>
        <w:jc w:val="center"/>
        <w:tblBorders>
          <w:top w:val="none" w:color="auto" w:sz="4" w:space="0"/>
          <w:left w:val="none" w:color="auto" w:sz="4" w:space="0"/>
          <w:bottom w:val="none" w:color="auto" w:sz="4" w:space="0"/>
          <w:right w:val="none" w:color="auto" w:sz="4" w:space="0"/>
          <w:insideH w:val="none" w:color="auto" w:sz="4" w:space="0"/>
          <w:insideV w:val="none" w:color="auto" w:sz="4" w:space="0"/>
        </w:tblBorders>
        <w:tblLayout w:type="fixed"/>
        <w:tblCellMar>
          <w:top w:w="0" w:type="dxa"/>
          <w:left w:w="108" w:type="dxa"/>
          <w:bottom w:w="0" w:type="dxa"/>
          <w:right w:w="108" w:type="dxa"/>
        </w:tblCellMar>
      </w:tblPr>
      <w:tblGrid>
        <w:gridCol w:w="702"/>
        <w:gridCol w:w="1283"/>
        <w:gridCol w:w="1283"/>
        <w:gridCol w:w="2925"/>
        <w:gridCol w:w="864"/>
        <w:gridCol w:w="702"/>
        <w:gridCol w:w="1787"/>
        <w:gridCol w:w="1147"/>
      </w:tblGrid>
      <w:tr w14:paraId="29E800B4">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tblHeader/>
          <w:jc w:val="center"/>
        </w:trPr>
        <w:tc>
          <w:tcPr>
            <w:tcW w:w="702" w:type="dxa"/>
            <w:tcBorders>
              <w:top w:val="single" w:color="auto" w:sz="12" w:space="0"/>
              <w:left w:val="single" w:color="auto" w:sz="12" w:space="0"/>
              <w:bottom w:val="nil"/>
              <w:right w:val="nil"/>
            </w:tcBorders>
            <w:shd w:val="clear" w:color="auto" w:fill="auto"/>
            <w:noWrap w:val="0"/>
            <w:tcMar>
              <w:top w:w="-1" w:type="dxa"/>
              <w:left w:w="-1" w:type="dxa"/>
              <w:bottom w:w="-1" w:type="dxa"/>
              <w:right w:w="-1" w:type="dxa"/>
            </w:tcMar>
            <w:vAlign w:val="center"/>
          </w:tcPr>
          <w:p w14:paraId="56B507B7">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283"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49E67F81">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标的名称</w:t>
            </w:r>
          </w:p>
        </w:tc>
        <w:tc>
          <w:tcPr>
            <w:tcW w:w="1283"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44EF3E81">
            <w:pPr>
              <w:snapToGrid w:val="0"/>
              <w:spacing w:line="240" w:lineRule="auto"/>
              <w:ind w:left="0" w:leftChars="0" w:right="0" w:rightChars="0" w:firstLine="0" w:firstLineChars="0"/>
              <w:jc w:val="center"/>
              <w:rPr>
                <w:rFonts w:hint="default"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部件构成</w:t>
            </w:r>
          </w:p>
        </w:tc>
        <w:tc>
          <w:tcPr>
            <w:tcW w:w="2925"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05BC3E5E">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技术要求</w:t>
            </w:r>
          </w:p>
        </w:tc>
        <w:tc>
          <w:tcPr>
            <w:tcW w:w="864"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78A2267A">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单位</w:t>
            </w:r>
          </w:p>
        </w:tc>
        <w:tc>
          <w:tcPr>
            <w:tcW w:w="702" w:type="dxa"/>
            <w:tcBorders>
              <w:top w:val="single" w:color="auto" w:sz="12" w:space="0"/>
              <w:left w:val="single" w:color="auto" w:sz="4" w:space="0"/>
              <w:bottom w:val="nil"/>
              <w:right w:val="nil"/>
            </w:tcBorders>
            <w:shd w:val="clear" w:color="auto" w:fill="auto"/>
            <w:noWrap w:val="0"/>
            <w:tcMar>
              <w:top w:w="-1" w:type="dxa"/>
              <w:left w:w="-1" w:type="dxa"/>
              <w:bottom w:w="-1" w:type="dxa"/>
              <w:right w:w="-1" w:type="dxa"/>
            </w:tcMar>
            <w:vAlign w:val="center"/>
          </w:tcPr>
          <w:p w14:paraId="62F928AC">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数量</w:t>
            </w:r>
          </w:p>
        </w:tc>
        <w:tc>
          <w:tcPr>
            <w:tcW w:w="1787" w:type="dxa"/>
            <w:tcBorders>
              <w:top w:val="single" w:color="auto" w:sz="12" w:space="0"/>
              <w:left w:val="single" w:color="auto" w:sz="4" w:space="0"/>
              <w:bottom w:val="nil"/>
              <w:right w:val="nil"/>
            </w:tcBorders>
            <w:noWrap w:val="0"/>
            <w:tcMar>
              <w:top w:w="-1" w:type="dxa"/>
              <w:left w:w="-1" w:type="dxa"/>
              <w:bottom w:w="-1" w:type="dxa"/>
              <w:right w:w="-1" w:type="dxa"/>
            </w:tcMar>
            <w:vAlign w:val="center"/>
          </w:tcPr>
          <w:p w14:paraId="0E108E1F">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是否属于现行节能产品政府采购清单强制采购范围</w:t>
            </w:r>
          </w:p>
        </w:tc>
        <w:tc>
          <w:tcPr>
            <w:tcW w:w="1147" w:type="dxa"/>
            <w:tcBorders>
              <w:top w:val="single" w:color="auto" w:sz="12" w:space="0"/>
              <w:left w:val="single" w:color="auto" w:sz="4" w:space="0"/>
              <w:bottom w:val="nil"/>
              <w:right w:val="single" w:color="auto" w:sz="12" w:space="0"/>
            </w:tcBorders>
            <w:noWrap w:val="0"/>
            <w:tcMar>
              <w:top w:w="-1" w:type="dxa"/>
              <w:left w:w="-1" w:type="dxa"/>
              <w:bottom w:w="-1" w:type="dxa"/>
              <w:right w:w="-1" w:type="dxa"/>
            </w:tcMar>
            <w:vAlign w:val="center"/>
          </w:tcPr>
          <w:p w14:paraId="64650927">
            <w:pPr>
              <w:snapToGrid w:val="0"/>
              <w:spacing w:line="240" w:lineRule="auto"/>
              <w:ind w:left="0" w:leftChars="0" w:right="0" w:rightChars="0" w:firstLine="0" w:firstLineChars="0"/>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是否属于集采目录内产品</w:t>
            </w:r>
          </w:p>
        </w:tc>
      </w:tr>
      <w:tr w14:paraId="5B72FFA5">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restart"/>
            <w:tcBorders>
              <w:top w:val="single" w:color="auto" w:sz="4" w:space="0"/>
              <w:left w:val="single" w:color="auto" w:sz="12" w:space="0"/>
              <w:right w:val="nil"/>
            </w:tcBorders>
            <w:shd w:val="clear" w:color="auto" w:fill="auto"/>
            <w:noWrap w:val="0"/>
            <w:tcMar>
              <w:top w:w="-1" w:type="dxa"/>
              <w:left w:w="-1" w:type="dxa"/>
              <w:bottom w:w="-1" w:type="dxa"/>
              <w:right w:w="-1" w:type="dxa"/>
            </w:tcMar>
            <w:vAlign w:val="center"/>
          </w:tcPr>
          <w:p w14:paraId="4B644C96">
            <w:pPr>
              <w:snapToGrid w:val="0"/>
              <w:spacing w:line="240" w:lineRule="auto"/>
              <w:ind w:left="0" w:leftChars="0" w:right="0" w:rightChars="0" w:firstLine="0" w:firstLineChars="0"/>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c>
          <w:tcPr>
            <w:tcW w:w="1283" w:type="dxa"/>
            <w:vMerge w:val="restart"/>
            <w:tcBorders>
              <w:top w:val="single" w:color="auto" w:sz="4" w:space="0"/>
              <w:left w:val="single" w:color="auto" w:sz="4" w:space="0"/>
              <w:right w:val="nil"/>
            </w:tcBorders>
            <w:shd w:val="clear" w:color="auto" w:fill="auto"/>
            <w:noWrap w:val="0"/>
            <w:tcMar>
              <w:top w:w="-1" w:type="dxa"/>
              <w:left w:w="-1" w:type="dxa"/>
              <w:bottom w:w="-1" w:type="dxa"/>
              <w:right w:w="-1" w:type="dxa"/>
            </w:tcMar>
            <w:vAlign w:val="center"/>
          </w:tcPr>
          <w:p w14:paraId="27EB7D84">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r>
              <w:rPr>
                <w:rFonts w:hint="eastAsia" w:ascii="宋体" w:hAnsi="宋体" w:eastAsia="宋体" w:cs="宋体"/>
                <w:b w:val="0"/>
                <w:bCs w:val="0"/>
                <w:sz w:val="24"/>
                <w:szCs w:val="24"/>
                <w:u w:val="none"/>
                <w:lang w:val="en-US" w:eastAsia="zh-CN"/>
              </w:rPr>
              <w:t>高海拔模拟试验箱</w:t>
            </w:r>
            <w:r>
              <w:rPr>
                <w:rFonts w:hint="eastAsia" w:ascii="Times New Roman" w:hAnsi="Times New Roman" w:cs="Times New Roman"/>
                <w:sz w:val="24"/>
                <w:szCs w:val="24"/>
              </w:rPr>
              <w:t>燃烧试验功能扩增改造</w:t>
            </w:r>
          </w:p>
        </w:tc>
        <w:tc>
          <w:tcPr>
            <w:tcW w:w="128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17C2C038">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舱体防护改造</w:t>
            </w:r>
          </w:p>
        </w:tc>
        <w:tc>
          <w:tcPr>
            <w:tcW w:w="2925"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2C0961CA">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highlight w:val="none"/>
                <w:lang w:val="en-US" w:eastAsia="zh-CN"/>
              </w:rPr>
            </w:pPr>
            <w:r>
              <w:rPr>
                <w:rFonts w:hint="default" w:ascii="Times New Roman" w:hAnsi="Times New Roman" w:eastAsia="宋体" w:cs="Times New Roman"/>
                <w:sz w:val="24"/>
                <w:highlight w:val="none"/>
                <w:lang w:val="en-US" w:eastAsia="zh-CN"/>
              </w:rPr>
              <w:t>★1.燃烧测试过程中舱体库板能够耐受燃烧测试产品的高温。其密封性、保温性满足设备原指标（温度：-70℃~180℃，气压：常压~54Kpa）；</w:t>
            </w:r>
          </w:p>
          <w:p w14:paraId="571A5978">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sz w:val="24"/>
                <w:highlight w:val="none"/>
              </w:rPr>
              <w:t>★</w:t>
            </w:r>
            <w:r>
              <w:rPr>
                <w:rFonts w:hint="default" w:ascii="Times New Roman" w:hAnsi="Times New Roman" w:eastAsia="宋体" w:cs="Times New Roman"/>
                <w:sz w:val="24"/>
                <w:highlight w:val="none"/>
                <w:lang w:val="en-US" w:eastAsia="zh-CN"/>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z w:val="24"/>
                <w:highlight w:val="none"/>
                <w:lang w:val="en-US" w:eastAsia="zh-CN"/>
              </w:rPr>
              <w:t>舱体防护改造所用主体材料采用A级防火标准材料；</w:t>
            </w:r>
          </w:p>
        </w:tc>
        <w:tc>
          <w:tcPr>
            <w:tcW w:w="864"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1C4FB400">
            <w:pPr>
              <w:snapToGrid w:val="0"/>
              <w:spacing w:line="240" w:lineRule="auto"/>
              <w:ind w:left="0" w:leftChars="0" w:right="0" w:rightChars="0" w:firstLine="0"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台</w:t>
            </w:r>
          </w:p>
        </w:tc>
        <w:tc>
          <w:tcPr>
            <w:tcW w:w="702"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4B479341">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787"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3E0C4253">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147"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7F332189">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r>
      <w:tr w14:paraId="6A0A77CE">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7BF7489A">
            <w:pPr>
              <w:snapToGrid w:val="0"/>
              <w:ind w:left="0" w:leftChars="0" w:right="0" w:rightChars="0" w:firstLine="0" w:firstLineChars="0"/>
              <w:jc w:val="center"/>
              <w:rPr>
                <w:rFonts w:hint="default" w:ascii="Times New Roman" w:hAnsi="Times New Roman" w:eastAsia="宋体" w:cs="Times New Roman"/>
                <w:sz w:val="24"/>
                <w:szCs w:val="21"/>
              </w:rPr>
            </w:pPr>
          </w:p>
        </w:tc>
        <w:tc>
          <w:tcPr>
            <w:tcW w:w="1283"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34974FA7">
            <w:pPr>
              <w:snapToGrid w:val="0"/>
              <w:ind w:left="0" w:leftChars="0" w:right="0" w:rightChars="0" w:firstLine="0" w:firstLineChars="0"/>
              <w:jc w:val="center"/>
              <w:rPr>
                <w:rFonts w:hint="default" w:ascii="Times New Roman" w:hAnsi="Times New Roman" w:eastAsia="宋体" w:cs="Times New Roman"/>
                <w:sz w:val="24"/>
                <w:szCs w:val="21"/>
                <w:lang w:val="en-US" w:eastAsia="zh-CN"/>
              </w:rPr>
            </w:pPr>
          </w:p>
        </w:tc>
        <w:tc>
          <w:tcPr>
            <w:tcW w:w="128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7EA10250">
            <w:pPr>
              <w:snapToGrid w:val="0"/>
              <w:ind w:left="0" w:leftChars="0" w:right="0" w:rightChars="0" w:firstLine="0" w:firstLineChars="0"/>
              <w:jc w:val="center"/>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监控摄像系统</w:t>
            </w:r>
          </w:p>
        </w:tc>
        <w:tc>
          <w:tcPr>
            <w:tcW w:w="2925"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758A517D">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rPr>
              <w:t>★</w:t>
            </w:r>
            <w:r>
              <w:rPr>
                <w:rFonts w:hint="default" w:ascii="Times New Roman" w:hAnsi="Times New Roman" w:eastAsia="宋体" w:cs="Times New Roman"/>
                <w:sz w:val="24"/>
                <w:szCs w:val="24"/>
                <w:highlight w:val="none"/>
                <w:lang w:val="en-US" w:eastAsia="zh-CN"/>
              </w:rPr>
              <w:t>1.热成像摄像头参数要求：画面分辨率不低于384*288；测温范围为-20℃~1600℃；测温精度为±2℃或读数的±2%，取二者较大值；</w:t>
            </w:r>
          </w:p>
          <w:p w14:paraId="42E24C6A">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2.提供SDK开发包，便于开展二次开发与系统集成。</w:t>
            </w:r>
          </w:p>
          <w:p w14:paraId="557EA072">
            <w:pPr>
              <w:snapToGrid w:val="0"/>
              <w:spacing w:line="240" w:lineRule="auto"/>
              <w:ind w:left="0" w:leftChars="0" w:right="0" w:rightChars="0" w:firstLine="0" w:firstLineChars="0"/>
              <w:jc w:val="left"/>
              <w:rPr>
                <w:rFonts w:hint="default" w:ascii="Times New Roman" w:hAnsi="Times New Roman" w:eastAsia="宋体" w:cs="Times New Roman"/>
                <w:sz w:val="24"/>
                <w:szCs w:val="24"/>
              </w:rPr>
            </w:pPr>
            <w:r>
              <w:rPr>
                <w:rFonts w:hint="default" w:ascii="Times New Roman" w:hAnsi="Times New Roman" w:eastAsia="宋体" w:cs="Times New Roman"/>
                <w:sz w:val="24"/>
                <w:lang w:val="en-US" w:eastAsia="zh-CN"/>
              </w:rPr>
              <w:t>3</w:t>
            </w:r>
            <w:r>
              <w:rPr>
                <w:rFonts w:hint="default" w:ascii="Times New Roman" w:hAnsi="Times New Roman" w:eastAsia="宋体" w:cs="Times New Roman"/>
                <w:sz w:val="24"/>
                <w:szCs w:val="24"/>
                <w:highlight w:val="none"/>
                <w:lang w:val="en-US" w:eastAsia="zh-CN"/>
              </w:rPr>
              <w:t>.工作环境温度：-70℃~150℃；</w:t>
            </w:r>
          </w:p>
          <w:p w14:paraId="0F2F2585">
            <w:pPr>
              <w:snapToGrid w:val="0"/>
              <w:spacing w:line="240" w:lineRule="auto"/>
              <w:ind w:left="0" w:leftChars="0" w:right="0" w:rightChars="0" w:firstLine="0" w:firstLineChars="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4.配置显示器、录像机、硬盘参数要求：</w:t>
            </w:r>
          </w:p>
          <w:p w14:paraId="2712F077">
            <w:pPr>
              <w:snapToGrid w:val="0"/>
              <w:spacing w:line="240" w:lineRule="auto"/>
              <w:ind w:left="0" w:leftChars="0" w:right="0" w:rightChars="0" w:firstLine="0" w:firstLineChars="0"/>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4"/>
                <w:lang w:val="en-US" w:eastAsia="zh-CN"/>
              </w:rPr>
              <w:t>显示器配置应采用24英寸LCD，分辨率为1920×1080，具备HDMI与VGA双接口，支持高清视频信号输入；录像机应具有多路POE供电，录像资料自动根据时间循环覆盖，安全保护功能，运行日志功能；硬盘容量不低于4T；</w:t>
            </w:r>
          </w:p>
        </w:tc>
        <w:tc>
          <w:tcPr>
            <w:tcW w:w="864"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2BD9CC2B">
            <w:pPr>
              <w:snapToGrid w:val="0"/>
              <w:ind w:left="0" w:leftChars="0" w:right="0" w:rightChars="0" w:firstLine="0" w:firstLineChars="0"/>
              <w:jc w:val="left"/>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项</w:t>
            </w:r>
          </w:p>
        </w:tc>
        <w:tc>
          <w:tcPr>
            <w:tcW w:w="702"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FD5F6AA">
            <w:pPr>
              <w:snapToGrid w:val="0"/>
              <w:ind w:left="0" w:leftChars="0" w:right="0" w:rightChars="0" w:firstLine="0" w:firstLineChars="0"/>
              <w:jc w:val="center"/>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c>
          <w:tcPr>
            <w:tcW w:w="1787"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45678A52">
            <w:pPr>
              <w:snapToGrid w:val="0"/>
              <w:ind w:left="0" w:leftChars="0" w:right="0" w:rightChars="0" w:firstLine="0" w:firstLineChars="0"/>
              <w:jc w:val="center"/>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c>
          <w:tcPr>
            <w:tcW w:w="1147"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33FED556">
            <w:pPr>
              <w:snapToGrid w:val="0"/>
              <w:ind w:left="0" w:leftChars="0" w:right="0" w:rightChars="0" w:firstLine="0" w:firstLineChars="0"/>
              <w:jc w:val="center"/>
              <w:rPr>
                <w:rFonts w:hint="default" w:ascii="Times New Roman" w:hAnsi="Times New Roman" w:eastAsia="宋体" w:cs="Times New Roman"/>
                <w:sz w:val="24"/>
                <w:szCs w:val="21"/>
              </w:rPr>
            </w:pPr>
            <w:r>
              <w:rPr>
                <w:rFonts w:hint="default" w:ascii="Times New Roman" w:hAnsi="Times New Roman" w:eastAsia="宋体" w:cs="Times New Roman"/>
                <w:sz w:val="24"/>
                <w:szCs w:val="21"/>
              </w:rPr>
              <w:t>否</w:t>
            </w:r>
          </w:p>
        </w:tc>
      </w:tr>
      <w:tr w14:paraId="01020806">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05E1F08D">
            <w:pPr>
              <w:snapToGrid w:val="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p>
        </w:tc>
        <w:tc>
          <w:tcPr>
            <w:tcW w:w="1283"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141B13E1">
            <w:pPr>
              <w:snapToGrid w:val="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p>
        </w:tc>
        <w:tc>
          <w:tcPr>
            <w:tcW w:w="128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284CD9A5">
            <w:pPr>
              <w:snapToGrid w:val="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环境监测系统</w:t>
            </w:r>
          </w:p>
        </w:tc>
        <w:tc>
          <w:tcPr>
            <w:tcW w:w="2925"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014468F1">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sz w:val="24"/>
                <w:szCs w:val="24"/>
              </w:rPr>
              <w:t>★</w:t>
            </w:r>
            <w:r>
              <w:rPr>
                <w:rFonts w:hint="eastAsia" w:ascii="Times New Roman" w:hAnsi="Times New Roman" w:eastAsia="宋体" w:cs="Times New Roman"/>
                <w:b w:val="0"/>
                <w:bCs w:val="0"/>
                <w:sz w:val="24"/>
                <w:szCs w:val="24"/>
                <w:highlight w:val="none"/>
                <w:lang w:val="en-US" w:eastAsia="zh-CN"/>
              </w:rPr>
              <w:t>1</w:t>
            </w:r>
            <w:r>
              <w:rPr>
                <w:rFonts w:hint="default" w:ascii="Times New Roman" w:hAnsi="Times New Roman" w:eastAsia="宋体" w:cs="Times New Roman"/>
                <w:b w:val="0"/>
                <w:bCs w:val="0"/>
                <w:sz w:val="24"/>
                <w:szCs w:val="24"/>
                <w:highlight w:val="none"/>
                <w:lang w:val="en-US" w:eastAsia="zh-CN"/>
              </w:rPr>
              <w:t>.高海拔模拟试验箱配套提供的传感器需支持本地显示，具备485、232、MODBUS、TCP、CAN中任意一种通讯功能，可与集中监控系统连接。</w:t>
            </w:r>
          </w:p>
          <w:p w14:paraId="13D1A1A8">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sz w:val="24"/>
                <w:szCs w:val="24"/>
              </w:rPr>
              <w:t>★</w:t>
            </w:r>
            <w:r>
              <w:rPr>
                <w:rFonts w:hint="eastAsia" w:ascii="Times New Roman" w:hAnsi="Times New Roman" w:eastAsia="宋体" w:cs="Times New Roman"/>
                <w:b w:val="0"/>
                <w:bCs w:val="0"/>
                <w:sz w:val="24"/>
                <w:szCs w:val="24"/>
                <w:highlight w:val="none"/>
                <w:lang w:val="en-US" w:eastAsia="zh-CN"/>
              </w:rPr>
              <w:t>2</w:t>
            </w:r>
            <w:r>
              <w:rPr>
                <w:rFonts w:hint="default" w:ascii="Times New Roman" w:hAnsi="Times New Roman" w:eastAsia="宋体" w:cs="Times New Roman"/>
                <w:b w:val="0"/>
                <w:bCs w:val="0"/>
                <w:sz w:val="24"/>
                <w:szCs w:val="24"/>
                <w:highlight w:val="none"/>
                <w:lang w:val="en-US" w:eastAsia="zh-CN"/>
              </w:rPr>
              <w:t>.气体监测传感器监测精度≤±3%F.S；响应时间T90≤30秒；工作环境温度：-20～+55℃，湿度：10～95%RH；防护等级IP66；</w:t>
            </w:r>
          </w:p>
          <w:p w14:paraId="62DF4694">
            <w:pPr>
              <w:snapToGrid w:val="0"/>
              <w:spacing w:line="240" w:lineRule="auto"/>
              <w:ind w:left="0" w:leftChars="0" w:right="0" w:rightChars="0" w:firstLine="0" w:firstLineChar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highlight w:val="none"/>
                <w:lang w:val="en-US" w:eastAsia="zh-CN"/>
              </w:rPr>
              <w:t>4.温度传感器测量范围为-70℃~1000℃，测量精度±0.1℃；</w:t>
            </w:r>
          </w:p>
        </w:tc>
        <w:tc>
          <w:tcPr>
            <w:tcW w:w="864"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0DFCA802">
            <w:pPr>
              <w:snapToGrid w:val="0"/>
              <w:ind w:left="0" w:leftChars="0" w:right="0" w:rightChars="0" w:firstLine="0" w:firstLineChars="0"/>
              <w:jc w:val="left"/>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项</w:t>
            </w:r>
          </w:p>
        </w:tc>
        <w:tc>
          <w:tcPr>
            <w:tcW w:w="702"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721EFE3">
            <w:pPr>
              <w:snapToGrid w:val="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p>
        </w:tc>
        <w:tc>
          <w:tcPr>
            <w:tcW w:w="1787"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13D643BF">
            <w:pPr>
              <w:snapToGrid w:val="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否</w:t>
            </w:r>
          </w:p>
        </w:tc>
        <w:tc>
          <w:tcPr>
            <w:tcW w:w="1147"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347F5EE0">
            <w:pPr>
              <w:snapToGrid w:val="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否</w:t>
            </w:r>
          </w:p>
        </w:tc>
      </w:tr>
      <w:tr w14:paraId="3CAB4C72">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5594B341">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p>
        </w:tc>
        <w:tc>
          <w:tcPr>
            <w:tcW w:w="1283"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22901723">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p>
        </w:tc>
        <w:tc>
          <w:tcPr>
            <w:tcW w:w="128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11F48633">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消防控制系统</w:t>
            </w:r>
          </w:p>
        </w:tc>
        <w:tc>
          <w:tcPr>
            <w:tcW w:w="2925"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67850324">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highlight w:val="none"/>
                <w:lang w:val="en-US" w:eastAsia="zh-CN"/>
              </w:rPr>
              <w:t>1.水喷淋需要配置水箱、水泵，水箱容量不小于2T，具备自动补水功能，流量不＜20m³/h，压力不小于0.2mpa；</w:t>
            </w:r>
          </w:p>
        </w:tc>
        <w:tc>
          <w:tcPr>
            <w:tcW w:w="864"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4D6575E0">
            <w:pPr>
              <w:snapToGrid w:val="0"/>
              <w:spacing w:line="240" w:lineRule="auto"/>
              <w:ind w:left="0" w:leftChars="0" w:right="0" w:rightChars="0" w:firstLine="0" w:firstLineChars="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702"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450C88B9">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787"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1EBA12D8">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147"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2423F230">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r>
      <w:tr w14:paraId="604CF966">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47386B66">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p>
        </w:tc>
        <w:tc>
          <w:tcPr>
            <w:tcW w:w="1283"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10DE6DBA">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p>
        </w:tc>
        <w:tc>
          <w:tcPr>
            <w:tcW w:w="128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B7EA929">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真空防护改造</w:t>
            </w:r>
          </w:p>
        </w:tc>
        <w:tc>
          <w:tcPr>
            <w:tcW w:w="2925"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0BFBC257">
            <w:pPr>
              <w:keepNext w:val="0"/>
              <w:keepLines/>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highlight w:val="none"/>
                <w:lang w:val="en-US" w:eastAsia="zh-CN"/>
              </w:rPr>
              <w:t>★</w:t>
            </w:r>
            <w:r>
              <w:rPr>
                <w:rFonts w:hint="eastAsia" w:ascii="Times New Roman" w:hAnsi="Times New Roman" w:eastAsia="宋体" w:cs="Times New Roman"/>
                <w:sz w:val="24"/>
                <w:highlight w:val="none"/>
                <w:lang w:val="en-US" w:eastAsia="zh-CN"/>
              </w:rPr>
              <w:t>1</w:t>
            </w:r>
            <w:r>
              <w:rPr>
                <w:rFonts w:hint="default" w:ascii="Times New Roman" w:hAnsi="Times New Roman" w:eastAsia="宋体" w:cs="Times New Roman"/>
                <w:sz w:val="24"/>
                <w:highlight w:val="none"/>
                <w:lang w:val="en-US" w:eastAsia="zh-CN"/>
              </w:rPr>
              <w:t>.设备开展低气压燃烧试验</w:t>
            </w:r>
            <w:r>
              <w:rPr>
                <w:rFonts w:hint="eastAsia" w:ascii="Times New Roman" w:hAnsi="Times New Roman" w:eastAsia="宋体" w:cs="Times New Roman"/>
                <w:sz w:val="24"/>
                <w:highlight w:val="none"/>
                <w:lang w:val="en-US" w:eastAsia="zh-CN"/>
              </w:rPr>
              <w:t>时</w:t>
            </w:r>
            <w:r>
              <w:rPr>
                <w:rFonts w:hint="default" w:ascii="Times New Roman" w:hAnsi="Times New Roman" w:eastAsia="宋体" w:cs="Times New Roman"/>
                <w:sz w:val="24"/>
                <w:highlight w:val="none"/>
                <w:lang w:val="en-US" w:eastAsia="zh-CN"/>
              </w:rPr>
              <w:t>降压速率满足原设备指标（常压~54Kpa，降压时间＜60min）</w:t>
            </w:r>
            <w:r>
              <w:rPr>
                <w:rFonts w:hint="eastAsia" w:ascii="Times New Roman" w:hAnsi="Times New Roman" w:eastAsia="宋体" w:cs="Times New Roman"/>
                <w:sz w:val="24"/>
                <w:highlight w:val="none"/>
                <w:lang w:val="en-US" w:eastAsia="zh-CN"/>
              </w:rPr>
              <w:t>；</w:t>
            </w:r>
          </w:p>
        </w:tc>
        <w:tc>
          <w:tcPr>
            <w:tcW w:w="864"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54115FE1">
            <w:pPr>
              <w:snapToGrid w:val="0"/>
              <w:spacing w:line="240" w:lineRule="auto"/>
              <w:ind w:left="0" w:leftChars="0" w:right="0" w:rightChars="0" w:firstLine="0" w:firstLineChars="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702"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6BEEFB11">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787"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2C46FC64">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147"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6228FE6B">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r>
      <w:tr w14:paraId="287684A2">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continue"/>
            <w:tcBorders>
              <w:left w:val="single" w:color="auto" w:sz="12" w:space="0"/>
              <w:right w:val="nil"/>
            </w:tcBorders>
            <w:shd w:val="clear" w:color="auto" w:fill="auto"/>
            <w:noWrap w:val="0"/>
            <w:tcMar>
              <w:top w:w="-1" w:type="dxa"/>
              <w:left w:w="-1" w:type="dxa"/>
              <w:bottom w:w="-1" w:type="dxa"/>
              <w:right w:w="-1" w:type="dxa"/>
            </w:tcMar>
            <w:vAlign w:val="center"/>
          </w:tcPr>
          <w:p w14:paraId="73F68924">
            <w:pPr>
              <w:snapToGrid w:val="0"/>
              <w:spacing w:line="240" w:lineRule="auto"/>
              <w:ind w:left="0" w:leftChars="0" w:right="0" w:rightChars="0" w:firstLine="0" w:firstLineChars="0"/>
              <w:jc w:val="center"/>
              <w:rPr>
                <w:rFonts w:hint="default" w:ascii="Times New Roman" w:hAnsi="Times New Roman" w:eastAsia="宋体" w:cs="Times New Roman"/>
                <w:sz w:val="24"/>
                <w:szCs w:val="24"/>
                <w:highlight w:val="none"/>
                <w:lang w:val="en-US" w:eastAsia="zh-CN"/>
              </w:rPr>
            </w:pPr>
          </w:p>
        </w:tc>
        <w:tc>
          <w:tcPr>
            <w:tcW w:w="1283" w:type="dxa"/>
            <w:vMerge w:val="continue"/>
            <w:tcBorders>
              <w:left w:val="single" w:color="auto" w:sz="4" w:space="0"/>
              <w:right w:val="nil"/>
            </w:tcBorders>
            <w:shd w:val="clear" w:color="auto" w:fill="auto"/>
            <w:noWrap w:val="0"/>
            <w:tcMar>
              <w:top w:w="-1" w:type="dxa"/>
              <w:left w:w="-1" w:type="dxa"/>
              <w:bottom w:w="-1" w:type="dxa"/>
              <w:right w:w="-1" w:type="dxa"/>
            </w:tcMar>
            <w:vAlign w:val="center"/>
          </w:tcPr>
          <w:p w14:paraId="3B314D8D">
            <w:pPr>
              <w:snapToGrid w:val="0"/>
              <w:spacing w:line="240" w:lineRule="auto"/>
              <w:ind w:left="0" w:leftChars="0" w:right="0" w:rightChars="0" w:firstLine="0" w:firstLineChars="0"/>
              <w:jc w:val="center"/>
              <w:rPr>
                <w:rFonts w:hint="default" w:ascii="Times New Roman" w:hAnsi="Times New Roman" w:eastAsia="宋体" w:cs="Times New Roman"/>
                <w:sz w:val="24"/>
                <w:szCs w:val="24"/>
                <w:highlight w:val="none"/>
                <w:lang w:val="en-US" w:eastAsia="zh-CN"/>
              </w:rPr>
            </w:pPr>
          </w:p>
        </w:tc>
        <w:tc>
          <w:tcPr>
            <w:tcW w:w="1283"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2A50085F">
            <w:pPr>
              <w:snapToGrid w:val="0"/>
              <w:spacing w:line="240" w:lineRule="auto"/>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新风系统改造</w:t>
            </w:r>
          </w:p>
        </w:tc>
        <w:tc>
          <w:tcPr>
            <w:tcW w:w="2925"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098F75FF">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1.保证燃烧测试过程中新风的稳定供应，满足低气压燃烧测试过程中，点火介质持续燃烧所需的氧气需求。</w:t>
            </w:r>
          </w:p>
          <w:p w14:paraId="2B7BCC6C">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highlight w:val="none"/>
                <w:lang w:val="en-US" w:eastAsia="zh-CN"/>
              </w:rPr>
              <w:t>2.新风系统的控制方式应支持手动和自动两种模式。在自动模式下，系统可根据舱内氧气浓度传感器的反馈信号自动调节新风量。</w:t>
            </w:r>
          </w:p>
          <w:p w14:paraId="08F6343D">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3.新风系统的材质应具备耐腐蚀、耐高温性能，以确保系统在长期运行过程中的可靠性和使用寿命。</w:t>
            </w:r>
          </w:p>
          <w:p w14:paraId="3521AA24">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4.新风系统不影响原设备试验箱原有舱体结构的密封性，不破坏原有保温、耐压性能，不会对原有压力、温度控制精度造成干扰，改造后原设备的温度波动度、均匀度、偏差以及降压速率等各项性能指标均不低于改造前的原有水平。</w:t>
            </w:r>
          </w:p>
          <w:p w14:paraId="393ABBC4">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b w:val="0"/>
                <w:bCs w:val="0"/>
                <w:sz w:val="24"/>
                <w:szCs w:val="24"/>
                <w:highlight w:val="none"/>
                <w:lang w:val="en-US" w:eastAsia="zh-CN"/>
              </w:rPr>
              <w:t>5.新风系统与集中监控系统应实现数据通讯和联动控制，可将新风系统的运行状态实时上传至集中监控系统。</w:t>
            </w:r>
          </w:p>
        </w:tc>
        <w:tc>
          <w:tcPr>
            <w:tcW w:w="864"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781062E7">
            <w:pPr>
              <w:snapToGrid w:val="0"/>
              <w:spacing w:line="240" w:lineRule="auto"/>
              <w:ind w:left="0" w:leftChars="0" w:right="0" w:rightChars="0" w:firstLine="0" w:firstLineChars="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702" w:type="dxa"/>
            <w:tcBorders>
              <w:top w:val="single" w:color="auto" w:sz="4" w:space="0"/>
              <w:left w:val="single" w:color="auto" w:sz="4" w:space="0"/>
              <w:bottom w:val="nil"/>
              <w:right w:val="nil"/>
            </w:tcBorders>
            <w:shd w:val="clear" w:color="auto" w:fill="auto"/>
            <w:noWrap w:val="0"/>
            <w:tcMar>
              <w:top w:w="-1" w:type="dxa"/>
              <w:left w:w="-1" w:type="dxa"/>
              <w:bottom w:w="-1" w:type="dxa"/>
              <w:right w:w="-1" w:type="dxa"/>
            </w:tcMar>
            <w:vAlign w:val="center"/>
          </w:tcPr>
          <w:p w14:paraId="396579A8">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787" w:type="dxa"/>
            <w:tcBorders>
              <w:top w:val="single" w:color="auto" w:sz="4" w:space="0"/>
              <w:left w:val="single" w:color="auto" w:sz="4" w:space="0"/>
              <w:bottom w:val="nil"/>
              <w:right w:val="nil"/>
            </w:tcBorders>
            <w:noWrap w:val="0"/>
            <w:tcMar>
              <w:top w:w="-1" w:type="dxa"/>
              <w:left w:w="-1" w:type="dxa"/>
              <w:bottom w:w="-1" w:type="dxa"/>
              <w:right w:w="-1" w:type="dxa"/>
            </w:tcMar>
            <w:vAlign w:val="center"/>
          </w:tcPr>
          <w:p w14:paraId="5D52F04A">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147" w:type="dxa"/>
            <w:tcBorders>
              <w:top w:val="single" w:color="auto" w:sz="4" w:space="0"/>
              <w:left w:val="single" w:color="auto" w:sz="4" w:space="0"/>
              <w:bottom w:val="nil"/>
              <w:right w:val="single" w:color="auto" w:sz="12" w:space="0"/>
            </w:tcBorders>
            <w:noWrap w:val="0"/>
            <w:tcMar>
              <w:top w:w="-1" w:type="dxa"/>
              <w:left w:w="-1" w:type="dxa"/>
              <w:bottom w:w="-1" w:type="dxa"/>
              <w:right w:w="-1" w:type="dxa"/>
            </w:tcMar>
            <w:vAlign w:val="center"/>
          </w:tcPr>
          <w:p w14:paraId="2394A16D">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r>
      <w:tr w14:paraId="12755054">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0" w:hRule="atLeast"/>
          <w:jc w:val="center"/>
        </w:trPr>
        <w:tc>
          <w:tcPr>
            <w:tcW w:w="702" w:type="dxa"/>
            <w:vMerge w:val="continue"/>
            <w:tcBorders>
              <w:left w:val="single" w:color="auto" w:sz="12" w:space="0"/>
              <w:bottom w:val="single" w:color="auto" w:sz="12" w:space="0"/>
              <w:right w:val="nil"/>
            </w:tcBorders>
            <w:shd w:val="clear" w:color="auto" w:fill="auto"/>
            <w:noWrap w:val="0"/>
            <w:tcMar>
              <w:top w:w="-1" w:type="dxa"/>
              <w:left w:w="-1" w:type="dxa"/>
              <w:bottom w:w="-1" w:type="dxa"/>
              <w:right w:w="-1" w:type="dxa"/>
            </w:tcMar>
            <w:vAlign w:val="center"/>
          </w:tcPr>
          <w:p w14:paraId="4A2462B1">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p>
        </w:tc>
        <w:tc>
          <w:tcPr>
            <w:tcW w:w="1283" w:type="dxa"/>
            <w:vMerge w:val="continue"/>
            <w:tcBorders>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1964D6F9">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p>
        </w:tc>
        <w:tc>
          <w:tcPr>
            <w:tcW w:w="1283"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21D6A1A3">
            <w:pPr>
              <w:snapToGrid w:val="0"/>
              <w:spacing w:line="240" w:lineRule="auto"/>
              <w:ind w:left="0" w:leftChars="0" w:right="0" w:rightChars="0" w:firstLine="0" w:firstLineChars="0"/>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集中监控系统</w:t>
            </w:r>
          </w:p>
        </w:tc>
        <w:tc>
          <w:tcPr>
            <w:tcW w:w="2925"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6A14FB88">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lang w:val="en-US" w:eastAsia="zh-CN"/>
              </w:rPr>
              <w:t>1.可视化监控界面：将视频信号、温度曲线、气压变化、氧气浓度、烟雾浓度及可燃气体浓度等关键参数整合于同一界面。操作人员可通过单一界面同时观察主设备燃烧实时画面。</w:t>
            </w:r>
          </w:p>
          <w:p w14:paraId="794C9C10">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2.报警与联动控制：平台内置多级阈值报警机制与主设备联动。</w:t>
            </w:r>
          </w:p>
          <w:p w14:paraId="04EBB0C1">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3.数据存储与追溯：支持测试过程全量数据采集期归档。测试数据存储在远程电脑本地数据库中。</w:t>
            </w:r>
          </w:p>
          <w:p w14:paraId="3F558E20">
            <w:pPr>
              <w:keepNext w:val="0"/>
              <w:keepLines w:val="0"/>
              <w:pageBreakBefore w:val="0"/>
              <w:widowControl/>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b w:val="0"/>
                <w:bCs w:val="0"/>
                <w:sz w:val="24"/>
                <w:szCs w:val="24"/>
                <w:lang w:val="en-US" w:eastAsia="zh-CN"/>
              </w:rPr>
              <w:t>4.台账管理：支持对主设备、配件设备、独立设备的台账输入功能。</w:t>
            </w:r>
          </w:p>
        </w:tc>
        <w:tc>
          <w:tcPr>
            <w:tcW w:w="864"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7F41019E">
            <w:pPr>
              <w:snapToGrid w:val="0"/>
              <w:spacing w:line="240" w:lineRule="auto"/>
              <w:ind w:left="0" w:leftChars="0" w:right="0" w:rightChars="0" w:firstLine="0" w:firstLineChars="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702" w:type="dxa"/>
            <w:tcBorders>
              <w:top w:val="single" w:color="auto" w:sz="4" w:space="0"/>
              <w:left w:val="single" w:color="auto" w:sz="4" w:space="0"/>
              <w:bottom w:val="single" w:color="auto" w:sz="12" w:space="0"/>
              <w:right w:val="nil"/>
            </w:tcBorders>
            <w:shd w:val="clear" w:color="auto" w:fill="auto"/>
            <w:noWrap w:val="0"/>
            <w:tcMar>
              <w:top w:w="-1" w:type="dxa"/>
              <w:left w:w="-1" w:type="dxa"/>
              <w:bottom w:w="-1" w:type="dxa"/>
              <w:right w:w="-1" w:type="dxa"/>
            </w:tcMar>
            <w:vAlign w:val="center"/>
          </w:tcPr>
          <w:p w14:paraId="75D29669">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787" w:type="dxa"/>
            <w:tcBorders>
              <w:top w:val="single" w:color="auto" w:sz="4" w:space="0"/>
              <w:left w:val="single" w:color="auto" w:sz="4" w:space="0"/>
              <w:bottom w:val="single" w:color="auto" w:sz="12" w:space="0"/>
              <w:right w:val="nil"/>
            </w:tcBorders>
            <w:noWrap w:val="0"/>
            <w:tcMar>
              <w:top w:w="-1" w:type="dxa"/>
              <w:left w:w="-1" w:type="dxa"/>
              <w:bottom w:w="-1" w:type="dxa"/>
              <w:right w:w="-1" w:type="dxa"/>
            </w:tcMar>
            <w:vAlign w:val="center"/>
          </w:tcPr>
          <w:p w14:paraId="603CA071">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147" w:type="dxa"/>
            <w:tcBorders>
              <w:top w:val="single" w:color="auto" w:sz="4" w:space="0"/>
              <w:left w:val="single" w:color="auto" w:sz="4" w:space="0"/>
              <w:bottom w:val="single" w:color="auto" w:sz="12" w:space="0"/>
              <w:right w:val="single" w:color="auto" w:sz="12" w:space="0"/>
            </w:tcBorders>
            <w:noWrap w:val="0"/>
            <w:tcMar>
              <w:top w:w="-1" w:type="dxa"/>
              <w:left w:w="-1" w:type="dxa"/>
              <w:bottom w:w="-1" w:type="dxa"/>
              <w:right w:w="-1" w:type="dxa"/>
            </w:tcMar>
            <w:vAlign w:val="center"/>
          </w:tcPr>
          <w:p w14:paraId="3AB390CE">
            <w:pPr>
              <w:snapToGrid w:val="0"/>
              <w:spacing w:line="240" w:lineRule="auto"/>
              <w:ind w:left="0" w:leftChars="0" w:right="0" w:rightChars="0" w:firstLine="0" w:firstLineChars="0"/>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r>
    </w:tbl>
    <w:p w14:paraId="64276CDA">
      <w:pPr>
        <w:spacing w:line="360" w:lineRule="auto"/>
        <w:ind w:firstLine="480" w:firstLineChars="200"/>
        <w:outlineLvl w:val="0"/>
        <w:rPr>
          <w:rFonts w:hint="eastAsia"/>
          <w:sz w:val="24"/>
        </w:rPr>
      </w:pPr>
      <w:r>
        <w:rPr>
          <w:rFonts w:hint="eastAsia"/>
          <w:sz w:val="24"/>
        </w:rPr>
        <w:t>注：</w:t>
      </w:r>
    </w:p>
    <w:p w14:paraId="3F876CA3">
      <w:pPr>
        <w:spacing w:line="360" w:lineRule="auto"/>
        <w:ind w:firstLine="480" w:firstLineChars="200"/>
        <w:outlineLvl w:val="0"/>
        <w:rPr>
          <w:rFonts w:hint="eastAsia"/>
          <w:sz w:val="24"/>
        </w:rPr>
      </w:pPr>
      <w:r>
        <w:rPr>
          <w:rFonts w:hint="eastAsia"/>
          <w:sz w:val="24"/>
        </w:rPr>
        <w:t>应逐项明确每项标的是否属于集采目录内产品</w:t>
      </w:r>
    </w:p>
    <w:p w14:paraId="4DB79F07">
      <w:pPr>
        <w:spacing w:line="360" w:lineRule="auto"/>
        <w:ind w:firstLine="480" w:firstLineChars="200"/>
        <w:outlineLvl w:val="0"/>
        <w:rPr>
          <w:rFonts w:hint="eastAsia"/>
          <w:sz w:val="24"/>
        </w:rPr>
      </w:pPr>
      <w:r>
        <w:rPr>
          <w:rFonts w:hint="eastAsia"/>
          <w:sz w:val="24"/>
        </w:rPr>
        <w:t>量化指标应标示出范围值，例如长度≥30cm，而不是长度30cm</w:t>
      </w:r>
    </w:p>
    <w:p w14:paraId="2AEE0107">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3D979CE9">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092F55E8">
      <w:pPr>
        <w:spacing w:line="360" w:lineRule="auto"/>
        <w:ind w:firstLine="482" w:firstLineChars="200"/>
        <w:rPr>
          <w:rFonts w:hint="default" w:ascii="Times New Roman" w:hAnsi="Times New Roman" w:cs="Times New Roman" w:eastAsiaTheme="minorEastAsia"/>
          <w:b/>
          <w:sz w:val="24"/>
          <w:szCs w:val="24"/>
          <w:lang w:val="en-US" w:eastAsia="zh-CN"/>
        </w:rPr>
      </w:pPr>
      <w:r>
        <w:rPr>
          <w:rFonts w:hint="eastAsia" w:ascii="Times New Roman" w:hAnsi="Times New Roman" w:cs="Times New Roman"/>
          <w:b/>
          <w:sz w:val="24"/>
          <w:szCs w:val="24"/>
          <w:lang w:val="en-US" w:eastAsia="zh-CN"/>
        </w:rPr>
        <w:t>五</w:t>
      </w:r>
      <w:r>
        <w:rPr>
          <w:rFonts w:hint="eastAsia" w:ascii="Times New Roman" w:hAnsi="Times New Roman" w:cs="Times New Roman"/>
          <w:b/>
          <w:sz w:val="24"/>
          <w:szCs w:val="24"/>
        </w:rPr>
        <w:t>、</w:t>
      </w:r>
      <w:r>
        <w:rPr>
          <w:rFonts w:hint="eastAsia" w:ascii="Times New Roman" w:hAnsi="Times New Roman" w:cs="Times New Roman"/>
          <w:b/>
          <w:sz w:val="24"/>
          <w:szCs w:val="24"/>
          <w:lang w:val="en-US" w:eastAsia="zh-CN"/>
        </w:rPr>
        <w:t>商务要求</w:t>
      </w:r>
    </w:p>
    <w:p w14:paraId="3AA5043D">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1、供货要求</w:t>
      </w:r>
    </w:p>
    <w:p w14:paraId="5FA0CA3B">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交货期：招标完成之后，签订合同之日起，3个月内完成交付。</w:t>
      </w:r>
    </w:p>
    <w:p w14:paraId="178740C3">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交货方式：送货上门，设备厂家承担货运费及上门服务费用。</w:t>
      </w:r>
    </w:p>
    <w:p w14:paraId="74CB2B24">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2、安装调试</w:t>
      </w:r>
    </w:p>
    <w:p w14:paraId="5FCDF794">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设备到货时，由供应商技术人员上门进行设备的安装调试。具体时间需要提前与用户单位协商安排。</w:t>
      </w:r>
    </w:p>
    <w:p w14:paraId="25393877">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供应商需委派具备相应资质与经验的专业技术人员在客户现场进行设备的安装调试。</w:t>
      </w:r>
    </w:p>
    <w:p w14:paraId="662098A2">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安装调试的一切费用，均已包含在合同总价款中，用户单位不再另行支付其他培训费用。</w:t>
      </w:r>
    </w:p>
    <w:p w14:paraId="57882463">
      <w:pPr>
        <w:spacing w:line="360" w:lineRule="auto"/>
        <w:ind w:firstLine="480" w:firstLineChars="200"/>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3</w:t>
      </w:r>
      <w:r>
        <w:rPr>
          <w:rFonts w:hint="default" w:ascii="Times New Roman" w:hAnsi="Times New Roman" w:cs="Times New Roman"/>
          <w:sz w:val="24"/>
          <w:szCs w:val="24"/>
          <w:lang w:val="en-US" w:eastAsia="zh-CN"/>
        </w:rPr>
        <w:t>、售后服务</w:t>
      </w:r>
    </w:p>
    <w:p w14:paraId="70E3DFE5">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质保期内因产品质量问题造成的配件更换、人工服务卖方均免费提供。质保期内提供7*24小时技术支持，接到故障通知后24小时内响应，48小时内到场处理（特殊情况协商解决）。质保期内如有内置程序更新情况，卖方负责免费调试升级。</w:t>
      </w:r>
    </w:p>
    <w:p w14:paraId="41A73D59">
      <w:pPr>
        <w:spacing w:line="360" w:lineRule="auto"/>
        <w:ind w:firstLine="480" w:firstLineChars="200"/>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4</w:t>
      </w:r>
      <w:r>
        <w:rPr>
          <w:rFonts w:hint="default" w:ascii="Times New Roman" w:hAnsi="Times New Roman" w:cs="Times New Roman"/>
          <w:sz w:val="24"/>
          <w:szCs w:val="24"/>
          <w:lang w:val="en-US" w:eastAsia="zh-CN"/>
        </w:rPr>
        <w:t>、质保期</w:t>
      </w:r>
    </w:p>
    <w:p w14:paraId="336F5CE1">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质保期自</w:t>
      </w:r>
      <w:r>
        <w:rPr>
          <w:rFonts w:hint="eastAsia" w:ascii="Times New Roman" w:hAnsi="Times New Roman" w:cs="Times New Roman"/>
          <w:sz w:val="24"/>
          <w:szCs w:val="24"/>
          <w:lang w:val="en-US" w:eastAsia="zh-CN"/>
        </w:rPr>
        <w:t>验收</w:t>
      </w:r>
      <w:r>
        <w:rPr>
          <w:rFonts w:hint="default" w:ascii="Times New Roman" w:hAnsi="Times New Roman" w:cs="Times New Roman"/>
          <w:sz w:val="24"/>
          <w:szCs w:val="24"/>
          <w:lang w:val="en-US" w:eastAsia="zh-CN"/>
        </w:rPr>
        <w:t>合格</w:t>
      </w:r>
      <w:r>
        <w:rPr>
          <w:rFonts w:hint="eastAsia" w:ascii="Times New Roman" w:hAnsi="Times New Roman" w:cs="Times New Roman"/>
          <w:sz w:val="24"/>
          <w:szCs w:val="24"/>
          <w:lang w:val="en-US" w:eastAsia="zh-CN"/>
        </w:rPr>
        <w:t>后</w:t>
      </w:r>
      <w:r>
        <w:rPr>
          <w:rFonts w:hint="default" w:ascii="Times New Roman" w:hAnsi="Times New Roman" w:cs="Times New Roman"/>
          <w:sz w:val="24"/>
          <w:szCs w:val="24"/>
          <w:lang w:val="en-US" w:eastAsia="zh-CN"/>
        </w:rPr>
        <w:t>开始计算，质保期1年。</w:t>
      </w:r>
    </w:p>
    <w:p w14:paraId="11586BC1">
      <w:pPr>
        <w:spacing w:line="360" w:lineRule="auto"/>
        <w:ind w:firstLine="480" w:firstLineChars="200"/>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5</w:t>
      </w:r>
      <w:r>
        <w:rPr>
          <w:rFonts w:hint="default" w:ascii="Times New Roman" w:hAnsi="Times New Roman" w:cs="Times New Roman"/>
          <w:sz w:val="24"/>
          <w:szCs w:val="24"/>
          <w:lang w:val="en-US" w:eastAsia="zh-CN"/>
        </w:rPr>
        <w:t>、培训</w:t>
      </w:r>
    </w:p>
    <w:p w14:paraId="301006C8">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供应商须委派具备相应资质与经验的专业技术人员，提供仪器设备培训服务；培训内容涵盖设备理论知识、操作技能、维护保养、故障处理等，培训地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14:paraId="4BCC0019">
      <w:pPr>
        <w:spacing w:line="360" w:lineRule="auto"/>
        <w:ind w:firstLine="480" w:firstLineChars="200"/>
        <w:rPr>
          <w:rFonts w:hint="default"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6</w:t>
      </w:r>
      <w:r>
        <w:rPr>
          <w:rFonts w:hint="default" w:ascii="Times New Roman" w:hAnsi="Times New Roman" w:cs="Times New Roman"/>
          <w:sz w:val="24"/>
          <w:szCs w:val="24"/>
          <w:lang w:val="en-US" w:eastAsia="zh-CN"/>
        </w:rPr>
        <w:t>、付款方式</w:t>
      </w:r>
    </w:p>
    <w:p w14:paraId="69C32F81">
      <w:pPr>
        <w:spacing w:line="360" w:lineRule="auto"/>
        <w:ind w:firstLine="480" w:firstLineChars="20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合同签订后支付合同额30%的预付款，</w:t>
      </w:r>
      <w:r>
        <w:rPr>
          <w:rFonts w:hint="eastAsia" w:ascii="Times New Roman" w:hAnsi="Times New Roman" w:cs="Times New Roman"/>
          <w:sz w:val="24"/>
          <w:szCs w:val="24"/>
          <w:lang w:val="en-US" w:eastAsia="zh-CN"/>
        </w:rPr>
        <w:t>项目完成进行验收后</w:t>
      </w:r>
      <w:r>
        <w:rPr>
          <w:rFonts w:hint="default" w:ascii="Times New Roman" w:hAnsi="Times New Roman" w:cs="Times New Roman"/>
          <w:sz w:val="24"/>
          <w:szCs w:val="24"/>
          <w:lang w:val="en-US" w:eastAsia="zh-CN"/>
        </w:rPr>
        <w:t>支付合同额的60%，</w:t>
      </w:r>
      <w:r>
        <w:rPr>
          <w:rFonts w:hint="eastAsia" w:ascii="Times New Roman" w:hAnsi="Times New Roman" w:cs="Times New Roman"/>
          <w:sz w:val="24"/>
          <w:szCs w:val="24"/>
          <w:lang w:val="en-US" w:eastAsia="zh-CN"/>
        </w:rPr>
        <w:t>项目结算审计完成后</w:t>
      </w:r>
      <w:r>
        <w:rPr>
          <w:rFonts w:hint="default" w:ascii="Times New Roman" w:hAnsi="Times New Roman" w:cs="Times New Roman"/>
          <w:sz w:val="24"/>
          <w:szCs w:val="24"/>
          <w:lang w:val="en-US" w:eastAsia="zh-CN"/>
        </w:rPr>
        <w:t>支付合同额的10%。</w:t>
      </w:r>
    </w:p>
    <w:p w14:paraId="3A961C80">
      <w:pPr>
        <w:spacing w:line="360" w:lineRule="auto"/>
        <w:ind w:firstLine="482" w:firstLineChars="200"/>
        <w:rPr>
          <w:b/>
          <w:sz w:val="24"/>
        </w:rPr>
      </w:pPr>
      <w:r>
        <w:rPr>
          <w:rFonts w:hint="eastAsia"/>
          <w:b/>
          <w:sz w:val="24"/>
          <w:lang w:val="en-US" w:eastAsia="zh-CN"/>
        </w:rPr>
        <w:t>六</w:t>
      </w:r>
      <w:r>
        <w:rPr>
          <w:rFonts w:hint="eastAsia"/>
          <w:b/>
          <w:sz w:val="24"/>
        </w:rPr>
        <w:t>、验收标准</w:t>
      </w:r>
    </w:p>
    <w:p w14:paraId="1BBD6D11">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本项目完工后，采购单位根据规定组织验收小组按照国家有关规定组织验收并填写“合格验收单”，完成货物所有权的移交工作。</w:t>
      </w:r>
    </w:p>
    <w:p w14:paraId="0B4625D2">
      <w:pPr>
        <w:spacing w:line="360" w:lineRule="auto"/>
        <w:ind w:firstLine="480" w:firstLineChars="200"/>
        <w:rPr>
          <w:rFonts w:hint="eastAsia"/>
          <w:color w:val="auto"/>
          <w:sz w:val="24"/>
        </w:rPr>
      </w:pPr>
      <w:r>
        <w:rPr>
          <w:rFonts w:hint="eastAsia"/>
          <w:color w:val="auto"/>
          <w:sz w:val="24"/>
        </w:rPr>
        <w:t>（1）质量验收标准：合同文件规定部分，按合同文件规定要求验收，合同文件未规定部分，严格按照国家权威部门质检标准组织验收。</w:t>
      </w:r>
    </w:p>
    <w:p w14:paraId="1F14CBAE">
      <w:pPr>
        <w:spacing w:line="360" w:lineRule="auto"/>
        <w:ind w:firstLine="480" w:firstLineChars="200"/>
        <w:rPr>
          <w:rFonts w:hint="eastAsia"/>
          <w:color w:val="auto"/>
          <w:sz w:val="24"/>
        </w:rPr>
      </w:pPr>
      <w:r>
        <w:rPr>
          <w:rFonts w:hint="eastAsia"/>
          <w:color w:val="auto"/>
          <w:sz w:val="24"/>
        </w:rPr>
        <w:t>（2）供方应保证所有货物质量符合技术标准和验收标准。</w:t>
      </w:r>
    </w:p>
    <w:p w14:paraId="6453CF2E">
      <w:pPr>
        <w:spacing w:line="360" w:lineRule="auto"/>
        <w:ind w:firstLine="480" w:firstLineChars="200"/>
        <w:rPr>
          <w:rFonts w:hint="eastAsia" w:ascii="Times New Roman" w:hAnsi="Times New Roman" w:cs="Times New Roman"/>
          <w:sz w:val="24"/>
          <w:szCs w:val="24"/>
        </w:rPr>
      </w:pPr>
      <w:r>
        <w:rPr>
          <w:rFonts w:hint="eastAsia"/>
          <w:color w:val="auto"/>
          <w:sz w:val="24"/>
        </w:rPr>
        <w:t>（3）需方应组织验收人员对设备的性能进行试验和验收。验收人员逐个验收后填写验收报告。</w:t>
      </w:r>
    </w:p>
    <w:p w14:paraId="4FF30E4B">
      <w:pPr>
        <w:spacing w:line="360" w:lineRule="auto"/>
        <w:ind w:firstLine="482" w:firstLineChars="200"/>
        <w:rPr>
          <w:b/>
          <w:sz w:val="24"/>
        </w:rPr>
      </w:pPr>
      <w:r>
        <w:rPr>
          <w:rFonts w:hint="eastAsia"/>
          <w:b/>
          <w:sz w:val="24"/>
          <w:lang w:val="en-US" w:eastAsia="zh-CN"/>
        </w:rPr>
        <w:t>七</w:t>
      </w:r>
      <w:r>
        <w:rPr>
          <w:rFonts w:hint="eastAsia"/>
          <w:b/>
          <w:sz w:val="24"/>
        </w:rPr>
        <w:t>、其他要求</w:t>
      </w:r>
    </w:p>
    <w:p w14:paraId="3D446844">
      <w:pPr>
        <w:spacing w:line="360" w:lineRule="auto"/>
        <w:ind w:firstLine="480" w:firstLineChars="200"/>
        <w:rPr>
          <w:rFonts w:hint="default" w:ascii="Times New Roman" w:hAnsi="Times New Roman" w:cs="Times New Roman" w:eastAsiaTheme="minorEastAsia"/>
          <w:sz w:val="24"/>
          <w:lang w:val="en-US" w:eastAsia="zh-CN"/>
        </w:rPr>
      </w:pPr>
      <w:r>
        <w:rPr>
          <w:rFonts w:hint="eastAsia" w:ascii="Times New Roman" w:hAnsi="Times New Roman" w:cs="Times New Roman"/>
          <w:sz w:val="24"/>
          <w:lang w:val="en-US" w:eastAsia="zh-CN"/>
        </w:rPr>
        <w:t>无。</w:t>
      </w: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C92CF">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C61"/>
    <w:rsid w:val="00001B8B"/>
    <w:rsid w:val="0000216E"/>
    <w:rsid w:val="00002352"/>
    <w:rsid w:val="00003657"/>
    <w:rsid w:val="000038E8"/>
    <w:rsid w:val="00005094"/>
    <w:rsid w:val="00006D00"/>
    <w:rsid w:val="0001194C"/>
    <w:rsid w:val="00013B17"/>
    <w:rsid w:val="00015375"/>
    <w:rsid w:val="0001758C"/>
    <w:rsid w:val="000201A0"/>
    <w:rsid w:val="00022D3B"/>
    <w:rsid w:val="00030970"/>
    <w:rsid w:val="00031C61"/>
    <w:rsid w:val="00041BF5"/>
    <w:rsid w:val="000444D7"/>
    <w:rsid w:val="00045BF6"/>
    <w:rsid w:val="00046889"/>
    <w:rsid w:val="0005044D"/>
    <w:rsid w:val="00050AA1"/>
    <w:rsid w:val="00051F77"/>
    <w:rsid w:val="00057DDC"/>
    <w:rsid w:val="000627E1"/>
    <w:rsid w:val="00063D78"/>
    <w:rsid w:val="000703A0"/>
    <w:rsid w:val="00071EC9"/>
    <w:rsid w:val="00076FCA"/>
    <w:rsid w:val="0008024F"/>
    <w:rsid w:val="00080359"/>
    <w:rsid w:val="00083740"/>
    <w:rsid w:val="00092A75"/>
    <w:rsid w:val="0009311F"/>
    <w:rsid w:val="0009370A"/>
    <w:rsid w:val="00094C75"/>
    <w:rsid w:val="00094F15"/>
    <w:rsid w:val="000B1A4B"/>
    <w:rsid w:val="000B2CDB"/>
    <w:rsid w:val="000B734C"/>
    <w:rsid w:val="000C1ADC"/>
    <w:rsid w:val="000D0805"/>
    <w:rsid w:val="000D38A2"/>
    <w:rsid w:val="000D44A1"/>
    <w:rsid w:val="000D6032"/>
    <w:rsid w:val="000E0478"/>
    <w:rsid w:val="000E07EF"/>
    <w:rsid w:val="000E2220"/>
    <w:rsid w:val="000E2233"/>
    <w:rsid w:val="000E3C68"/>
    <w:rsid w:val="000E44C8"/>
    <w:rsid w:val="000E671F"/>
    <w:rsid w:val="000E7A2E"/>
    <w:rsid w:val="000F0530"/>
    <w:rsid w:val="000F1A81"/>
    <w:rsid w:val="000F30FE"/>
    <w:rsid w:val="00100461"/>
    <w:rsid w:val="001036BC"/>
    <w:rsid w:val="001051F6"/>
    <w:rsid w:val="001056C3"/>
    <w:rsid w:val="001060F0"/>
    <w:rsid w:val="0011064C"/>
    <w:rsid w:val="001120E6"/>
    <w:rsid w:val="001122CC"/>
    <w:rsid w:val="001165BB"/>
    <w:rsid w:val="00116633"/>
    <w:rsid w:val="00120AAE"/>
    <w:rsid w:val="00121F6A"/>
    <w:rsid w:val="00122150"/>
    <w:rsid w:val="00122935"/>
    <w:rsid w:val="00123373"/>
    <w:rsid w:val="00125DE1"/>
    <w:rsid w:val="00126C91"/>
    <w:rsid w:val="0012730D"/>
    <w:rsid w:val="00127EAB"/>
    <w:rsid w:val="00136ECC"/>
    <w:rsid w:val="00152E1D"/>
    <w:rsid w:val="001544A2"/>
    <w:rsid w:val="00155C92"/>
    <w:rsid w:val="00174A4C"/>
    <w:rsid w:val="00180BE8"/>
    <w:rsid w:val="00190FD0"/>
    <w:rsid w:val="00191F7E"/>
    <w:rsid w:val="001926A7"/>
    <w:rsid w:val="00193E52"/>
    <w:rsid w:val="00193EC1"/>
    <w:rsid w:val="001951BF"/>
    <w:rsid w:val="001A046D"/>
    <w:rsid w:val="001A104F"/>
    <w:rsid w:val="001A7F3A"/>
    <w:rsid w:val="001B081C"/>
    <w:rsid w:val="001B18FD"/>
    <w:rsid w:val="001B301B"/>
    <w:rsid w:val="001B481E"/>
    <w:rsid w:val="001C1284"/>
    <w:rsid w:val="001C1BDB"/>
    <w:rsid w:val="001C3DF0"/>
    <w:rsid w:val="001D1283"/>
    <w:rsid w:val="001D1896"/>
    <w:rsid w:val="001D2506"/>
    <w:rsid w:val="001D479B"/>
    <w:rsid w:val="001D76E3"/>
    <w:rsid w:val="001E28E1"/>
    <w:rsid w:val="001E58DB"/>
    <w:rsid w:val="001F4BBD"/>
    <w:rsid w:val="001F4EC2"/>
    <w:rsid w:val="001F515D"/>
    <w:rsid w:val="001F7CAE"/>
    <w:rsid w:val="00210D3C"/>
    <w:rsid w:val="00212361"/>
    <w:rsid w:val="002150E9"/>
    <w:rsid w:val="0021669B"/>
    <w:rsid w:val="00217D44"/>
    <w:rsid w:val="00220D5C"/>
    <w:rsid w:val="0022195C"/>
    <w:rsid w:val="00223AEA"/>
    <w:rsid w:val="00230F0A"/>
    <w:rsid w:val="00236F00"/>
    <w:rsid w:val="002376CD"/>
    <w:rsid w:val="00237D39"/>
    <w:rsid w:val="00240385"/>
    <w:rsid w:val="00241B2B"/>
    <w:rsid w:val="00242782"/>
    <w:rsid w:val="00244518"/>
    <w:rsid w:val="002471CA"/>
    <w:rsid w:val="00260A52"/>
    <w:rsid w:val="00275B64"/>
    <w:rsid w:val="00280225"/>
    <w:rsid w:val="00282BBF"/>
    <w:rsid w:val="00282ED3"/>
    <w:rsid w:val="00287A46"/>
    <w:rsid w:val="00290FB7"/>
    <w:rsid w:val="00291A3B"/>
    <w:rsid w:val="00293CF5"/>
    <w:rsid w:val="002947BF"/>
    <w:rsid w:val="00295191"/>
    <w:rsid w:val="002973B8"/>
    <w:rsid w:val="002A1F70"/>
    <w:rsid w:val="002A271F"/>
    <w:rsid w:val="002B119D"/>
    <w:rsid w:val="002B2539"/>
    <w:rsid w:val="002B4A0D"/>
    <w:rsid w:val="002B4CD9"/>
    <w:rsid w:val="002B7699"/>
    <w:rsid w:val="002C0B90"/>
    <w:rsid w:val="002C234F"/>
    <w:rsid w:val="002C4326"/>
    <w:rsid w:val="002D0435"/>
    <w:rsid w:val="002D321A"/>
    <w:rsid w:val="002D6819"/>
    <w:rsid w:val="002E0923"/>
    <w:rsid w:val="002E1FC9"/>
    <w:rsid w:val="002E7356"/>
    <w:rsid w:val="002F434F"/>
    <w:rsid w:val="00303FAE"/>
    <w:rsid w:val="003050A1"/>
    <w:rsid w:val="00306929"/>
    <w:rsid w:val="00313CA9"/>
    <w:rsid w:val="0032710F"/>
    <w:rsid w:val="0033139D"/>
    <w:rsid w:val="00333FC6"/>
    <w:rsid w:val="00336927"/>
    <w:rsid w:val="00336DE2"/>
    <w:rsid w:val="00342B8A"/>
    <w:rsid w:val="0034577B"/>
    <w:rsid w:val="0035319D"/>
    <w:rsid w:val="003568CB"/>
    <w:rsid w:val="00357422"/>
    <w:rsid w:val="00360F99"/>
    <w:rsid w:val="0036147C"/>
    <w:rsid w:val="0036260A"/>
    <w:rsid w:val="003665E0"/>
    <w:rsid w:val="0036780E"/>
    <w:rsid w:val="003704F7"/>
    <w:rsid w:val="003769CC"/>
    <w:rsid w:val="00380297"/>
    <w:rsid w:val="003805D9"/>
    <w:rsid w:val="00380F7A"/>
    <w:rsid w:val="00382C29"/>
    <w:rsid w:val="00384893"/>
    <w:rsid w:val="00385874"/>
    <w:rsid w:val="00390CDD"/>
    <w:rsid w:val="00391ECA"/>
    <w:rsid w:val="00391F49"/>
    <w:rsid w:val="00396063"/>
    <w:rsid w:val="003967A8"/>
    <w:rsid w:val="00397026"/>
    <w:rsid w:val="003A0D3D"/>
    <w:rsid w:val="003A55FF"/>
    <w:rsid w:val="003A65E6"/>
    <w:rsid w:val="003A6CD4"/>
    <w:rsid w:val="003B4524"/>
    <w:rsid w:val="003C17DB"/>
    <w:rsid w:val="003C58A3"/>
    <w:rsid w:val="003D1B15"/>
    <w:rsid w:val="003D2DFD"/>
    <w:rsid w:val="003D39DC"/>
    <w:rsid w:val="003E095C"/>
    <w:rsid w:val="003E0C6F"/>
    <w:rsid w:val="003E2F2B"/>
    <w:rsid w:val="003E5ABE"/>
    <w:rsid w:val="003E6494"/>
    <w:rsid w:val="003F0967"/>
    <w:rsid w:val="003F532A"/>
    <w:rsid w:val="00400170"/>
    <w:rsid w:val="004018C4"/>
    <w:rsid w:val="0040222C"/>
    <w:rsid w:val="00402754"/>
    <w:rsid w:val="004059A2"/>
    <w:rsid w:val="004112E2"/>
    <w:rsid w:val="004117D8"/>
    <w:rsid w:val="00411B82"/>
    <w:rsid w:val="004132DE"/>
    <w:rsid w:val="004142F2"/>
    <w:rsid w:val="00415870"/>
    <w:rsid w:val="00430711"/>
    <w:rsid w:val="00436F93"/>
    <w:rsid w:val="00440243"/>
    <w:rsid w:val="00440831"/>
    <w:rsid w:val="00445645"/>
    <w:rsid w:val="004521B7"/>
    <w:rsid w:val="00453386"/>
    <w:rsid w:val="0045467C"/>
    <w:rsid w:val="00455EC2"/>
    <w:rsid w:val="00461841"/>
    <w:rsid w:val="00464973"/>
    <w:rsid w:val="00473C5A"/>
    <w:rsid w:val="00473F4B"/>
    <w:rsid w:val="0047559B"/>
    <w:rsid w:val="0047782E"/>
    <w:rsid w:val="00480445"/>
    <w:rsid w:val="004809D5"/>
    <w:rsid w:val="00486F3D"/>
    <w:rsid w:val="00496036"/>
    <w:rsid w:val="004962C8"/>
    <w:rsid w:val="0049798F"/>
    <w:rsid w:val="004A4CE5"/>
    <w:rsid w:val="004B186E"/>
    <w:rsid w:val="004B19FC"/>
    <w:rsid w:val="004B3E0D"/>
    <w:rsid w:val="004B4FE8"/>
    <w:rsid w:val="004B52B9"/>
    <w:rsid w:val="004B7049"/>
    <w:rsid w:val="004C3024"/>
    <w:rsid w:val="004C4AD1"/>
    <w:rsid w:val="004C4DF0"/>
    <w:rsid w:val="004C6BD7"/>
    <w:rsid w:val="004D1E00"/>
    <w:rsid w:val="004D5166"/>
    <w:rsid w:val="004E28B6"/>
    <w:rsid w:val="004E56A9"/>
    <w:rsid w:val="004E6457"/>
    <w:rsid w:val="004E74F6"/>
    <w:rsid w:val="00503D0D"/>
    <w:rsid w:val="00511004"/>
    <w:rsid w:val="00514118"/>
    <w:rsid w:val="00514C01"/>
    <w:rsid w:val="00514E6A"/>
    <w:rsid w:val="00515FF6"/>
    <w:rsid w:val="00516FBC"/>
    <w:rsid w:val="00525CA0"/>
    <w:rsid w:val="005319D2"/>
    <w:rsid w:val="00532E4C"/>
    <w:rsid w:val="00544A8E"/>
    <w:rsid w:val="00544E25"/>
    <w:rsid w:val="005456D4"/>
    <w:rsid w:val="005514AE"/>
    <w:rsid w:val="005550E4"/>
    <w:rsid w:val="00557AFE"/>
    <w:rsid w:val="00560F76"/>
    <w:rsid w:val="00563FF1"/>
    <w:rsid w:val="005648BB"/>
    <w:rsid w:val="00564B22"/>
    <w:rsid w:val="00564DF5"/>
    <w:rsid w:val="00567151"/>
    <w:rsid w:val="005729F8"/>
    <w:rsid w:val="0057455D"/>
    <w:rsid w:val="0057493E"/>
    <w:rsid w:val="00574A18"/>
    <w:rsid w:val="00576F03"/>
    <w:rsid w:val="005800B4"/>
    <w:rsid w:val="005837B1"/>
    <w:rsid w:val="005848F8"/>
    <w:rsid w:val="00584E8F"/>
    <w:rsid w:val="005861AA"/>
    <w:rsid w:val="00587A03"/>
    <w:rsid w:val="005939C7"/>
    <w:rsid w:val="0059476A"/>
    <w:rsid w:val="005A00D4"/>
    <w:rsid w:val="005A16ED"/>
    <w:rsid w:val="005A1A7B"/>
    <w:rsid w:val="005A1BC2"/>
    <w:rsid w:val="005A26BD"/>
    <w:rsid w:val="005A3D66"/>
    <w:rsid w:val="005A569E"/>
    <w:rsid w:val="005A72F1"/>
    <w:rsid w:val="005B2210"/>
    <w:rsid w:val="005B234B"/>
    <w:rsid w:val="005B6133"/>
    <w:rsid w:val="005B6C15"/>
    <w:rsid w:val="005B795C"/>
    <w:rsid w:val="005C50C9"/>
    <w:rsid w:val="005C6174"/>
    <w:rsid w:val="005C6DE2"/>
    <w:rsid w:val="005C7371"/>
    <w:rsid w:val="005D1D26"/>
    <w:rsid w:val="005D53DD"/>
    <w:rsid w:val="005D75AC"/>
    <w:rsid w:val="005E222B"/>
    <w:rsid w:val="005E399B"/>
    <w:rsid w:val="005E426C"/>
    <w:rsid w:val="005F0F64"/>
    <w:rsid w:val="005F612F"/>
    <w:rsid w:val="006028F8"/>
    <w:rsid w:val="006110CB"/>
    <w:rsid w:val="00612F24"/>
    <w:rsid w:val="006132AF"/>
    <w:rsid w:val="00620633"/>
    <w:rsid w:val="0062201E"/>
    <w:rsid w:val="00623663"/>
    <w:rsid w:val="00625D96"/>
    <w:rsid w:val="00627027"/>
    <w:rsid w:val="006310C5"/>
    <w:rsid w:val="00632FE0"/>
    <w:rsid w:val="0063682D"/>
    <w:rsid w:val="00645F87"/>
    <w:rsid w:val="00654ED3"/>
    <w:rsid w:val="00657B36"/>
    <w:rsid w:val="006614EA"/>
    <w:rsid w:val="00666A13"/>
    <w:rsid w:val="00683109"/>
    <w:rsid w:val="00684B38"/>
    <w:rsid w:val="00685CA9"/>
    <w:rsid w:val="00694F76"/>
    <w:rsid w:val="00697FC8"/>
    <w:rsid w:val="006A576A"/>
    <w:rsid w:val="006A6667"/>
    <w:rsid w:val="006B1A26"/>
    <w:rsid w:val="006B1D92"/>
    <w:rsid w:val="006B2397"/>
    <w:rsid w:val="006B26AC"/>
    <w:rsid w:val="006C3800"/>
    <w:rsid w:val="006C3A7D"/>
    <w:rsid w:val="006D03B5"/>
    <w:rsid w:val="006D162E"/>
    <w:rsid w:val="006D359D"/>
    <w:rsid w:val="006D3D29"/>
    <w:rsid w:val="006D5191"/>
    <w:rsid w:val="006D7335"/>
    <w:rsid w:val="006D7346"/>
    <w:rsid w:val="006E0283"/>
    <w:rsid w:val="006E204E"/>
    <w:rsid w:val="006E789F"/>
    <w:rsid w:val="006F2CD9"/>
    <w:rsid w:val="006F2CDB"/>
    <w:rsid w:val="006F3002"/>
    <w:rsid w:val="006F625B"/>
    <w:rsid w:val="006F6CC2"/>
    <w:rsid w:val="0070603C"/>
    <w:rsid w:val="0070731E"/>
    <w:rsid w:val="00710E09"/>
    <w:rsid w:val="00712BC9"/>
    <w:rsid w:val="00714F5F"/>
    <w:rsid w:val="007161D7"/>
    <w:rsid w:val="007166FA"/>
    <w:rsid w:val="00722DFD"/>
    <w:rsid w:val="00730EB1"/>
    <w:rsid w:val="00732ED6"/>
    <w:rsid w:val="00733968"/>
    <w:rsid w:val="00737820"/>
    <w:rsid w:val="00742AD4"/>
    <w:rsid w:val="00744234"/>
    <w:rsid w:val="00747CCE"/>
    <w:rsid w:val="00750A0C"/>
    <w:rsid w:val="007652AA"/>
    <w:rsid w:val="00770A17"/>
    <w:rsid w:val="007726B1"/>
    <w:rsid w:val="0077484E"/>
    <w:rsid w:val="00775FB7"/>
    <w:rsid w:val="007866D0"/>
    <w:rsid w:val="00787BD4"/>
    <w:rsid w:val="00793489"/>
    <w:rsid w:val="0079568D"/>
    <w:rsid w:val="007A61A3"/>
    <w:rsid w:val="007A7DEB"/>
    <w:rsid w:val="007B24A3"/>
    <w:rsid w:val="007B2D67"/>
    <w:rsid w:val="007B3330"/>
    <w:rsid w:val="007D2855"/>
    <w:rsid w:val="007D46D4"/>
    <w:rsid w:val="007E12C1"/>
    <w:rsid w:val="007E4E77"/>
    <w:rsid w:val="007E5D1E"/>
    <w:rsid w:val="007F15C3"/>
    <w:rsid w:val="007F396B"/>
    <w:rsid w:val="007F68BC"/>
    <w:rsid w:val="007F74CB"/>
    <w:rsid w:val="00800AF6"/>
    <w:rsid w:val="00804D8A"/>
    <w:rsid w:val="008066C0"/>
    <w:rsid w:val="00810443"/>
    <w:rsid w:val="008174A7"/>
    <w:rsid w:val="008214A3"/>
    <w:rsid w:val="008303EC"/>
    <w:rsid w:val="0083510A"/>
    <w:rsid w:val="00852A16"/>
    <w:rsid w:val="00852FEE"/>
    <w:rsid w:val="008540A7"/>
    <w:rsid w:val="00855249"/>
    <w:rsid w:val="0086102B"/>
    <w:rsid w:val="0086504C"/>
    <w:rsid w:val="00865BF8"/>
    <w:rsid w:val="00865D6D"/>
    <w:rsid w:val="008662BA"/>
    <w:rsid w:val="00866461"/>
    <w:rsid w:val="00867135"/>
    <w:rsid w:val="00873B36"/>
    <w:rsid w:val="00881774"/>
    <w:rsid w:val="008830BC"/>
    <w:rsid w:val="008843E0"/>
    <w:rsid w:val="00894277"/>
    <w:rsid w:val="00894514"/>
    <w:rsid w:val="008A326F"/>
    <w:rsid w:val="008A7C76"/>
    <w:rsid w:val="008A7E45"/>
    <w:rsid w:val="008B0D4C"/>
    <w:rsid w:val="008C0A91"/>
    <w:rsid w:val="008C19A9"/>
    <w:rsid w:val="008C3213"/>
    <w:rsid w:val="008C3F15"/>
    <w:rsid w:val="008C4824"/>
    <w:rsid w:val="008C5637"/>
    <w:rsid w:val="008D722D"/>
    <w:rsid w:val="008D74FB"/>
    <w:rsid w:val="008E1096"/>
    <w:rsid w:val="008E259E"/>
    <w:rsid w:val="008F0138"/>
    <w:rsid w:val="008F24FE"/>
    <w:rsid w:val="008F4BCF"/>
    <w:rsid w:val="00904C68"/>
    <w:rsid w:val="00905659"/>
    <w:rsid w:val="0090625E"/>
    <w:rsid w:val="009070F4"/>
    <w:rsid w:val="00914426"/>
    <w:rsid w:val="00916888"/>
    <w:rsid w:val="00917D5D"/>
    <w:rsid w:val="0092251F"/>
    <w:rsid w:val="00923DCC"/>
    <w:rsid w:val="00923F79"/>
    <w:rsid w:val="009303E6"/>
    <w:rsid w:val="00932E09"/>
    <w:rsid w:val="00933B1F"/>
    <w:rsid w:val="00935951"/>
    <w:rsid w:val="0094106F"/>
    <w:rsid w:val="0094121C"/>
    <w:rsid w:val="00953106"/>
    <w:rsid w:val="00954FDC"/>
    <w:rsid w:val="00956B4C"/>
    <w:rsid w:val="00956E1F"/>
    <w:rsid w:val="00957EFA"/>
    <w:rsid w:val="00960D79"/>
    <w:rsid w:val="00961AAB"/>
    <w:rsid w:val="00962357"/>
    <w:rsid w:val="00964C8F"/>
    <w:rsid w:val="00966E97"/>
    <w:rsid w:val="00976792"/>
    <w:rsid w:val="00981C48"/>
    <w:rsid w:val="00982FCA"/>
    <w:rsid w:val="009848D4"/>
    <w:rsid w:val="0099019D"/>
    <w:rsid w:val="0099244B"/>
    <w:rsid w:val="009A16E4"/>
    <w:rsid w:val="009A3AD3"/>
    <w:rsid w:val="009B148C"/>
    <w:rsid w:val="009B2944"/>
    <w:rsid w:val="009B4D85"/>
    <w:rsid w:val="009C0448"/>
    <w:rsid w:val="009C08E7"/>
    <w:rsid w:val="009C0915"/>
    <w:rsid w:val="009C2EC5"/>
    <w:rsid w:val="009D1F4B"/>
    <w:rsid w:val="009D2C69"/>
    <w:rsid w:val="009D6ED3"/>
    <w:rsid w:val="009E1653"/>
    <w:rsid w:val="009E1B63"/>
    <w:rsid w:val="009E1FFC"/>
    <w:rsid w:val="009E6933"/>
    <w:rsid w:val="009E71FE"/>
    <w:rsid w:val="009E72D8"/>
    <w:rsid w:val="009E7EC6"/>
    <w:rsid w:val="009F4CCC"/>
    <w:rsid w:val="009F632F"/>
    <w:rsid w:val="00A02F20"/>
    <w:rsid w:val="00A0501B"/>
    <w:rsid w:val="00A124FC"/>
    <w:rsid w:val="00A14DF7"/>
    <w:rsid w:val="00A24104"/>
    <w:rsid w:val="00A24AA1"/>
    <w:rsid w:val="00A253D7"/>
    <w:rsid w:val="00A32309"/>
    <w:rsid w:val="00A37DA3"/>
    <w:rsid w:val="00A52D2C"/>
    <w:rsid w:val="00A534BC"/>
    <w:rsid w:val="00A54E6A"/>
    <w:rsid w:val="00A55AA3"/>
    <w:rsid w:val="00A57C85"/>
    <w:rsid w:val="00A602C4"/>
    <w:rsid w:val="00A63A56"/>
    <w:rsid w:val="00A63F1F"/>
    <w:rsid w:val="00A642CC"/>
    <w:rsid w:val="00A659BB"/>
    <w:rsid w:val="00A744F3"/>
    <w:rsid w:val="00A754FB"/>
    <w:rsid w:val="00A82C8D"/>
    <w:rsid w:val="00A843CC"/>
    <w:rsid w:val="00A84BF4"/>
    <w:rsid w:val="00A84C49"/>
    <w:rsid w:val="00A85126"/>
    <w:rsid w:val="00A85D1B"/>
    <w:rsid w:val="00A85DC6"/>
    <w:rsid w:val="00A951F1"/>
    <w:rsid w:val="00A95D7F"/>
    <w:rsid w:val="00A9766D"/>
    <w:rsid w:val="00AB2D2D"/>
    <w:rsid w:val="00AB34DC"/>
    <w:rsid w:val="00AB4688"/>
    <w:rsid w:val="00AC14FF"/>
    <w:rsid w:val="00AC3586"/>
    <w:rsid w:val="00AD0B4B"/>
    <w:rsid w:val="00AD3A8C"/>
    <w:rsid w:val="00AD5A32"/>
    <w:rsid w:val="00AD6D85"/>
    <w:rsid w:val="00AD7DF9"/>
    <w:rsid w:val="00AE1C81"/>
    <w:rsid w:val="00AE4430"/>
    <w:rsid w:val="00AE5C2D"/>
    <w:rsid w:val="00AE5C2E"/>
    <w:rsid w:val="00AF61CF"/>
    <w:rsid w:val="00AF74B0"/>
    <w:rsid w:val="00B03186"/>
    <w:rsid w:val="00B0502A"/>
    <w:rsid w:val="00B05776"/>
    <w:rsid w:val="00B066A8"/>
    <w:rsid w:val="00B12B6E"/>
    <w:rsid w:val="00B13614"/>
    <w:rsid w:val="00B20018"/>
    <w:rsid w:val="00B26000"/>
    <w:rsid w:val="00B2768B"/>
    <w:rsid w:val="00B30405"/>
    <w:rsid w:val="00B30EF8"/>
    <w:rsid w:val="00B36100"/>
    <w:rsid w:val="00B37D40"/>
    <w:rsid w:val="00B415FD"/>
    <w:rsid w:val="00B4181B"/>
    <w:rsid w:val="00B41C78"/>
    <w:rsid w:val="00B44300"/>
    <w:rsid w:val="00B46D4F"/>
    <w:rsid w:val="00B56BB3"/>
    <w:rsid w:val="00B57CF3"/>
    <w:rsid w:val="00B60520"/>
    <w:rsid w:val="00B642AA"/>
    <w:rsid w:val="00B64B90"/>
    <w:rsid w:val="00B65280"/>
    <w:rsid w:val="00B66786"/>
    <w:rsid w:val="00B70FE0"/>
    <w:rsid w:val="00B74AF0"/>
    <w:rsid w:val="00B7562B"/>
    <w:rsid w:val="00B80E1B"/>
    <w:rsid w:val="00B82819"/>
    <w:rsid w:val="00B86B17"/>
    <w:rsid w:val="00B90C85"/>
    <w:rsid w:val="00B90D97"/>
    <w:rsid w:val="00B910A3"/>
    <w:rsid w:val="00B915D0"/>
    <w:rsid w:val="00B9619B"/>
    <w:rsid w:val="00BA2649"/>
    <w:rsid w:val="00BA4713"/>
    <w:rsid w:val="00BA7D08"/>
    <w:rsid w:val="00BB2FF8"/>
    <w:rsid w:val="00BB4DC7"/>
    <w:rsid w:val="00BC26CD"/>
    <w:rsid w:val="00BC4386"/>
    <w:rsid w:val="00BD12F3"/>
    <w:rsid w:val="00BD4F7A"/>
    <w:rsid w:val="00BD5E4D"/>
    <w:rsid w:val="00BE1938"/>
    <w:rsid w:val="00BE54C4"/>
    <w:rsid w:val="00BF0E23"/>
    <w:rsid w:val="00BF4694"/>
    <w:rsid w:val="00C00A72"/>
    <w:rsid w:val="00C02430"/>
    <w:rsid w:val="00C02C79"/>
    <w:rsid w:val="00C04A73"/>
    <w:rsid w:val="00C0537F"/>
    <w:rsid w:val="00C11572"/>
    <w:rsid w:val="00C16522"/>
    <w:rsid w:val="00C16D83"/>
    <w:rsid w:val="00C17FB8"/>
    <w:rsid w:val="00C25664"/>
    <w:rsid w:val="00C25CAB"/>
    <w:rsid w:val="00C312AA"/>
    <w:rsid w:val="00C328BA"/>
    <w:rsid w:val="00C36338"/>
    <w:rsid w:val="00C3722E"/>
    <w:rsid w:val="00C4607B"/>
    <w:rsid w:val="00C4645F"/>
    <w:rsid w:val="00C469CA"/>
    <w:rsid w:val="00C51D76"/>
    <w:rsid w:val="00C541A8"/>
    <w:rsid w:val="00C57869"/>
    <w:rsid w:val="00C6079D"/>
    <w:rsid w:val="00C6121A"/>
    <w:rsid w:val="00C633DD"/>
    <w:rsid w:val="00C65D92"/>
    <w:rsid w:val="00C665DF"/>
    <w:rsid w:val="00C745B3"/>
    <w:rsid w:val="00C802E1"/>
    <w:rsid w:val="00C82827"/>
    <w:rsid w:val="00C82D5E"/>
    <w:rsid w:val="00C83547"/>
    <w:rsid w:val="00C83684"/>
    <w:rsid w:val="00C855D0"/>
    <w:rsid w:val="00C918B3"/>
    <w:rsid w:val="00C93205"/>
    <w:rsid w:val="00C95C3A"/>
    <w:rsid w:val="00CA2135"/>
    <w:rsid w:val="00CB4228"/>
    <w:rsid w:val="00CB60C1"/>
    <w:rsid w:val="00CB7C26"/>
    <w:rsid w:val="00CC1932"/>
    <w:rsid w:val="00CC539E"/>
    <w:rsid w:val="00CD2002"/>
    <w:rsid w:val="00CD3E76"/>
    <w:rsid w:val="00CD524B"/>
    <w:rsid w:val="00CE0D06"/>
    <w:rsid w:val="00CE0F57"/>
    <w:rsid w:val="00CE166B"/>
    <w:rsid w:val="00CE22D2"/>
    <w:rsid w:val="00CE6C23"/>
    <w:rsid w:val="00CF5507"/>
    <w:rsid w:val="00CF6098"/>
    <w:rsid w:val="00D00A02"/>
    <w:rsid w:val="00D06D28"/>
    <w:rsid w:val="00D0716A"/>
    <w:rsid w:val="00D11CA5"/>
    <w:rsid w:val="00D1256D"/>
    <w:rsid w:val="00D13B1F"/>
    <w:rsid w:val="00D253D6"/>
    <w:rsid w:val="00D26323"/>
    <w:rsid w:val="00D30673"/>
    <w:rsid w:val="00D31C5E"/>
    <w:rsid w:val="00D34F2B"/>
    <w:rsid w:val="00D40813"/>
    <w:rsid w:val="00D42607"/>
    <w:rsid w:val="00D44340"/>
    <w:rsid w:val="00D4704E"/>
    <w:rsid w:val="00D478DD"/>
    <w:rsid w:val="00D5144A"/>
    <w:rsid w:val="00D514FA"/>
    <w:rsid w:val="00D52CBB"/>
    <w:rsid w:val="00D55405"/>
    <w:rsid w:val="00D555E6"/>
    <w:rsid w:val="00D56605"/>
    <w:rsid w:val="00D615A9"/>
    <w:rsid w:val="00D61B3B"/>
    <w:rsid w:val="00D72814"/>
    <w:rsid w:val="00D72F8F"/>
    <w:rsid w:val="00D73BE8"/>
    <w:rsid w:val="00D75EFD"/>
    <w:rsid w:val="00D772A5"/>
    <w:rsid w:val="00D8113F"/>
    <w:rsid w:val="00D86BBB"/>
    <w:rsid w:val="00D90E4B"/>
    <w:rsid w:val="00D9219E"/>
    <w:rsid w:val="00D93812"/>
    <w:rsid w:val="00D94014"/>
    <w:rsid w:val="00D95586"/>
    <w:rsid w:val="00D95980"/>
    <w:rsid w:val="00D96517"/>
    <w:rsid w:val="00DA3BA6"/>
    <w:rsid w:val="00DA3ED5"/>
    <w:rsid w:val="00DB0EF0"/>
    <w:rsid w:val="00DB15D3"/>
    <w:rsid w:val="00DB39E9"/>
    <w:rsid w:val="00DB5DC5"/>
    <w:rsid w:val="00DB6FFC"/>
    <w:rsid w:val="00DC320C"/>
    <w:rsid w:val="00DD03A8"/>
    <w:rsid w:val="00DD69AA"/>
    <w:rsid w:val="00DE1C15"/>
    <w:rsid w:val="00DE6F40"/>
    <w:rsid w:val="00DF0350"/>
    <w:rsid w:val="00DF30C8"/>
    <w:rsid w:val="00DF4DBF"/>
    <w:rsid w:val="00DF5E05"/>
    <w:rsid w:val="00E01359"/>
    <w:rsid w:val="00E02003"/>
    <w:rsid w:val="00E02235"/>
    <w:rsid w:val="00E02D77"/>
    <w:rsid w:val="00E02E1F"/>
    <w:rsid w:val="00E058BE"/>
    <w:rsid w:val="00E05910"/>
    <w:rsid w:val="00E23576"/>
    <w:rsid w:val="00E23DF7"/>
    <w:rsid w:val="00E243BD"/>
    <w:rsid w:val="00E25134"/>
    <w:rsid w:val="00E25152"/>
    <w:rsid w:val="00E31218"/>
    <w:rsid w:val="00E32D98"/>
    <w:rsid w:val="00E3390F"/>
    <w:rsid w:val="00E36D79"/>
    <w:rsid w:val="00E42CD1"/>
    <w:rsid w:val="00E47F9C"/>
    <w:rsid w:val="00E502BE"/>
    <w:rsid w:val="00E5077A"/>
    <w:rsid w:val="00E50998"/>
    <w:rsid w:val="00E550CA"/>
    <w:rsid w:val="00E571BB"/>
    <w:rsid w:val="00E5763E"/>
    <w:rsid w:val="00E60B40"/>
    <w:rsid w:val="00E636F0"/>
    <w:rsid w:val="00E63A07"/>
    <w:rsid w:val="00E67663"/>
    <w:rsid w:val="00E7122A"/>
    <w:rsid w:val="00E745DB"/>
    <w:rsid w:val="00E74E5A"/>
    <w:rsid w:val="00E776E6"/>
    <w:rsid w:val="00E77A30"/>
    <w:rsid w:val="00E81A83"/>
    <w:rsid w:val="00E846EA"/>
    <w:rsid w:val="00E8796C"/>
    <w:rsid w:val="00E90274"/>
    <w:rsid w:val="00EA485D"/>
    <w:rsid w:val="00EA5B72"/>
    <w:rsid w:val="00EB0F94"/>
    <w:rsid w:val="00EB178D"/>
    <w:rsid w:val="00EB576B"/>
    <w:rsid w:val="00EB6720"/>
    <w:rsid w:val="00EB69A5"/>
    <w:rsid w:val="00EC059B"/>
    <w:rsid w:val="00EC09CE"/>
    <w:rsid w:val="00EC0C95"/>
    <w:rsid w:val="00EC1AF9"/>
    <w:rsid w:val="00EC6642"/>
    <w:rsid w:val="00ED0984"/>
    <w:rsid w:val="00ED1AB4"/>
    <w:rsid w:val="00ED5875"/>
    <w:rsid w:val="00ED74E1"/>
    <w:rsid w:val="00EE005D"/>
    <w:rsid w:val="00EE4049"/>
    <w:rsid w:val="00EF28BA"/>
    <w:rsid w:val="00EF4744"/>
    <w:rsid w:val="00EF5114"/>
    <w:rsid w:val="00F059B8"/>
    <w:rsid w:val="00F102DB"/>
    <w:rsid w:val="00F21683"/>
    <w:rsid w:val="00F21CED"/>
    <w:rsid w:val="00F226CB"/>
    <w:rsid w:val="00F22752"/>
    <w:rsid w:val="00F2393A"/>
    <w:rsid w:val="00F30F43"/>
    <w:rsid w:val="00F37358"/>
    <w:rsid w:val="00F40E78"/>
    <w:rsid w:val="00F426E0"/>
    <w:rsid w:val="00F44DC5"/>
    <w:rsid w:val="00F511FF"/>
    <w:rsid w:val="00F5179B"/>
    <w:rsid w:val="00F532AA"/>
    <w:rsid w:val="00F60723"/>
    <w:rsid w:val="00F62F22"/>
    <w:rsid w:val="00F64946"/>
    <w:rsid w:val="00F728EE"/>
    <w:rsid w:val="00F734DD"/>
    <w:rsid w:val="00F7552C"/>
    <w:rsid w:val="00F80E40"/>
    <w:rsid w:val="00F81091"/>
    <w:rsid w:val="00F86534"/>
    <w:rsid w:val="00F9337C"/>
    <w:rsid w:val="00F935A1"/>
    <w:rsid w:val="00FA6E85"/>
    <w:rsid w:val="00FA760A"/>
    <w:rsid w:val="00FB76CC"/>
    <w:rsid w:val="00FC00DF"/>
    <w:rsid w:val="00FC6BE9"/>
    <w:rsid w:val="00FD13E3"/>
    <w:rsid w:val="00FD2D6D"/>
    <w:rsid w:val="00FE0857"/>
    <w:rsid w:val="00FE4354"/>
    <w:rsid w:val="00FE64CF"/>
    <w:rsid w:val="00FE6960"/>
    <w:rsid w:val="00FF06C7"/>
    <w:rsid w:val="00FF14C8"/>
    <w:rsid w:val="00FF77BC"/>
    <w:rsid w:val="00FF7C14"/>
    <w:rsid w:val="089B47FB"/>
    <w:rsid w:val="0ED725A5"/>
    <w:rsid w:val="142C42D7"/>
    <w:rsid w:val="3E001EEB"/>
    <w:rsid w:val="41935205"/>
    <w:rsid w:val="437260C0"/>
    <w:rsid w:val="47262D4B"/>
    <w:rsid w:val="497F1E09"/>
    <w:rsid w:val="4BBA244A"/>
    <w:rsid w:val="5329476E"/>
    <w:rsid w:val="58115ED0"/>
    <w:rsid w:val="58D90517"/>
    <w:rsid w:val="67D975ED"/>
    <w:rsid w:val="6C500D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rPr>
      <w:rFonts w:ascii="Times New Roman" w:hAnsi="Times New Roman" w:eastAsia="宋体" w:cs="Times New Roman"/>
      <w:szCs w:val="20"/>
    </w:rPr>
  </w:style>
  <w:style w:type="paragraph" w:styleId="3">
    <w:name w:val="Balloon Text"/>
    <w:basedOn w:val="1"/>
    <w:link w:val="13"/>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1"/>
    <w:qFormat/>
    <w:uiPriority w:val="10"/>
    <w:pPr>
      <w:spacing w:before="240" w:after="60"/>
      <w:jc w:val="center"/>
      <w:outlineLvl w:val="0"/>
    </w:pPr>
    <w:rPr>
      <w:rFonts w:eastAsia="宋体" w:asciiTheme="majorHAnsi" w:hAnsiTheme="majorHAnsi" w:cstheme="majorBidi"/>
      <w:b/>
      <w:bCs/>
      <w:sz w:val="32"/>
      <w:szCs w:val="32"/>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annotation reference"/>
    <w:basedOn w:val="9"/>
    <w:semiHidden/>
    <w:unhideWhenUsed/>
    <w:qFormat/>
    <w:uiPriority w:val="99"/>
    <w:rPr>
      <w:sz w:val="21"/>
      <w:szCs w:val="21"/>
    </w:rPr>
  </w:style>
  <w:style w:type="character" w:customStyle="1" w:styleId="11">
    <w:name w:val="标题 Char"/>
    <w:basedOn w:val="9"/>
    <w:link w:val="6"/>
    <w:qFormat/>
    <w:uiPriority w:val="10"/>
    <w:rPr>
      <w:rFonts w:eastAsia="宋体" w:asciiTheme="majorHAnsi" w:hAnsiTheme="majorHAnsi" w:cstheme="majorBidi"/>
      <w:b/>
      <w:bCs/>
      <w:sz w:val="32"/>
      <w:szCs w:val="32"/>
    </w:rPr>
  </w:style>
  <w:style w:type="character" w:customStyle="1" w:styleId="12">
    <w:name w:val="批注文字 Char"/>
    <w:basedOn w:val="9"/>
    <w:link w:val="2"/>
    <w:semiHidden/>
    <w:qFormat/>
    <w:uiPriority w:val="99"/>
    <w:rPr>
      <w:rFonts w:ascii="Times New Roman" w:hAnsi="Times New Roman" w:eastAsia="宋体" w:cs="Times New Roman"/>
      <w:szCs w:val="20"/>
    </w:rPr>
  </w:style>
  <w:style w:type="character" w:customStyle="1" w:styleId="13">
    <w:name w:val="批注框文本 Char"/>
    <w:basedOn w:val="9"/>
    <w:link w:val="3"/>
    <w:semiHidden/>
    <w:qFormat/>
    <w:uiPriority w:val="99"/>
    <w:rPr>
      <w:sz w:val="18"/>
      <w:szCs w:val="18"/>
    </w:rPr>
  </w:style>
  <w:style w:type="character" w:customStyle="1" w:styleId="14">
    <w:name w:val="页眉 Char"/>
    <w:basedOn w:val="9"/>
    <w:link w:val="5"/>
    <w:qFormat/>
    <w:uiPriority w:val="99"/>
    <w:rPr>
      <w:sz w:val="18"/>
      <w:szCs w:val="18"/>
    </w:rPr>
  </w:style>
  <w:style w:type="character" w:customStyle="1" w:styleId="15">
    <w:name w:val="页脚 Char"/>
    <w:basedOn w:val="9"/>
    <w:link w:val="4"/>
    <w:qFormat/>
    <w:uiPriority w:val="99"/>
    <w:rPr>
      <w:sz w:val="18"/>
      <w:szCs w:val="18"/>
    </w:rPr>
  </w:style>
  <w:style w:type="character" w:customStyle="1" w:styleId="16">
    <w:name w:val="font31"/>
    <w:basedOn w:val="9"/>
    <w:qFormat/>
    <w:uiPriority w:val="0"/>
    <w:rPr>
      <w:rFonts w:ascii="宋体" w:hAnsi="宋体" w:eastAsia="宋体" w:cs="宋体"/>
      <w:b/>
      <w:bCs/>
      <w:color w:val="000000"/>
      <w:sz w:val="56"/>
      <w:szCs w:val="56"/>
      <w:u w:val="none"/>
    </w:rPr>
  </w:style>
  <w:style w:type="character" w:customStyle="1" w:styleId="17">
    <w:name w:val="font61"/>
    <w:basedOn w:val="9"/>
    <w:qFormat/>
    <w:uiPriority w:val="0"/>
    <w:rPr>
      <w:rFonts w:ascii="宋体" w:hAnsi="宋体" w:eastAsia="宋体" w:cs="宋体"/>
      <w:color w:val="000000"/>
      <w:sz w:val="56"/>
      <w:szCs w:val="5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8</Pages>
  <Words>3747</Words>
  <Characters>4075</Characters>
  <Lines>2</Lines>
  <Paragraphs>1</Paragraphs>
  <TotalTime>23</TotalTime>
  <ScaleCrop>false</ScaleCrop>
  <LinksUpToDate>false</LinksUpToDate>
  <CharactersWithSpaces>4080</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2021-08-09T01:43:00Z</dcterms:created>
  <dc:creator>未定义</dc:creator>
  <cp:lastModifiedBy>J。</cp:lastModifiedBy>
  <dcterms:modified xsi:type="dcterms:W3CDTF">2026-05-28T02:06:31Z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eyJoZGlkIjoiM2FjNjc2YzFhOGUzZWVlYTc4ZmJkNzIwMTBlZjNjNjIiLCJ1c2VySWQiOiI0MzI1NDYyMzYifQ==</vt:lpwstr>
  </property>
  <property fmtid="{D5CDD505-2E9C-101B-9397-08002B2CF9AE}" pid="3" name="KSOProductBuildVer">
    <vt:lpwstr>2052-12.1.0.26373</vt:lpwstr>
  </property>
  <property fmtid="{D5CDD505-2E9C-101B-9397-08002B2CF9AE}" pid="4" name="ICV">
    <vt:lpwstr>0FA7CFB9ADAB4FCAB1AC93482A761D01_13</vt:lpwstr>
  </property>
</Properties>
</file>