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A2F25">
      <w:pPr>
        <w:rPr>
          <w:rFonts w:eastAsia="仿宋_GB2312"/>
          <w:sz w:val="84"/>
        </w:rPr>
      </w:pPr>
    </w:p>
    <w:p w14:paraId="7BA2F3F7">
      <w:pPr>
        <w:wordWrap w:val="0"/>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281940</wp:posOffset>
                </wp:positionV>
                <wp:extent cx="539750" cy="0"/>
                <wp:effectExtent l="0" t="95250" r="12700" b="9525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2.2pt;height:0pt;width:42.5pt;z-index:251659264;mso-width-relative:page;mso-height-relative:page;" filled="f" stroked="t" coordsize="21600,21600" o:gfxdata="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xLWNdYA&#10;AAAIAQAADwAAAAAAAAABACAAAAAiAAAAZHJzL2Rvd25yZXYueG1sUEsBAhQAFAAAAAgAh07iQDke&#10;sgjoAQAAqwMAAA4AAAAAAAAAAQAgAAAAJQEAAGRycy9lMm9Eb2MueG1sUEsFBgAAAAAGAAYAWQEA&#10;AH8FAAAAAA==&#10;">
                <v:fill on="f" focussize="0,0"/>
                <v:stroke weight="15pt" color="#4B69B5" joinstyle="round"/>
                <v:imagedata o:title=""/>
                <o:lock v:ext="edit" aspectratio="f"/>
              </v:line>
            </w:pict>
          </mc:Fallback>
        </mc:AlternateContent>
      </w:r>
      <w:r>
        <w:rPr>
          <w:rFonts w:eastAsia="黑体"/>
          <w:b/>
          <w:spacing w:val="40"/>
          <w:w w:val="66"/>
          <w:sz w:val="60"/>
          <w:szCs w:val="60"/>
        </w:rPr>
        <w:t xml:space="preserve">  </w:t>
      </w:r>
      <w:r>
        <w:rPr>
          <w:rFonts w:hint="eastAsia" w:eastAsia="黑体"/>
          <w:b/>
          <w:spacing w:val="40"/>
          <w:w w:val="66"/>
          <w:sz w:val="60"/>
          <w:szCs w:val="60"/>
        </w:rPr>
        <w:t>天津自然博物馆设施检测维保项目</w:t>
      </w:r>
    </w:p>
    <w:p w14:paraId="2A296E74">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361950</wp:posOffset>
                </wp:positionV>
                <wp:extent cx="2818765" cy="0"/>
                <wp:effectExtent l="104140" t="95250" r="96520" b="9525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281876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5pt;height:0pt;width:221.95pt;z-index:251660288;mso-width-relative:page;mso-height-relative:page;" filled="f" stroked="t" coordsize="21600,21600" o:gfxdata="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oQHv&#10;o9cAAAAJAQAADwAAAAAAAAABACAAAAAiAAAAZHJzL2Rvd25yZXYueG1sUEsBAhQAFAAAAAgAh07i&#10;QHivd6HqAQAArAMAAA4AAAAAAAAAAQAgAAAAJg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竞争性谈判文件</w:t>
      </w:r>
    </w:p>
    <w:p w14:paraId="0A1AF52B">
      <w:pPr>
        <w:ind w:right="1025"/>
        <w:jc w:val="center"/>
        <w:rPr>
          <w:rFonts w:eastAsia="黑体"/>
          <w:b/>
          <w:spacing w:val="40"/>
          <w:w w:val="66"/>
          <w:sz w:val="60"/>
          <w:szCs w:val="60"/>
        </w:rPr>
      </w:pPr>
    </w:p>
    <w:p w14:paraId="579FDDC1">
      <w:pPr>
        <w:jc w:val="center"/>
        <w:rPr>
          <w:rFonts w:eastAsia="黑体"/>
          <w:b/>
          <w:spacing w:val="40"/>
          <w:w w:val="66"/>
          <w:sz w:val="15"/>
          <w:szCs w:val="15"/>
        </w:rPr>
      </w:pPr>
      <w:r>
        <w:rPr>
          <w:rFonts w:eastAsia="黑体"/>
          <w:b/>
          <w:spacing w:val="40"/>
          <w:w w:val="66"/>
          <w:sz w:val="56"/>
          <w:szCs w:val="56"/>
        </w:rPr>
        <w:t xml:space="preserve">            </w:t>
      </w:r>
    </w:p>
    <w:p w14:paraId="1759D936">
      <w:pPr>
        <w:jc w:val="center"/>
        <w:rPr>
          <w:rFonts w:eastAsia="黑体"/>
          <w:spacing w:val="40"/>
          <w:w w:val="66"/>
          <w:sz w:val="32"/>
          <w:szCs w:val="32"/>
        </w:rPr>
      </w:pPr>
      <w:r>
        <w:rPr>
          <w:rFonts w:eastAsia="黑体"/>
          <w:spacing w:val="40"/>
          <w:w w:val="66"/>
          <w:sz w:val="32"/>
          <w:szCs w:val="32"/>
        </w:rPr>
        <w:t>（项目编号：TGPC-2026-D-0948）</w:t>
      </w:r>
    </w:p>
    <w:p w14:paraId="1C2B1026">
      <w:pPr>
        <w:rPr>
          <w:sz w:val="40"/>
        </w:rPr>
      </w:pPr>
    </w:p>
    <w:p w14:paraId="55184D7D">
      <w:pPr>
        <w:rPr>
          <w:sz w:val="36"/>
        </w:rPr>
      </w:pPr>
    </w:p>
    <w:p w14:paraId="3696D18E">
      <w:pPr>
        <w:rPr>
          <w:sz w:val="36"/>
        </w:rPr>
      </w:pPr>
    </w:p>
    <w:p w14:paraId="1507350F">
      <w:pPr>
        <w:rPr>
          <w:sz w:val="36"/>
        </w:rPr>
      </w:pPr>
    </w:p>
    <w:p w14:paraId="6EEE61C4">
      <w:pPr>
        <w:rPr>
          <w:sz w:val="36"/>
        </w:rPr>
      </w:pPr>
    </w:p>
    <w:p w14:paraId="7ABD11FE">
      <w:pPr>
        <w:rPr>
          <w:sz w:val="36"/>
        </w:rPr>
      </w:pPr>
    </w:p>
    <w:p w14:paraId="59CE1AC7">
      <w:pPr>
        <w:rPr>
          <w:sz w:val="36"/>
        </w:rPr>
      </w:pPr>
    </w:p>
    <w:p w14:paraId="4F97AD0E">
      <w:pPr>
        <w:rPr>
          <w:sz w:val="36"/>
        </w:rPr>
      </w:pPr>
    </w:p>
    <w:p w14:paraId="486E378F">
      <w:pPr>
        <w:rPr>
          <w:sz w:val="36"/>
        </w:rPr>
      </w:pPr>
    </w:p>
    <w:p w14:paraId="5ADA55F0">
      <w:pPr>
        <w:rPr>
          <w:sz w:val="36"/>
        </w:rPr>
      </w:pPr>
    </w:p>
    <w:p w14:paraId="6D6F8E1E">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5F794FC0">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rPr>
        <w:t>9</w:t>
      </w:r>
    </w:p>
    <w:p w14:paraId="25B09295">
      <w:pPr>
        <w:ind w:firstLine="424" w:firstLineChars="100"/>
        <w:jc w:val="center"/>
        <w:rPr>
          <w:b/>
          <w:spacing w:val="20"/>
          <w:w w:val="80"/>
          <w:sz w:val="48"/>
          <w:szCs w:val="48"/>
        </w:rPr>
      </w:pPr>
      <w:r>
        <w:rPr>
          <w:rFonts w:eastAsia="仿宋_GB2312"/>
          <w:b/>
          <w:bCs/>
          <w:color w:val="333399"/>
          <w:kern w:val="0"/>
          <w:sz w:val="44"/>
          <w:szCs w:val="44"/>
        </w:rPr>
        <w:br w:type="page"/>
      </w:r>
      <w:r>
        <w:rPr>
          <w:b/>
          <w:spacing w:val="20"/>
          <w:w w:val="80"/>
          <w:sz w:val="48"/>
          <w:szCs w:val="48"/>
        </w:rPr>
        <w:t>目  录</w:t>
      </w:r>
    </w:p>
    <w:p w14:paraId="13D37E71">
      <w:pPr>
        <w:pStyle w:val="11"/>
        <w:rPr>
          <w:sz w:val="28"/>
          <w:szCs w:val="28"/>
        </w:rPr>
      </w:pPr>
      <w:r>
        <w:rPr>
          <w:sz w:val="28"/>
          <w:szCs w:val="28"/>
        </w:rPr>
        <w:t xml:space="preserve">第一部分 谈判邀请函   </w:t>
      </w:r>
    </w:p>
    <w:p w14:paraId="55573F62"/>
    <w:p w14:paraId="05D158EC">
      <w:pPr>
        <w:pStyle w:val="11"/>
        <w:rPr>
          <w:sz w:val="28"/>
          <w:szCs w:val="28"/>
        </w:rPr>
      </w:pPr>
      <w:r>
        <w:rPr>
          <w:sz w:val="28"/>
          <w:szCs w:val="28"/>
        </w:rPr>
        <w:t>第二部分 谈判项目</w:t>
      </w:r>
      <w:r>
        <w:rPr>
          <w:rFonts w:hint="eastAsia"/>
          <w:sz w:val="28"/>
          <w:szCs w:val="28"/>
        </w:rPr>
        <w:t>需求</w:t>
      </w:r>
    </w:p>
    <w:p w14:paraId="6A3797D6"/>
    <w:p w14:paraId="19A42E3E">
      <w:pPr>
        <w:pStyle w:val="11"/>
        <w:rPr>
          <w:sz w:val="28"/>
          <w:szCs w:val="28"/>
        </w:rPr>
      </w:pPr>
      <w:r>
        <w:rPr>
          <w:sz w:val="28"/>
          <w:szCs w:val="28"/>
        </w:rPr>
        <w:t xml:space="preserve">第三部分 </w:t>
      </w:r>
      <w:r>
        <w:rPr>
          <w:rFonts w:hint="eastAsia"/>
          <w:sz w:val="28"/>
          <w:szCs w:val="28"/>
        </w:rPr>
        <w:t>供应商</w:t>
      </w:r>
      <w:r>
        <w:rPr>
          <w:sz w:val="28"/>
          <w:szCs w:val="28"/>
        </w:rPr>
        <w:t xml:space="preserve">须知 </w:t>
      </w:r>
    </w:p>
    <w:p w14:paraId="1DA3A1F7"/>
    <w:p w14:paraId="039AA7A0">
      <w:pPr>
        <w:pStyle w:val="11"/>
        <w:rPr>
          <w:sz w:val="28"/>
          <w:szCs w:val="28"/>
        </w:rPr>
      </w:pPr>
      <w:r>
        <w:rPr>
          <w:sz w:val="28"/>
          <w:szCs w:val="28"/>
        </w:rPr>
        <w:t xml:space="preserve">第四部分 合同条款  </w:t>
      </w:r>
    </w:p>
    <w:p w14:paraId="14938F87"/>
    <w:p w14:paraId="09B99A44">
      <w:pPr>
        <w:pStyle w:val="11"/>
        <w:rPr>
          <w:sz w:val="24"/>
        </w:rPr>
      </w:pPr>
      <w:r>
        <w:rPr>
          <w:sz w:val="28"/>
          <w:szCs w:val="28"/>
        </w:rPr>
        <w:t xml:space="preserve">第五部分 响应文件格式   </w:t>
      </w:r>
      <w:r>
        <w:rPr>
          <w:sz w:val="24"/>
        </w:rPr>
        <w:t xml:space="preserve">                                  </w:t>
      </w:r>
    </w:p>
    <w:p w14:paraId="7AEE367C">
      <w:pPr>
        <w:spacing w:line="360" w:lineRule="auto"/>
        <w:rPr>
          <w:b/>
          <w:sz w:val="24"/>
          <w:szCs w:val="24"/>
        </w:rPr>
        <w:sectPr>
          <w:headerReference r:id="rId3" w:type="default"/>
          <w:footerReference r:id="rId4" w:type="default"/>
          <w:pgSz w:w="11906" w:h="16838"/>
          <w:pgMar w:top="1440" w:right="1797" w:bottom="1440" w:left="1797" w:header="851" w:footer="992" w:gutter="0"/>
          <w:pgNumType w:start="1"/>
          <w:cols w:space="425" w:num="1"/>
          <w:docGrid w:type="linesAndChars" w:linePitch="285" w:charSpace="-3449"/>
        </w:sectPr>
      </w:pPr>
    </w:p>
    <w:p w14:paraId="371C7A2F">
      <w:pPr>
        <w:spacing w:line="360" w:lineRule="auto"/>
        <w:jc w:val="center"/>
        <w:rPr>
          <w:b/>
          <w:sz w:val="24"/>
          <w:szCs w:val="24"/>
        </w:rPr>
      </w:pPr>
      <w:r>
        <w:rPr>
          <w:b/>
          <w:sz w:val="24"/>
          <w:szCs w:val="24"/>
        </w:rPr>
        <w:t>第一部分  谈判邀请函</w:t>
      </w:r>
    </w:p>
    <w:p w14:paraId="567F5F49">
      <w:pPr>
        <w:pStyle w:val="27"/>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天津自然博物馆</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天津自然博物馆设施检测维保项目</w:t>
      </w:r>
      <w:r>
        <w:rPr>
          <w:rFonts w:ascii="Times New Roman" w:hAnsi="Times New Roman" w:cs="Times New Roman" w:eastAsiaTheme="minorEastAsia"/>
          <w:color w:val="auto"/>
          <w:szCs w:val="32"/>
        </w:rPr>
        <w:t>实施政府采购。现欢迎合格的供应商参加</w:t>
      </w:r>
      <w:r>
        <w:rPr>
          <w:rFonts w:hint="eastAsia" w:ascii="Times New Roman" w:hAnsi="Times New Roman" w:cs="Times New Roman" w:eastAsiaTheme="minorEastAsia"/>
          <w:color w:val="auto"/>
          <w:szCs w:val="32"/>
        </w:rPr>
        <w:t>谈判</w:t>
      </w:r>
      <w:r>
        <w:rPr>
          <w:rFonts w:ascii="Times New Roman" w:hAnsi="Times New Roman" w:cs="Times New Roman" w:eastAsiaTheme="minorEastAsia"/>
          <w:color w:val="auto"/>
          <w:szCs w:val="32"/>
        </w:rPr>
        <w:t>。</w:t>
      </w:r>
    </w:p>
    <w:p w14:paraId="13C2CFD6">
      <w:pPr>
        <w:pStyle w:val="27"/>
        <w:spacing w:line="360" w:lineRule="auto"/>
        <w:ind w:firstLine="448" w:firstLineChars="200"/>
        <w:jc w:val="both"/>
        <w:rPr>
          <w:rFonts w:ascii="Times New Roman" w:hAnsi="Times New Roman" w:eastAsia="宋体" w:cs="Times New Roman"/>
          <w:color w:val="auto"/>
          <w:szCs w:val="32"/>
        </w:rPr>
      </w:pPr>
      <w:r>
        <w:rPr>
          <w:rFonts w:ascii="Times New Roman" w:hAnsi="Times New Roman" w:eastAsia="宋体"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谈判文件的规定在天津市政府采购中心招投标系统中提交网上应答并上传加盖投标人电子签章的电子响应文件（以通过天津公共资源电子签章客户端正确读取签章信息为准）。响应</w:t>
      </w:r>
      <w:r>
        <w:rPr>
          <w:rFonts w:hint="eastAsia" w:ascii="Times New Roman" w:hAnsi="Times New Roman" w:eastAsia="宋体" w:cs="Times New Roman"/>
          <w:color w:val="auto"/>
          <w:szCs w:val="32"/>
        </w:rPr>
        <w:t>文件加盖1个有效电子签章即视同所有页均已盖章。</w:t>
      </w:r>
    </w:p>
    <w:p w14:paraId="2240AFE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7DE6547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天津自然博物馆设施检测维保项目</w:t>
      </w:r>
    </w:p>
    <w:p w14:paraId="1AD65BC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（二）项目编号：TGPC-2026-D-0948</w:t>
      </w:r>
    </w:p>
    <w:p w14:paraId="655DAF6B">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（三）网上应答编号：</w:t>
      </w:r>
      <w:r>
        <w:rPr>
          <w:rFonts w:ascii="Times New Roman" w:hAnsi="Times New Roman" w:eastAsia="宋体" w:cs="Times New Roman"/>
          <w:color w:val="auto"/>
        </w:rPr>
        <w:t>TGPC-2026-</w:t>
      </w:r>
      <w:r>
        <w:rPr>
          <w:rFonts w:hint="eastAsia" w:ascii="Times New Roman" w:hAnsi="Times New Roman" w:eastAsia="宋体" w:cs="Times New Roman"/>
          <w:color w:val="auto"/>
        </w:rPr>
        <w:t>F</w:t>
      </w:r>
      <w:r>
        <w:rPr>
          <w:rFonts w:ascii="Times New Roman" w:hAnsi="Times New Roman" w:eastAsia="宋体" w:cs="Times New Roman"/>
          <w:color w:val="auto"/>
        </w:rPr>
        <w:t>-0</w:t>
      </w:r>
      <w:r>
        <w:rPr>
          <w:rFonts w:hint="eastAsia" w:ascii="Times New Roman" w:hAnsi="Times New Roman" w:eastAsia="宋体" w:cs="Times New Roman"/>
          <w:color w:val="auto"/>
        </w:rPr>
        <w:t>022</w:t>
      </w:r>
    </w:p>
    <w:p w14:paraId="723B899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四</w:t>
      </w:r>
      <w:r>
        <w:rPr>
          <w:rFonts w:ascii="Times New Roman" w:hAnsi="Times New Roman" w:eastAsia="宋体" w:cs="Times New Roman"/>
          <w:color w:val="auto"/>
        </w:rPr>
        <w:t>）采购方式：竞争性</w:t>
      </w:r>
      <w:r>
        <w:rPr>
          <w:rFonts w:hint="eastAsia" w:ascii="Times New Roman" w:hAnsi="Times New Roman" w:eastAsia="宋体" w:cs="Times New Roman"/>
          <w:color w:val="auto"/>
        </w:rPr>
        <w:t>谈判</w:t>
      </w:r>
    </w:p>
    <w:p w14:paraId="3CD619D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五</w:t>
      </w:r>
      <w:r>
        <w:rPr>
          <w:rFonts w:ascii="Times New Roman" w:hAnsi="Times New Roman" w:eastAsia="宋体" w:cs="Times New Roman"/>
          <w:color w:val="auto"/>
        </w:rPr>
        <w:t>）项目属性：服务</w:t>
      </w:r>
    </w:p>
    <w:p w14:paraId="2E2A0BE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六</w:t>
      </w:r>
      <w:r>
        <w:rPr>
          <w:rFonts w:ascii="Times New Roman" w:hAnsi="Times New Roman" w:eastAsia="宋体" w:cs="Times New Roman"/>
          <w:color w:val="auto"/>
        </w:rPr>
        <w:t>）本项目不接受联合体参与。不接受联合体参与的，若有供应商组成联合体参与，视为无效响应。</w:t>
      </w:r>
    </w:p>
    <w:p w14:paraId="0724C51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七</w:t>
      </w:r>
      <w:r>
        <w:rPr>
          <w:rFonts w:ascii="Times New Roman" w:hAnsi="Times New Roman" w:eastAsia="宋体" w:cs="Times New Roman"/>
          <w:color w:val="auto"/>
        </w:rPr>
        <w:t>）本文件售价：免费。</w:t>
      </w:r>
    </w:p>
    <w:p w14:paraId="667833D2">
      <w:pPr>
        <w:pStyle w:val="27"/>
        <w:spacing w:line="360" w:lineRule="auto"/>
        <w:ind w:firstLine="448"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二、项目内容</w:t>
      </w:r>
    </w:p>
    <w:tbl>
      <w:tblPr>
        <w:tblStyle w:val="16"/>
        <w:tblW w:w="7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595"/>
        <w:gridCol w:w="1098"/>
        <w:gridCol w:w="1233"/>
        <w:gridCol w:w="2027"/>
        <w:gridCol w:w="1097"/>
      </w:tblGrid>
      <w:tr w14:paraId="0725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6AB3ACFA">
            <w:pPr>
              <w:pStyle w:val="27"/>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包号</w:t>
            </w:r>
          </w:p>
        </w:tc>
        <w:tc>
          <w:tcPr>
            <w:tcW w:w="1595" w:type="dxa"/>
            <w:vAlign w:val="center"/>
          </w:tcPr>
          <w:p w14:paraId="45D986FA">
            <w:pPr>
              <w:pStyle w:val="27"/>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包名称</w:t>
            </w:r>
          </w:p>
        </w:tc>
        <w:tc>
          <w:tcPr>
            <w:tcW w:w="1098" w:type="dxa"/>
            <w:vAlign w:val="center"/>
          </w:tcPr>
          <w:p w14:paraId="7815DF8A">
            <w:pPr>
              <w:pStyle w:val="27"/>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包预算</w:t>
            </w:r>
          </w:p>
        </w:tc>
        <w:tc>
          <w:tcPr>
            <w:tcW w:w="1233" w:type="dxa"/>
            <w:vAlign w:val="center"/>
          </w:tcPr>
          <w:p w14:paraId="5EBA9D64">
            <w:pPr>
              <w:pStyle w:val="27"/>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包最高限价</w:t>
            </w:r>
          </w:p>
        </w:tc>
        <w:tc>
          <w:tcPr>
            <w:tcW w:w="2027" w:type="dxa"/>
            <w:vAlign w:val="center"/>
          </w:tcPr>
          <w:p w14:paraId="3B466A7B">
            <w:pPr>
              <w:pStyle w:val="27"/>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合同履行期限</w:t>
            </w:r>
          </w:p>
        </w:tc>
        <w:tc>
          <w:tcPr>
            <w:tcW w:w="1097" w:type="dxa"/>
            <w:vAlign w:val="center"/>
          </w:tcPr>
          <w:p w14:paraId="7AB0E03C">
            <w:pPr>
              <w:pStyle w:val="27"/>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所属行业</w:t>
            </w:r>
          </w:p>
        </w:tc>
      </w:tr>
      <w:tr w14:paraId="0536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dxa"/>
            <w:vAlign w:val="center"/>
          </w:tcPr>
          <w:p w14:paraId="1B4EC19E">
            <w:pPr>
              <w:pStyle w:val="27"/>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595" w:type="dxa"/>
            <w:vAlign w:val="center"/>
          </w:tcPr>
          <w:p w14:paraId="23BCA9CB">
            <w:pPr>
              <w:pStyle w:val="27"/>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空调通风卫生检测服务</w:t>
            </w:r>
          </w:p>
        </w:tc>
        <w:tc>
          <w:tcPr>
            <w:tcW w:w="1098" w:type="dxa"/>
            <w:vAlign w:val="center"/>
          </w:tcPr>
          <w:p w14:paraId="64153042">
            <w:pPr>
              <w:pStyle w:val="27"/>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150000元</w:t>
            </w:r>
          </w:p>
        </w:tc>
        <w:tc>
          <w:tcPr>
            <w:tcW w:w="1233" w:type="dxa"/>
            <w:vAlign w:val="center"/>
          </w:tcPr>
          <w:p w14:paraId="4D916ED6">
            <w:pPr>
              <w:pStyle w:val="27"/>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150000元</w:t>
            </w:r>
          </w:p>
        </w:tc>
        <w:tc>
          <w:tcPr>
            <w:tcW w:w="2027" w:type="dxa"/>
            <w:vAlign w:val="center"/>
          </w:tcPr>
          <w:p w14:paraId="1B823DC0">
            <w:pPr>
              <w:pStyle w:val="27"/>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自合同签订之日起30天内完成</w:t>
            </w:r>
          </w:p>
        </w:tc>
        <w:tc>
          <w:tcPr>
            <w:tcW w:w="1097" w:type="dxa"/>
            <w:vAlign w:val="center"/>
          </w:tcPr>
          <w:p w14:paraId="18D40894">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其他未列明行业</w:t>
            </w:r>
          </w:p>
        </w:tc>
      </w:tr>
    </w:tbl>
    <w:p w14:paraId="2372800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kern w:val="2"/>
        </w:rPr>
        <w:t>三、</w:t>
      </w:r>
      <w:r>
        <w:rPr>
          <w:rFonts w:ascii="Times New Roman" w:hAnsi="Times New Roman" w:eastAsia="宋体" w:cs="Times New Roman"/>
          <w:color w:val="auto"/>
        </w:rPr>
        <w:t>供应商资格要求（实质性要求）</w:t>
      </w:r>
    </w:p>
    <w:p w14:paraId="365D9DA2">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（一）供应商应具备《中华人民共和国政府采购法》第二十二条第一款和《中华人民共和国政府采购法实施条例》第十八条规定的条件，</w:t>
      </w:r>
      <w:r>
        <w:rPr>
          <w:rFonts w:ascii="Times New Roman" w:hAnsi="Times New Roman" w:eastAsia="宋体" w:cs="Times New Roman"/>
          <w:color w:val="auto"/>
        </w:rPr>
        <w:t>提供以下材料：</w:t>
      </w:r>
    </w:p>
    <w:p w14:paraId="334F5482">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3C9C39EA">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5A0518ED">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w:t>
      </w:r>
      <w:r>
        <w:rPr>
          <w:rFonts w:hint="eastAsia" w:ascii="Times New Roman" w:hAnsi="Times New Roman" w:cs="Times New Roman" w:eastAsiaTheme="minorEastAsia"/>
          <w:color w:val="auto"/>
        </w:rPr>
        <w:t>本项目专门面向小型、微型企业采购，提供《中小企业声明函》</w:t>
      </w:r>
      <w:r>
        <w:rPr>
          <w:rFonts w:hint="eastAsia" w:ascii="Times New Roman" w:hAnsi="Times New Roman" w:eastAsia="宋体" w:cs="Times New Roman"/>
          <w:color w:val="auto"/>
        </w:rPr>
        <w:t>。</w:t>
      </w:r>
    </w:p>
    <w:p w14:paraId="09436D82">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6E2CCB51">
      <w:pPr>
        <w:pStyle w:val="27"/>
        <w:spacing w:line="360" w:lineRule="auto"/>
        <w:ind w:firstLine="448" w:firstLineChars="200"/>
        <w:rPr>
          <w:rFonts w:ascii="Times New Roman" w:hAnsi="Times New Roman" w:eastAsia="宋体" w:cs="Times New Roman"/>
          <w:color w:val="auto"/>
        </w:rPr>
      </w:pPr>
      <w:bookmarkStart w:id="0" w:name="OLE_LINK4"/>
      <w:bookmarkStart w:id="1" w:name="OLE_LINK3"/>
      <w:r>
        <w:rPr>
          <w:rFonts w:ascii="Times New Roman" w:hAnsi="Times New Roman" w:eastAsia="宋体" w:cs="Times New Roman"/>
          <w:color w:val="auto"/>
        </w:rPr>
        <w:t>（一）</w:t>
      </w:r>
      <w:r>
        <w:rPr>
          <w:rFonts w:hint="eastAsia" w:ascii="Times New Roman" w:hAnsi="Times New Roman" w:eastAsia="宋体" w:cs="Times New Roman"/>
          <w:color w:val="auto"/>
        </w:rPr>
        <w:t>本项目专门面向小型、微型企业采购。</w:t>
      </w:r>
    </w:p>
    <w:p w14:paraId="31495DCC">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231AAD3E">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7807205E">
      <w:pPr>
        <w:pStyle w:val="27"/>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7D569ED5">
      <w:pPr>
        <w:pStyle w:val="27"/>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1A6CA689">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0"/>
    <w:bookmarkEnd w:id="1"/>
    <w:p w14:paraId="326E1A33">
      <w:pPr>
        <w:pStyle w:val="27"/>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（六）</w:t>
      </w:r>
      <w:bookmarkStart w:id="2" w:name="OLE_LINK2"/>
      <w:bookmarkStart w:id="3" w:name="OLE_LINK1"/>
      <w:r>
        <w:rPr>
          <w:rFonts w:hint="eastAsia" w:ascii="Times New Roman" w:hAnsi="Times New Roman" w:eastAsia="宋体"/>
          <w:color w:val="auto"/>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对</w:t>
      </w:r>
      <w:r>
        <w:rPr>
          <w:rFonts w:ascii="Times New Roman" w:hAnsi="Times New Roman" w:eastAsia="宋体"/>
          <w:color w:val="auto"/>
        </w:rPr>
        <w:t>政府采购节能、环境标志品目清单</w:t>
      </w:r>
      <w:r>
        <w:rPr>
          <w:rFonts w:hint="eastAsia" w:ascii="Times New Roman" w:hAnsi="Times New Roman" w:eastAsia="宋体"/>
          <w:color w:val="auto"/>
        </w:rPr>
        <w:t>内的产品实施优先采购和强制采购的评标方法。</w:t>
      </w:r>
      <w:bookmarkEnd w:id="2"/>
      <w:bookmarkEnd w:id="3"/>
    </w:p>
    <w:p w14:paraId="60463585">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（七）根据《关于推动解决政府采购异常低价问题的通知》（财库〔2026〕2号）的要求，当供应商报价出现以下情形之一时，谈判小组应当启动对该供应商的异常低价审查程序：</w:t>
      </w:r>
    </w:p>
    <w:p w14:paraId="49CF786C">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16B762D8">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18CE6FA4">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6194844A">
      <w:pPr>
        <w:pStyle w:val="27"/>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谈判小组基于专业判断，认为供应商报价过低，有可能影响产品质量或者不能诚信履约的其他情形。</w:t>
      </w:r>
    </w:p>
    <w:p w14:paraId="77A0EB34">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五、参与本项目的步骤、时间与方式</w:t>
      </w:r>
    </w:p>
    <w:p w14:paraId="37037E90">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（一）参与本项目的时间要求</w:t>
      </w:r>
    </w:p>
    <w:tbl>
      <w:tblPr>
        <w:tblStyle w:val="16"/>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759"/>
        <w:gridCol w:w="2073"/>
        <w:gridCol w:w="2037"/>
        <w:gridCol w:w="2486"/>
      </w:tblGrid>
      <w:tr w14:paraId="52FE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37BEF1B">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759" w:type="dxa"/>
            <w:vAlign w:val="center"/>
          </w:tcPr>
          <w:p w14:paraId="0C3ECA75">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步骤名称</w:t>
            </w:r>
          </w:p>
        </w:tc>
        <w:tc>
          <w:tcPr>
            <w:tcW w:w="2073" w:type="dxa"/>
            <w:vAlign w:val="center"/>
          </w:tcPr>
          <w:p w14:paraId="23FD8643">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开始时间</w:t>
            </w:r>
          </w:p>
        </w:tc>
        <w:tc>
          <w:tcPr>
            <w:tcW w:w="2037" w:type="dxa"/>
            <w:vAlign w:val="center"/>
          </w:tcPr>
          <w:p w14:paraId="1C023B77">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截止时间</w:t>
            </w:r>
          </w:p>
        </w:tc>
        <w:tc>
          <w:tcPr>
            <w:tcW w:w="2486" w:type="dxa"/>
            <w:vAlign w:val="center"/>
          </w:tcPr>
          <w:p w14:paraId="2E73F6EB">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备注</w:t>
            </w:r>
          </w:p>
        </w:tc>
      </w:tr>
      <w:tr w14:paraId="7649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FB8367E">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759" w:type="dxa"/>
            <w:vAlign w:val="center"/>
          </w:tcPr>
          <w:p w14:paraId="4355ABE9">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获取竞争性谈判文件</w:t>
            </w:r>
          </w:p>
        </w:tc>
        <w:tc>
          <w:tcPr>
            <w:tcW w:w="2073" w:type="dxa"/>
            <w:vAlign w:val="center"/>
          </w:tcPr>
          <w:p w14:paraId="69E22EFB">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30</w:t>
            </w:r>
            <w:r>
              <w:rPr>
                <w:rFonts w:ascii="Times New Roman" w:hAnsi="Times New Roman" w:eastAsia="宋体" w:cs="Times New Roman"/>
                <w:color w:val="auto"/>
                <w:sz w:val="21"/>
                <w:szCs w:val="21"/>
              </w:rPr>
              <w:t>日</w:t>
            </w:r>
          </w:p>
        </w:tc>
        <w:tc>
          <w:tcPr>
            <w:tcW w:w="2037" w:type="dxa"/>
            <w:vAlign w:val="center"/>
          </w:tcPr>
          <w:p w14:paraId="461D224B">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日</w:t>
            </w:r>
          </w:p>
        </w:tc>
        <w:tc>
          <w:tcPr>
            <w:tcW w:w="2486" w:type="dxa"/>
            <w:vAlign w:val="center"/>
          </w:tcPr>
          <w:p w14:paraId="24EFFFA3">
            <w:pPr>
              <w:pStyle w:val="27"/>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59E1548B">
            <w:pPr>
              <w:pStyle w:val="27"/>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未按时获取竞争性谈判文件的，不能参与本项目</w:t>
            </w:r>
          </w:p>
        </w:tc>
      </w:tr>
      <w:tr w14:paraId="086F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EF7382E">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1759" w:type="dxa"/>
            <w:vAlign w:val="center"/>
          </w:tcPr>
          <w:p w14:paraId="06F5EB63">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网上应答（上传电子响应文件）</w:t>
            </w:r>
          </w:p>
        </w:tc>
        <w:tc>
          <w:tcPr>
            <w:tcW w:w="2073" w:type="dxa"/>
            <w:vAlign w:val="center"/>
          </w:tcPr>
          <w:p w14:paraId="6923DD74">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30</w:t>
            </w:r>
            <w:r>
              <w:rPr>
                <w:rFonts w:ascii="Times New Roman" w:hAnsi="Times New Roman" w:eastAsia="宋体" w:cs="Times New Roman"/>
                <w:color w:val="auto"/>
                <w:sz w:val="21"/>
                <w:szCs w:val="21"/>
              </w:rPr>
              <w:t>日9:00</w:t>
            </w:r>
          </w:p>
        </w:tc>
        <w:tc>
          <w:tcPr>
            <w:tcW w:w="2037" w:type="dxa"/>
            <w:vAlign w:val="center"/>
          </w:tcPr>
          <w:p w14:paraId="63D352C6">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12</w:t>
            </w:r>
            <w:r>
              <w:rPr>
                <w:rFonts w:ascii="Times New Roman" w:hAnsi="Times New Roman" w:eastAsia="宋体" w:cs="Times New Roman"/>
                <w:color w:val="auto"/>
                <w:sz w:val="21"/>
                <w:szCs w:val="21"/>
              </w:rPr>
              <w:t>日</w:t>
            </w:r>
            <w:r>
              <w:rPr>
                <w:rFonts w:hint="eastAsia" w:ascii="Times New Roman" w:hAnsi="Times New Roman" w:eastAsia="宋体" w:cs="Times New Roman"/>
                <w:color w:val="auto"/>
                <w:sz w:val="21"/>
                <w:szCs w:val="21"/>
              </w:rPr>
              <w:t>13</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0</w:t>
            </w:r>
            <w:r>
              <w:rPr>
                <w:rFonts w:ascii="Times New Roman" w:hAnsi="Times New Roman" w:eastAsia="宋体" w:cs="Times New Roman"/>
                <w:color w:val="auto"/>
                <w:sz w:val="21"/>
                <w:szCs w:val="21"/>
              </w:rPr>
              <w:t>0</w:t>
            </w:r>
          </w:p>
        </w:tc>
        <w:tc>
          <w:tcPr>
            <w:tcW w:w="2486" w:type="dxa"/>
            <w:vAlign w:val="center"/>
          </w:tcPr>
          <w:p w14:paraId="261AA860">
            <w:pPr>
              <w:pStyle w:val="27"/>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未按时完成网上应答或未按时上传电子响应文件的，视为无效响应。</w:t>
            </w:r>
          </w:p>
        </w:tc>
      </w:tr>
      <w:tr w14:paraId="3D36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616DA740">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1759" w:type="dxa"/>
            <w:vAlign w:val="center"/>
          </w:tcPr>
          <w:p w14:paraId="07B851E3">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第一阶段解密</w:t>
            </w:r>
          </w:p>
        </w:tc>
        <w:tc>
          <w:tcPr>
            <w:tcW w:w="2073" w:type="dxa"/>
            <w:vAlign w:val="center"/>
          </w:tcPr>
          <w:p w14:paraId="035B3847">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12</w:t>
            </w:r>
            <w:r>
              <w:rPr>
                <w:rFonts w:ascii="Times New Roman" w:hAnsi="Times New Roman" w:eastAsia="宋体" w:cs="Times New Roman"/>
                <w:color w:val="auto"/>
                <w:sz w:val="21"/>
                <w:szCs w:val="21"/>
              </w:rPr>
              <w:t>日</w:t>
            </w:r>
            <w:r>
              <w:rPr>
                <w:rFonts w:hint="eastAsia" w:ascii="Times New Roman" w:hAnsi="Times New Roman" w:eastAsia="宋体" w:cs="Times New Roman"/>
                <w:color w:val="auto"/>
                <w:sz w:val="21"/>
                <w:szCs w:val="21"/>
              </w:rPr>
              <w:t>13</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0</w:t>
            </w:r>
            <w:r>
              <w:rPr>
                <w:rFonts w:ascii="Times New Roman" w:hAnsi="Times New Roman" w:eastAsia="宋体" w:cs="Times New Roman"/>
                <w:color w:val="auto"/>
                <w:sz w:val="21"/>
                <w:szCs w:val="21"/>
              </w:rPr>
              <w:t>0</w:t>
            </w:r>
          </w:p>
        </w:tc>
        <w:tc>
          <w:tcPr>
            <w:tcW w:w="2037" w:type="dxa"/>
            <w:vAlign w:val="center"/>
          </w:tcPr>
          <w:p w14:paraId="0C897829">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12</w:t>
            </w:r>
            <w:r>
              <w:rPr>
                <w:rFonts w:ascii="Times New Roman" w:hAnsi="Times New Roman" w:eastAsia="宋体" w:cs="Times New Roman"/>
                <w:color w:val="auto"/>
                <w:sz w:val="21"/>
                <w:szCs w:val="21"/>
              </w:rPr>
              <w:t>日</w:t>
            </w:r>
            <w:r>
              <w:rPr>
                <w:rFonts w:hint="eastAsia" w:ascii="Times New Roman" w:hAnsi="Times New Roman" w:eastAsia="宋体" w:cs="Times New Roman"/>
                <w:color w:val="auto"/>
                <w:sz w:val="21"/>
                <w:szCs w:val="21"/>
              </w:rPr>
              <w:t>14</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0</w:t>
            </w:r>
            <w:r>
              <w:rPr>
                <w:rFonts w:ascii="Times New Roman" w:hAnsi="Times New Roman" w:eastAsia="宋体" w:cs="Times New Roman"/>
                <w:color w:val="auto"/>
                <w:sz w:val="21"/>
                <w:szCs w:val="21"/>
              </w:rPr>
              <w:t>0</w:t>
            </w:r>
          </w:p>
        </w:tc>
        <w:tc>
          <w:tcPr>
            <w:tcW w:w="2486" w:type="dxa"/>
            <w:vAlign w:val="center"/>
          </w:tcPr>
          <w:p w14:paraId="0822244E">
            <w:pPr>
              <w:pStyle w:val="27"/>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未按时完成第一阶段解密的，视为无效响应。</w:t>
            </w:r>
          </w:p>
        </w:tc>
      </w:tr>
      <w:tr w14:paraId="6F73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9351B66">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1759" w:type="dxa"/>
            <w:vAlign w:val="center"/>
          </w:tcPr>
          <w:p w14:paraId="40E49C7C">
            <w:pPr>
              <w:pStyle w:val="27"/>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第二阶段解密</w:t>
            </w:r>
          </w:p>
        </w:tc>
        <w:tc>
          <w:tcPr>
            <w:tcW w:w="6596" w:type="dxa"/>
            <w:gridSpan w:val="3"/>
            <w:vAlign w:val="center"/>
          </w:tcPr>
          <w:p w14:paraId="067FA262">
            <w:pPr>
              <w:pStyle w:val="27"/>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通过第一阶段谈判的供应商在谈判小组要求的时间内（一般是谈判当日电话通知）完成第二阶段解密，否则视为放弃谈判。</w:t>
            </w:r>
          </w:p>
        </w:tc>
      </w:tr>
    </w:tbl>
    <w:p w14:paraId="1B4CDC15">
      <w:pPr>
        <w:pStyle w:val="27"/>
        <w:adjustRightInd/>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（二）参与本项目的方式要求</w:t>
      </w:r>
    </w:p>
    <w:p w14:paraId="1B2173DC">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供应商注册、CA数字证书（USBKey）领取、电子签章办理办法：</w:t>
      </w:r>
    </w:p>
    <w:p w14:paraId="60AED33E">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天津市政府采购中心网注册：登录天津市政府采购中心网（http://tjgpc.zwfwb.tj.gov.cn）首页点击“用户注册维护”，填写相关内容。天津市政府采购中心注册窗口联系电话：022-24538167。</w:t>
      </w:r>
    </w:p>
    <w:p w14:paraId="22AA99C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CA数字证书（USBKey）领取及电子签章办理：参见天津市政府采购中心网（http://tjgpc.zwfwb.tj.gov.cn）--服务指南--供应商注册、领取CA数字证书（USBKey）及电子签章制章的流程。</w:t>
      </w:r>
    </w:p>
    <w:p w14:paraId="300678F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CA数字证书办理联系电话：400-0566-110或022-24538059。</w:t>
      </w:r>
    </w:p>
    <w:p w14:paraId="0E21BC89">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电子签章办理联系电话：022-24538059。</w:t>
      </w:r>
    </w:p>
    <w:p w14:paraId="32DA053D">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获取竞争性谈判文件的方式</w:t>
      </w:r>
    </w:p>
    <w:p w14:paraId="4F13DF5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获取电子竞争性谈判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19"/>
          <w:rFonts w:ascii="Times New Roman" w:hAnsi="Times New Roman" w:eastAsia="宋体" w:cs="Times New Roman"/>
        </w:rPr>
        <w:t>http://tjgpc.zwfwb.tj.gov.cn</w:t>
      </w:r>
      <w:r>
        <w:rPr>
          <w:rStyle w:val="19"/>
          <w:rFonts w:ascii="Times New Roman" w:hAnsi="Times New Roman" w:eastAsia="宋体" w:cs="Times New Roman"/>
        </w:rPr>
        <w:fldChar w:fldCharType="end"/>
      </w:r>
      <w:r>
        <w:rPr>
          <w:rFonts w:ascii="Times New Roman" w:hAnsi="Times New Roman" w:eastAsia="宋体" w:cs="Times New Roman"/>
          <w:color w:val="auto"/>
        </w:rPr>
        <w:t>）-”网上招投标”-“供应商登录”-“市级集采机构入口”下载竞争性谈判文件。</w:t>
      </w:r>
    </w:p>
    <w:p w14:paraId="64D49F5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网上应答（上传电子响应文件）方式</w:t>
      </w:r>
    </w:p>
    <w:p w14:paraId="670A13BD">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第一、第二阶段电子响应文件（以通过天津公共资源电子签章客户端正确读取签章信息为准），否则视为无效响应。</w:t>
      </w:r>
    </w:p>
    <w:p w14:paraId="6CF1BEDE">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3955D577">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 解密方式</w:t>
      </w:r>
    </w:p>
    <w:p w14:paraId="0772CE2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4C7C2957">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 谈判地点</w:t>
      </w:r>
    </w:p>
    <w:p w14:paraId="3645E032">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第一阶段解密后，</w:t>
      </w:r>
      <w:r>
        <w:rPr>
          <w:rFonts w:hint="eastAsia" w:ascii="Times New Roman" w:hAnsi="Times New Roman" w:eastAsia="宋体" w:cs="Times New Roman"/>
          <w:color w:val="auto"/>
        </w:rPr>
        <w:t>授权代表</w:t>
      </w:r>
      <w:r>
        <w:rPr>
          <w:rFonts w:ascii="Times New Roman" w:hAnsi="Times New Roman" w:eastAsia="宋体" w:cs="Times New Roman"/>
          <w:color w:val="auto"/>
        </w:rPr>
        <w:t>须于天津市河东区红星路79号二楼天津市政府采购中心评审现场或天津市政府采购中心网（网址：http://tjgpc.zwfwb.tj.gov.cn）等候谈判。</w:t>
      </w:r>
    </w:p>
    <w:p w14:paraId="01BCDF86">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供应商应按以上步骤顺序、时间及方式要求参与本项目，否则视为不参与本项目。</w:t>
      </w:r>
    </w:p>
    <w:p w14:paraId="3A3F31D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六、现场考察、标前答疑会</w:t>
      </w:r>
    </w:p>
    <w:p w14:paraId="580D2444">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7DA0EBE2">
      <w:pPr>
        <w:pStyle w:val="2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32583AF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七、采购代理机构信息</w:t>
      </w:r>
    </w:p>
    <w:p w14:paraId="792B450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53684E6F">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（二）采购代理机构地址：天津市河东区红星路79号二楼（邮编：300161）</w:t>
      </w:r>
    </w:p>
    <w:p w14:paraId="6E7CBA3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（三）联系人：</w:t>
      </w:r>
      <w:r>
        <w:rPr>
          <w:rFonts w:hint="eastAsia" w:ascii="Times New Roman" w:hAnsi="Times New Roman" w:eastAsia="宋体" w:cs="Times New Roman"/>
          <w:color w:val="auto"/>
        </w:rPr>
        <w:t>李楠、张艳</w:t>
      </w:r>
    </w:p>
    <w:p w14:paraId="66C643E1">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740BDD50">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（五）对外办公时间：法定工作日9:00～12:00，14:00～17:00</w:t>
      </w:r>
    </w:p>
    <w:p w14:paraId="46ABD91D">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2E3E157B">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供应商注册咨询：022-24538167</w:t>
      </w:r>
    </w:p>
    <w:p w14:paraId="26913B0E">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CA证书和电子签章办理咨询：022-24538059</w:t>
      </w:r>
    </w:p>
    <w:p w14:paraId="7B937ABC">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采购文件咨询：022-2453</w:t>
      </w:r>
      <w:r>
        <w:rPr>
          <w:rFonts w:hint="eastAsia" w:ascii="Times New Roman" w:hAnsi="Times New Roman" w:eastAsia="宋体" w:cs="Times New Roman"/>
          <w:color w:val="auto"/>
        </w:rPr>
        <w:t>8176</w:t>
      </w:r>
    </w:p>
    <w:p w14:paraId="1C711AB8">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网上应答及解密操作咨询：022-24538309</w:t>
      </w:r>
    </w:p>
    <w:p w14:paraId="4B3A08C5">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八、采购人信息</w:t>
      </w:r>
    </w:p>
    <w:p w14:paraId="68CB986F">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天津自然博物馆</w:t>
      </w:r>
    </w:p>
    <w:p w14:paraId="63AE3BC9">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天津市河西区友谊路31号</w:t>
      </w:r>
    </w:p>
    <w:p w14:paraId="7B8C41BD">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程超</w:t>
      </w:r>
    </w:p>
    <w:p w14:paraId="0411028E">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（四）采购人联系电话：022-83881990</w:t>
      </w:r>
    </w:p>
    <w:p w14:paraId="67D9570D">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九、质疑方式</w:t>
      </w:r>
    </w:p>
    <w:p w14:paraId="620736BA">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（一）供应商认为采购文件、采购过程和采购结果使自己的权益受到损害的，可以在知道或者应知其权益受到损害之日起七个工作日内，按照本项目采购文件第三部分《供应商须知》“8. 询问与质疑”的相关规定，以书面原件形式针对同一采购程序环节一次性提出质疑，否则不予受理。</w:t>
      </w:r>
    </w:p>
    <w:p w14:paraId="57EE81B1">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采购人质疑受理：</w:t>
      </w:r>
    </w:p>
    <w:p w14:paraId="1A217859">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联系部门：天津自然博物馆</w:t>
      </w:r>
    </w:p>
    <w:p w14:paraId="1DD854A5">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联系地址：天津市河西区友谊路31号</w:t>
      </w:r>
    </w:p>
    <w:p w14:paraId="2EA5BE09">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人：李万刚</w:t>
      </w:r>
    </w:p>
    <w:p w14:paraId="2F1D2120">
      <w:pPr>
        <w:pStyle w:val="2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ascii="Times New Roman" w:hAnsi="Times New Roman" w:eastAsia="宋体" w:cs="Times New Roman"/>
          <w:color w:val="auto"/>
        </w:rPr>
        <w:t>022-83881990</w:t>
      </w:r>
    </w:p>
    <w:p w14:paraId="46B62367">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5EE4606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53A0959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谈判公告的公告期限为3个工作日。</w:t>
      </w:r>
    </w:p>
    <w:p w14:paraId="368EE8D2">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十一、招标代理服务费</w:t>
      </w:r>
    </w:p>
    <w:p w14:paraId="7FA787F4">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w:t>
      </w:r>
      <w:r>
        <w:rPr>
          <w:rFonts w:hint="eastAsia"/>
          <w:color w:val="auto"/>
        </w:rPr>
        <w:t>成交</w:t>
      </w:r>
      <w:r>
        <w:rPr>
          <w:rFonts w:ascii="Times New Roman" w:hAnsi="Times New Roman" w:eastAsia="宋体" w:cs="Times New Roman"/>
          <w:color w:val="auto"/>
        </w:rPr>
        <w:t>供应商收取招标代理服务费：</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2AF9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4835BE10">
            <w:pPr>
              <w:tabs>
                <w:tab w:val="left" w:pos="750"/>
                <w:tab w:val="left" w:pos="840"/>
              </w:tabs>
              <w:adjustRightInd w:val="0"/>
              <w:snapToGrid w:val="0"/>
              <w:jc w:val="center"/>
              <w:rPr>
                <w:sz w:val="24"/>
              </w:rPr>
            </w:pPr>
            <w:r>
              <w:rPr>
                <w:sz w:val="24"/>
              </w:rPr>
              <w:t>成交金额（万元）</w:t>
            </w:r>
          </w:p>
        </w:tc>
        <w:tc>
          <w:tcPr>
            <w:tcW w:w="3657" w:type="dxa"/>
            <w:vAlign w:val="center"/>
          </w:tcPr>
          <w:p w14:paraId="27C59A97">
            <w:pPr>
              <w:tabs>
                <w:tab w:val="left" w:pos="750"/>
                <w:tab w:val="left" w:pos="840"/>
              </w:tabs>
              <w:adjustRightInd w:val="0"/>
              <w:snapToGrid w:val="0"/>
              <w:jc w:val="center"/>
              <w:rPr>
                <w:sz w:val="24"/>
              </w:rPr>
            </w:pPr>
            <w:r>
              <w:rPr>
                <w:sz w:val="24"/>
              </w:rPr>
              <w:t>费率</w:t>
            </w:r>
          </w:p>
        </w:tc>
      </w:tr>
      <w:tr w14:paraId="1CFF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849E648">
            <w:pPr>
              <w:tabs>
                <w:tab w:val="left" w:pos="750"/>
                <w:tab w:val="left" w:pos="840"/>
              </w:tabs>
              <w:adjustRightInd w:val="0"/>
              <w:snapToGrid w:val="0"/>
              <w:jc w:val="center"/>
              <w:rPr>
                <w:sz w:val="24"/>
              </w:rPr>
            </w:pPr>
            <w:r>
              <w:rPr>
                <w:sz w:val="24"/>
              </w:rPr>
              <w:t>100以下</w:t>
            </w:r>
          </w:p>
        </w:tc>
        <w:tc>
          <w:tcPr>
            <w:tcW w:w="3657" w:type="dxa"/>
            <w:vAlign w:val="center"/>
          </w:tcPr>
          <w:p w14:paraId="78414484">
            <w:pPr>
              <w:tabs>
                <w:tab w:val="left" w:pos="750"/>
                <w:tab w:val="left" w:pos="840"/>
              </w:tabs>
              <w:adjustRightInd w:val="0"/>
              <w:snapToGrid w:val="0"/>
              <w:jc w:val="center"/>
              <w:rPr>
                <w:sz w:val="24"/>
              </w:rPr>
            </w:pPr>
            <w:r>
              <w:rPr>
                <w:sz w:val="24"/>
              </w:rPr>
              <w:t>1%</w:t>
            </w:r>
          </w:p>
        </w:tc>
      </w:tr>
      <w:tr w14:paraId="4886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F1DDE71">
            <w:pPr>
              <w:tabs>
                <w:tab w:val="left" w:pos="750"/>
                <w:tab w:val="left" w:pos="840"/>
              </w:tabs>
              <w:adjustRightInd w:val="0"/>
              <w:snapToGrid w:val="0"/>
              <w:jc w:val="center"/>
              <w:rPr>
                <w:sz w:val="24"/>
              </w:rPr>
            </w:pPr>
            <w:r>
              <w:rPr>
                <w:sz w:val="24"/>
              </w:rPr>
              <w:t>100-500</w:t>
            </w:r>
          </w:p>
        </w:tc>
        <w:tc>
          <w:tcPr>
            <w:tcW w:w="3657" w:type="dxa"/>
            <w:vAlign w:val="center"/>
          </w:tcPr>
          <w:p w14:paraId="382A067F">
            <w:pPr>
              <w:tabs>
                <w:tab w:val="left" w:pos="750"/>
                <w:tab w:val="left" w:pos="840"/>
              </w:tabs>
              <w:adjustRightInd w:val="0"/>
              <w:snapToGrid w:val="0"/>
              <w:jc w:val="center"/>
              <w:rPr>
                <w:sz w:val="24"/>
              </w:rPr>
            </w:pPr>
            <w:r>
              <w:rPr>
                <w:sz w:val="24"/>
              </w:rPr>
              <w:t>0.8%</w:t>
            </w:r>
          </w:p>
        </w:tc>
      </w:tr>
      <w:tr w14:paraId="6B02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E9CE546">
            <w:pPr>
              <w:tabs>
                <w:tab w:val="left" w:pos="750"/>
                <w:tab w:val="left" w:pos="840"/>
              </w:tabs>
              <w:adjustRightInd w:val="0"/>
              <w:snapToGrid w:val="0"/>
              <w:jc w:val="center"/>
              <w:rPr>
                <w:sz w:val="24"/>
              </w:rPr>
            </w:pPr>
            <w:r>
              <w:rPr>
                <w:sz w:val="24"/>
              </w:rPr>
              <w:t>500-1000</w:t>
            </w:r>
          </w:p>
        </w:tc>
        <w:tc>
          <w:tcPr>
            <w:tcW w:w="3657" w:type="dxa"/>
            <w:vAlign w:val="center"/>
          </w:tcPr>
          <w:p w14:paraId="3A69B200">
            <w:pPr>
              <w:tabs>
                <w:tab w:val="left" w:pos="750"/>
                <w:tab w:val="left" w:pos="840"/>
              </w:tabs>
              <w:adjustRightInd w:val="0"/>
              <w:snapToGrid w:val="0"/>
              <w:jc w:val="center"/>
              <w:rPr>
                <w:sz w:val="24"/>
              </w:rPr>
            </w:pPr>
            <w:r>
              <w:rPr>
                <w:sz w:val="24"/>
              </w:rPr>
              <w:t>0.45%</w:t>
            </w:r>
          </w:p>
        </w:tc>
      </w:tr>
      <w:tr w14:paraId="18A0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4868D58">
            <w:pPr>
              <w:tabs>
                <w:tab w:val="left" w:pos="750"/>
                <w:tab w:val="left" w:pos="840"/>
              </w:tabs>
              <w:adjustRightInd w:val="0"/>
              <w:snapToGrid w:val="0"/>
              <w:jc w:val="center"/>
              <w:rPr>
                <w:sz w:val="24"/>
              </w:rPr>
            </w:pPr>
            <w:r>
              <w:rPr>
                <w:sz w:val="24"/>
              </w:rPr>
              <w:t>1000-5000</w:t>
            </w:r>
          </w:p>
        </w:tc>
        <w:tc>
          <w:tcPr>
            <w:tcW w:w="3657" w:type="dxa"/>
            <w:vAlign w:val="center"/>
          </w:tcPr>
          <w:p w14:paraId="1C53576C">
            <w:pPr>
              <w:tabs>
                <w:tab w:val="left" w:pos="750"/>
                <w:tab w:val="left" w:pos="840"/>
              </w:tabs>
              <w:adjustRightInd w:val="0"/>
              <w:snapToGrid w:val="0"/>
              <w:jc w:val="center"/>
              <w:rPr>
                <w:sz w:val="24"/>
              </w:rPr>
            </w:pPr>
            <w:r>
              <w:rPr>
                <w:sz w:val="24"/>
              </w:rPr>
              <w:t>0.25%</w:t>
            </w:r>
          </w:p>
        </w:tc>
      </w:tr>
      <w:tr w14:paraId="35EC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BE9A937">
            <w:pPr>
              <w:tabs>
                <w:tab w:val="left" w:pos="750"/>
                <w:tab w:val="left" w:pos="840"/>
              </w:tabs>
              <w:adjustRightInd w:val="0"/>
              <w:snapToGrid w:val="0"/>
              <w:jc w:val="center"/>
              <w:rPr>
                <w:sz w:val="24"/>
              </w:rPr>
            </w:pPr>
            <w:r>
              <w:rPr>
                <w:sz w:val="24"/>
              </w:rPr>
              <w:t>5000-10000</w:t>
            </w:r>
          </w:p>
        </w:tc>
        <w:tc>
          <w:tcPr>
            <w:tcW w:w="3657" w:type="dxa"/>
            <w:vAlign w:val="center"/>
          </w:tcPr>
          <w:p w14:paraId="15110EF9">
            <w:pPr>
              <w:tabs>
                <w:tab w:val="left" w:pos="750"/>
                <w:tab w:val="left" w:pos="840"/>
              </w:tabs>
              <w:adjustRightInd w:val="0"/>
              <w:snapToGrid w:val="0"/>
              <w:jc w:val="center"/>
              <w:rPr>
                <w:sz w:val="24"/>
              </w:rPr>
            </w:pPr>
            <w:r>
              <w:rPr>
                <w:sz w:val="24"/>
              </w:rPr>
              <w:t>0.1%</w:t>
            </w:r>
          </w:p>
        </w:tc>
      </w:tr>
      <w:tr w14:paraId="2A9B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4A4F738">
            <w:pPr>
              <w:tabs>
                <w:tab w:val="left" w:pos="750"/>
                <w:tab w:val="left" w:pos="840"/>
              </w:tabs>
              <w:adjustRightInd w:val="0"/>
              <w:snapToGrid w:val="0"/>
              <w:jc w:val="center"/>
              <w:rPr>
                <w:sz w:val="24"/>
              </w:rPr>
            </w:pPr>
            <w:r>
              <w:rPr>
                <w:sz w:val="24"/>
              </w:rPr>
              <w:t>10000-100000</w:t>
            </w:r>
          </w:p>
        </w:tc>
        <w:tc>
          <w:tcPr>
            <w:tcW w:w="3657" w:type="dxa"/>
            <w:vAlign w:val="center"/>
          </w:tcPr>
          <w:p w14:paraId="090DE867">
            <w:pPr>
              <w:tabs>
                <w:tab w:val="left" w:pos="750"/>
                <w:tab w:val="left" w:pos="840"/>
              </w:tabs>
              <w:adjustRightInd w:val="0"/>
              <w:snapToGrid w:val="0"/>
              <w:jc w:val="center"/>
              <w:rPr>
                <w:sz w:val="24"/>
              </w:rPr>
            </w:pPr>
            <w:r>
              <w:rPr>
                <w:sz w:val="24"/>
              </w:rPr>
              <w:t>0.05%</w:t>
            </w:r>
          </w:p>
        </w:tc>
      </w:tr>
    </w:tbl>
    <w:p w14:paraId="2BB60C43">
      <w:pPr>
        <w:tabs>
          <w:tab w:val="left" w:pos="700"/>
        </w:tabs>
        <w:autoSpaceDE w:val="0"/>
        <w:autoSpaceDN w:val="0"/>
        <w:adjustRightInd w:val="0"/>
        <w:spacing w:line="360" w:lineRule="auto"/>
        <w:ind w:firstLine="448" w:firstLineChars="200"/>
        <w:rPr>
          <w:sz w:val="24"/>
          <w:lang w:val="zh-CN"/>
        </w:rPr>
      </w:pPr>
      <w:r>
        <w:rPr>
          <w:sz w:val="24"/>
          <w:lang w:val="zh-CN"/>
        </w:rPr>
        <w:t>服务费按差额定率累进法计算，向下取整，精确到元。例如</w:t>
      </w:r>
      <w:r>
        <w:rPr>
          <w:sz w:val="24"/>
        </w:rPr>
        <w:t>成交金额</w:t>
      </w:r>
      <w:r>
        <w:rPr>
          <w:sz w:val="24"/>
          <w:lang w:val="zh-CN"/>
        </w:rPr>
        <w:t>为6805000元，服务费=1000000×1%+（5000000-1000000）×0.8%+（6805000-5000000）×0.45%=50122.5元，服务费缴纳50122元。其中成交金额以《</w:t>
      </w:r>
      <w:r>
        <w:rPr>
          <w:rFonts w:hint="eastAsia"/>
          <w:sz w:val="24"/>
          <w:lang w:val="zh-CN"/>
        </w:rPr>
        <w:t>成交</w:t>
      </w:r>
      <w:r>
        <w:rPr>
          <w:sz w:val="24"/>
          <w:lang w:val="zh-CN"/>
        </w:rPr>
        <w:t>通知书》为准。</w:t>
      </w:r>
    </w:p>
    <w:p w14:paraId="5C88AA18">
      <w:pPr>
        <w:tabs>
          <w:tab w:val="left" w:pos="700"/>
        </w:tabs>
        <w:autoSpaceDE w:val="0"/>
        <w:autoSpaceDN w:val="0"/>
        <w:adjustRightInd w:val="0"/>
        <w:spacing w:line="360" w:lineRule="auto"/>
        <w:ind w:firstLine="448" w:firstLineChars="200"/>
        <w:rPr>
          <w:sz w:val="24"/>
          <w:szCs w:val="24"/>
          <w:lang w:val="zh-CN"/>
        </w:rPr>
      </w:pPr>
      <w:r>
        <w:rPr>
          <w:rFonts w:hint="eastAsia"/>
          <w:sz w:val="24"/>
          <w:szCs w:val="24"/>
        </w:rPr>
        <w:t>成交</w:t>
      </w:r>
      <w:r>
        <w:rPr>
          <w:sz w:val="24"/>
          <w:szCs w:val="24"/>
        </w:rPr>
        <w:t>供应商应于</w:t>
      </w:r>
      <w:r>
        <w:rPr>
          <w:rFonts w:hint="eastAsia"/>
          <w:sz w:val="24"/>
          <w:szCs w:val="24"/>
        </w:rPr>
        <w:t>成交</w:t>
      </w:r>
      <w:r>
        <w:rPr>
          <w:sz w:val="24"/>
          <w:szCs w:val="24"/>
        </w:rPr>
        <w:t>公告发布之日起5个工作日内缴纳</w:t>
      </w:r>
      <w:r>
        <w:rPr>
          <w:sz w:val="24"/>
          <w:szCs w:val="24"/>
          <w:lang w:val="zh-CN"/>
        </w:rPr>
        <w:t>招标代理服务费，缴费单位名称须与投标单位名称一致，缴费时请注明项目编号及</w:t>
      </w:r>
      <w:r>
        <w:rPr>
          <w:rFonts w:hint="eastAsia"/>
          <w:sz w:val="24"/>
          <w:szCs w:val="24"/>
        </w:rPr>
        <w:t>成交</w:t>
      </w:r>
      <w:r>
        <w:rPr>
          <w:sz w:val="24"/>
          <w:szCs w:val="24"/>
          <w:lang w:val="zh-CN"/>
        </w:rPr>
        <w:t>包号。</w:t>
      </w:r>
    </w:p>
    <w:p w14:paraId="320DBA49">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名        称：天津市公共资源交易中心</w:t>
      </w:r>
    </w:p>
    <w:p w14:paraId="7A0F2BFA">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开户行及账号：中国建设银行股份有限公司天津明华支行 </w:t>
      </w:r>
    </w:p>
    <w:p w14:paraId="136F4CDA">
      <w:pPr>
        <w:pStyle w:val="27"/>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554D9F46">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银行联行号：105110039436</w:t>
      </w:r>
    </w:p>
    <w:p w14:paraId="171A96BF">
      <w:pPr>
        <w:pStyle w:val="2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纳税人识别号：1212 0000 MB1E 44809C</w:t>
      </w:r>
    </w:p>
    <w:p w14:paraId="3CDE70CA">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地址：天津市河东区红星路79号</w:t>
      </w:r>
    </w:p>
    <w:p w14:paraId="55D8055C">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缴费及开票咨询电话：022-24532012</w:t>
      </w:r>
    </w:p>
    <w:p w14:paraId="02E6C0FF">
      <w:pPr>
        <w:pStyle w:val="27"/>
        <w:spacing w:line="360" w:lineRule="auto"/>
        <w:ind w:firstLine="448" w:firstLineChars="200"/>
        <w:jc w:val="both"/>
        <w:rPr>
          <w:rFonts w:ascii="Times New Roman" w:hAnsi="Times New Roman" w:eastAsia="宋体" w:cs="Times New Roman"/>
          <w:color w:val="FF0000"/>
        </w:rPr>
      </w:pPr>
    </w:p>
    <w:p w14:paraId="1E332AEF">
      <w:pPr>
        <w:pStyle w:val="27"/>
        <w:spacing w:line="360" w:lineRule="auto"/>
        <w:jc w:val="both"/>
        <w:rPr>
          <w:rFonts w:ascii="Times New Roman" w:hAnsi="Times New Roman" w:eastAsia="宋体" w:cs="Times New Roman"/>
          <w:color w:val="auto"/>
        </w:rPr>
      </w:pPr>
    </w:p>
    <w:p w14:paraId="1D0E0EE8">
      <w:pPr>
        <w:pStyle w:val="27"/>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rPr>
        <w:t>9</w:t>
      </w:r>
      <w:r>
        <w:rPr>
          <w:rFonts w:ascii="Times New Roman" w:hAnsi="Times New Roman" w:eastAsia="宋体" w:cs="Times New Roman"/>
          <w:color w:val="auto"/>
        </w:rPr>
        <w:t>月</w:t>
      </w:r>
      <w:r>
        <w:rPr>
          <w:rFonts w:hint="eastAsia" w:ascii="Times New Roman" w:hAnsi="Times New Roman" w:eastAsia="宋体" w:cs="Times New Roman"/>
          <w:color w:val="auto"/>
        </w:rPr>
        <w:t>30</w:t>
      </w:r>
      <w:r>
        <w:rPr>
          <w:rFonts w:ascii="Times New Roman" w:hAnsi="Times New Roman" w:eastAsia="宋体" w:cs="Times New Roman"/>
          <w:color w:val="auto"/>
        </w:rPr>
        <w:t>日</w:t>
      </w:r>
    </w:p>
    <w:p w14:paraId="697C8A91">
      <w:pPr>
        <w:pStyle w:val="27"/>
        <w:spacing w:line="360" w:lineRule="auto"/>
        <w:ind w:firstLine="6048" w:firstLineChars="2700"/>
        <w:jc w:val="both"/>
        <w:rPr>
          <w:rFonts w:ascii="Times New Roman" w:hAnsi="Times New Roman" w:eastAsia="宋体" w:cs="Times New Roman"/>
          <w:color w:val="auto"/>
          <w:kern w:val="2"/>
        </w:rPr>
      </w:pPr>
    </w:p>
    <w:p w14:paraId="6701328B">
      <w:pPr>
        <w:pStyle w:val="27"/>
        <w:spacing w:line="360" w:lineRule="auto"/>
        <w:jc w:val="both"/>
        <w:rPr>
          <w:rFonts w:ascii="Times New Roman" w:hAnsi="Times New Roman" w:eastAsia="宋体" w:cs="Times New Roman"/>
          <w:color w:val="auto"/>
          <w:kern w:val="2"/>
        </w:rPr>
      </w:pPr>
    </w:p>
    <w:p w14:paraId="52A70BBC">
      <w:pPr>
        <w:pStyle w:val="27"/>
        <w:spacing w:line="360" w:lineRule="auto"/>
        <w:jc w:val="both"/>
        <w:rPr>
          <w:rFonts w:ascii="Times New Roman" w:hAnsi="Times New Roman" w:eastAsia="宋体" w:cs="Times New Roman"/>
          <w:color w:val="auto"/>
          <w:kern w:val="2"/>
        </w:rPr>
      </w:pPr>
    </w:p>
    <w:p w14:paraId="3BF4CEA8">
      <w:pPr>
        <w:widowControl/>
        <w:jc w:val="left"/>
        <w:rPr>
          <w:sz w:val="24"/>
          <w:szCs w:val="24"/>
        </w:rPr>
      </w:pPr>
      <w:r>
        <w:br w:type="page"/>
      </w:r>
    </w:p>
    <w:p w14:paraId="4DDE4CA3">
      <w:pPr>
        <w:tabs>
          <w:tab w:val="left" w:pos="1260"/>
          <w:tab w:val="center" w:pos="4156"/>
        </w:tabs>
        <w:spacing w:line="360" w:lineRule="auto"/>
        <w:jc w:val="center"/>
        <w:outlineLvl w:val="0"/>
        <w:rPr>
          <w:b/>
          <w:sz w:val="24"/>
          <w:szCs w:val="24"/>
        </w:rPr>
      </w:pPr>
      <w:r>
        <w:rPr>
          <w:b/>
          <w:sz w:val="24"/>
          <w:szCs w:val="24"/>
        </w:rPr>
        <w:t>第二部分  谈判项目</w:t>
      </w:r>
      <w:r>
        <w:rPr>
          <w:rFonts w:hint="eastAsia"/>
          <w:b/>
          <w:sz w:val="24"/>
          <w:szCs w:val="24"/>
        </w:rPr>
        <w:t>需求</w:t>
      </w:r>
    </w:p>
    <w:p w14:paraId="1492795E">
      <w:pPr>
        <w:spacing w:line="360" w:lineRule="auto"/>
        <w:ind w:firstLine="448" w:firstLineChars="200"/>
        <w:rPr>
          <w:sz w:val="24"/>
        </w:rPr>
      </w:pPr>
      <w:r>
        <w:rPr>
          <w:rFonts w:hint="eastAsia"/>
          <w:sz w:val="24"/>
        </w:rPr>
        <w:t>加注“★”号条款为不允许偏离的实质性要求，经谈判小组判定任意一条加注“★”号的条款出现偏离，视为无效响应。</w:t>
      </w:r>
    </w:p>
    <w:p w14:paraId="3A7F74E5">
      <w:pPr>
        <w:widowControl/>
        <w:spacing w:line="360" w:lineRule="auto"/>
        <w:ind w:firstLine="448" w:firstLineChars="200"/>
        <w:jc w:val="left"/>
        <w:rPr>
          <w:sz w:val="24"/>
        </w:rPr>
      </w:pPr>
      <w:r>
        <w:rPr>
          <w:rFonts w:hint="eastAsia"/>
          <w:sz w:val="24"/>
        </w:rPr>
        <w:t>一、项目背景</w:t>
      </w:r>
    </w:p>
    <w:p w14:paraId="30C3AF18">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天津自然博物馆空调通风卫生检测服务，为全面改善室内空气质量，恢复空调新风系统最佳运行状态，延长设备使用寿命，特开展本次全区域空调新风系统深度清洗项目，确保系统运行安全、高效、环保。</w:t>
      </w:r>
    </w:p>
    <w:p w14:paraId="2CDD932B">
      <w:pPr>
        <w:autoSpaceDE w:val="0"/>
        <w:autoSpaceDN w:val="0"/>
        <w:adjustRightInd w:val="0"/>
        <w:spacing w:line="360" w:lineRule="auto"/>
        <w:ind w:firstLine="448" w:firstLineChars="200"/>
        <w:rPr>
          <w:bCs/>
          <w:sz w:val="24"/>
          <w:szCs w:val="24"/>
        </w:rPr>
      </w:pPr>
      <w:r>
        <w:rPr>
          <w:rFonts w:hint="eastAsia"/>
          <w:sz w:val="24"/>
          <w:szCs w:val="24"/>
        </w:rPr>
        <w:t>二</w:t>
      </w:r>
      <w:r>
        <w:rPr>
          <w:sz w:val="24"/>
          <w:szCs w:val="24"/>
        </w:rPr>
        <w:t>、</w:t>
      </w:r>
      <w:r>
        <w:rPr>
          <w:bCs/>
          <w:sz w:val="24"/>
          <w:szCs w:val="24"/>
        </w:rPr>
        <w:t>技术要求</w:t>
      </w:r>
    </w:p>
    <w:p w14:paraId="5656D4DD">
      <w:pPr>
        <w:autoSpaceDE w:val="0"/>
        <w:autoSpaceDN w:val="0"/>
        <w:adjustRightInd w:val="0"/>
        <w:spacing w:line="360" w:lineRule="auto"/>
        <w:ind w:firstLine="448" w:firstLineChars="200"/>
        <w:rPr>
          <w:bCs/>
          <w:sz w:val="24"/>
          <w:szCs w:val="24"/>
        </w:rPr>
      </w:pPr>
      <w:r>
        <w:rPr>
          <w:bCs/>
          <w:sz w:val="24"/>
          <w:szCs w:val="24"/>
        </w:rPr>
        <w:t>（一）</w:t>
      </w:r>
      <w:r>
        <w:rPr>
          <w:sz w:val="24"/>
        </w:rPr>
        <w:t>投标人须承诺所提供的服务、人员及设备符合相关强制性规定</w:t>
      </w:r>
      <w:r>
        <w:rPr>
          <w:bCs/>
          <w:sz w:val="24"/>
          <w:szCs w:val="24"/>
        </w:rPr>
        <w:t>。</w:t>
      </w:r>
      <w:r>
        <w:rPr>
          <w:rFonts w:hint="eastAsia"/>
          <w:sz w:val="24"/>
        </w:rPr>
        <w:t>验收时采购人有权要求投标人出具</w:t>
      </w:r>
      <w:r>
        <w:rPr>
          <w:sz w:val="24"/>
        </w:rPr>
        <w:t>所提供的服务、人员及设备</w:t>
      </w:r>
      <w:r>
        <w:rPr>
          <w:rFonts w:hint="eastAsia"/>
          <w:sz w:val="24"/>
        </w:rPr>
        <w:t>符合上述规定的证明文件。</w:t>
      </w:r>
    </w:p>
    <w:p w14:paraId="5BB38F16">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（二）具体要求</w:t>
      </w:r>
    </w:p>
    <w:p w14:paraId="1775E673">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详见项目需求书。</w:t>
      </w:r>
    </w:p>
    <w:p w14:paraId="5BC6D6CE">
      <w:pPr>
        <w:spacing w:line="360" w:lineRule="auto"/>
        <w:ind w:firstLine="448" w:firstLineChars="200"/>
        <w:rPr>
          <w:bCs/>
          <w:sz w:val="24"/>
          <w:szCs w:val="24"/>
        </w:rPr>
      </w:pPr>
      <w:r>
        <w:rPr>
          <w:rFonts w:hint="eastAsia"/>
          <w:bCs/>
          <w:sz w:val="24"/>
          <w:szCs w:val="24"/>
        </w:rPr>
        <w:t>三</w:t>
      </w:r>
      <w:r>
        <w:rPr>
          <w:bCs/>
          <w:sz w:val="24"/>
          <w:szCs w:val="24"/>
        </w:rPr>
        <w:t>、商务要求</w:t>
      </w:r>
    </w:p>
    <w:p w14:paraId="4C13A2BE">
      <w:pPr>
        <w:spacing w:line="360" w:lineRule="auto"/>
        <w:ind w:firstLine="448" w:firstLineChars="200"/>
        <w:rPr>
          <w:sz w:val="24"/>
          <w:szCs w:val="24"/>
        </w:rPr>
      </w:pPr>
      <w:r>
        <w:rPr>
          <w:sz w:val="24"/>
          <w:szCs w:val="24"/>
        </w:rPr>
        <w:t>（一）报价要求</w:t>
      </w:r>
    </w:p>
    <w:p w14:paraId="636A0D9B">
      <w:pPr>
        <w:spacing w:line="360" w:lineRule="auto"/>
        <w:ind w:firstLine="448" w:firstLineChars="200"/>
        <w:rPr>
          <w:sz w:val="24"/>
          <w:szCs w:val="24"/>
        </w:rPr>
      </w:pPr>
      <w:r>
        <w:rPr>
          <w:sz w:val="24"/>
          <w:szCs w:val="24"/>
        </w:rPr>
        <w:t>1. 投标报价以人民币填列。</w:t>
      </w:r>
    </w:p>
    <w:p w14:paraId="391C608D">
      <w:pPr>
        <w:spacing w:line="360" w:lineRule="auto"/>
        <w:ind w:firstLine="448" w:firstLineChars="200"/>
        <w:rPr>
          <w:sz w:val="24"/>
          <w:szCs w:val="24"/>
        </w:rPr>
      </w:pPr>
      <w:r>
        <w:rPr>
          <w:sz w:val="24"/>
          <w:szCs w:val="24"/>
        </w:rPr>
        <w:t>2. 投标人的报价应包括：</w:t>
      </w:r>
      <w:r>
        <w:rPr>
          <w:rFonts w:hint="eastAsia"/>
          <w:sz w:val="24"/>
        </w:rPr>
        <w:t>人员费用、服务费用、设备费用、材料费用、交通费用、保险及税金</w:t>
      </w:r>
      <w:r>
        <w:rPr>
          <w:sz w:val="24"/>
        </w:rPr>
        <w:t>等为完成竞争性谈判文件规定的一切工作所需的全部费用。</w:t>
      </w:r>
    </w:p>
    <w:p w14:paraId="3D9BD64B">
      <w:pPr>
        <w:spacing w:line="360" w:lineRule="auto"/>
        <w:ind w:firstLine="448" w:firstLineChars="200"/>
        <w:rPr>
          <w:sz w:val="24"/>
          <w:szCs w:val="24"/>
        </w:rPr>
      </w:pPr>
      <w:r>
        <w:rPr>
          <w:sz w:val="24"/>
          <w:szCs w:val="24"/>
        </w:rPr>
        <w:t>3. 验收相关费用由投标人负责。</w:t>
      </w:r>
    </w:p>
    <w:p w14:paraId="76ACBA04">
      <w:pPr>
        <w:spacing w:line="360" w:lineRule="auto"/>
        <w:ind w:firstLine="448" w:firstLineChars="200"/>
        <w:rPr>
          <w:sz w:val="24"/>
          <w:szCs w:val="24"/>
        </w:rPr>
      </w:pPr>
      <w:r>
        <w:rPr>
          <w:sz w:val="24"/>
          <w:szCs w:val="24"/>
        </w:rPr>
        <w:t>（二）时间、地点要求</w:t>
      </w:r>
    </w:p>
    <w:p w14:paraId="779E62CE">
      <w:pPr>
        <w:spacing w:line="360" w:lineRule="auto"/>
        <w:ind w:firstLine="448" w:firstLineChars="200"/>
        <w:rPr>
          <w:sz w:val="24"/>
        </w:rPr>
      </w:pPr>
      <w:r>
        <w:rPr>
          <w:sz w:val="24"/>
          <w:szCs w:val="24"/>
        </w:rPr>
        <w:t>1.时间要求：</w:t>
      </w:r>
      <w:r>
        <w:rPr>
          <w:rFonts w:hint="eastAsia"/>
          <w:sz w:val="24"/>
        </w:rPr>
        <w:t>自合同签订之日起30天内完成</w:t>
      </w:r>
      <w:r>
        <w:rPr>
          <w:sz w:val="24"/>
        </w:rPr>
        <w:t>（特殊情况以合同为准）。</w:t>
      </w:r>
    </w:p>
    <w:p w14:paraId="5043A2C3">
      <w:pPr>
        <w:spacing w:line="360" w:lineRule="auto"/>
        <w:ind w:firstLine="448" w:firstLineChars="200"/>
        <w:rPr>
          <w:sz w:val="24"/>
          <w:szCs w:val="24"/>
        </w:rPr>
      </w:pPr>
      <w:r>
        <w:rPr>
          <w:sz w:val="24"/>
          <w:szCs w:val="24"/>
        </w:rPr>
        <w:t>2. 实施地点：</w:t>
      </w:r>
      <w:r>
        <w:rPr>
          <w:rFonts w:hint="eastAsia"/>
          <w:sz w:val="24"/>
          <w:szCs w:val="24"/>
        </w:rPr>
        <w:t>天津市河西区友谊路31号、天津市河西区马场道117号</w:t>
      </w:r>
      <w:r>
        <w:rPr>
          <w:sz w:val="24"/>
        </w:rPr>
        <w:t>（特殊情况以合同为准）。</w:t>
      </w:r>
    </w:p>
    <w:p w14:paraId="0D76AD2F">
      <w:pPr>
        <w:spacing w:line="360" w:lineRule="auto"/>
        <w:ind w:firstLine="448" w:firstLineChars="200"/>
        <w:rPr>
          <w:sz w:val="24"/>
          <w:szCs w:val="24"/>
        </w:rPr>
      </w:pPr>
      <w:r>
        <w:rPr>
          <w:sz w:val="24"/>
          <w:szCs w:val="24"/>
        </w:rPr>
        <w:t>（三）付款方式</w:t>
      </w:r>
    </w:p>
    <w:p w14:paraId="4260E90A">
      <w:pPr>
        <w:spacing w:line="360" w:lineRule="auto"/>
        <w:ind w:firstLine="448" w:firstLineChars="200"/>
        <w:rPr>
          <w:sz w:val="24"/>
          <w:szCs w:val="24"/>
        </w:rPr>
      </w:pPr>
      <w:r>
        <w:rPr>
          <w:rFonts w:hint="eastAsia"/>
          <w:sz w:val="24"/>
          <w:szCs w:val="24"/>
        </w:rPr>
        <w:t>全部工作完成并验收合格后14日内支付合同总额的100%</w:t>
      </w:r>
      <w:r>
        <w:rPr>
          <w:sz w:val="24"/>
          <w:szCs w:val="24"/>
        </w:rPr>
        <w:t>（特殊情况以合同为准）。</w:t>
      </w:r>
    </w:p>
    <w:p w14:paraId="637D05EB">
      <w:pPr>
        <w:spacing w:line="360" w:lineRule="auto"/>
        <w:ind w:firstLine="448" w:firstLineChars="200"/>
        <w:rPr>
          <w:sz w:val="24"/>
          <w:szCs w:val="24"/>
        </w:rPr>
      </w:pPr>
      <w:r>
        <w:rPr>
          <w:sz w:val="24"/>
          <w:szCs w:val="24"/>
        </w:rPr>
        <w:t>（</w:t>
      </w:r>
      <w:r>
        <w:rPr>
          <w:rFonts w:hint="eastAsia"/>
          <w:sz w:val="24"/>
          <w:szCs w:val="24"/>
        </w:rPr>
        <w:t>四</w:t>
      </w:r>
      <w:r>
        <w:rPr>
          <w:sz w:val="24"/>
          <w:szCs w:val="24"/>
        </w:rPr>
        <w:t>）投标保证金和履约保证金</w:t>
      </w:r>
    </w:p>
    <w:p w14:paraId="6BD74137">
      <w:pPr>
        <w:spacing w:line="360" w:lineRule="auto"/>
        <w:ind w:firstLine="448" w:firstLineChars="200"/>
        <w:rPr>
          <w:sz w:val="24"/>
          <w:szCs w:val="24"/>
        </w:rPr>
      </w:pPr>
      <w:r>
        <w:rPr>
          <w:sz w:val="24"/>
          <w:szCs w:val="24"/>
        </w:rPr>
        <w:t>本项目不收取投标保证金和履约保证金。</w:t>
      </w:r>
    </w:p>
    <w:p w14:paraId="594E31DD">
      <w:pPr>
        <w:spacing w:line="360" w:lineRule="auto"/>
        <w:ind w:firstLine="448" w:firstLineChars="200"/>
        <w:outlineLvl w:val="0"/>
        <w:rPr>
          <w:sz w:val="24"/>
        </w:rPr>
      </w:pPr>
      <w:r>
        <w:rPr>
          <w:rFonts w:hint="eastAsia"/>
          <w:sz w:val="24"/>
        </w:rPr>
        <w:t>四</w:t>
      </w:r>
      <w:r>
        <w:rPr>
          <w:sz w:val="24"/>
        </w:rPr>
        <w:t>、评审方法</w:t>
      </w:r>
    </w:p>
    <w:p w14:paraId="552D6C35">
      <w:pPr>
        <w:pStyle w:val="2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采用“最低评标价法”的评审方法，即全部满足竞争性谈判文件实质性要求，且符合采购需求、质量和服务相等的前提下，按照最终报价由低到高的顺序提出3名以上成交候选人，采购人</w:t>
      </w:r>
      <w:r>
        <w:rPr>
          <w:rFonts w:hint="eastAsia" w:ascii="Times New Roman" w:hAnsi="Times New Roman" w:eastAsia="宋体" w:cs="Times New Roman"/>
          <w:color w:val="auto"/>
        </w:rPr>
        <w:t>或谈判小组经采购人授权后</w:t>
      </w:r>
      <w:r>
        <w:rPr>
          <w:rFonts w:ascii="Times New Roman" w:hAnsi="Times New Roman" w:eastAsia="宋体" w:cs="Times New Roman"/>
          <w:color w:val="auto"/>
        </w:rPr>
        <w:t>按成交候选供应商顺序确定成交供应商。</w:t>
      </w:r>
    </w:p>
    <w:p w14:paraId="38B0A594">
      <w:pPr>
        <w:spacing w:line="360" w:lineRule="auto"/>
        <w:jc w:val="center"/>
        <w:rPr>
          <w:sz w:val="24"/>
          <w:szCs w:val="24"/>
        </w:rPr>
      </w:pPr>
      <w:r>
        <w:rPr>
          <w:color w:val="FF0000"/>
          <w:sz w:val="24"/>
          <w:szCs w:val="24"/>
        </w:rPr>
        <w:br w:type="page"/>
      </w:r>
      <w:r>
        <w:rPr>
          <w:sz w:val="24"/>
          <w:szCs w:val="24"/>
        </w:rPr>
        <w:t>项目需求书</w:t>
      </w:r>
    </w:p>
    <w:p w14:paraId="2B8A24E4">
      <w:pPr>
        <w:spacing w:line="360" w:lineRule="auto"/>
        <w:ind w:firstLine="448" w:firstLineChars="200"/>
        <w:jc w:val="left"/>
        <w:outlineLvl w:val="0"/>
        <w:rPr>
          <w:sz w:val="24"/>
        </w:rPr>
      </w:pPr>
      <w:r>
        <w:rPr>
          <w:rFonts w:hint="eastAsia"/>
          <w:sz w:val="24"/>
        </w:rPr>
        <w:t>（一）项目目标</w:t>
      </w:r>
    </w:p>
    <w:p w14:paraId="3B7A011F">
      <w:pPr>
        <w:spacing w:line="360" w:lineRule="auto"/>
        <w:ind w:firstLine="448" w:firstLineChars="200"/>
        <w:jc w:val="left"/>
        <w:outlineLvl w:val="0"/>
        <w:rPr>
          <w:sz w:val="24"/>
        </w:rPr>
      </w:pPr>
      <w:r>
        <w:rPr>
          <w:rFonts w:hint="eastAsia"/>
          <w:sz w:val="24"/>
        </w:rPr>
        <w:t>①彻底清除空调新风系统全设备、各部件污垢、微生物及杂物，使室内空气质量符合《室内空气质量标准》（GB/T 18883-2022），出风口无异味，细菌总数、霉菌总数、PM2.5等核心指标达标。</w:t>
      </w:r>
    </w:p>
    <w:p w14:paraId="33B68150">
      <w:pPr>
        <w:spacing w:line="360" w:lineRule="auto"/>
        <w:ind w:firstLine="448" w:firstLineChars="200"/>
        <w:jc w:val="left"/>
        <w:outlineLvl w:val="0"/>
        <w:rPr>
          <w:sz w:val="24"/>
        </w:rPr>
      </w:pPr>
      <w:r>
        <w:rPr>
          <w:rFonts w:hint="eastAsia"/>
          <w:sz w:val="24"/>
        </w:rPr>
        <w:t>②全面恢复风机盘管、主风机、风箱、空调机组的换热、通风性能，降低运行噪音与能耗，减少设备故障发生率，延长设备使用寿命。</w:t>
      </w:r>
    </w:p>
    <w:p w14:paraId="47F844FF">
      <w:pPr>
        <w:spacing w:line="360" w:lineRule="auto"/>
        <w:ind w:firstLine="448" w:firstLineChars="200"/>
        <w:jc w:val="left"/>
        <w:outlineLvl w:val="0"/>
        <w:rPr>
          <w:sz w:val="24"/>
        </w:rPr>
      </w:pPr>
      <w:r>
        <w:rPr>
          <w:rFonts w:hint="eastAsia"/>
          <w:sz w:val="24"/>
        </w:rPr>
        <w:t>③规范施工流程，采用环保、安全的清洗工艺，全程无二次污染，施工期间不影响区域内正常办公、就餐及运营秩序。</w:t>
      </w:r>
    </w:p>
    <w:p w14:paraId="2019A8D9">
      <w:pPr>
        <w:spacing w:line="360" w:lineRule="auto"/>
        <w:ind w:firstLine="448" w:firstLineChars="200"/>
        <w:jc w:val="left"/>
        <w:outlineLvl w:val="0"/>
        <w:rPr>
          <w:sz w:val="24"/>
        </w:rPr>
      </w:pPr>
      <w:r>
        <w:rPr>
          <w:rFonts w:hint="eastAsia"/>
          <w:sz w:val="24"/>
        </w:rPr>
        <w:t>④完成清洗后出具完整检测报告与清洗记录，提供完善质保服务，确保清洗质量达标，售后响应及时。</w:t>
      </w:r>
    </w:p>
    <w:p w14:paraId="07F58C4C">
      <w:pPr>
        <w:spacing w:line="360" w:lineRule="auto"/>
        <w:ind w:firstLine="448" w:firstLineChars="200"/>
        <w:jc w:val="left"/>
        <w:outlineLvl w:val="0"/>
        <w:rPr>
          <w:sz w:val="24"/>
        </w:rPr>
      </w:pPr>
      <w:r>
        <w:rPr>
          <w:rFonts w:hint="eastAsia"/>
          <w:sz w:val="24"/>
        </w:rPr>
        <w:t>（二）项目核心范围</w:t>
      </w:r>
    </w:p>
    <w:p w14:paraId="2D73D873">
      <w:pPr>
        <w:spacing w:line="360" w:lineRule="auto"/>
        <w:ind w:firstLine="448" w:firstLineChars="200"/>
        <w:jc w:val="left"/>
        <w:outlineLvl w:val="0"/>
        <w:rPr>
          <w:sz w:val="24"/>
        </w:rPr>
      </w:pPr>
      <w:r>
        <w:rPr>
          <w:rFonts w:hint="eastAsia"/>
          <w:sz w:val="24"/>
        </w:rPr>
        <w:t>本项目为全区域空调新风系统一站式清洗，覆盖所有设备及配套出风口、风管、风箱等，具体明细如下：</w:t>
      </w:r>
    </w:p>
    <w:p w14:paraId="65897E25">
      <w:pPr>
        <w:spacing w:line="360" w:lineRule="auto"/>
        <w:ind w:firstLine="448" w:firstLineChars="200"/>
        <w:jc w:val="left"/>
        <w:outlineLvl w:val="0"/>
        <w:rPr>
          <w:sz w:val="24"/>
        </w:rPr>
      </w:pPr>
      <w:r>
        <w:rPr>
          <w:rFonts w:hint="eastAsia"/>
          <w:sz w:val="24"/>
        </w:rPr>
        <w:t>①办公区：20个房间，每间配置1/2台风机盘管、4个出风口，共计22台风机盘管、90个出风口；</w:t>
      </w:r>
    </w:p>
    <w:p w14:paraId="042662A6">
      <w:pPr>
        <w:spacing w:line="360" w:lineRule="auto"/>
        <w:ind w:firstLine="448" w:firstLineChars="200"/>
        <w:jc w:val="left"/>
        <w:outlineLvl w:val="0"/>
        <w:rPr>
          <w:sz w:val="24"/>
        </w:rPr>
      </w:pPr>
      <w:r>
        <w:rPr>
          <w:rFonts w:hint="eastAsia"/>
          <w:sz w:val="24"/>
        </w:rPr>
        <w:t>②食堂、监控室：共计2台风机盘管，每台配套4-6个出风口，合计出风口数量按现场实际核算；</w:t>
      </w:r>
    </w:p>
    <w:p w14:paraId="7067ED26">
      <w:pPr>
        <w:spacing w:line="360" w:lineRule="auto"/>
        <w:ind w:firstLine="448" w:firstLineChars="200"/>
        <w:jc w:val="left"/>
        <w:outlineLvl w:val="0"/>
        <w:rPr>
          <w:sz w:val="24"/>
        </w:rPr>
      </w:pPr>
      <w:r>
        <w:rPr>
          <w:rFonts w:hint="eastAsia"/>
          <w:sz w:val="24"/>
        </w:rPr>
        <w:t>③大厅：12个风柱及配套风管、出风口；</w:t>
      </w:r>
    </w:p>
    <w:p w14:paraId="39C0C24F">
      <w:pPr>
        <w:spacing w:line="360" w:lineRule="auto"/>
        <w:ind w:firstLine="448" w:firstLineChars="200"/>
        <w:jc w:val="left"/>
        <w:outlineLvl w:val="0"/>
        <w:rPr>
          <w:sz w:val="24"/>
        </w:rPr>
      </w:pPr>
      <w:r>
        <w:rPr>
          <w:rFonts w:hint="eastAsia"/>
          <w:sz w:val="24"/>
        </w:rPr>
        <w:t>④主风机：1楼主风机15台、2楼主风机12台、3楼主风机8台，共计35台主风机；</w:t>
      </w:r>
    </w:p>
    <w:p w14:paraId="0EB5A44C">
      <w:pPr>
        <w:spacing w:line="360" w:lineRule="auto"/>
        <w:ind w:firstLine="448" w:firstLineChars="200"/>
        <w:jc w:val="left"/>
        <w:outlineLvl w:val="0"/>
        <w:rPr>
          <w:sz w:val="24"/>
        </w:rPr>
      </w:pPr>
      <w:r>
        <w:rPr>
          <w:rFonts w:hint="eastAsia"/>
          <w:sz w:val="24"/>
        </w:rPr>
        <w:t>⑤吊式主风机风箱：4台；</w:t>
      </w:r>
    </w:p>
    <w:p w14:paraId="70942037">
      <w:pPr>
        <w:spacing w:line="360" w:lineRule="auto"/>
        <w:ind w:firstLine="448" w:firstLineChars="200"/>
        <w:jc w:val="left"/>
        <w:outlineLvl w:val="0"/>
        <w:rPr>
          <w:sz w:val="24"/>
        </w:rPr>
      </w:pPr>
      <w:r>
        <w:rPr>
          <w:rFonts w:hint="eastAsia"/>
          <w:sz w:val="24"/>
        </w:rPr>
        <w:t>⑥独立空调：柜机空调25台、吊顶空调27台，挂式9台，中央式4台、共计65台独立空调；</w:t>
      </w:r>
    </w:p>
    <w:p w14:paraId="3FC57B40">
      <w:pPr>
        <w:spacing w:line="360" w:lineRule="auto"/>
        <w:ind w:firstLine="448" w:firstLineChars="200"/>
        <w:jc w:val="left"/>
        <w:outlineLvl w:val="0"/>
        <w:rPr>
          <w:sz w:val="24"/>
        </w:rPr>
      </w:pPr>
      <w:r>
        <w:rPr>
          <w:rFonts w:hint="eastAsia"/>
          <w:sz w:val="24"/>
        </w:rPr>
        <w:t>⑦配套设施：所有设备连接的侧墙出风口、地面出风口，以及配套风管、过滤网、表冷器、叶轮、冷凝水盘、风箱内部等部件。</w:t>
      </w:r>
    </w:p>
    <w:p w14:paraId="54C3E09F">
      <w:pPr>
        <w:spacing w:line="360" w:lineRule="auto"/>
        <w:ind w:firstLine="448" w:firstLineChars="200"/>
        <w:jc w:val="left"/>
        <w:outlineLvl w:val="0"/>
        <w:rPr>
          <w:sz w:val="24"/>
        </w:rPr>
      </w:pPr>
      <w:r>
        <w:rPr>
          <w:rFonts w:hint="eastAsia"/>
          <w:sz w:val="24"/>
        </w:rPr>
        <w:t>（三）项目设备规模明细</w:t>
      </w:r>
    </w:p>
    <w:p w14:paraId="074CD368">
      <w:pPr>
        <w:spacing w:line="360" w:lineRule="auto"/>
        <w:ind w:firstLine="448" w:firstLineChars="200"/>
        <w:jc w:val="left"/>
        <w:outlineLvl w:val="0"/>
        <w:rPr>
          <w:sz w:val="24"/>
        </w:rPr>
      </w:pPr>
      <w:r>
        <w:rPr>
          <w:rFonts w:hint="eastAsia"/>
          <w:sz w:val="24"/>
        </w:rPr>
        <w:t>1、天津自然博物馆</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39"/>
        <w:gridCol w:w="1245"/>
        <w:gridCol w:w="1843"/>
        <w:gridCol w:w="3325"/>
      </w:tblGrid>
      <w:tr w14:paraId="0A65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58D0E782">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设备类别</w:t>
            </w:r>
          </w:p>
        </w:tc>
        <w:tc>
          <w:tcPr>
            <w:tcW w:w="1245" w:type="dxa"/>
            <w:tcMar>
              <w:top w:w="60" w:type="dxa"/>
              <w:left w:w="120" w:type="dxa"/>
              <w:bottom w:w="30" w:type="dxa"/>
              <w:right w:w="120" w:type="dxa"/>
            </w:tcMar>
          </w:tcPr>
          <w:p w14:paraId="1AB1A76F">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数量</w:t>
            </w:r>
          </w:p>
        </w:tc>
        <w:tc>
          <w:tcPr>
            <w:tcW w:w="1843" w:type="dxa"/>
            <w:tcMar>
              <w:top w:w="60" w:type="dxa"/>
              <w:left w:w="120" w:type="dxa"/>
              <w:bottom w:w="30" w:type="dxa"/>
              <w:right w:w="120" w:type="dxa"/>
            </w:tcMar>
          </w:tcPr>
          <w:p w14:paraId="31F3EE39">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具体位置</w:t>
            </w:r>
          </w:p>
        </w:tc>
        <w:tc>
          <w:tcPr>
            <w:tcW w:w="3325" w:type="dxa"/>
            <w:tcMar>
              <w:top w:w="60" w:type="dxa"/>
              <w:left w:w="120" w:type="dxa"/>
              <w:bottom w:w="30" w:type="dxa"/>
              <w:right w:w="120" w:type="dxa"/>
            </w:tcMar>
          </w:tcPr>
          <w:p w14:paraId="2E3B4823">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配套部件</w:t>
            </w:r>
          </w:p>
        </w:tc>
      </w:tr>
      <w:tr w14:paraId="2DB7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6C229378">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风机盘管</w:t>
            </w:r>
          </w:p>
        </w:tc>
        <w:tc>
          <w:tcPr>
            <w:tcW w:w="1245" w:type="dxa"/>
            <w:tcMar>
              <w:top w:w="60" w:type="dxa"/>
              <w:left w:w="120" w:type="dxa"/>
              <w:bottom w:w="30" w:type="dxa"/>
              <w:right w:w="120" w:type="dxa"/>
            </w:tcMar>
          </w:tcPr>
          <w:p w14:paraId="2115B70C">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2</w:t>
            </w:r>
            <w:r>
              <w:rPr>
                <w:rFonts w:hint="eastAsia" w:ascii="仿宋" w:hAnsi="仿宋" w:eastAsia="仿宋"/>
                <w:bCs/>
                <w:snapToGrid w:val="0"/>
                <w:sz w:val="28"/>
                <w:szCs w:val="28"/>
              </w:rPr>
              <w:t>4</w:t>
            </w:r>
            <w:r>
              <w:rPr>
                <w:rFonts w:ascii="仿宋" w:hAnsi="仿宋" w:eastAsia="仿宋"/>
                <w:bCs/>
                <w:snapToGrid w:val="0"/>
                <w:sz w:val="28"/>
                <w:szCs w:val="28"/>
              </w:rPr>
              <w:t>台</w:t>
            </w:r>
          </w:p>
        </w:tc>
        <w:tc>
          <w:tcPr>
            <w:tcW w:w="1843" w:type="dxa"/>
            <w:tcMar>
              <w:top w:w="60" w:type="dxa"/>
              <w:left w:w="120" w:type="dxa"/>
              <w:bottom w:w="30" w:type="dxa"/>
              <w:right w:w="120" w:type="dxa"/>
            </w:tcMar>
          </w:tcPr>
          <w:p w14:paraId="332E1DA1">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办公区2</w:t>
            </w:r>
            <w:r>
              <w:rPr>
                <w:rFonts w:hint="eastAsia" w:ascii="仿宋" w:hAnsi="仿宋" w:eastAsia="仿宋"/>
                <w:bCs/>
                <w:snapToGrid w:val="0"/>
                <w:sz w:val="28"/>
                <w:szCs w:val="28"/>
              </w:rPr>
              <w:t>2</w:t>
            </w:r>
            <w:r>
              <w:rPr>
                <w:rFonts w:ascii="仿宋" w:hAnsi="仿宋" w:eastAsia="仿宋"/>
                <w:bCs/>
                <w:snapToGrid w:val="0"/>
                <w:sz w:val="28"/>
                <w:szCs w:val="28"/>
              </w:rPr>
              <w:t>台、食堂+监控室2台</w:t>
            </w:r>
          </w:p>
        </w:tc>
        <w:tc>
          <w:tcPr>
            <w:tcW w:w="3325" w:type="dxa"/>
            <w:tcMar>
              <w:top w:w="60" w:type="dxa"/>
              <w:left w:w="120" w:type="dxa"/>
              <w:bottom w:w="30" w:type="dxa"/>
              <w:right w:w="120" w:type="dxa"/>
            </w:tcMar>
          </w:tcPr>
          <w:p w14:paraId="0980C701">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每台配套4-6个出风口，含回风滤网、表冷器、冷凝水盘、风机叶轮</w:t>
            </w:r>
          </w:p>
        </w:tc>
      </w:tr>
      <w:tr w14:paraId="15DA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5C84F05C">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大厅风柱</w:t>
            </w:r>
          </w:p>
        </w:tc>
        <w:tc>
          <w:tcPr>
            <w:tcW w:w="1245" w:type="dxa"/>
            <w:tcMar>
              <w:top w:w="60" w:type="dxa"/>
              <w:left w:w="120" w:type="dxa"/>
              <w:bottom w:w="30" w:type="dxa"/>
              <w:right w:w="120" w:type="dxa"/>
            </w:tcMar>
          </w:tcPr>
          <w:p w14:paraId="2EFC9DE6">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12个</w:t>
            </w:r>
          </w:p>
        </w:tc>
        <w:tc>
          <w:tcPr>
            <w:tcW w:w="1843" w:type="dxa"/>
            <w:tcMar>
              <w:top w:w="60" w:type="dxa"/>
              <w:left w:w="120" w:type="dxa"/>
              <w:bottom w:w="30" w:type="dxa"/>
              <w:right w:w="120" w:type="dxa"/>
            </w:tcMar>
          </w:tcPr>
          <w:p w14:paraId="180CEFF2">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大厅区域</w:t>
            </w:r>
          </w:p>
        </w:tc>
        <w:tc>
          <w:tcPr>
            <w:tcW w:w="3325" w:type="dxa"/>
            <w:tcMar>
              <w:top w:w="60" w:type="dxa"/>
              <w:left w:w="120" w:type="dxa"/>
              <w:bottom w:w="30" w:type="dxa"/>
              <w:right w:w="120" w:type="dxa"/>
            </w:tcMar>
          </w:tcPr>
          <w:p w14:paraId="002E590E">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风柱本体、内部风管、出风口、防尘网</w:t>
            </w:r>
          </w:p>
        </w:tc>
      </w:tr>
      <w:tr w14:paraId="730B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9" w:type="dxa"/>
            <w:tcMar>
              <w:top w:w="60" w:type="dxa"/>
              <w:left w:w="120" w:type="dxa"/>
              <w:bottom w:w="30" w:type="dxa"/>
              <w:right w:w="120" w:type="dxa"/>
            </w:tcMar>
          </w:tcPr>
          <w:p w14:paraId="508D9020">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楼层主风机</w:t>
            </w:r>
          </w:p>
        </w:tc>
        <w:tc>
          <w:tcPr>
            <w:tcW w:w="1245" w:type="dxa"/>
            <w:tcMar>
              <w:top w:w="60" w:type="dxa"/>
              <w:left w:w="120" w:type="dxa"/>
              <w:bottom w:w="30" w:type="dxa"/>
              <w:right w:w="120" w:type="dxa"/>
            </w:tcMar>
          </w:tcPr>
          <w:p w14:paraId="452A8777">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35台</w:t>
            </w:r>
          </w:p>
        </w:tc>
        <w:tc>
          <w:tcPr>
            <w:tcW w:w="1843" w:type="dxa"/>
            <w:tcMar>
              <w:top w:w="60" w:type="dxa"/>
              <w:left w:w="120" w:type="dxa"/>
              <w:bottom w:w="30" w:type="dxa"/>
              <w:right w:w="120" w:type="dxa"/>
            </w:tcMar>
          </w:tcPr>
          <w:p w14:paraId="4C981B49">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1楼15台、2楼12台、3楼8台</w:t>
            </w:r>
          </w:p>
        </w:tc>
        <w:tc>
          <w:tcPr>
            <w:tcW w:w="3325" w:type="dxa"/>
            <w:tcMar>
              <w:top w:w="60" w:type="dxa"/>
              <w:left w:w="120" w:type="dxa"/>
              <w:bottom w:w="30" w:type="dxa"/>
              <w:right w:w="120" w:type="dxa"/>
            </w:tcMar>
          </w:tcPr>
          <w:p w14:paraId="6718EB91">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风机叶轮、电机、箱体、进出风口、过滤网、连接风管</w:t>
            </w:r>
          </w:p>
        </w:tc>
      </w:tr>
      <w:tr w14:paraId="1039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22B40034">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吊式主风机风箱</w:t>
            </w:r>
          </w:p>
        </w:tc>
        <w:tc>
          <w:tcPr>
            <w:tcW w:w="1245" w:type="dxa"/>
            <w:tcMar>
              <w:top w:w="60" w:type="dxa"/>
              <w:left w:w="120" w:type="dxa"/>
              <w:bottom w:w="30" w:type="dxa"/>
              <w:right w:w="120" w:type="dxa"/>
            </w:tcMar>
          </w:tcPr>
          <w:p w14:paraId="3365A0AA">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4台</w:t>
            </w:r>
          </w:p>
        </w:tc>
        <w:tc>
          <w:tcPr>
            <w:tcW w:w="1843" w:type="dxa"/>
            <w:tcMar>
              <w:top w:w="60" w:type="dxa"/>
              <w:left w:w="120" w:type="dxa"/>
              <w:bottom w:w="30" w:type="dxa"/>
              <w:right w:w="120" w:type="dxa"/>
            </w:tcMar>
          </w:tcPr>
          <w:p w14:paraId="2D7313B7">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指定吊顶区域</w:t>
            </w:r>
          </w:p>
        </w:tc>
        <w:tc>
          <w:tcPr>
            <w:tcW w:w="3325" w:type="dxa"/>
            <w:tcMar>
              <w:top w:w="60" w:type="dxa"/>
              <w:left w:w="120" w:type="dxa"/>
              <w:bottom w:w="30" w:type="dxa"/>
              <w:right w:w="120" w:type="dxa"/>
            </w:tcMar>
          </w:tcPr>
          <w:p w14:paraId="0EDB4655">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风箱内部、百叶风口、滤网、密封部件</w:t>
            </w:r>
          </w:p>
        </w:tc>
      </w:tr>
      <w:tr w14:paraId="690A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271C9D7A">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柜机空调</w:t>
            </w:r>
          </w:p>
        </w:tc>
        <w:tc>
          <w:tcPr>
            <w:tcW w:w="1245" w:type="dxa"/>
            <w:tcMar>
              <w:top w:w="60" w:type="dxa"/>
              <w:left w:w="120" w:type="dxa"/>
              <w:bottom w:w="30" w:type="dxa"/>
              <w:right w:w="120" w:type="dxa"/>
            </w:tcMar>
          </w:tcPr>
          <w:p w14:paraId="0FE3CC18">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12</w:t>
            </w:r>
            <w:r>
              <w:rPr>
                <w:rFonts w:ascii="仿宋" w:hAnsi="仿宋" w:eastAsia="仿宋"/>
                <w:bCs/>
                <w:snapToGrid w:val="0"/>
                <w:sz w:val="28"/>
                <w:szCs w:val="28"/>
              </w:rPr>
              <w:t>台</w:t>
            </w:r>
          </w:p>
        </w:tc>
        <w:tc>
          <w:tcPr>
            <w:tcW w:w="1843" w:type="dxa"/>
            <w:tcMar>
              <w:top w:w="60" w:type="dxa"/>
              <w:left w:w="120" w:type="dxa"/>
              <w:bottom w:w="30" w:type="dxa"/>
              <w:right w:w="120" w:type="dxa"/>
            </w:tcMar>
          </w:tcPr>
          <w:p w14:paraId="16F9248E">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各区域指定位置</w:t>
            </w:r>
          </w:p>
        </w:tc>
        <w:tc>
          <w:tcPr>
            <w:tcW w:w="3325" w:type="dxa"/>
            <w:tcMar>
              <w:top w:w="60" w:type="dxa"/>
              <w:left w:w="120" w:type="dxa"/>
              <w:bottom w:w="30" w:type="dxa"/>
              <w:right w:w="120" w:type="dxa"/>
            </w:tcMar>
          </w:tcPr>
          <w:p w14:paraId="16580F44">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蒸发器、冷凝器、过滤网、风机、出风口、接水盘</w:t>
            </w:r>
          </w:p>
        </w:tc>
      </w:tr>
      <w:tr w14:paraId="43B4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073A2074">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吊顶空调</w:t>
            </w:r>
          </w:p>
        </w:tc>
        <w:tc>
          <w:tcPr>
            <w:tcW w:w="1245" w:type="dxa"/>
            <w:tcMar>
              <w:top w:w="60" w:type="dxa"/>
              <w:left w:w="120" w:type="dxa"/>
              <w:bottom w:w="30" w:type="dxa"/>
              <w:right w:w="120" w:type="dxa"/>
            </w:tcMar>
          </w:tcPr>
          <w:p w14:paraId="289824AD">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10台</w:t>
            </w:r>
          </w:p>
        </w:tc>
        <w:tc>
          <w:tcPr>
            <w:tcW w:w="1843" w:type="dxa"/>
            <w:tcMar>
              <w:top w:w="60" w:type="dxa"/>
              <w:left w:w="120" w:type="dxa"/>
              <w:bottom w:w="30" w:type="dxa"/>
              <w:right w:w="120" w:type="dxa"/>
            </w:tcMar>
          </w:tcPr>
          <w:p w14:paraId="2C21B92C">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各区域吊顶处</w:t>
            </w:r>
          </w:p>
        </w:tc>
        <w:tc>
          <w:tcPr>
            <w:tcW w:w="3325" w:type="dxa"/>
            <w:tcMar>
              <w:top w:w="60" w:type="dxa"/>
              <w:left w:w="120" w:type="dxa"/>
              <w:bottom w:w="30" w:type="dxa"/>
              <w:right w:w="120" w:type="dxa"/>
            </w:tcMar>
          </w:tcPr>
          <w:p w14:paraId="43F2A0CF">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蒸发器、回风滤网、出风口、风机叶轮、冷凝水系统</w:t>
            </w:r>
          </w:p>
        </w:tc>
      </w:tr>
      <w:tr w14:paraId="7362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1712E4C2">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各类出风口</w:t>
            </w:r>
          </w:p>
        </w:tc>
        <w:tc>
          <w:tcPr>
            <w:tcW w:w="1245" w:type="dxa"/>
            <w:tcMar>
              <w:top w:w="60" w:type="dxa"/>
              <w:left w:w="120" w:type="dxa"/>
              <w:bottom w:w="30" w:type="dxa"/>
              <w:right w:w="120" w:type="dxa"/>
            </w:tcMar>
          </w:tcPr>
          <w:p w14:paraId="40D5A991">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按现场实际核算</w:t>
            </w:r>
          </w:p>
        </w:tc>
        <w:tc>
          <w:tcPr>
            <w:tcW w:w="1843" w:type="dxa"/>
            <w:tcMar>
              <w:top w:w="60" w:type="dxa"/>
              <w:left w:w="120" w:type="dxa"/>
              <w:bottom w:w="30" w:type="dxa"/>
              <w:right w:w="120" w:type="dxa"/>
            </w:tcMar>
          </w:tcPr>
          <w:p w14:paraId="40E95683">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侧墙、地面、房间、大厅、设备端</w:t>
            </w:r>
          </w:p>
        </w:tc>
        <w:tc>
          <w:tcPr>
            <w:tcW w:w="3325" w:type="dxa"/>
            <w:tcMar>
              <w:top w:w="60" w:type="dxa"/>
              <w:left w:w="120" w:type="dxa"/>
              <w:bottom w:w="30" w:type="dxa"/>
              <w:right w:w="120" w:type="dxa"/>
            </w:tcMar>
          </w:tcPr>
          <w:p w14:paraId="668EE5AC">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出风口百叶、滤网、边框</w:t>
            </w:r>
          </w:p>
        </w:tc>
      </w:tr>
    </w:tbl>
    <w:p w14:paraId="1DB25793">
      <w:pPr>
        <w:spacing w:line="360" w:lineRule="auto"/>
        <w:ind w:firstLine="448" w:firstLineChars="200"/>
        <w:jc w:val="left"/>
        <w:outlineLvl w:val="0"/>
        <w:rPr>
          <w:sz w:val="24"/>
        </w:rPr>
      </w:pPr>
      <w:r>
        <w:rPr>
          <w:rFonts w:hint="eastAsia"/>
          <w:sz w:val="24"/>
        </w:rPr>
        <w:t>2、北疆博物院</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139"/>
        <w:gridCol w:w="1245"/>
        <w:gridCol w:w="1843"/>
        <w:gridCol w:w="3325"/>
      </w:tblGrid>
      <w:tr w14:paraId="43C2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70A49B43">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设备类别</w:t>
            </w:r>
          </w:p>
        </w:tc>
        <w:tc>
          <w:tcPr>
            <w:tcW w:w="1245" w:type="dxa"/>
            <w:tcMar>
              <w:top w:w="60" w:type="dxa"/>
              <w:left w:w="120" w:type="dxa"/>
              <w:bottom w:w="30" w:type="dxa"/>
              <w:right w:w="120" w:type="dxa"/>
            </w:tcMar>
          </w:tcPr>
          <w:p w14:paraId="382F79A3">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数量</w:t>
            </w:r>
          </w:p>
        </w:tc>
        <w:tc>
          <w:tcPr>
            <w:tcW w:w="1843" w:type="dxa"/>
            <w:tcMar>
              <w:top w:w="60" w:type="dxa"/>
              <w:left w:w="120" w:type="dxa"/>
              <w:bottom w:w="30" w:type="dxa"/>
              <w:right w:w="120" w:type="dxa"/>
            </w:tcMar>
          </w:tcPr>
          <w:p w14:paraId="080EEA34">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具体位置</w:t>
            </w:r>
          </w:p>
        </w:tc>
        <w:tc>
          <w:tcPr>
            <w:tcW w:w="3325" w:type="dxa"/>
            <w:tcMar>
              <w:top w:w="60" w:type="dxa"/>
              <w:left w:w="120" w:type="dxa"/>
              <w:bottom w:w="30" w:type="dxa"/>
              <w:right w:w="120" w:type="dxa"/>
            </w:tcMar>
          </w:tcPr>
          <w:p w14:paraId="6EE93AC6">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配套部件</w:t>
            </w:r>
          </w:p>
        </w:tc>
      </w:tr>
      <w:tr w14:paraId="6300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3B4338A9">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柜机空调</w:t>
            </w:r>
          </w:p>
        </w:tc>
        <w:tc>
          <w:tcPr>
            <w:tcW w:w="1245" w:type="dxa"/>
            <w:tcMar>
              <w:top w:w="60" w:type="dxa"/>
              <w:left w:w="120" w:type="dxa"/>
              <w:bottom w:w="30" w:type="dxa"/>
              <w:right w:w="120" w:type="dxa"/>
            </w:tcMar>
          </w:tcPr>
          <w:p w14:paraId="234213C8">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17</w:t>
            </w:r>
            <w:r>
              <w:rPr>
                <w:rFonts w:ascii="仿宋" w:hAnsi="仿宋" w:eastAsia="仿宋"/>
                <w:bCs/>
                <w:snapToGrid w:val="0"/>
                <w:sz w:val="28"/>
                <w:szCs w:val="28"/>
              </w:rPr>
              <w:t>台</w:t>
            </w:r>
          </w:p>
        </w:tc>
        <w:tc>
          <w:tcPr>
            <w:tcW w:w="1843" w:type="dxa"/>
            <w:tcMar>
              <w:top w:w="60" w:type="dxa"/>
              <w:left w:w="120" w:type="dxa"/>
              <w:bottom w:w="30" w:type="dxa"/>
              <w:right w:w="120" w:type="dxa"/>
            </w:tcMar>
          </w:tcPr>
          <w:p w14:paraId="661AA3E7">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南一2台，值班室消控室，办公室各3台旧居3台，北一1台，北三3台二楼会议室3台，北三办公室2台</w:t>
            </w:r>
          </w:p>
        </w:tc>
        <w:tc>
          <w:tcPr>
            <w:tcW w:w="3325" w:type="dxa"/>
            <w:tcMar>
              <w:top w:w="60" w:type="dxa"/>
              <w:left w:w="120" w:type="dxa"/>
              <w:bottom w:w="30" w:type="dxa"/>
              <w:right w:w="120" w:type="dxa"/>
            </w:tcMar>
          </w:tcPr>
          <w:p w14:paraId="3BCC5D25">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蒸发器、冷凝器、过滤网、风机、出风口、接水盘</w:t>
            </w:r>
          </w:p>
        </w:tc>
      </w:tr>
      <w:tr w14:paraId="4E1C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07B9AD32">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吊顶空调</w:t>
            </w:r>
          </w:p>
        </w:tc>
        <w:tc>
          <w:tcPr>
            <w:tcW w:w="1245" w:type="dxa"/>
            <w:tcMar>
              <w:top w:w="60" w:type="dxa"/>
              <w:left w:w="120" w:type="dxa"/>
              <w:bottom w:w="30" w:type="dxa"/>
              <w:right w:w="120" w:type="dxa"/>
            </w:tcMar>
          </w:tcPr>
          <w:p w14:paraId="444A84F5">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17</w:t>
            </w:r>
            <w:r>
              <w:rPr>
                <w:rFonts w:ascii="仿宋" w:hAnsi="仿宋" w:eastAsia="仿宋"/>
                <w:bCs/>
                <w:snapToGrid w:val="0"/>
                <w:sz w:val="28"/>
                <w:szCs w:val="28"/>
              </w:rPr>
              <w:t>台</w:t>
            </w:r>
          </w:p>
        </w:tc>
        <w:tc>
          <w:tcPr>
            <w:tcW w:w="1843" w:type="dxa"/>
            <w:tcMar>
              <w:top w:w="60" w:type="dxa"/>
              <w:left w:w="120" w:type="dxa"/>
              <w:bottom w:w="30" w:type="dxa"/>
              <w:right w:w="120" w:type="dxa"/>
            </w:tcMar>
          </w:tcPr>
          <w:p w14:paraId="0F544457">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南一4台，南二7台旧居6台</w:t>
            </w:r>
          </w:p>
        </w:tc>
        <w:tc>
          <w:tcPr>
            <w:tcW w:w="3325" w:type="dxa"/>
            <w:tcMar>
              <w:top w:w="60" w:type="dxa"/>
              <w:left w:w="120" w:type="dxa"/>
              <w:bottom w:w="30" w:type="dxa"/>
              <w:right w:w="120" w:type="dxa"/>
            </w:tcMar>
          </w:tcPr>
          <w:p w14:paraId="3F145394">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蒸发器、回风滤网、出风口、风机叶轮、冷凝水系统</w:t>
            </w:r>
          </w:p>
        </w:tc>
      </w:tr>
      <w:tr w14:paraId="2364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9" w:type="dxa"/>
            <w:tcMar>
              <w:top w:w="60" w:type="dxa"/>
              <w:left w:w="120" w:type="dxa"/>
              <w:bottom w:w="30" w:type="dxa"/>
              <w:right w:w="120" w:type="dxa"/>
            </w:tcMar>
          </w:tcPr>
          <w:p w14:paraId="26313535">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挂式空调</w:t>
            </w:r>
          </w:p>
        </w:tc>
        <w:tc>
          <w:tcPr>
            <w:tcW w:w="1245" w:type="dxa"/>
            <w:tcMar>
              <w:top w:w="60" w:type="dxa"/>
              <w:left w:w="120" w:type="dxa"/>
              <w:bottom w:w="30" w:type="dxa"/>
              <w:right w:w="120" w:type="dxa"/>
            </w:tcMar>
          </w:tcPr>
          <w:p w14:paraId="09BDD117">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9</w:t>
            </w:r>
            <w:r>
              <w:rPr>
                <w:rFonts w:ascii="仿宋" w:hAnsi="仿宋" w:eastAsia="仿宋"/>
                <w:bCs/>
                <w:snapToGrid w:val="0"/>
                <w:sz w:val="28"/>
                <w:szCs w:val="28"/>
              </w:rPr>
              <w:t>台</w:t>
            </w:r>
          </w:p>
        </w:tc>
        <w:tc>
          <w:tcPr>
            <w:tcW w:w="1843" w:type="dxa"/>
            <w:tcMar>
              <w:top w:w="60" w:type="dxa"/>
              <w:left w:w="120" w:type="dxa"/>
              <w:bottom w:w="30" w:type="dxa"/>
              <w:right w:w="120" w:type="dxa"/>
            </w:tcMar>
          </w:tcPr>
          <w:p w14:paraId="6909041A">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食堂、配电室2台，办公区走廊1台北一3台，北二3台，北三3台</w:t>
            </w:r>
          </w:p>
        </w:tc>
        <w:tc>
          <w:tcPr>
            <w:tcW w:w="3325" w:type="dxa"/>
            <w:tcMar>
              <w:top w:w="60" w:type="dxa"/>
              <w:left w:w="120" w:type="dxa"/>
              <w:bottom w:w="30" w:type="dxa"/>
              <w:right w:w="120" w:type="dxa"/>
            </w:tcMar>
          </w:tcPr>
          <w:p w14:paraId="2D2B5AB7">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风机叶轮、电机、箱体、进出风口、过滤网、连接风管</w:t>
            </w:r>
          </w:p>
        </w:tc>
      </w:tr>
      <w:tr w14:paraId="5428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3" w:hRule="atLeast"/>
        </w:trPr>
        <w:tc>
          <w:tcPr>
            <w:tcW w:w="2139" w:type="dxa"/>
            <w:tcMar>
              <w:top w:w="60" w:type="dxa"/>
              <w:left w:w="120" w:type="dxa"/>
              <w:bottom w:w="30" w:type="dxa"/>
              <w:right w:w="120" w:type="dxa"/>
            </w:tcMar>
          </w:tcPr>
          <w:p w14:paraId="65F25DA4">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中央式空调</w:t>
            </w:r>
          </w:p>
        </w:tc>
        <w:tc>
          <w:tcPr>
            <w:tcW w:w="1245" w:type="dxa"/>
            <w:tcMar>
              <w:top w:w="60" w:type="dxa"/>
              <w:left w:w="120" w:type="dxa"/>
              <w:bottom w:w="30" w:type="dxa"/>
              <w:right w:w="120" w:type="dxa"/>
            </w:tcMar>
          </w:tcPr>
          <w:p w14:paraId="148E093E">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4台</w:t>
            </w:r>
          </w:p>
        </w:tc>
        <w:tc>
          <w:tcPr>
            <w:tcW w:w="1843" w:type="dxa"/>
            <w:tcMar>
              <w:top w:w="60" w:type="dxa"/>
              <w:left w:w="120" w:type="dxa"/>
              <w:bottom w:w="30" w:type="dxa"/>
              <w:right w:w="120" w:type="dxa"/>
            </w:tcMar>
          </w:tcPr>
          <w:p w14:paraId="44FE3DB3">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北一1台</w:t>
            </w:r>
          </w:p>
          <w:p w14:paraId="0D01BB2B">
            <w:pPr>
              <w:pStyle w:val="6"/>
              <w:snapToGrid w:val="0"/>
              <w:spacing w:line="240" w:lineRule="atLeast"/>
              <w:ind w:left="386"/>
              <w:jc w:val="left"/>
              <w:rPr>
                <w:rFonts w:ascii="仿宋" w:hAnsi="仿宋" w:eastAsia="仿宋"/>
                <w:bCs/>
                <w:snapToGrid w:val="0"/>
                <w:sz w:val="28"/>
                <w:szCs w:val="28"/>
              </w:rPr>
            </w:pPr>
            <w:r>
              <w:rPr>
                <w:rFonts w:hint="eastAsia" w:ascii="仿宋" w:hAnsi="仿宋" w:eastAsia="仿宋"/>
                <w:bCs/>
                <w:snapToGrid w:val="0"/>
                <w:sz w:val="28"/>
                <w:szCs w:val="28"/>
              </w:rPr>
              <w:t>北二3台</w:t>
            </w:r>
          </w:p>
        </w:tc>
        <w:tc>
          <w:tcPr>
            <w:tcW w:w="3325" w:type="dxa"/>
            <w:tcMar>
              <w:top w:w="60" w:type="dxa"/>
              <w:left w:w="120" w:type="dxa"/>
              <w:bottom w:w="30" w:type="dxa"/>
              <w:right w:w="120" w:type="dxa"/>
            </w:tcMar>
          </w:tcPr>
          <w:p w14:paraId="7D09D267">
            <w:pPr>
              <w:pStyle w:val="6"/>
              <w:snapToGrid w:val="0"/>
              <w:spacing w:line="240" w:lineRule="atLeast"/>
              <w:ind w:left="386"/>
              <w:jc w:val="left"/>
              <w:rPr>
                <w:rFonts w:ascii="仿宋" w:hAnsi="仿宋" w:eastAsia="仿宋"/>
                <w:bCs/>
                <w:snapToGrid w:val="0"/>
                <w:sz w:val="28"/>
                <w:szCs w:val="28"/>
              </w:rPr>
            </w:pPr>
            <w:r>
              <w:rPr>
                <w:rFonts w:ascii="仿宋" w:hAnsi="仿宋" w:eastAsia="仿宋"/>
                <w:bCs/>
                <w:snapToGrid w:val="0"/>
                <w:sz w:val="28"/>
                <w:szCs w:val="28"/>
              </w:rPr>
              <w:t>蒸发器、冷凝器、过滤网、风机、出风口、接水盘</w:t>
            </w:r>
          </w:p>
        </w:tc>
      </w:tr>
    </w:tbl>
    <w:p w14:paraId="12DC5F17">
      <w:pPr>
        <w:spacing w:line="360" w:lineRule="auto"/>
        <w:ind w:firstLine="448" w:firstLineChars="200"/>
        <w:jc w:val="left"/>
        <w:outlineLvl w:val="0"/>
        <w:rPr>
          <w:sz w:val="24"/>
        </w:rPr>
      </w:pPr>
      <w:r>
        <w:rPr>
          <w:rFonts w:hint="eastAsia"/>
          <w:sz w:val="24"/>
        </w:rPr>
        <w:t>（四）清洗技术标准与质量要求</w:t>
      </w:r>
    </w:p>
    <w:p w14:paraId="2A95A6B5">
      <w:pPr>
        <w:spacing w:line="360" w:lineRule="auto"/>
        <w:ind w:firstLine="448" w:firstLineChars="200"/>
        <w:jc w:val="left"/>
        <w:outlineLvl w:val="0"/>
        <w:rPr>
          <w:sz w:val="24"/>
        </w:rPr>
      </w:pPr>
      <w:r>
        <w:rPr>
          <w:rFonts w:hint="eastAsia"/>
          <w:sz w:val="24"/>
        </w:rPr>
        <w:t>1、通用施工要求</w:t>
      </w:r>
    </w:p>
    <w:p w14:paraId="3B69B460">
      <w:pPr>
        <w:spacing w:line="360" w:lineRule="auto"/>
        <w:ind w:firstLine="448" w:firstLineChars="200"/>
        <w:jc w:val="left"/>
        <w:outlineLvl w:val="0"/>
        <w:rPr>
          <w:sz w:val="24"/>
        </w:rPr>
      </w:pPr>
      <w:r>
        <w:rPr>
          <w:rFonts w:hint="eastAsia"/>
          <w:sz w:val="24"/>
        </w:rPr>
        <w:t>①施工单位须具备合法营业执照，施工人员持特种作业证（高空），具备同类大型场所空调新风清洗经验。</w:t>
      </w:r>
    </w:p>
    <w:p w14:paraId="62552939">
      <w:pPr>
        <w:spacing w:line="360" w:lineRule="auto"/>
        <w:ind w:firstLine="448" w:firstLineChars="200"/>
        <w:jc w:val="left"/>
        <w:outlineLvl w:val="0"/>
        <w:rPr>
          <w:sz w:val="24"/>
        </w:rPr>
      </w:pPr>
      <w:r>
        <w:rPr>
          <w:rFonts w:hint="eastAsia"/>
          <w:sz w:val="24"/>
        </w:rPr>
        <w:t>②清洗所用清洗剂、消毒剂须为环保无毒、无腐蚀性产品，符合国家室内环保相关标准，不损伤设备金属、塑料部件，清洗后无残留异味。</w:t>
      </w:r>
    </w:p>
    <w:p w14:paraId="76B56BE7">
      <w:pPr>
        <w:spacing w:line="360" w:lineRule="auto"/>
        <w:ind w:firstLine="448" w:firstLineChars="200"/>
        <w:jc w:val="left"/>
        <w:outlineLvl w:val="0"/>
        <w:rPr>
          <w:sz w:val="24"/>
        </w:rPr>
      </w:pPr>
      <w:r>
        <w:rPr>
          <w:rFonts w:hint="eastAsia"/>
          <w:sz w:val="24"/>
        </w:rPr>
        <w:t>③采用负压吸尘+高压雾化清洗+消毒杀菌一体化工艺，施工时做好区域隔离防护，防止灰尘、污水扩散，避免污染室内办公设施、地面、墙面，做到工完场清。</w:t>
      </w:r>
    </w:p>
    <w:p w14:paraId="227153D3">
      <w:pPr>
        <w:spacing w:line="360" w:lineRule="auto"/>
        <w:ind w:firstLine="448" w:firstLineChars="200"/>
        <w:jc w:val="left"/>
        <w:outlineLvl w:val="0"/>
        <w:rPr>
          <w:sz w:val="24"/>
        </w:rPr>
      </w:pPr>
      <w:r>
        <w:rPr>
          <w:rFonts w:hint="eastAsia"/>
          <w:sz w:val="24"/>
        </w:rPr>
        <w:t>④施工前对现场家具、设备、地面进行遮盖保护，施工后彻底清理施工垃圾、污水，恢复现场原貌。</w:t>
      </w:r>
    </w:p>
    <w:p w14:paraId="65545325">
      <w:pPr>
        <w:spacing w:line="360" w:lineRule="auto"/>
        <w:ind w:firstLine="448" w:firstLineChars="200"/>
        <w:jc w:val="left"/>
        <w:outlineLvl w:val="0"/>
        <w:rPr>
          <w:sz w:val="24"/>
        </w:rPr>
      </w:pPr>
      <w:r>
        <w:rPr>
          <w:rFonts w:hint="eastAsia"/>
          <w:sz w:val="24"/>
        </w:rPr>
        <w:t>2、分设备清洗标准</w:t>
      </w:r>
    </w:p>
    <w:p w14:paraId="6173FDB5">
      <w:pPr>
        <w:spacing w:line="360" w:lineRule="auto"/>
        <w:ind w:firstLine="448" w:firstLineChars="200"/>
        <w:jc w:val="left"/>
        <w:outlineLvl w:val="0"/>
        <w:rPr>
          <w:sz w:val="24"/>
        </w:rPr>
      </w:pPr>
      <w:r>
        <w:rPr>
          <w:rFonts w:hint="eastAsia"/>
          <w:sz w:val="24"/>
        </w:rPr>
        <w:t>（1）风机盘管（24台）</w:t>
      </w:r>
    </w:p>
    <w:p w14:paraId="775B6668">
      <w:pPr>
        <w:spacing w:line="360" w:lineRule="auto"/>
        <w:ind w:firstLine="448" w:firstLineChars="200"/>
        <w:jc w:val="left"/>
        <w:outlineLvl w:val="0"/>
        <w:rPr>
          <w:sz w:val="24"/>
        </w:rPr>
      </w:pPr>
      <w:r>
        <w:rPr>
          <w:rFonts w:hint="eastAsia"/>
          <w:sz w:val="24"/>
        </w:rPr>
        <w:t>拆除回风滤网、出风口百叶，彻底清洗除垢，滤网无灰尘、油污，破损滤网需免费更换（费用含在总价内）；</w:t>
      </w:r>
    </w:p>
    <w:p w14:paraId="73AF4F54">
      <w:pPr>
        <w:spacing w:line="360" w:lineRule="auto"/>
        <w:ind w:firstLine="448" w:firstLineChars="200"/>
        <w:jc w:val="left"/>
        <w:outlineLvl w:val="0"/>
        <w:rPr>
          <w:sz w:val="24"/>
        </w:rPr>
      </w:pPr>
      <w:r>
        <w:rPr>
          <w:rFonts w:hint="eastAsia"/>
          <w:sz w:val="24"/>
        </w:rPr>
        <w:t>深度清洗表冷器翅片，清除积尘、霉菌，翅片无堵塞、无变形，换热效率恢复至出厂标准95%以上；</w:t>
      </w:r>
    </w:p>
    <w:p w14:paraId="5670787D">
      <w:pPr>
        <w:spacing w:line="360" w:lineRule="auto"/>
        <w:ind w:firstLine="448" w:firstLineChars="200"/>
        <w:jc w:val="left"/>
        <w:outlineLvl w:val="0"/>
        <w:rPr>
          <w:sz w:val="24"/>
        </w:rPr>
      </w:pPr>
      <w:r>
        <w:rPr>
          <w:rFonts w:hint="eastAsia"/>
          <w:sz w:val="24"/>
        </w:rPr>
        <w:t>清洗风机叶轮、电机外壳，清除灰尘，叶轮转动无卡顿、无噪音；</w:t>
      </w:r>
    </w:p>
    <w:p w14:paraId="53F35323">
      <w:pPr>
        <w:spacing w:line="360" w:lineRule="auto"/>
        <w:ind w:firstLine="448" w:firstLineChars="200"/>
        <w:jc w:val="left"/>
        <w:outlineLvl w:val="0"/>
        <w:rPr>
          <w:sz w:val="24"/>
        </w:rPr>
      </w:pPr>
      <w:r>
        <w:rPr>
          <w:rFonts w:hint="eastAsia"/>
          <w:sz w:val="24"/>
        </w:rPr>
        <w:t>疏通冷凝水盘、排水管道，清除淤泥、杂物，确保排水顺畅，无积水、无渗漏；</w:t>
      </w:r>
    </w:p>
    <w:p w14:paraId="5A1982CA">
      <w:pPr>
        <w:spacing w:line="360" w:lineRule="auto"/>
        <w:ind w:firstLine="448" w:firstLineChars="200"/>
        <w:jc w:val="left"/>
        <w:outlineLvl w:val="0"/>
        <w:rPr>
          <w:sz w:val="24"/>
        </w:rPr>
      </w:pPr>
      <w:r>
        <w:rPr>
          <w:rFonts w:hint="eastAsia"/>
          <w:sz w:val="24"/>
        </w:rPr>
        <w:t>复位后调试运行，出风口风量均匀，无异味，运行噪音正常。</w:t>
      </w:r>
    </w:p>
    <w:p w14:paraId="2E6C3EDB">
      <w:pPr>
        <w:spacing w:line="360" w:lineRule="auto"/>
        <w:ind w:firstLine="448" w:firstLineChars="200"/>
        <w:jc w:val="left"/>
        <w:outlineLvl w:val="0"/>
        <w:rPr>
          <w:sz w:val="24"/>
        </w:rPr>
      </w:pPr>
      <w:r>
        <w:rPr>
          <w:rFonts w:hint="eastAsia"/>
          <w:sz w:val="24"/>
        </w:rPr>
        <w:t>（2）大厅风柱（12个）</w:t>
      </w:r>
    </w:p>
    <w:p w14:paraId="73BB04D0">
      <w:pPr>
        <w:spacing w:line="360" w:lineRule="auto"/>
        <w:ind w:firstLine="448" w:firstLineChars="200"/>
        <w:jc w:val="left"/>
        <w:outlineLvl w:val="0"/>
        <w:rPr>
          <w:sz w:val="24"/>
        </w:rPr>
      </w:pPr>
      <w:r>
        <w:rPr>
          <w:rFonts w:hint="eastAsia"/>
          <w:sz w:val="24"/>
        </w:rPr>
        <w:t>拆卸风柱出风口、防尘网，全面清洗，表面无灰尘、无污渍；</w:t>
      </w:r>
    </w:p>
    <w:p w14:paraId="395C4E74">
      <w:pPr>
        <w:spacing w:line="360" w:lineRule="auto"/>
        <w:ind w:firstLine="448" w:firstLineChars="200"/>
        <w:jc w:val="left"/>
        <w:outlineLvl w:val="0"/>
        <w:rPr>
          <w:sz w:val="24"/>
        </w:rPr>
      </w:pPr>
      <w:r>
        <w:rPr>
          <w:rFonts w:hint="eastAsia"/>
          <w:sz w:val="24"/>
        </w:rPr>
        <w:t>采用专用工具清洗风柱内部风管，清除积尘、杂物，内壁无污垢残留；</w:t>
      </w:r>
    </w:p>
    <w:p w14:paraId="1BD1A452">
      <w:pPr>
        <w:spacing w:line="360" w:lineRule="auto"/>
        <w:ind w:firstLine="448" w:firstLineChars="200"/>
        <w:jc w:val="left"/>
        <w:outlineLvl w:val="0"/>
        <w:rPr>
          <w:sz w:val="24"/>
        </w:rPr>
      </w:pPr>
      <w:r>
        <w:rPr>
          <w:rFonts w:hint="eastAsia"/>
          <w:sz w:val="24"/>
        </w:rPr>
        <w:t>对风柱内部进行消毒杀菌，消除异味，复位后检查通风效果，确保出风顺畅。</w:t>
      </w:r>
    </w:p>
    <w:p w14:paraId="763379A5">
      <w:pPr>
        <w:spacing w:line="360" w:lineRule="auto"/>
        <w:ind w:firstLine="448" w:firstLineChars="200"/>
        <w:jc w:val="left"/>
        <w:outlineLvl w:val="0"/>
        <w:rPr>
          <w:sz w:val="24"/>
        </w:rPr>
      </w:pPr>
      <w:r>
        <w:rPr>
          <w:rFonts w:hint="eastAsia"/>
          <w:sz w:val="24"/>
        </w:rPr>
        <w:t>（3）楼层主风机（35台）</w:t>
      </w:r>
    </w:p>
    <w:p w14:paraId="42EDF045">
      <w:pPr>
        <w:spacing w:line="360" w:lineRule="auto"/>
        <w:ind w:firstLine="448" w:firstLineChars="200"/>
        <w:jc w:val="left"/>
        <w:outlineLvl w:val="0"/>
        <w:rPr>
          <w:sz w:val="24"/>
        </w:rPr>
      </w:pPr>
      <w:r>
        <w:rPr>
          <w:rFonts w:hint="eastAsia"/>
          <w:sz w:val="24"/>
        </w:rPr>
        <w:t>清洗风机外壳、叶轮，彻底清除灰尘、油污，叶轮动平衡良好，运行无抖动；</w:t>
      </w:r>
    </w:p>
    <w:p w14:paraId="75C7FA77">
      <w:pPr>
        <w:spacing w:line="360" w:lineRule="auto"/>
        <w:ind w:firstLine="448" w:firstLineChars="200"/>
        <w:jc w:val="left"/>
        <w:outlineLvl w:val="0"/>
        <w:rPr>
          <w:sz w:val="24"/>
        </w:rPr>
      </w:pPr>
      <w:r>
        <w:rPr>
          <w:rFonts w:hint="eastAsia"/>
          <w:sz w:val="24"/>
        </w:rPr>
        <w:t>清洗进出风口、过滤网，更换老化、破损滤网；</w:t>
      </w:r>
    </w:p>
    <w:p w14:paraId="7EC8CB27">
      <w:pPr>
        <w:spacing w:line="360" w:lineRule="auto"/>
        <w:ind w:firstLine="448" w:firstLineChars="200"/>
        <w:jc w:val="left"/>
        <w:outlineLvl w:val="0"/>
        <w:rPr>
          <w:sz w:val="24"/>
        </w:rPr>
      </w:pPr>
      <w:r>
        <w:rPr>
          <w:rFonts w:hint="eastAsia"/>
          <w:sz w:val="24"/>
        </w:rPr>
        <w:t>清理风机箱体内部杂物，对内部进行消毒处理；</w:t>
      </w:r>
    </w:p>
    <w:p w14:paraId="5F913093">
      <w:pPr>
        <w:spacing w:line="360" w:lineRule="auto"/>
        <w:ind w:firstLine="448" w:firstLineChars="200"/>
        <w:jc w:val="left"/>
        <w:outlineLvl w:val="0"/>
        <w:rPr>
          <w:sz w:val="24"/>
        </w:rPr>
      </w:pPr>
      <w:r>
        <w:rPr>
          <w:rFonts w:hint="eastAsia"/>
          <w:sz w:val="24"/>
        </w:rPr>
        <w:t>检查电机运行状态，清洗后风机风量、风压恢复正常，能耗降低。</w:t>
      </w:r>
    </w:p>
    <w:p w14:paraId="595E42F0">
      <w:pPr>
        <w:spacing w:line="360" w:lineRule="auto"/>
        <w:ind w:firstLine="448" w:firstLineChars="200"/>
        <w:jc w:val="left"/>
        <w:outlineLvl w:val="0"/>
        <w:rPr>
          <w:sz w:val="24"/>
        </w:rPr>
      </w:pPr>
      <w:r>
        <w:rPr>
          <w:rFonts w:hint="eastAsia"/>
          <w:sz w:val="24"/>
        </w:rPr>
        <w:t>（4）吊式主风机风箱（4台）</w:t>
      </w:r>
    </w:p>
    <w:p w14:paraId="780802DE">
      <w:pPr>
        <w:spacing w:line="360" w:lineRule="auto"/>
        <w:ind w:firstLine="448" w:firstLineChars="200"/>
        <w:jc w:val="left"/>
        <w:outlineLvl w:val="0"/>
        <w:rPr>
          <w:sz w:val="24"/>
        </w:rPr>
      </w:pPr>
      <w:r>
        <w:rPr>
          <w:rFonts w:hint="eastAsia"/>
          <w:sz w:val="24"/>
        </w:rPr>
        <w:t>打开风箱检修口，清理内部积尘、杂物，擦拭风箱内壁；</w:t>
      </w:r>
    </w:p>
    <w:p w14:paraId="507CD343">
      <w:pPr>
        <w:spacing w:line="360" w:lineRule="auto"/>
        <w:ind w:firstLine="448" w:firstLineChars="200"/>
        <w:jc w:val="left"/>
        <w:outlineLvl w:val="0"/>
        <w:rPr>
          <w:sz w:val="24"/>
        </w:rPr>
      </w:pPr>
      <w:r>
        <w:rPr>
          <w:rFonts w:hint="eastAsia"/>
          <w:sz w:val="24"/>
        </w:rPr>
        <w:t>清洗风箱出风口百叶、滤网，消毒杀菌；</w:t>
      </w:r>
    </w:p>
    <w:p w14:paraId="51EED951">
      <w:pPr>
        <w:spacing w:line="360" w:lineRule="auto"/>
        <w:ind w:firstLine="448" w:firstLineChars="200"/>
        <w:jc w:val="left"/>
        <w:outlineLvl w:val="0"/>
        <w:rPr>
          <w:sz w:val="24"/>
        </w:rPr>
      </w:pPr>
      <w:r>
        <w:rPr>
          <w:rFonts w:hint="eastAsia"/>
          <w:sz w:val="24"/>
        </w:rPr>
        <w:t>检查风箱密封性能，清洗后关闭检修口，确保无漏风、无灰尘外泄。</w:t>
      </w:r>
    </w:p>
    <w:p w14:paraId="327F7DEF">
      <w:pPr>
        <w:spacing w:line="360" w:lineRule="auto"/>
        <w:ind w:firstLine="448" w:firstLineChars="200"/>
        <w:jc w:val="left"/>
        <w:outlineLvl w:val="0"/>
        <w:rPr>
          <w:sz w:val="24"/>
        </w:rPr>
      </w:pPr>
      <w:r>
        <w:rPr>
          <w:rFonts w:hint="eastAsia"/>
          <w:sz w:val="24"/>
        </w:rPr>
        <w:t>（5）柜机空调（25台）、吊顶空调（27台）、挂式空调（9台）、中央式（4台）</w:t>
      </w:r>
    </w:p>
    <w:p w14:paraId="647B1825">
      <w:pPr>
        <w:spacing w:line="360" w:lineRule="auto"/>
        <w:ind w:firstLine="448" w:firstLineChars="200"/>
        <w:jc w:val="left"/>
        <w:outlineLvl w:val="0"/>
        <w:rPr>
          <w:sz w:val="24"/>
        </w:rPr>
      </w:pPr>
      <w:r>
        <w:rPr>
          <w:rFonts w:hint="eastAsia"/>
          <w:sz w:val="24"/>
        </w:rPr>
        <w:t>柜机：清洗过滤网、蒸发器、冷凝器、风机、接水盘，清理外机散热片灰尘（如需），确保制冷/制热效率正常，排水通畅；</w:t>
      </w:r>
    </w:p>
    <w:p w14:paraId="5AF57F50">
      <w:pPr>
        <w:spacing w:line="360" w:lineRule="auto"/>
        <w:ind w:firstLine="448" w:firstLineChars="200"/>
        <w:jc w:val="left"/>
        <w:outlineLvl w:val="0"/>
        <w:rPr>
          <w:sz w:val="24"/>
        </w:rPr>
      </w:pPr>
      <w:r>
        <w:rPr>
          <w:rFonts w:hint="eastAsia"/>
          <w:sz w:val="24"/>
        </w:rPr>
        <w:t>吊顶空调：清洗回风滤网、蒸发器、风机叶轮、出风口，疏通冷凝水排水系统，清除接水盘污垢，运行无噪音、无异味；</w:t>
      </w:r>
    </w:p>
    <w:p w14:paraId="64FCBD3A">
      <w:pPr>
        <w:spacing w:line="360" w:lineRule="auto"/>
        <w:ind w:firstLine="448" w:firstLineChars="200"/>
        <w:jc w:val="left"/>
        <w:outlineLvl w:val="0"/>
        <w:rPr>
          <w:sz w:val="24"/>
        </w:rPr>
      </w:pPr>
      <w:r>
        <w:rPr>
          <w:rFonts w:hint="eastAsia"/>
          <w:sz w:val="24"/>
        </w:rPr>
        <w:t>所有独立空调清洗后通电调试，运行参数正常，出风口洁净无异味。</w:t>
      </w:r>
    </w:p>
    <w:p w14:paraId="1C925754">
      <w:pPr>
        <w:spacing w:line="360" w:lineRule="auto"/>
        <w:ind w:firstLine="448" w:firstLineChars="200"/>
        <w:jc w:val="left"/>
        <w:outlineLvl w:val="0"/>
        <w:rPr>
          <w:sz w:val="24"/>
        </w:rPr>
      </w:pPr>
      <w:r>
        <w:rPr>
          <w:rFonts w:hint="eastAsia"/>
          <w:sz w:val="24"/>
        </w:rPr>
        <w:t>（6）侧墙+地面出风口</w:t>
      </w:r>
    </w:p>
    <w:p w14:paraId="03D0D8FC">
      <w:pPr>
        <w:spacing w:line="360" w:lineRule="auto"/>
        <w:ind w:firstLine="448" w:firstLineChars="200"/>
        <w:jc w:val="left"/>
        <w:outlineLvl w:val="0"/>
        <w:rPr>
          <w:sz w:val="24"/>
        </w:rPr>
      </w:pPr>
      <w:r>
        <w:rPr>
          <w:rFonts w:hint="eastAsia"/>
          <w:sz w:val="24"/>
        </w:rPr>
        <w:t>全面拆卸所有侧墙、地面出风口百叶，浸泡清洗，清除灰尘、油污、杂物；</w:t>
      </w:r>
    </w:p>
    <w:p w14:paraId="4C88A6F0">
      <w:pPr>
        <w:spacing w:line="360" w:lineRule="auto"/>
        <w:ind w:firstLine="448" w:firstLineChars="200"/>
        <w:jc w:val="left"/>
        <w:outlineLvl w:val="0"/>
        <w:rPr>
          <w:sz w:val="24"/>
        </w:rPr>
      </w:pPr>
      <w:r>
        <w:rPr>
          <w:rFonts w:hint="eastAsia"/>
          <w:sz w:val="24"/>
        </w:rPr>
        <w:t>擦拭出风口边框，无污渍、无霉斑，复位后安装牢固，出风顺畅，无漏风。</w:t>
      </w:r>
    </w:p>
    <w:p w14:paraId="5E6913A5">
      <w:pPr>
        <w:spacing w:line="360" w:lineRule="auto"/>
        <w:ind w:firstLine="448" w:firstLineChars="200"/>
        <w:jc w:val="left"/>
        <w:outlineLvl w:val="0"/>
        <w:rPr>
          <w:sz w:val="24"/>
        </w:rPr>
      </w:pPr>
      <w:r>
        <w:rPr>
          <w:rFonts w:hint="eastAsia"/>
          <w:sz w:val="24"/>
        </w:rPr>
        <w:t>3、安全环保要求</w:t>
      </w:r>
    </w:p>
    <w:p w14:paraId="1127C6FB">
      <w:pPr>
        <w:spacing w:line="360" w:lineRule="auto"/>
        <w:ind w:firstLine="448" w:firstLineChars="200"/>
        <w:jc w:val="left"/>
        <w:outlineLvl w:val="0"/>
        <w:rPr>
          <w:sz w:val="24"/>
        </w:rPr>
      </w:pPr>
      <w:r>
        <w:rPr>
          <w:rFonts w:hint="eastAsia"/>
          <w:sz w:val="24"/>
        </w:rPr>
        <w:t>①高空作业（吊顶、高处风箱、风机）严格遵守高空作业安全规范，佩戴安全绳、安全帽，做好防护措施，杜绝安全事故；</w:t>
      </w:r>
    </w:p>
    <w:p w14:paraId="1909FBD6">
      <w:pPr>
        <w:spacing w:line="360" w:lineRule="auto"/>
        <w:ind w:firstLine="448" w:firstLineChars="200"/>
        <w:jc w:val="left"/>
        <w:outlineLvl w:val="0"/>
        <w:rPr>
          <w:sz w:val="24"/>
        </w:rPr>
      </w:pPr>
      <w:r>
        <w:rPr>
          <w:rFonts w:hint="eastAsia"/>
          <w:sz w:val="24"/>
        </w:rPr>
        <w:t>②清洗污水统一收集处理，不得随意泼洒，接入指定排水口，废弃滤网、杂物分类打包，按规定清运；</w:t>
      </w:r>
    </w:p>
    <w:p w14:paraId="57CA7242">
      <w:pPr>
        <w:spacing w:line="360" w:lineRule="auto"/>
        <w:ind w:firstLine="448" w:firstLineChars="200"/>
        <w:jc w:val="left"/>
        <w:outlineLvl w:val="0"/>
        <w:rPr>
          <w:sz w:val="24"/>
        </w:rPr>
      </w:pPr>
      <w:r>
        <w:rPr>
          <w:rFonts w:hint="eastAsia"/>
          <w:sz w:val="24"/>
        </w:rPr>
        <w:t>③施工期间做好用电安全管理，严禁违规操作，避免损坏甲方设备、设施，若因施工造成损坏，施工方全额赔偿；</w:t>
      </w:r>
    </w:p>
    <w:p w14:paraId="11C68D35">
      <w:pPr>
        <w:spacing w:line="360" w:lineRule="auto"/>
        <w:ind w:firstLine="448" w:firstLineChars="200"/>
        <w:jc w:val="left"/>
        <w:outlineLvl w:val="0"/>
        <w:rPr>
          <w:sz w:val="24"/>
        </w:rPr>
      </w:pPr>
      <w:r>
        <w:rPr>
          <w:rFonts w:hint="eastAsia"/>
          <w:sz w:val="24"/>
        </w:rPr>
        <w:t>④施工方须购买施工责任险、意外险，承担施工期间所有安全责任。</w:t>
      </w:r>
    </w:p>
    <w:p w14:paraId="511A0A98">
      <w:pPr>
        <w:spacing w:line="360" w:lineRule="auto"/>
        <w:ind w:firstLine="448" w:firstLineChars="200"/>
        <w:jc w:val="left"/>
        <w:outlineLvl w:val="0"/>
        <w:rPr>
          <w:sz w:val="24"/>
        </w:rPr>
      </w:pPr>
      <w:r>
        <w:rPr>
          <w:rFonts w:hint="eastAsia"/>
          <w:sz w:val="24"/>
        </w:rPr>
        <w:t>⑤施工期间，甲方提供施工所需水电接口，水电费用由施工方承担。</w:t>
      </w:r>
    </w:p>
    <w:p w14:paraId="36A77243">
      <w:pPr>
        <w:spacing w:line="360" w:lineRule="auto"/>
        <w:ind w:firstLine="448" w:firstLineChars="200"/>
        <w:jc w:val="left"/>
        <w:outlineLvl w:val="0"/>
        <w:rPr>
          <w:sz w:val="24"/>
        </w:rPr>
      </w:pPr>
      <w:r>
        <w:rPr>
          <w:rFonts w:hint="eastAsia"/>
          <w:sz w:val="24"/>
        </w:rPr>
        <w:t>（五）质保与售后服务</w:t>
      </w:r>
    </w:p>
    <w:p w14:paraId="29453DC4">
      <w:pPr>
        <w:spacing w:line="360" w:lineRule="auto"/>
        <w:ind w:firstLine="448" w:firstLineChars="200"/>
        <w:jc w:val="left"/>
        <w:outlineLvl w:val="0"/>
        <w:rPr>
          <w:sz w:val="24"/>
        </w:rPr>
      </w:pPr>
      <w:r>
        <w:rPr>
          <w:rFonts w:hint="eastAsia"/>
          <w:sz w:val="24"/>
        </w:rPr>
        <w:t>质保期限：自验收合格之日起，提供6个月质保期，质保期内针对本次清洗内容提供免费售后；</w:t>
      </w:r>
    </w:p>
    <w:p w14:paraId="6138540E">
      <w:pPr>
        <w:spacing w:line="360" w:lineRule="auto"/>
        <w:ind w:firstLine="448" w:firstLineChars="200"/>
        <w:jc w:val="left"/>
        <w:outlineLvl w:val="0"/>
        <w:rPr>
          <w:sz w:val="24"/>
        </w:rPr>
      </w:pPr>
      <w:r>
        <w:rPr>
          <w:rFonts w:hint="eastAsia"/>
          <w:sz w:val="24"/>
        </w:rPr>
        <w:t>质保范围：质保期内，若因清洗不到位导致出风口异味、设备积尘复发、排水堵塞、风量不足等问题，施工方须在24小时内响应，48小时内免费上门整改；</w:t>
      </w:r>
    </w:p>
    <w:p w14:paraId="5F882FAC">
      <w:pPr>
        <w:spacing w:line="360" w:lineRule="auto"/>
        <w:ind w:firstLine="448" w:firstLineChars="200"/>
        <w:jc w:val="left"/>
        <w:outlineLvl w:val="0"/>
        <w:rPr>
          <w:sz w:val="24"/>
        </w:rPr>
      </w:pPr>
      <w:r>
        <w:rPr>
          <w:rFonts w:hint="eastAsia"/>
          <w:sz w:val="24"/>
        </w:rPr>
        <w:t>免费巡检：质保期内提供1次免费上门巡检服务，检查系统运行状态，指导甲方日常维护（如滤网清洁周期）；</w:t>
      </w:r>
    </w:p>
    <w:p w14:paraId="01FB9737">
      <w:pPr>
        <w:spacing w:line="360" w:lineRule="auto"/>
        <w:ind w:firstLine="448" w:firstLineChars="200"/>
        <w:jc w:val="left"/>
        <w:outlineLvl w:val="0"/>
        <w:rPr>
          <w:sz w:val="24"/>
        </w:rPr>
      </w:pPr>
      <w:r>
        <w:rPr>
          <w:rFonts w:hint="eastAsia"/>
          <w:sz w:val="24"/>
        </w:rPr>
        <w:t>技术咨询：提供7×24小时电话技术咨询服务，及时解答甲方空调新风系统维护疑问。</w:t>
      </w:r>
    </w:p>
    <w:p w14:paraId="792330AE">
      <w:pPr>
        <w:spacing w:line="360" w:lineRule="auto"/>
        <w:ind w:firstLine="448" w:firstLineChars="200"/>
        <w:jc w:val="left"/>
        <w:outlineLvl w:val="0"/>
        <w:rPr>
          <w:sz w:val="24"/>
        </w:rPr>
      </w:pPr>
      <w:r>
        <w:rPr>
          <w:rFonts w:hint="eastAsia"/>
          <w:sz w:val="24"/>
        </w:rPr>
        <w:t>三、违约责任</w:t>
      </w:r>
    </w:p>
    <w:p w14:paraId="4657C03C">
      <w:pPr>
        <w:spacing w:line="360" w:lineRule="auto"/>
        <w:ind w:firstLine="448" w:firstLineChars="200"/>
        <w:jc w:val="left"/>
        <w:outlineLvl w:val="0"/>
        <w:rPr>
          <w:sz w:val="24"/>
        </w:rPr>
      </w:pPr>
      <w:r>
        <w:rPr>
          <w:rFonts w:hint="eastAsia"/>
          <w:sz w:val="24"/>
        </w:rPr>
        <w:t>施工方未按约定工期完工，每逾期1个工作日，按总费用的0.5%支付违约金，逾期超过10个工作日，甲方有权解除合同，施工方退还已收款项，并赔偿甲方损失；</w:t>
      </w:r>
    </w:p>
    <w:p w14:paraId="05355141">
      <w:pPr>
        <w:spacing w:line="360" w:lineRule="auto"/>
        <w:ind w:firstLine="448" w:firstLineChars="200"/>
        <w:jc w:val="left"/>
        <w:outlineLvl w:val="0"/>
        <w:rPr>
          <w:sz w:val="24"/>
        </w:rPr>
      </w:pPr>
      <w:r>
        <w:rPr>
          <w:rFonts w:hint="eastAsia"/>
          <w:sz w:val="24"/>
        </w:rPr>
        <w:t>清洗质量未达标，整改后仍不合格的，甲方有权扣除20%-30%总费用，由此造成的损失由施工方承担；</w:t>
      </w:r>
    </w:p>
    <w:p w14:paraId="08830AC0">
      <w:pPr>
        <w:spacing w:line="360" w:lineRule="auto"/>
        <w:ind w:firstLine="448" w:firstLineChars="200"/>
        <w:jc w:val="left"/>
        <w:outlineLvl w:val="0"/>
        <w:rPr>
          <w:sz w:val="24"/>
        </w:rPr>
      </w:pPr>
      <w:r>
        <w:rPr>
          <w:rFonts w:hint="eastAsia"/>
          <w:sz w:val="24"/>
        </w:rPr>
        <w:t>施工方违规操作造成甲方设备、设施损坏的，须在3个工作日内全额赔偿；</w:t>
      </w:r>
    </w:p>
    <w:p w14:paraId="1FB52B4B">
      <w:pPr>
        <w:spacing w:line="360" w:lineRule="auto"/>
        <w:ind w:firstLine="448" w:firstLineChars="200"/>
        <w:jc w:val="left"/>
        <w:outlineLvl w:val="0"/>
        <w:rPr>
          <w:sz w:val="24"/>
        </w:rPr>
      </w:pPr>
      <w:r>
        <w:rPr>
          <w:rFonts w:hint="eastAsia"/>
          <w:sz w:val="24"/>
        </w:rPr>
        <w:t>甲方未按约定支付费用，每逾期1个工作日，按应付金额的0.5%支付违约金。</w:t>
      </w:r>
    </w:p>
    <w:p w14:paraId="7B3934B4">
      <w:pPr>
        <w:pStyle w:val="12"/>
        <w:rPr>
          <w:rFonts w:ascii="Times New Roman" w:hAnsi="Times New Roman"/>
        </w:rPr>
      </w:pPr>
      <w:r>
        <w:rPr>
          <w:sz w:val="24"/>
          <w:szCs w:val="24"/>
        </w:rPr>
        <w:br w:type="page"/>
      </w:r>
      <w:r>
        <w:rPr>
          <w:rFonts w:ascii="Times New Roman" w:hAnsi="Times New Roman"/>
        </w:rPr>
        <w:t>第三部分  供应商须知</w:t>
      </w:r>
    </w:p>
    <w:p w14:paraId="0ED9B627">
      <w:pPr>
        <w:pStyle w:val="27"/>
        <w:spacing w:line="360" w:lineRule="auto"/>
        <w:jc w:val="center"/>
        <w:rPr>
          <w:rFonts w:ascii="Times New Roman" w:hAnsi="Times New Roman" w:eastAsia="宋体" w:cs="Times New Roman"/>
          <w:color w:val="auto"/>
        </w:rPr>
      </w:pPr>
    </w:p>
    <w:p w14:paraId="530DEE27">
      <w:pPr>
        <w:pStyle w:val="27"/>
        <w:spacing w:line="360" w:lineRule="auto"/>
        <w:jc w:val="center"/>
        <w:rPr>
          <w:rFonts w:ascii="Times New Roman" w:hAnsi="Times New Roman" w:eastAsia="宋体" w:cs="Times New Roman"/>
          <w:color w:val="auto"/>
        </w:rPr>
      </w:pPr>
      <w:r>
        <w:rPr>
          <w:rFonts w:hint="eastAsia" w:ascii="宋体" w:hAnsi="宋体" w:eastAsia="宋体" w:cs="宋体"/>
          <w:color w:val="auto"/>
        </w:rPr>
        <w:t>A  说明</w:t>
      </w:r>
    </w:p>
    <w:p w14:paraId="60E1C8C4">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 概述</w:t>
      </w:r>
    </w:p>
    <w:p w14:paraId="17F6DBD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1.1 根据《中华人民共和国政府采购法》、《中华人民共和国政府采购法实施条例》等有关法律、法规和规章的规定，本采购项目已具备竞争性谈判条件。</w:t>
      </w:r>
    </w:p>
    <w:p w14:paraId="19586487">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1.2 本竞争性谈判文件仅适用于谈判邀请函中所叙述项目货物和服务的采购。</w:t>
      </w:r>
    </w:p>
    <w:p w14:paraId="1D70ECA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1.3 参与谈判活动的所有各方，对在参与谈判过程中获悉的国家、商业和技术秘密以及其它依法应当保密的内容，均负有保密义务，违者应对由此造成的后果承担全部法律责任。</w:t>
      </w:r>
    </w:p>
    <w:p w14:paraId="249D1B31">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 定义</w:t>
      </w:r>
    </w:p>
    <w:p w14:paraId="1C83A430">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2.1 “采购人”系指本次谈判活动的采购单位。“采购代理机构”系指组织本次谈判活动的机构，即“天津市政府采购中心”。</w:t>
      </w:r>
    </w:p>
    <w:p w14:paraId="208DB39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 xml:space="preserve">2.2 </w:t>
      </w:r>
      <w:r>
        <w:rPr>
          <w:rFonts w:ascii="宋体" w:hAnsi="宋体" w:eastAsia="宋体" w:cs="宋体"/>
          <w:color w:val="auto"/>
        </w:rPr>
        <w:t>“投标人”和“供应商”</w:t>
      </w:r>
      <w:r>
        <w:rPr>
          <w:rFonts w:hint="eastAsia" w:ascii="宋体" w:hAnsi="宋体" w:eastAsia="宋体" w:cs="宋体"/>
          <w:color w:val="auto"/>
        </w:rPr>
        <w:t>系指向采购代理机构提交响应文件的供应商。</w:t>
      </w:r>
    </w:p>
    <w:p w14:paraId="27CC1E45">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2.3 “货物”系指各种形态和种类的物品，包括原材料、燃料、设备、产品等；“工程”系指建设工程，包括建筑物和构筑物的新建、改建、扩建、装修、拆除、修缮等；“服务”系指除货物和工程以外的其他政府采购对象。</w:t>
      </w:r>
    </w:p>
    <w:p w14:paraId="2A5A7404">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 解释权</w:t>
      </w:r>
    </w:p>
    <w:p w14:paraId="3B232ADB">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3.1 本次谈判的最终解释权归为采购人、采购代理机构。</w:t>
      </w:r>
    </w:p>
    <w:p w14:paraId="3D1BBA22">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3.2 本文件未作须知明示，而又有相关法律、法规规定的，采购人、采购代理机构将对此解释为依据有关法律、法规的规定。</w:t>
      </w:r>
    </w:p>
    <w:p w14:paraId="67C95DD3">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4. 合格的供应商</w:t>
      </w:r>
    </w:p>
    <w:p w14:paraId="3A5A914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4.1 符合《中华人民共和国政府采购法》第二十二条供应商参加政府采购活动应当具备的条件及其他有关法律、法规关于供应商的有关规定，有能力提供谈判采购货物及服务的供应商。</w:t>
      </w:r>
    </w:p>
    <w:p w14:paraId="64AD027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4.2 符合《谈判邀请函》中关于供应商资格要求（实质性要求）的规定。</w:t>
      </w:r>
    </w:p>
    <w:p w14:paraId="6C0C60BD">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4.3 关于联合体参与谈判</w:t>
      </w:r>
    </w:p>
    <w:p w14:paraId="60FE39D3">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《谈判邀请函》接受联合体参与谈判的：</w:t>
      </w:r>
    </w:p>
    <w:p w14:paraId="5AD58DBA">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（1）两个以上的自然人、法人或者其他组织可以组成一个联合体，以一个供应商的身份共同参加政府采购。</w:t>
      </w:r>
    </w:p>
    <w:p w14:paraId="1467A1C7">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联合体各方均应当符合《中华人民共和国政府采购法》第二十二条第一款规定的条件，根据采购项目的特殊要求规定供应商特定条件的，联合体各方中至少应当有一方符合《谈判邀请函》规定的供应商资格条件（实质性要求）。</w:t>
      </w:r>
    </w:p>
    <w:p w14:paraId="29DB6826">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（3）联合体各方之间应当签订共同投标协议并在响应文件内提交，明确约定联合体主体及联合体各方承担的工作和相应的责任。联合体各方签订共同投标协议后，</w:t>
      </w:r>
      <w:r>
        <w:rPr>
          <w:rFonts w:ascii="宋体" w:hAnsi="宋体" w:eastAsia="宋体" w:cs="宋体"/>
        </w:rPr>
        <w:t>不得再以自己名义单独在</w:t>
      </w:r>
      <w:r>
        <w:rPr>
          <w:rFonts w:hint="eastAsia" w:ascii="宋体" w:hAnsi="宋体" w:eastAsia="宋体" w:cs="宋体"/>
        </w:rPr>
        <w:t>同一合同项下</w:t>
      </w:r>
      <w:r>
        <w:rPr>
          <w:rFonts w:ascii="宋体" w:hAnsi="宋体" w:eastAsia="宋体" w:cs="宋体"/>
        </w:rPr>
        <w:t>投标，也不得组成新的联合体参加同一</w:t>
      </w:r>
      <w:r>
        <w:rPr>
          <w:rFonts w:hint="eastAsia" w:ascii="宋体" w:hAnsi="宋体" w:eastAsia="宋体" w:cs="宋体"/>
        </w:rPr>
        <w:t>合同</w:t>
      </w:r>
      <w:r>
        <w:rPr>
          <w:rFonts w:ascii="宋体" w:hAnsi="宋体" w:eastAsia="宋体" w:cs="宋体"/>
        </w:rPr>
        <w:t>项下的投标。</w:t>
      </w:r>
    </w:p>
    <w:p w14:paraId="7227DACF">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（4）</w:t>
      </w:r>
      <w:r>
        <w:rPr>
          <w:rFonts w:hint="eastAsia" w:ascii="宋体" w:hAnsi="宋体" w:eastAsia="宋体" w:cs="宋体"/>
        </w:rPr>
        <w:t>下载竞争性谈判文件时，应以联合体协议中确定的主体方名义下载。</w:t>
      </w:r>
    </w:p>
    <w:p w14:paraId="4759A797">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（5）联合体参与谈判的，可以由联合体中的一方或者多方共同交纳保证金，其交纳的保证金对联合体各方均具有约束力。</w:t>
      </w:r>
    </w:p>
    <w:p w14:paraId="53CF633B">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6C6CEA2A">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（7）联合体中任意一方为中小企业的，该方应提供《中小企业声明函》。</w:t>
      </w:r>
    </w:p>
    <w:p w14:paraId="65A4E1A9">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（8）联合体各方应当共同与采购人签订采购合同，就采购合同约定的事项对采购人承担连带责任。</w:t>
      </w:r>
    </w:p>
    <w:p w14:paraId="1C31C648">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4.4 关于关联企业</w:t>
      </w:r>
    </w:p>
    <w:p w14:paraId="3C322B24">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除联合体外，法定代表人或单位负责人为同一个人或者存在直接控股、管理关系的不同供应商，</w:t>
      </w:r>
      <w:r>
        <w:rPr>
          <w:rFonts w:ascii="宋体" w:hAnsi="宋体" w:eastAsia="宋体" w:cs="宋体"/>
        </w:rPr>
        <w:t>不得同时参加同一</w:t>
      </w:r>
      <w:r>
        <w:rPr>
          <w:rFonts w:hint="eastAsia" w:ascii="宋体" w:hAnsi="宋体" w:eastAsia="宋体" w:cs="宋体"/>
        </w:rPr>
        <w:t>合同</w:t>
      </w:r>
      <w:r>
        <w:rPr>
          <w:rFonts w:ascii="宋体" w:hAnsi="宋体" w:eastAsia="宋体" w:cs="宋体"/>
        </w:rPr>
        <w:t>项下的谈判</w:t>
      </w:r>
      <w:r>
        <w:rPr>
          <w:rFonts w:hint="eastAsia" w:ascii="宋体" w:hAnsi="宋体" w:eastAsia="宋体" w:cs="宋体"/>
          <w:color w:val="auto"/>
        </w:rPr>
        <w:t>。如同时参加，则评审时将同时被拒绝。</w:t>
      </w:r>
    </w:p>
    <w:p w14:paraId="58A0C50C">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4.5 关于分公司参与谈判</w:t>
      </w:r>
    </w:p>
    <w:p w14:paraId="6D5E92F8">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04321343">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4.6 关于提供前期服务的供应商</w:t>
      </w:r>
    </w:p>
    <w:p w14:paraId="6D30E2D8">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为采购项目提供整体设计、规范编制或者项目管理、监理、检测等服务的供应商，不得再参加该采购项目的其他采购活动。</w:t>
      </w:r>
    </w:p>
    <w:p w14:paraId="2061A7B6">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4.7 关于中小微企业参与谈判</w:t>
      </w:r>
    </w:p>
    <w:p w14:paraId="17BD8E1F">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中小微企业是指符合《政府采购促进中小企业发展管理办法》（财库[2020]46号）规定的供应商。中小微企业参与谈判应提供《中小企业声明函》。</w:t>
      </w:r>
    </w:p>
    <w:p w14:paraId="58C563C4">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C98F16B">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根据《财政部 民政部 中国残疾人联合会关于促进残疾人就业政府采购政策的通知》（财库〔2017〕141号）的规定，残疾人福利性单位视同为小型、微型企业。</w:t>
      </w:r>
    </w:p>
    <w:p w14:paraId="41005472">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5. 合格的货物和相关服务</w:t>
      </w:r>
    </w:p>
    <w:p w14:paraId="4AA7FDA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14:paraId="7E1CE625">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5.2 除《谈判项目需求》有特殊规定外，供应商提供的货物应当是全新的、未使用过的，货物和相关服务应当符合竞争性谈判文件的要求，并且其质量完全符合国家标准、行业标准或地方标准。</w:t>
      </w:r>
    </w:p>
    <w:p w14:paraId="67FFA98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5.3 供应商应当说明投标货物的来源地，如投标的货物非供应商生产或制造的，则交货时有义务提供其从合法途径获得该货物的相关证明。</w:t>
      </w:r>
    </w:p>
    <w:p w14:paraId="0F0B8534">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5.4 系统软件、通用软件必须是具有在中国境内的合法使用权或版权的正版软件，涉及到第三方提出侵权或知识产权的起诉及支付版税等费用由供应商承担所有责任及费用。</w:t>
      </w:r>
    </w:p>
    <w:p w14:paraId="1246022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6. 谈判费用</w:t>
      </w:r>
    </w:p>
    <w:p w14:paraId="1D2897F7">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无论谈判过程中的做法和结果如何，供应商自行承担所有与参加谈判有关的费用。</w:t>
      </w:r>
    </w:p>
    <w:p w14:paraId="2BC6DEA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7. 信息发布</w:t>
      </w:r>
    </w:p>
    <w:p w14:paraId="61EB3717">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本项目需要公开的有关信息，包括采购信息公告、更正公告、成交结果公告、终止公告等与谈判活动有关的通知，采购人、采购代理机构均将通过“</w:t>
      </w:r>
      <w:r>
        <w:rPr>
          <w:rFonts w:ascii="宋体" w:hAnsi="宋体" w:eastAsia="宋体" w:cs="宋体"/>
          <w:color w:val="auto"/>
        </w:rPr>
        <w:t>天津市政府采购网（http://tjgp.cz.tj.gov.cn）</w:t>
      </w:r>
      <w:r>
        <w:rPr>
          <w:rFonts w:hint="eastAsia" w:ascii="宋体" w:hAnsi="宋体" w:eastAsia="宋体" w:cs="宋体"/>
          <w:color w:val="auto"/>
        </w:rPr>
        <w:t>”和“</w:t>
      </w:r>
      <w:r>
        <w:rPr>
          <w:rFonts w:ascii="宋体" w:hAnsi="宋体" w:eastAsia="宋体" w:cs="宋体"/>
          <w:color w:val="auto"/>
        </w:rPr>
        <w:t>天津市政府采购</w:t>
      </w:r>
      <w:r>
        <w:rPr>
          <w:rFonts w:hint="eastAsia" w:ascii="宋体" w:hAnsi="宋体" w:eastAsia="宋体" w:cs="宋体"/>
          <w:color w:val="auto"/>
        </w:rPr>
        <w:t>中心</w:t>
      </w:r>
      <w:r>
        <w:rPr>
          <w:rFonts w:ascii="宋体" w:hAnsi="宋体" w:eastAsia="宋体" w:cs="宋体"/>
          <w:color w:val="auto"/>
        </w:rPr>
        <w:t>网（（http://tjgpc.zwfwb.tj.gov.cn）</w:t>
      </w:r>
      <w:r>
        <w:rPr>
          <w:rFonts w:hint="eastAsia" w:ascii="宋体" w:hAnsi="宋体" w:eastAsia="宋体" w:cs="宋体"/>
          <w:color w:val="auto"/>
        </w:rPr>
        <w:t>”公开发布。供应商在参与本采购项目谈判活动期间，请及时关注上述媒体和天津市政府采购中心招投标系统“查看项目文件”的相关信息。因没有及时关注而未能如期获取相关信息，供应商自行</w:t>
      </w:r>
      <w:r>
        <w:rPr>
          <w:rFonts w:ascii="宋体" w:hAnsi="宋体" w:eastAsia="宋体" w:cs="宋体"/>
          <w:color w:val="auto"/>
        </w:rPr>
        <w:t>承担由此可能产生的风险。</w:t>
      </w:r>
    </w:p>
    <w:p w14:paraId="0B2AA3C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8. 询问与质疑</w:t>
      </w:r>
    </w:p>
    <w:p w14:paraId="76B95DC8">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388371DB">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8.2 询问</w:t>
      </w:r>
    </w:p>
    <w:p w14:paraId="6C190F36">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（1）询问可以采取电话、当面或书面等形式。</w:t>
      </w:r>
    </w:p>
    <w:p w14:paraId="0860163E">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（2）采购人应当自收到供应商询问之日起3个工作日内作出答复，但答复的内容不得涉及商业秘密或者依法应当保密的内容。</w:t>
      </w:r>
    </w:p>
    <w:p w14:paraId="12B07E95">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8.3 质疑</w:t>
      </w:r>
    </w:p>
    <w:p w14:paraId="41BCF6A5">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（1）提出质疑的供应商应当是参与所质疑项目采购活动的供应商。</w:t>
      </w:r>
    </w:p>
    <w:p w14:paraId="076B80EE">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43A6E0A3">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针对采购结果的质疑，供应商可通过天津市政府采购中心招投标系统“质疑”模块在线提出。</w:t>
      </w:r>
    </w:p>
    <w:p w14:paraId="137ABBEF">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4923AAB8">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07A4CF5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8.4 针对询问或质疑的答复内容需要修改采购文件的，其修改内容应当以天津市政府采购网发布的更正公告为准。</w:t>
      </w:r>
    </w:p>
    <w:p w14:paraId="3206099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9. 其他</w:t>
      </w:r>
    </w:p>
    <w:p w14:paraId="00AA5C5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本《供应商须知》的条款如与《谈判邀请函》、《谈判项目需求》就同一内容的表述不一致的，以《谈判邀请函》、《谈判项目需求》中规定的内容为准。</w:t>
      </w:r>
    </w:p>
    <w:p w14:paraId="2436D378">
      <w:pPr>
        <w:pStyle w:val="27"/>
        <w:adjustRightInd/>
        <w:spacing w:line="360" w:lineRule="auto"/>
        <w:ind w:firstLine="448" w:firstLineChars="200"/>
        <w:jc w:val="both"/>
        <w:rPr>
          <w:rFonts w:ascii="Times New Roman" w:hAnsi="Times New Roman" w:eastAsia="宋体" w:cs="Times New Roman"/>
          <w:color w:val="auto"/>
        </w:rPr>
      </w:pPr>
    </w:p>
    <w:p w14:paraId="0FB1E28D">
      <w:pPr>
        <w:pStyle w:val="27"/>
        <w:adjustRightInd/>
        <w:spacing w:line="360" w:lineRule="auto"/>
        <w:ind w:firstLine="448" w:firstLineChars="200"/>
        <w:jc w:val="center"/>
        <w:rPr>
          <w:rFonts w:ascii="Times New Roman" w:hAnsi="Times New Roman" w:eastAsia="宋体" w:cs="Times New Roman"/>
          <w:color w:val="auto"/>
        </w:rPr>
      </w:pPr>
      <w:r>
        <w:rPr>
          <w:rFonts w:hint="eastAsia" w:ascii="宋体" w:hAnsi="宋体" w:eastAsia="宋体" w:cs="宋体"/>
          <w:color w:val="auto"/>
        </w:rPr>
        <w:t>B  竞争性谈判文件</w:t>
      </w:r>
    </w:p>
    <w:p w14:paraId="51336D1B">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10. 竞争性谈判文件的构成</w:t>
      </w:r>
    </w:p>
    <w:p w14:paraId="392D6F32">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10.1 竞争性谈判文件由下述部分组成：</w:t>
      </w:r>
    </w:p>
    <w:p w14:paraId="01DE5ABA">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（1）谈判邀请函；</w:t>
      </w:r>
    </w:p>
    <w:p w14:paraId="4381AFDC">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（2）谈判项目需求；</w:t>
      </w:r>
    </w:p>
    <w:p w14:paraId="3DDCEE9A">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（3）供应商须知；</w:t>
      </w:r>
    </w:p>
    <w:p w14:paraId="07780E38">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（4）合同草案；</w:t>
      </w:r>
    </w:p>
    <w:p w14:paraId="5217916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（5）响应文件格式；</w:t>
      </w:r>
    </w:p>
    <w:p w14:paraId="53D336E8">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（6）竞争性谈判文件的更正公告内容（如有）。</w:t>
      </w:r>
    </w:p>
    <w:p w14:paraId="0FBE15E1">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10.2 除非有特殊要求，竞争性谈判文件不单独提供谈判项目使用地的自然环境、气候条件、公用设施等情况，供应商被视为熟悉上述与履行合同有关的一切情况。</w:t>
      </w:r>
    </w:p>
    <w:p w14:paraId="3EAD8D3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10.3</w:t>
      </w:r>
      <w:r>
        <w:rPr>
          <w:rFonts w:ascii="宋体" w:hAnsi="宋体" w:eastAsia="宋体" w:cs="宋体"/>
          <w:color w:val="auto"/>
        </w:rPr>
        <w:t>加注“</w:t>
      </w:r>
      <w:r>
        <w:rPr>
          <w:rFonts w:hint="eastAsia" w:ascii="宋体" w:hAnsi="宋体" w:eastAsia="宋体" w:cs="宋体"/>
          <w:color w:val="auto"/>
        </w:rPr>
        <w:t>★</w:t>
      </w:r>
      <w:r>
        <w:rPr>
          <w:rFonts w:ascii="宋体" w:hAnsi="宋体" w:eastAsia="宋体" w:cs="宋体"/>
          <w:color w:val="auto"/>
        </w:rPr>
        <w:t>”号条款为不允许偏离的实质性要求，经</w:t>
      </w:r>
      <w:r>
        <w:rPr>
          <w:rFonts w:hint="eastAsia" w:ascii="宋体" w:hAnsi="宋体" w:eastAsia="宋体" w:cs="宋体"/>
          <w:color w:val="auto"/>
        </w:rPr>
        <w:t>谈判</w:t>
      </w:r>
      <w:r>
        <w:rPr>
          <w:rFonts w:ascii="宋体" w:hAnsi="宋体" w:eastAsia="宋体" w:cs="宋体"/>
          <w:color w:val="auto"/>
        </w:rPr>
        <w:t>小组判定任意一条加注“</w:t>
      </w:r>
      <w:r>
        <w:rPr>
          <w:rFonts w:hint="eastAsia" w:ascii="宋体" w:hAnsi="宋体" w:eastAsia="宋体" w:cs="宋体"/>
          <w:color w:val="auto"/>
        </w:rPr>
        <w:t>★</w:t>
      </w:r>
      <w:r>
        <w:rPr>
          <w:rFonts w:ascii="宋体" w:hAnsi="宋体" w:eastAsia="宋体" w:cs="宋体"/>
          <w:color w:val="auto"/>
        </w:rPr>
        <w:t>”号的条款出现偏离，视为无效投响应。</w:t>
      </w:r>
    </w:p>
    <w:p w14:paraId="77E4F51C">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10.4 竞争性谈判文件中涉及的参照品牌、型号仅起说明作用，并没有任何限制性，供应商在投标中可以选用其他替代品牌或型号，但这些替代要实质上优于或相当于谈判要求。</w:t>
      </w:r>
    </w:p>
    <w:p w14:paraId="02BFBA8B">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10.5 除竞争性谈判文件另有规定外，竞争性谈判文件中要求的每一项产品只允许一种产品投标，每一项产品的采购数量不允许变更。</w:t>
      </w:r>
    </w:p>
    <w:p w14:paraId="2CBF541A">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11. 竞争性谈判文件的澄清和修改</w:t>
      </w:r>
    </w:p>
    <w:p w14:paraId="222DFDEB">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11.1 提交首次响应文件截止之日前，采购人、采购代理机构需要对谈判文件进行补充或修改的，采购人、采购代理机构将会通过“天津市政府采购网”、“天津市政府采购中心网”以更正公告形式发布。</w:t>
      </w:r>
    </w:p>
    <w:p w14:paraId="7DDF28A8">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11.2 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应当在提交首次响应文件截止之日3个工作日前，以书面形式通知所有获取谈判文件的供应商；不足3个工作日的，采购人、采购代理机构应当顺延提交首次响应文件截止之日。</w:t>
      </w:r>
    </w:p>
    <w:p w14:paraId="670E8A2A">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11.3 更正公告一经在“天津市政府采购网”、“天津市政府采购中心网”发布，天津市政府采购中心招投标系统将自动发送通知至已获取竞争性谈判文件供应商的“查看项目文件”，视同已书面通知所有竞争性谈判文件的收受人。请参与项目的供应商及时关注更正公告，由此导致的风险由供应商自行承担，采购人、采购代理机构不承担任何责任。</w:t>
      </w:r>
    </w:p>
    <w:p w14:paraId="40F3B8C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11.4 更正公告的内容为竞争性谈判文件的组成部分。当竞争性谈判文件与更正公告就同一内容的表述不一致时，以最后发出的更正公告内容为准。</w:t>
      </w:r>
    </w:p>
    <w:p w14:paraId="1D42E3B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11.5 竞争性谈判文件的澄清、答复、修改或补充都应由采购代理机构以更正公告形式发布，除此以外的其他任何澄清、修改方式及澄清、修改内容均属无效，不得作为谈判的依据，由此导致的风险由供应商自行承担，采购人、采购代理机构不承担任何责任。</w:t>
      </w:r>
    </w:p>
    <w:p w14:paraId="6E52A39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12. 答疑会和现场考察</w:t>
      </w:r>
    </w:p>
    <w:p w14:paraId="650C1ED8">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12.1 采购人、采购代理机构召开答疑会的，供应商应按《谈判邀请函》规定的时间、地点参加答疑会。供应商如不参加，其风险由供应商自行承担，采购人、采购代理机构不承担任何责任。</w:t>
      </w:r>
    </w:p>
    <w:p w14:paraId="5FB0F3B3">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12.2 采购人、采购代理机构组织现场考察的，供应商按《谈判邀请函》规定的时间、地点参加现场考察活动。供应商如不参加，其风险由供应商自行承担，采购人、采购代理机构不承担任何责任。</w:t>
      </w:r>
    </w:p>
    <w:p w14:paraId="2B09E4F0">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12.3 采购人、采购代理机构在答疑会或现场考察中口头介绍的情况，除经“天津市政府采购网”、“天津市政府采购中心网”以更正公告的形式发布外，不构成对竞争性谈判文件的修改，不作为供应商编制响应文件的依据。</w:t>
      </w:r>
    </w:p>
    <w:p w14:paraId="1703E41C">
      <w:pPr>
        <w:pStyle w:val="27"/>
        <w:adjustRightInd/>
        <w:spacing w:line="360" w:lineRule="auto"/>
        <w:ind w:firstLine="448" w:firstLineChars="200"/>
        <w:jc w:val="both"/>
        <w:rPr>
          <w:rFonts w:ascii="Times New Roman" w:hAnsi="Times New Roman" w:eastAsia="宋体" w:cs="Times New Roman"/>
          <w:color w:val="auto"/>
        </w:rPr>
      </w:pPr>
    </w:p>
    <w:p w14:paraId="08188475">
      <w:pPr>
        <w:pStyle w:val="27"/>
        <w:adjustRightInd/>
        <w:spacing w:line="360" w:lineRule="auto"/>
        <w:jc w:val="center"/>
        <w:rPr>
          <w:rFonts w:ascii="Times New Roman" w:hAnsi="Times New Roman" w:eastAsia="宋体" w:cs="Times New Roman"/>
          <w:color w:val="auto"/>
        </w:rPr>
      </w:pPr>
      <w:r>
        <w:rPr>
          <w:rFonts w:hint="eastAsia" w:ascii="宋体" w:hAnsi="宋体" w:eastAsia="宋体" w:cs="宋体"/>
          <w:color w:val="auto"/>
        </w:rPr>
        <w:t>C  响应文件的编制</w:t>
      </w:r>
    </w:p>
    <w:p w14:paraId="4D3273A5">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13. 要求</w:t>
      </w:r>
    </w:p>
    <w:p w14:paraId="307CF0B5">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13.1 供应商应仔细阅读竞争性谈判文件的所有内容，按竞争性谈判文件要求编制响应文件，以使其投标对竞争性谈判文件做出实质性响应。否则，其响应文件可能被拒绝，供应商自行承担由此引起的风险和责任。</w:t>
      </w:r>
    </w:p>
    <w:p w14:paraId="04CAD33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13.2 供应商应根据谈判项目需求和响应文件格式编制响应文件，保证其真实有效，并承担相应的法律责任。</w:t>
      </w:r>
    </w:p>
    <w:p w14:paraId="7EA84690">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582AC35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14. 语言及计量单位</w:t>
      </w:r>
    </w:p>
    <w:p w14:paraId="5AEE053C">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14.1 供应商和采购代理机构就本项目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谈判小组有权拒绝其参与谈判。</w:t>
      </w:r>
    </w:p>
    <w:p w14:paraId="05608D6A">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14.2 除竞争性谈判文件中另有规定外，响应文件所使用的计量单位均应使用中华人民共和国法定计量单位。</w:t>
      </w:r>
    </w:p>
    <w:p w14:paraId="303B5DA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15. 响应文件格式</w:t>
      </w:r>
    </w:p>
    <w:p w14:paraId="15DE66EC">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15.1 供应商应按竞争性谈判文件第五部分提供的响应文件格式完整填写。因不按要求编制而引起系统无法检索、读取相关信息时，其后果由供应商自行承担。</w:t>
      </w:r>
    </w:p>
    <w:p w14:paraId="1528866C">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15.2 投标人可对本谈判文件所列的所有货物</w:t>
      </w:r>
      <w:r>
        <w:rPr>
          <w:rFonts w:hint="eastAsia" w:ascii="宋体" w:hAnsi="宋体" w:eastAsia="宋体" w:cs="宋体"/>
          <w:color w:val="auto"/>
        </w:rPr>
        <w:t>服务</w:t>
      </w:r>
      <w:r>
        <w:rPr>
          <w:rFonts w:ascii="宋体" w:hAnsi="宋体" w:eastAsia="宋体" w:cs="宋体"/>
          <w:color w:val="auto"/>
        </w:rPr>
        <w:t>进行</w:t>
      </w:r>
      <w:r>
        <w:rPr>
          <w:rFonts w:hint="eastAsia" w:ascii="宋体" w:hAnsi="宋体" w:eastAsia="宋体" w:cs="宋体"/>
          <w:color w:val="auto"/>
        </w:rPr>
        <w:t>响应</w:t>
      </w:r>
      <w:r>
        <w:rPr>
          <w:rFonts w:ascii="宋体" w:hAnsi="宋体" w:eastAsia="宋体" w:cs="宋体"/>
          <w:color w:val="auto"/>
        </w:rPr>
        <w:t>，也可只对其中一包或几包的货物</w:t>
      </w:r>
      <w:r>
        <w:rPr>
          <w:rFonts w:hint="eastAsia" w:ascii="宋体" w:hAnsi="宋体" w:eastAsia="宋体" w:cs="宋体"/>
          <w:color w:val="auto"/>
        </w:rPr>
        <w:t>服务响应</w:t>
      </w:r>
      <w:r>
        <w:rPr>
          <w:rFonts w:ascii="宋体" w:hAnsi="宋体" w:eastAsia="宋体" w:cs="宋体"/>
          <w:color w:val="auto"/>
        </w:rPr>
        <w:t>；若无特殊说明，每一包的内容不得分项</w:t>
      </w:r>
      <w:r>
        <w:rPr>
          <w:rFonts w:hint="eastAsia" w:ascii="宋体" w:hAnsi="宋体" w:eastAsia="宋体" w:cs="宋体"/>
          <w:color w:val="auto"/>
        </w:rPr>
        <w:t>响应</w:t>
      </w:r>
      <w:r>
        <w:rPr>
          <w:rFonts w:ascii="宋体" w:hAnsi="宋体" w:eastAsia="宋体" w:cs="宋体"/>
          <w:color w:val="auto"/>
        </w:rPr>
        <w:t>，原则上按照整包确定成交供应商。</w:t>
      </w:r>
    </w:p>
    <w:p w14:paraId="1FAF3E0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15.3 如投标多个包的，要求按包分别独立制作响应文件。</w:t>
      </w:r>
    </w:p>
    <w:p w14:paraId="7D8A643B">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15.4 响应文件（包括封面和目录）的每一页，从封面开始按阿拉伯数字1、2、3…顺序编制页码。</w:t>
      </w:r>
    </w:p>
    <w:p w14:paraId="769681F5">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16. 响应文件的组成</w:t>
      </w:r>
    </w:p>
    <w:p w14:paraId="3500CEF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按照《谈判邀请函》规定的时间分别上传加盖电子签章的两阶段电子响应文件。</w:t>
      </w:r>
    </w:p>
    <w:p w14:paraId="1DA9A7F6">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17. 报价</w:t>
      </w:r>
    </w:p>
    <w:p w14:paraId="4F2E7001">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17.1 报价书、报价分项一览表等各表中的报价，若无特殊说明应采用人民币填报。</w:t>
      </w:r>
    </w:p>
    <w:p w14:paraId="529AAE36">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17.2</w:t>
      </w:r>
      <w:r>
        <w:rPr>
          <w:rFonts w:ascii="宋体" w:hAnsi="宋体" w:eastAsia="宋体" w:cs="宋体"/>
          <w:color w:val="auto"/>
        </w:rPr>
        <w:t>第二阶段响应文件中的谈判报价应填写为完成谈判文件规定的一切工作所需的全部费用，但不是最终报价。在谈判评审过程中，每个投标人均会获得平等的报价机会，谈判小组将要求进入第二阶段价格谈判的全部供应商在评审现场进行统一集中最终报价。</w:t>
      </w:r>
    </w:p>
    <w:p w14:paraId="5921D67C">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17.3 除《谈判项目需求》中说明并允许外，谈判的每一个货物、服务的单项报价以及采购项目的投标总价均只允许有一个报价，任何有选择的报价，采购人、采购代理机构均将予以拒绝。</w:t>
      </w:r>
    </w:p>
    <w:p w14:paraId="115B9AC7">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18. 供应商资格证明文件</w:t>
      </w:r>
    </w:p>
    <w:p w14:paraId="07B2183B">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供应商必须提交证明其有资格进行谈判和有能力履行合同的文件，作为响应文件的一部分。</w:t>
      </w:r>
    </w:p>
    <w:p w14:paraId="0C043D7C">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（1）《谈判邀请函》中规定的供应商资格要求（实质性要求）证明文件；</w:t>
      </w:r>
    </w:p>
    <w:p w14:paraId="45A1FEAC">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（2）若国家及行业对本项目有特殊资格要求的，还须提供特殊资格证明文件；</w:t>
      </w:r>
    </w:p>
    <w:p w14:paraId="750EE630">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19. 技术响应文件</w:t>
      </w:r>
    </w:p>
    <w:p w14:paraId="2A18129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19.1 供应商须提交证明其拟供货物符合竞争性谈判文件规定的技术响应文件，作为响应文件的一部分。</w:t>
      </w:r>
    </w:p>
    <w:p w14:paraId="0ECCD50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19.2 上述文件可以是文字资料、图纸或数据，并须提供：</w:t>
      </w:r>
    </w:p>
    <w:p w14:paraId="5C5162C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（1）货物主要技术性能的详细描述；</w:t>
      </w:r>
    </w:p>
    <w:p w14:paraId="3EA0745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（2）保证货物从采购人开始使用至竞争性谈判文件规定的保修期内正常和连续运转期间所需要的所有备件和专用工具的详细清单，包括其现行价格和供货来源资料；</w:t>
      </w:r>
    </w:p>
    <w:p w14:paraId="0FCA7B33">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（3）逐条对竞争性谈判文件要求的技术规格进行评议，并按竞争性谈判文件所附格式完整地填写《技术要求偏离应答表》，说明自己所投标的与竞争性谈判文件要求的偏离情况。</w:t>
      </w:r>
    </w:p>
    <w:p w14:paraId="483095B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20. 谈判保证金</w:t>
      </w:r>
    </w:p>
    <w:p w14:paraId="411769C0">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20.1 按照《谈判项目需求》要求执行。</w:t>
      </w:r>
    </w:p>
    <w:p w14:paraId="22EDAC3A">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20.2 符合《中华人民共和国政府采购法实施条例》和《政府采购非招标采购方式管理办法》等相关规定。</w:t>
      </w:r>
    </w:p>
    <w:p w14:paraId="3BEFF15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21. 谈判有效期</w:t>
      </w:r>
    </w:p>
    <w:p w14:paraId="4AEEB380">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21.1 谈判有效期为响应文件开启之日起60天。响应书中规定的有效期短于竞争性谈判文件规定的，其谈判将被拒绝。</w:t>
      </w:r>
    </w:p>
    <w:p w14:paraId="5028A8B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21.2 特殊情况下，采购人、采购代理机构可于谈判有效期满之前，向供应商提出延长谈判有效期的要求。答复应以书面形式进行。供应商可以拒绝上述要求，但不被没收投标保证金。对于同意该要求的供应商，既不要求也不允许其修改响应文件，但将要求其延长投标保证金的有效期。</w:t>
      </w:r>
    </w:p>
    <w:p w14:paraId="0EB92A5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22. 响应文件的签署及规定</w:t>
      </w:r>
    </w:p>
    <w:p w14:paraId="411077D6">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22.1 响应文件应按《谈判项目需求》和《响应文件格式》如实编写，未尽事宜可自行补充。响应文件内容不完整、格式不符合导致响应文件被误读、漏读或者查找不到相关内容的，供应商自行承担由此产生的风险。</w:t>
      </w:r>
    </w:p>
    <w:p w14:paraId="456DB363">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22.2 供应商按照《谈判邀请函》的要求提交网上应答并分别</w:t>
      </w:r>
      <w:r>
        <w:rPr>
          <w:rFonts w:hint="eastAsia" w:ascii="宋体" w:hAnsi="宋体" w:cs="宋体" w:eastAsiaTheme="minorEastAsia"/>
          <w:color w:val="auto"/>
        </w:rPr>
        <w:t>上传加盖电子签章的第一、第二阶段电子响应文件</w:t>
      </w:r>
      <w:r>
        <w:rPr>
          <w:rFonts w:hint="eastAsia" w:ascii="宋体" w:hAnsi="宋体" w:eastAsia="宋体" w:cs="宋体"/>
          <w:color w:val="auto"/>
        </w:rPr>
        <w:t>（以通过天津公共资源电子签章客户端正确读取签章信息为准）。加盖电子签章的电子响应文件应与网上应答填报内容一致。</w:t>
      </w:r>
    </w:p>
    <w:p w14:paraId="219848C2">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22.3 响应文件因模糊不清或表达不清所引起的后果由供应商自负。</w:t>
      </w:r>
    </w:p>
    <w:p w14:paraId="309504FC">
      <w:pPr>
        <w:pStyle w:val="27"/>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22.4 文件中的电子件指扫描件、电子证照、照片等形式电子文件；要求第三方出具的盖章件原件（如联合协议、分包意向协议、制造商授权书等），文件中应使用原件的电子件。</w:t>
      </w:r>
    </w:p>
    <w:p w14:paraId="622827AB">
      <w:pPr>
        <w:pStyle w:val="27"/>
        <w:adjustRightInd/>
        <w:spacing w:line="360" w:lineRule="auto"/>
        <w:jc w:val="center"/>
        <w:rPr>
          <w:rFonts w:ascii="Times New Roman" w:hAnsi="Times New Roman" w:eastAsia="宋体" w:cs="Times New Roman"/>
          <w:color w:val="auto"/>
        </w:rPr>
      </w:pPr>
      <w:r>
        <w:rPr>
          <w:rFonts w:hint="eastAsia" w:ascii="宋体" w:hAnsi="宋体" w:eastAsia="宋体" w:cs="宋体"/>
          <w:color w:val="auto"/>
        </w:rPr>
        <w:t>D  响应文件的网上应答和提交</w:t>
      </w:r>
    </w:p>
    <w:p w14:paraId="3A0C946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23. 供应商须于《谈判邀请函》规定提交网上应答并上传加盖供应商电子签章的电子响应文件（以通过天津公共资源电子签章客户端正确读取签章信息为准）。具体方式：</w:t>
      </w:r>
      <w:r>
        <w:rPr>
          <w:rFonts w:ascii="宋体" w:hAnsi="宋体" w:eastAsia="宋体" w:cs="宋体"/>
          <w:color w:val="auto"/>
        </w:rPr>
        <w:t>使用天津数字认证有限公司发出的CA数字证书（原天津市电子认证中心发出尚在有效期内的CA数字证书仍可使用）登录</w:t>
      </w:r>
      <w:r>
        <w:rPr>
          <w:rFonts w:hint="eastAsia" w:ascii="宋体" w:hAnsi="宋体" w:eastAsia="宋体" w:cs="宋体"/>
          <w:color w:val="auto"/>
        </w:rPr>
        <w:t>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谈判文件规定的截止时间前到天津市河东区红星路79号天津市政府采购中心窗口完成上述操作。</w:t>
      </w:r>
    </w:p>
    <w:p w14:paraId="109D2402">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24. 制作和上传电子响应文件要求</w:t>
      </w:r>
    </w:p>
    <w:p w14:paraId="482F5CE8">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24.1 供应商须下载天津市政府采购中心网-下载中心-</w:t>
      </w:r>
      <w:r>
        <w:rPr>
          <w:rFonts w:hint="eastAsia" w:ascii="宋体" w:hAnsi="宋体" w:eastAsia="宋体" w:cs="宋体"/>
          <w:color w:val="auto"/>
        </w:rPr>
        <w:t>《天津公共资源电子签章客户端安装包及使用说明》</w:t>
      </w:r>
      <w:r>
        <w:rPr>
          <w:rFonts w:ascii="宋体" w:hAnsi="宋体" w:eastAsia="宋体" w:cs="宋体"/>
          <w:color w:val="auto"/>
        </w:rPr>
        <w:t>。</w:t>
      </w:r>
    </w:p>
    <w:p w14:paraId="258DF454">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24.2 供应商须按照竞争性谈判文件的规定制作电子响应文件，对所需提供的一切纸质材料进行扫描后加入电子响应文件，按照</w:t>
      </w:r>
      <w:r>
        <w:rPr>
          <w:rFonts w:hint="eastAsia" w:ascii="宋体" w:hAnsi="宋体" w:eastAsia="宋体" w:cs="宋体"/>
          <w:color w:val="auto"/>
        </w:rPr>
        <w:t>《天津公共资源电子签章客户端安装包及使用说明》</w:t>
      </w:r>
      <w:r>
        <w:rPr>
          <w:rFonts w:ascii="宋体" w:hAnsi="宋体" w:eastAsia="宋体" w:cs="宋体"/>
          <w:color w:val="auto"/>
        </w:rPr>
        <w:t>规定的要求制作加盖供应商电子签章的电子响应文件（以通过天津公共资源电子签章客户端正确读取签章信息为准），并于投标截止时间前上传至天津市政府采购中心招投标系统。</w:t>
      </w:r>
    </w:p>
    <w:p w14:paraId="549ACA04">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特别提醒：</w:t>
      </w:r>
    </w:p>
    <w:p w14:paraId="1EA45C9B">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（1）由于供应商网络接入速率不可控等网络传输风险，建议供应商在网上应答上传加盖电子签章的</w:t>
      </w:r>
      <w:r>
        <w:rPr>
          <w:rFonts w:hint="eastAsia" w:ascii="宋体" w:hAnsi="宋体" w:eastAsia="宋体" w:cs="宋体"/>
          <w:color w:val="auto"/>
        </w:rPr>
        <w:t>电子</w:t>
      </w:r>
      <w:r>
        <w:rPr>
          <w:rFonts w:ascii="宋体" w:hAnsi="宋体" w:eastAsia="宋体" w:cs="宋体"/>
          <w:color w:val="auto"/>
        </w:rPr>
        <w:t>响应文件后，对上传文件进行下载，核对文件完整性，如是否缺页少页、图片是否显示完整、签章是否有效等，并按照</w:t>
      </w:r>
      <w:r>
        <w:rPr>
          <w:rFonts w:hint="eastAsia" w:ascii="宋体" w:hAnsi="宋体" w:eastAsia="宋体" w:cs="宋体"/>
          <w:color w:val="auto"/>
        </w:rPr>
        <w:t>《天津公共资源电子签章客户端安装包及使用说明》</w:t>
      </w:r>
      <w:r>
        <w:rPr>
          <w:rFonts w:ascii="宋体" w:hAnsi="宋体" w:eastAsia="宋体" w:cs="宋体"/>
          <w:color w:val="auto"/>
        </w:rPr>
        <w:t>要求的文件检查方法进行检查，确保响应文件上传准确、有效。</w:t>
      </w:r>
    </w:p>
    <w:p w14:paraId="4E99FDE1">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67C44661">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24.3 供应商应保证电子投标文件清晰，便于识别，如因上传、扫描、格式等原因导致评审时受到影响，由供应商自行承担相应责任。</w:t>
      </w:r>
    </w:p>
    <w:p w14:paraId="1FC0102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24.4 未按规定提交网上应答和上传加盖电子签章的电子响应文件的投标将被拒绝。</w:t>
      </w:r>
    </w:p>
    <w:p w14:paraId="5DF4F2A0">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25. 供应商须承诺接受电子投标的方式，并自行承担由此带来的废标、无效投标的风险。</w:t>
      </w:r>
    </w:p>
    <w:p w14:paraId="5F9A6501">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26. 未按竞争性谈判文件的规定提交网上应答和上传加盖供应商电子签章的电子响应文件（以通过天津公共资源电子签章客户端正确读取签章信息为准）的投标将被拒绝。</w:t>
      </w:r>
    </w:p>
    <w:p w14:paraId="695C1103">
      <w:pPr>
        <w:pStyle w:val="27"/>
        <w:adjustRightInd/>
        <w:spacing w:line="360" w:lineRule="auto"/>
        <w:ind w:firstLine="448" w:firstLineChars="200"/>
        <w:jc w:val="both"/>
        <w:rPr>
          <w:rFonts w:ascii="Times New Roman" w:hAnsi="Times New Roman" w:eastAsia="宋体" w:cs="Times New Roman"/>
          <w:color w:val="auto"/>
        </w:rPr>
      </w:pPr>
    </w:p>
    <w:p w14:paraId="2A8EBFB4">
      <w:pPr>
        <w:pStyle w:val="27"/>
        <w:adjustRightInd/>
        <w:spacing w:line="360" w:lineRule="auto"/>
        <w:jc w:val="center"/>
        <w:rPr>
          <w:rFonts w:ascii="Times New Roman" w:hAnsi="Times New Roman" w:eastAsia="宋体" w:cs="Times New Roman"/>
          <w:color w:val="auto"/>
        </w:rPr>
      </w:pPr>
      <w:r>
        <w:rPr>
          <w:rFonts w:hint="eastAsia" w:ascii="宋体" w:hAnsi="宋体" w:eastAsia="宋体" w:cs="宋体"/>
          <w:color w:val="auto"/>
        </w:rPr>
        <w:t>E  谈判程序</w:t>
      </w:r>
    </w:p>
    <w:p w14:paraId="50BD9924">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27. 谈判步骤</w:t>
      </w:r>
    </w:p>
    <w:p w14:paraId="219E3B7B">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27.1 第一步：谈判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24EDE33E">
      <w:pPr>
        <w:pStyle w:val="27"/>
        <w:adjustRightInd/>
        <w:spacing w:line="360" w:lineRule="auto"/>
        <w:ind w:firstLine="448" w:firstLineChars="200"/>
        <w:jc w:val="both"/>
        <w:rPr>
          <w:rFonts w:ascii="Times New Roman" w:hAnsi="Times New Roman" w:eastAsia="宋体" w:cs="Times New Roman"/>
          <w:color w:val="auto"/>
          <w:kern w:val="2"/>
        </w:rPr>
      </w:pPr>
      <w:r>
        <w:rPr>
          <w:rFonts w:ascii="宋体" w:hAnsi="宋体" w:eastAsia="宋体" w:cs="宋体"/>
          <w:color w:val="auto"/>
          <w:kern w:val="2"/>
        </w:rPr>
        <w:t>谈判小组要求供应商澄清、说明或者更正响应文件应当以书面形式做出。</w:t>
      </w:r>
    </w:p>
    <w:p w14:paraId="1AFA7D0E">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27.2 第二步：谈判小组所有成员集中与单一供应商分别进行谈判。在谈判过程中，谈判小组可以根据谈判文件和谈判情况实质性变动采购需求中的技术、服务要求以及合同草案条款，但不得变动谈判文件中的其他内容。实质性变动的内容，须经采购人代表确认。</w:t>
      </w:r>
    </w:p>
    <w:p w14:paraId="63AE6502">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对谈判文件做出的实质性变动是谈判文件的有效组成部分，谈判小组应当及时以书面形式同时通知所有参加谈判的供应商。</w:t>
      </w:r>
    </w:p>
    <w:p w14:paraId="11E48C2E">
      <w:pPr>
        <w:pStyle w:val="27"/>
        <w:adjustRightInd/>
        <w:spacing w:line="360" w:lineRule="auto"/>
        <w:ind w:firstLine="448" w:firstLineChars="200"/>
        <w:jc w:val="both"/>
        <w:rPr>
          <w:rFonts w:ascii="Times New Roman" w:hAnsi="Times New Roman" w:eastAsia="宋体" w:cs="Times New Roman"/>
          <w:color w:val="auto"/>
          <w:kern w:val="2"/>
        </w:rPr>
      </w:pPr>
      <w:r>
        <w:rPr>
          <w:rFonts w:ascii="宋体" w:hAnsi="宋体" w:eastAsia="宋体" w:cs="宋体"/>
          <w:color w:val="auto"/>
          <w:kern w:val="2"/>
        </w:rPr>
        <w:t>供应商应当按照谈判文件的变动情况和谈判小组的要求重新提交电子响应文件，加盖电子签章</w:t>
      </w:r>
      <w:r>
        <w:rPr>
          <w:rFonts w:ascii="宋体" w:hAnsi="宋体" w:eastAsia="宋体" w:cs="宋体"/>
          <w:color w:val="auto"/>
        </w:rPr>
        <w:t>后于谈判小组规定的时间内通过天津市政府采购中心招投标系统“询标解答”上传至天津市政府采购中心招投标系统。</w:t>
      </w:r>
    </w:p>
    <w:p w14:paraId="764CF4A8">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未实质性响应谈判文件的响应文件按无效响应处理，谈判小组应当告知提交响应文件的供应商。</w:t>
      </w:r>
    </w:p>
    <w:p w14:paraId="57F49EB1">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27.3 第三步：经谈判确定实质性响应的供应商后，谈判小组应当要求所有实质性响应的供应商在规定时间内提交第二阶段响应文件，经审查无异议后，谈判小组应当要求所有实质性响应的供应商在规定时间提交最后报价。</w:t>
      </w:r>
    </w:p>
    <w:p w14:paraId="0273E941">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27.4 第四步：经谈判确定最终采购需求和提交最后报价的供应商后，由谈判小组根据最低评标价法的评审方法对提交最后报价的供应商按照最后报价由低到高顺序进行排序。</w:t>
      </w:r>
    </w:p>
    <w:p w14:paraId="04D37D58">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根据《关于推动解决政府采购异常低价问题的通知》（财库〔2026〕2号）的要求，谈判小组启动异常低价响应审查程序，</w:t>
      </w:r>
      <w:r>
        <w:rPr>
          <w:rFonts w:ascii="宋体" w:hAnsi="宋体" w:eastAsia="宋体" w:cs="宋体"/>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color w:val="auto"/>
        </w:rPr>
        <w:t>谈判小组</w:t>
      </w:r>
      <w:r>
        <w:rPr>
          <w:rFonts w:ascii="宋体" w:hAnsi="宋体" w:eastAsia="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谈判小组应当将其作为无效响应处理。</w:t>
      </w:r>
    </w:p>
    <w:p w14:paraId="24CCCFD0">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27.5 第五步：谈判小组应当根据供应商的排序，推荐3名以上成交候选供应商，并编写评审报告。评审报告应当由谈判小组全体人员签字认可。谈判小组成员对评审报告有异议的，谈判小组按照少数服从多数的原则推荐成交候选供应商，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42F3B5D8">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27.6 出现下列情形之一的，采购人或者采购代理机构应当终止竞争性谈判采购活动，发布项目终止公告并说明原因，重新开展采购活动：</w:t>
      </w:r>
    </w:p>
    <w:p w14:paraId="30B08C71">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（1）因情况变化，不再符合规定的竞争性谈判采购方式适用情形的；</w:t>
      </w:r>
    </w:p>
    <w:p w14:paraId="37F4F56A">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（2）出现影响采购公正的违法、违规行为的；</w:t>
      </w:r>
    </w:p>
    <w:p w14:paraId="5E85C3D0">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（3）在采购过程中符合竞争要求的供应商或者报价未超过采购预算的供应商不足</w:t>
      </w:r>
      <w:r>
        <w:rPr>
          <w:rFonts w:hint="eastAsia" w:ascii="宋体" w:hAnsi="宋体" w:eastAsia="宋体" w:cs="宋体"/>
          <w:color w:val="auto"/>
        </w:rPr>
        <w:t>2</w:t>
      </w:r>
      <w:r>
        <w:rPr>
          <w:rFonts w:ascii="宋体" w:hAnsi="宋体" w:eastAsia="宋体" w:cs="宋体"/>
          <w:color w:val="auto"/>
        </w:rPr>
        <w:t>家的，但《政府采购非招标采购方式管理办法》第二十七条第二款规定的情形除外。</w:t>
      </w:r>
    </w:p>
    <w:p w14:paraId="2587A6F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28. 评审方法及标准</w:t>
      </w:r>
    </w:p>
    <w:p w14:paraId="21A79B1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28.1 谈判小组将根据竞争性谈判文件确定的评审原则和评审方法对确定为实质上响应竞争性谈判文件要求的投标进行评估和比较。</w:t>
      </w:r>
    </w:p>
    <w:p w14:paraId="2B60BC1E">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28.2 谈判小组应当按照客观、公正、审慎的原则，根据竞争性谈判文件规定的评审程序、评审方法和评审标准进行独立评审。</w:t>
      </w:r>
    </w:p>
    <w:p w14:paraId="4A7F4D7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28.3 竞争性谈判文件内容违反国家有关强制性规定的，谈判小组应当停止评审并向采购人或者采购代理机构说明情况。</w:t>
      </w:r>
    </w:p>
    <w:p w14:paraId="27FA364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28.4 对竞争性谈判文件中描述有歧义或前后不一致的地方，谈判小组有权进行评判，但对同一条款的评判应适用于每个供应商。</w:t>
      </w:r>
    </w:p>
    <w:p w14:paraId="65839CC0">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28.5 评审方法</w:t>
      </w:r>
    </w:p>
    <w:p w14:paraId="778C6979">
      <w:pPr>
        <w:pStyle w:val="27"/>
        <w:adjustRightInd/>
        <w:spacing w:line="360" w:lineRule="auto"/>
        <w:ind w:firstLine="448" w:firstLineChars="200"/>
        <w:jc w:val="both"/>
        <w:rPr>
          <w:rFonts w:ascii="Times New Roman" w:hAnsi="Times New Roman" w:eastAsia="宋体" w:cs="Times New Roman"/>
          <w:color w:val="FF0000"/>
        </w:rPr>
      </w:pPr>
      <w:r>
        <w:rPr>
          <w:rFonts w:hint="eastAsia" w:ascii="宋体" w:hAnsi="宋体" w:eastAsia="宋体" w:cs="宋体"/>
          <w:color w:val="auto"/>
        </w:rPr>
        <w:t>（1）采用“最低评标价法”的评审方法，即全部满足竞争性谈判文件实质性要求，且符合采购需求、质量和服务相等的前提下，按照最终报价由低到高的顺序提出3名以上成交候选人，</w:t>
      </w:r>
      <w:r>
        <w:rPr>
          <w:rFonts w:ascii="宋体" w:hAnsi="宋体" w:eastAsia="宋体" w:cs="宋体"/>
          <w:color w:val="auto"/>
        </w:rPr>
        <w:t>采购人</w:t>
      </w:r>
      <w:r>
        <w:rPr>
          <w:rFonts w:hint="eastAsia" w:ascii="宋体" w:hAnsi="宋体" w:eastAsia="宋体" w:cs="宋体"/>
          <w:color w:val="auto"/>
        </w:rPr>
        <w:t>或谈判小组经采购人授权后按成交候选供应商顺序确定成交供应商。</w:t>
      </w:r>
    </w:p>
    <w:p w14:paraId="4F2FEB1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根据《中华人民共和国政府采购法实施条例》和《关于进一步规范政府采购评审工作有关问题的通知》（财库〔2012〕69号）的规定，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1BDF11D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（3）按照《关于调整优化节能产品、环境标志产品政府采购执行机制的通知》（财库〔2019〕9号）文件要求，对</w:t>
      </w:r>
      <w:r>
        <w:rPr>
          <w:rFonts w:ascii="宋体" w:hAnsi="宋体" w:eastAsia="宋体" w:cs="宋体"/>
          <w:color w:val="auto"/>
        </w:rPr>
        <w:t>政府采购节能、环境标志品目清单</w:t>
      </w:r>
      <w:r>
        <w:rPr>
          <w:rFonts w:hint="eastAsia" w:ascii="宋体" w:hAnsi="宋体" w:eastAsia="宋体" w:cs="宋体"/>
          <w:color w:val="auto"/>
        </w:rPr>
        <w:t>内的产品实施优先采购和强制采购的评标方法。</w:t>
      </w:r>
    </w:p>
    <w:p w14:paraId="0A63277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（4）谈判小组审查产品资质或检测报告等相关文件符合性时，应综合考虑行业特点、交易习惯、采购需求最本质原义等情况，而不应以响应文件中产品名称与竞争性谈判文件产品名称是否一致作为审查的标准。</w:t>
      </w:r>
    </w:p>
    <w:p w14:paraId="06EC151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（5）成交候选供应商产生办法：响应文件满足竞争性谈判文件全部实质性要求供应商，按照最终报价由低到高顺序确定3名以上成交候选供应商。</w:t>
      </w:r>
    </w:p>
    <w:p w14:paraId="216DE0C5">
      <w:pPr>
        <w:pStyle w:val="27"/>
        <w:adjustRightInd/>
        <w:spacing w:line="360" w:lineRule="auto"/>
        <w:ind w:firstLine="448" w:firstLineChars="200"/>
        <w:rPr>
          <w:rFonts w:ascii="Times New Roman" w:hAnsi="Times New Roman" w:eastAsia="宋体" w:cs="Times New Roman"/>
          <w:color w:val="auto"/>
        </w:rPr>
      </w:pPr>
      <w:r>
        <w:rPr>
          <w:rFonts w:ascii="宋体" w:hAnsi="宋体" w:eastAsia="宋体" w:cs="宋体"/>
          <w:color w:val="auto"/>
        </w:rPr>
        <w:t>28.6 出现以下任何情形取消谈判资格</w:t>
      </w:r>
    </w:p>
    <w:p w14:paraId="0985F747">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（1）响应文件未按竞争性谈判文件的要求加盖电子签章的；</w:t>
      </w:r>
    </w:p>
    <w:p w14:paraId="0B3CCAC0">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（2）谈判有效期短于竞争性谈判文件要求的；</w:t>
      </w:r>
    </w:p>
    <w:p w14:paraId="1B8C2AF1">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（3）响应文件中提供虚假</w:t>
      </w:r>
      <w:r>
        <w:rPr>
          <w:rFonts w:hint="eastAsia" w:ascii="宋体" w:hAnsi="宋体" w:eastAsia="宋体" w:cs="宋体"/>
          <w:color w:val="auto"/>
        </w:rPr>
        <w:t>材料</w:t>
      </w:r>
      <w:r>
        <w:rPr>
          <w:rFonts w:ascii="宋体" w:hAnsi="宋体" w:eastAsia="宋体" w:cs="宋体"/>
          <w:color w:val="auto"/>
        </w:rPr>
        <w:t>的；</w:t>
      </w:r>
    </w:p>
    <w:p w14:paraId="05D4B032">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（4）不能满足竞争性谈判文件中任何一条实质性要求或</w:t>
      </w:r>
      <w:r>
        <w:rPr>
          <w:rFonts w:hint="eastAsia" w:ascii="宋体" w:hAnsi="宋体" w:eastAsia="宋体" w:cs="宋体"/>
          <w:color w:val="auto"/>
        </w:rPr>
        <w:t>加注“★”号条款经谈判小组认定出现偏离</w:t>
      </w:r>
      <w:r>
        <w:rPr>
          <w:rFonts w:ascii="宋体" w:hAnsi="宋体" w:eastAsia="宋体" w:cs="宋体"/>
          <w:color w:val="auto"/>
        </w:rPr>
        <w:t>或经谈判小组认定未实质性响应竞争性谈判文件要求的或响应内容不符合相关强制性规定的；</w:t>
      </w:r>
    </w:p>
    <w:p w14:paraId="33E2EEA5">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（5）未按时进行网上解密或电子响应文件损坏、无效的；</w:t>
      </w:r>
    </w:p>
    <w:p w14:paraId="5F8BA878">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（6）谈判报价超出采购预算的；</w:t>
      </w:r>
    </w:p>
    <w:p w14:paraId="553C52FA">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w:t>
      </w:r>
      <w:r>
        <w:rPr>
          <w:rFonts w:hint="eastAsia" w:ascii="宋体" w:hAnsi="宋体" w:eastAsia="宋体" w:cs="宋体"/>
          <w:color w:val="auto"/>
        </w:rPr>
        <w:t>7</w:t>
      </w:r>
      <w:r>
        <w:rPr>
          <w:rFonts w:ascii="宋体" w:hAnsi="宋体" w:eastAsia="宋体" w:cs="宋体"/>
          <w:color w:val="auto"/>
        </w:rPr>
        <w:t>）存在串通情形的；</w:t>
      </w:r>
    </w:p>
    <w:p w14:paraId="38A65CCA">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w:t>
      </w:r>
      <w:r>
        <w:rPr>
          <w:rFonts w:hint="eastAsia" w:ascii="宋体" w:hAnsi="宋体" w:eastAsia="宋体" w:cs="宋体"/>
          <w:color w:val="auto"/>
        </w:rPr>
        <w:t>8</w:t>
      </w:r>
      <w:r>
        <w:rPr>
          <w:rFonts w:ascii="宋体" w:hAnsi="宋体" w:eastAsia="宋体" w:cs="宋体"/>
          <w:color w:val="auto"/>
        </w:rPr>
        <w:t>）单位负责人或法定代表人为同一人，或者存在控股、管理关系的不同供应商，</w:t>
      </w:r>
      <w:r>
        <w:rPr>
          <w:rFonts w:hint="eastAsia" w:ascii="宋体" w:hAnsi="宋体" w:eastAsia="宋体" w:cs="宋体"/>
        </w:rPr>
        <w:t>参加同一合同项下投标的</w:t>
      </w:r>
      <w:r>
        <w:rPr>
          <w:rFonts w:ascii="宋体" w:hAnsi="宋体" w:eastAsia="宋体" w:cs="宋体"/>
          <w:color w:val="auto"/>
        </w:rPr>
        <w:t>，相关响应均无效；</w:t>
      </w:r>
    </w:p>
    <w:p w14:paraId="33005C19">
      <w:pPr>
        <w:pStyle w:val="27"/>
        <w:adjustRightInd/>
        <w:spacing w:line="360" w:lineRule="auto"/>
        <w:ind w:firstLine="448" w:firstLineChars="200"/>
        <w:jc w:val="both"/>
        <w:rPr>
          <w:rFonts w:ascii="Times New Roman" w:hAnsi="Times New Roman" w:eastAsia="宋体" w:cs="Times New Roman"/>
          <w:color w:val="auto"/>
        </w:rPr>
      </w:pPr>
      <w:r>
        <w:rPr>
          <w:rFonts w:ascii="宋体" w:hAnsi="宋体" w:eastAsia="宋体" w:cs="宋体"/>
          <w:color w:val="auto"/>
        </w:rPr>
        <w:t>（</w:t>
      </w:r>
      <w:r>
        <w:rPr>
          <w:rFonts w:hint="eastAsia" w:ascii="宋体" w:hAnsi="宋体" w:eastAsia="宋体" w:cs="宋体"/>
          <w:color w:val="auto"/>
        </w:rPr>
        <w:t>9</w:t>
      </w:r>
      <w:r>
        <w:rPr>
          <w:rFonts w:ascii="宋体" w:hAnsi="宋体" w:eastAsia="宋体" w:cs="宋体"/>
          <w:color w:val="auto"/>
        </w:rPr>
        <w:t>）其他法定响应无效的情形。</w:t>
      </w:r>
    </w:p>
    <w:p w14:paraId="3B4CFF1C">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29. 其他注意事项</w:t>
      </w:r>
    </w:p>
    <w:p w14:paraId="61AFF8E1">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29.1 在谈判期间，供应商不得向谈判小组成员或采购代理机构询问评审情况、施加任何影响，不得进行旨在影响评审结果的活动。</w:t>
      </w:r>
    </w:p>
    <w:p w14:paraId="369F696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29.2 为保证定标的公正性，在评审过程中，谈判小组成员不得与供应商私下交换意见。在评审期间及谈判工作结束后，凡与评审情况有接触的任何人不得透露审查、澄清、评价和比较等投标的有关资料以及授标建议等评审情况。</w:t>
      </w:r>
    </w:p>
    <w:p w14:paraId="566D9BC9">
      <w:pPr>
        <w:pStyle w:val="27"/>
        <w:adjustRightInd/>
        <w:spacing w:line="360" w:lineRule="auto"/>
        <w:ind w:firstLine="448" w:firstLineChars="200"/>
        <w:rPr>
          <w:rFonts w:ascii="Times New Roman" w:hAnsi="Times New Roman" w:eastAsia="宋体" w:cs="Times New Roman"/>
          <w:color w:val="auto"/>
        </w:rPr>
      </w:pPr>
      <w:r>
        <w:rPr>
          <w:rFonts w:hint="eastAsia" w:ascii="宋体" w:hAnsi="宋体" w:eastAsia="宋体" w:cs="宋体"/>
          <w:color w:val="auto"/>
        </w:rPr>
        <w:t>29.3 本项目不接受赠品、回扣或者与采购无关的其他商品、服务。</w:t>
      </w:r>
    </w:p>
    <w:p w14:paraId="44E72D11">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29.4 如果几个供应商所投整包产品为同一品牌时，在服务承诺符合竞争性谈判文件的情况下，报价最低的供应商入围评审阶段。</w:t>
      </w:r>
    </w:p>
    <w:p w14:paraId="20DB1407">
      <w:pPr>
        <w:pStyle w:val="27"/>
        <w:adjustRightInd/>
        <w:spacing w:line="360" w:lineRule="auto"/>
        <w:ind w:firstLine="448" w:firstLineChars="200"/>
        <w:jc w:val="both"/>
        <w:rPr>
          <w:rFonts w:ascii="Times New Roman" w:hAnsi="Times New Roman" w:eastAsia="宋体" w:cs="Times New Roman"/>
          <w:color w:val="auto"/>
        </w:rPr>
      </w:pPr>
    </w:p>
    <w:p w14:paraId="187A67F1">
      <w:pPr>
        <w:pStyle w:val="27"/>
        <w:adjustRightInd/>
        <w:spacing w:line="360" w:lineRule="auto"/>
        <w:ind w:firstLine="448" w:firstLineChars="200"/>
        <w:jc w:val="center"/>
        <w:rPr>
          <w:rFonts w:ascii="Times New Roman" w:hAnsi="Times New Roman" w:eastAsia="宋体" w:cs="Times New Roman"/>
          <w:color w:val="auto"/>
        </w:rPr>
      </w:pPr>
      <w:r>
        <w:rPr>
          <w:rFonts w:hint="eastAsia" w:ascii="宋体" w:hAnsi="宋体" w:eastAsia="宋体" w:cs="宋体"/>
          <w:color w:val="auto"/>
        </w:rPr>
        <w:t>F  授予合同</w:t>
      </w:r>
    </w:p>
    <w:p w14:paraId="149B346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30. 成交供应商的产生</w:t>
      </w:r>
    </w:p>
    <w:p w14:paraId="0BAC2744">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30.1 采购人可以事先授权谈判小组直接确定成交供应商。</w:t>
      </w:r>
    </w:p>
    <w:p w14:paraId="6FC35D6B">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30.2 采购人也可以按照《中华人民共和国政府采购法》及其实施条例等法律法规的规定和竞争性谈判文件的要求确认成交供应商。</w:t>
      </w:r>
    </w:p>
    <w:p w14:paraId="06B65A63">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31. 成交通知</w:t>
      </w:r>
    </w:p>
    <w:p w14:paraId="61FF8FB3">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0D14D48D">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32. 签订合同</w:t>
      </w:r>
    </w:p>
    <w:p w14:paraId="61B640AF">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32.1 采购人与成交供应商应当在成交通知书发出之日起三十日内，按照竞争性谈判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073DF559">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32.2 竞争性谈判文件、成交供应商的响应文件及其澄清文件等，均为签订合同的依据，且为合同的组成部分。</w:t>
      </w:r>
    </w:p>
    <w:p w14:paraId="7776F811">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33. 履约保证金</w:t>
      </w:r>
    </w:p>
    <w:p w14:paraId="7838A008">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33.1 若《谈判项目需求》规定须提交履约保证金的，成交供应商须按照规定要求提交履约保证金。</w:t>
      </w:r>
    </w:p>
    <w:p w14:paraId="1A797521">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33.2 成交供应商未能按合同规定履行其义务，采购人有权没收履约保证金。</w:t>
      </w:r>
    </w:p>
    <w:p w14:paraId="52A3249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34. 成交供应商拒绝与采购人签订合同的，采购人可以按照评审报告推荐的成交候选人名单排序，确定下一候选人为成交供应商，也可以重新开展政府采购活动。</w:t>
      </w:r>
    </w:p>
    <w:p w14:paraId="002B2B8E">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35. 合同分包</w:t>
      </w:r>
    </w:p>
    <w:p w14:paraId="083E8DC0">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35.1 未经采购人同意，成交供应商不得分包合同。</w:t>
      </w:r>
    </w:p>
    <w:p w14:paraId="10BEC1E2">
      <w:pPr>
        <w:pStyle w:val="27"/>
        <w:adjustRightInd/>
        <w:spacing w:line="360" w:lineRule="auto"/>
        <w:ind w:firstLine="448" w:firstLineChars="200"/>
        <w:jc w:val="both"/>
        <w:rPr>
          <w:rFonts w:ascii="Times New Roman" w:hAnsi="Times New Roman" w:eastAsia="宋体" w:cs="Times New Roman"/>
          <w:color w:val="auto"/>
        </w:rPr>
      </w:pPr>
      <w:r>
        <w:rPr>
          <w:rFonts w:hint="eastAsia" w:ascii="宋体" w:hAnsi="宋体" w:eastAsia="宋体" w:cs="宋体"/>
          <w:color w:val="auto"/>
        </w:rPr>
        <w:t>35.2 政府采购合同分包履行的，成交供应商就采购项目和分包项目向采购人负责，分包供应商就分包项目承担责任。</w:t>
      </w:r>
    </w:p>
    <w:p w14:paraId="588171E8">
      <w:pPr>
        <w:widowControl/>
        <w:jc w:val="center"/>
      </w:pPr>
      <w:r>
        <w:rPr>
          <w:kern w:val="0"/>
          <w:sz w:val="24"/>
          <w:szCs w:val="24"/>
        </w:rPr>
        <w:br w:type="page"/>
      </w:r>
      <w:r>
        <w:rPr>
          <w:b/>
          <w:bCs/>
          <w:kern w:val="28"/>
          <w:sz w:val="32"/>
          <w:szCs w:val="32"/>
          <w:lang w:val="zh-CN"/>
        </w:rPr>
        <w:t>第四部分  合同</w:t>
      </w:r>
      <w:r>
        <w:rPr>
          <w:rFonts w:hint="eastAsia"/>
          <w:b/>
          <w:bCs/>
          <w:kern w:val="28"/>
          <w:sz w:val="32"/>
          <w:szCs w:val="32"/>
          <w:lang w:val="zh-CN"/>
        </w:rPr>
        <w:t>草案</w:t>
      </w:r>
    </w:p>
    <w:p w14:paraId="68BADC9A">
      <w:pPr>
        <w:tabs>
          <w:tab w:val="left" w:pos="412"/>
          <w:tab w:val="left" w:pos="618"/>
        </w:tabs>
        <w:spacing w:line="520" w:lineRule="exact"/>
        <w:jc w:val="center"/>
        <w:rPr>
          <w:b/>
          <w:sz w:val="30"/>
          <w:szCs w:val="30"/>
        </w:rPr>
      </w:pPr>
    </w:p>
    <w:p w14:paraId="55C76A09">
      <w:pPr>
        <w:tabs>
          <w:tab w:val="left" w:pos="412"/>
          <w:tab w:val="left" w:pos="618"/>
        </w:tabs>
        <w:spacing w:line="520" w:lineRule="exact"/>
        <w:jc w:val="center"/>
        <w:rPr>
          <w:b/>
          <w:sz w:val="30"/>
          <w:szCs w:val="30"/>
        </w:rPr>
      </w:pPr>
      <w:r>
        <w:rPr>
          <w:b/>
          <w:sz w:val="30"/>
          <w:szCs w:val="30"/>
        </w:rPr>
        <w:t>合同一般条款</w:t>
      </w:r>
    </w:p>
    <w:p w14:paraId="061F6D86">
      <w:pPr>
        <w:tabs>
          <w:tab w:val="left" w:pos="0"/>
          <w:tab w:val="left" w:pos="315"/>
        </w:tabs>
        <w:spacing w:line="520" w:lineRule="exact"/>
        <w:ind w:firstLine="480"/>
        <w:rPr>
          <w:sz w:val="24"/>
          <w:szCs w:val="24"/>
        </w:rPr>
      </w:pPr>
      <w:r>
        <w:rPr>
          <w:sz w:val="24"/>
          <w:szCs w:val="24"/>
        </w:rPr>
        <w:t xml:space="preserve">需方：  </w:t>
      </w:r>
    </w:p>
    <w:p w14:paraId="4B1C7E04">
      <w:pPr>
        <w:tabs>
          <w:tab w:val="left" w:pos="0"/>
          <w:tab w:val="left" w:pos="315"/>
        </w:tabs>
        <w:spacing w:line="520" w:lineRule="exact"/>
        <w:ind w:firstLine="480"/>
        <w:rPr>
          <w:sz w:val="24"/>
          <w:szCs w:val="24"/>
        </w:rPr>
      </w:pPr>
      <w:r>
        <w:rPr>
          <w:sz w:val="24"/>
          <w:szCs w:val="24"/>
        </w:rPr>
        <w:t xml:space="preserve">供方： </w:t>
      </w:r>
    </w:p>
    <w:p w14:paraId="462783CD">
      <w:pPr>
        <w:tabs>
          <w:tab w:val="left" w:pos="0"/>
          <w:tab w:val="left" w:pos="315"/>
        </w:tabs>
        <w:spacing w:line="520" w:lineRule="exact"/>
        <w:ind w:firstLine="480"/>
        <w:rPr>
          <w:sz w:val="24"/>
          <w:szCs w:val="24"/>
        </w:rPr>
      </w:pPr>
      <w:r>
        <w:rPr>
          <w:sz w:val="24"/>
          <w:szCs w:val="24"/>
        </w:rPr>
        <w:t>供、需双方根据   项目（项目编号：TGPC-201 - ）的政府采购结果和竞争性谈判文件的要求，并经双方协商一致，达成  合同：</w:t>
      </w:r>
    </w:p>
    <w:p w14:paraId="442C2006">
      <w:pPr>
        <w:pStyle w:val="33"/>
        <w:numPr>
          <w:ilvl w:val="0"/>
          <w:numId w:val="1"/>
        </w:numPr>
        <w:spacing w:line="480" w:lineRule="exact"/>
        <w:ind w:firstLineChars="0"/>
        <w:rPr>
          <w:sz w:val="24"/>
        </w:rPr>
      </w:pPr>
      <w:r>
        <w:rPr>
          <w:rFonts w:hint="eastAsia"/>
          <w:sz w:val="24"/>
        </w:rPr>
        <w:t>本合同为中小企业预留合同</w:t>
      </w:r>
    </w:p>
    <w:p w14:paraId="14C5642A">
      <w:pPr>
        <w:pStyle w:val="33"/>
        <w:numPr>
          <w:ilvl w:val="0"/>
          <w:numId w:val="1"/>
        </w:numPr>
        <w:spacing w:line="480" w:lineRule="exact"/>
        <w:ind w:firstLineChars="0"/>
        <w:rPr>
          <w:sz w:val="24"/>
        </w:rPr>
      </w:pPr>
      <w:r>
        <w:rPr>
          <w:rFonts w:hint="eastAsia"/>
          <w:sz w:val="24"/>
        </w:rPr>
        <w:t>本合同非中小企业预留合同</w:t>
      </w:r>
    </w:p>
    <w:p w14:paraId="64D83E49">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01E5A0C5">
      <w:pPr>
        <w:tabs>
          <w:tab w:val="left" w:pos="1133"/>
        </w:tabs>
        <w:spacing w:line="520" w:lineRule="exact"/>
        <w:ind w:firstLine="448" w:firstLineChars="200"/>
        <w:rPr>
          <w:sz w:val="24"/>
          <w:szCs w:val="24"/>
        </w:rPr>
      </w:pPr>
      <w:r>
        <w:rPr>
          <w:sz w:val="24"/>
          <w:szCs w:val="24"/>
        </w:rPr>
        <w:t>一、采购内容：  （详见附件）</w:t>
      </w:r>
    </w:p>
    <w:p w14:paraId="694ED2FD">
      <w:pPr>
        <w:tabs>
          <w:tab w:val="left" w:pos="1133"/>
        </w:tabs>
        <w:spacing w:line="520" w:lineRule="exact"/>
        <w:ind w:firstLine="448" w:firstLineChars="200"/>
        <w:rPr>
          <w:sz w:val="24"/>
          <w:szCs w:val="24"/>
        </w:rPr>
      </w:pPr>
      <w:r>
        <w:rPr>
          <w:sz w:val="24"/>
          <w:szCs w:val="24"/>
        </w:rPr>
        <w:t xml:space="preserve">    合同总价款：人民币  元</w:t>
      </w:r>
    </w:p>
    <w:p w14:paraId="22FC65C5">
      <w:pPr>
        <w:tabs>
          <w:tab w:val="left" w:pos="1133"/>
        </w:tabs>
        <w:spacing w:line="520" w:lineRule="exact"/>
        <w:ind w:firstLine="448" w:firstLineChars="200"/>
        <w:rPr>
          <w:sz w:val="24"/>
          <w:szCs w:val="24"/>
        </w:rPr>
      </w:pPr>
      <w:r>
        <w:rPr>
          <w:sz w:val="24"/>
          <w:szCs w:val="24"/>
        </w:rPr>
        <w:t xml:space="preserve">    大写：人民币  元整</w:t>
      </w:r>
    </w:p>
    <w:p w14:paraId="1F89CA27">
      <w:pPr>
        <w:tabs>
          <w:tab w:val="left" w:pos="360"/>
        </w:tabs>
        <w:spacing w:line="520" w:lineRule="exact"/>
        <w:ind w:firstLine="448" w:firstLineChars="200"/>
        <w:rPr>
          <w:sz w:val="24"/>
          <w:szCs w:val="24"/>
        </w:rPr>
      </w:pPr>
      <w:r>
        <w:rPr>
          <w:sz w:val="24"/>
          <w:szCs w:val="24"/>
        </w:rPr>
        <w:t>二、质量要求及对质量负责条件和期限：见附件。</w:t>
      </w:r>
    </w:p>
    <w:p w14:paraId="380F65E9">
      <w:pPr>
        <w:tabs>
          <w:tab w:val="left" w:pos="360"/>
        </w:tabs>
        <w:spacing w:line="520" w:lineRule="exact"/>
        <w:ind w:firstLine="448" w:firstLineChars="200"/>
        <w:rPr>
          <w:sz w:val="24"/>
          <w:szCs w:val="24"/>
        </w:rPr>
      </w:pPr>
      <w:r>
        <w:rPr>
          <w:sz w:val="24"/>
          <w:szCs w:val="24"/>
        </w:rPr>
        <w:t>三、供方所提供的服务必须具有合法手续及相关文件。如涉及知识产权则必须是自己拥有或合法使用的。</w:t>
      </w:r>
    </w:p>
    <w:p w14:paraId="6FDF5A12">
      <w:pPr>
        <w:tabs>
          <w:tab w:val="left" w:pos="360"/>
        </w:tabs>
        <w:spacing w:line="520" w:lineRule="exact"/>
        <w:ind w:firstLine="448" w:firstLineChars="200"/>
        <w:rPr>
          <w:sz w:val="24"/>
          <w:szCs w:val="24"/>
        </w:rPr>
      </w:pPr>
      <w:r>
        <w:rPr>
          <w:sz w:val="24"/>
          <w:szCs w:val="24"/>
        </w:rPr>
        <w:t>四、交货时间、地点、方式：见附件。</w:t>
      </w:r>
    </w:p>
    <w:p w14:paraId="7E176040">
      <w:pPr>
        <w:tabs>
          <w:tab w:val="left" w:pos="360"/>
        </w:tabs>
        <w:spacing w:line="520" w:lineRule="exact"/>
        <w:ind w:firstLine="448" w:firstLineChars="200"/>
        <w:rPr>
          <w:sz w:val="24"/>
          <w:szCs w:val="24"/>
        </w:rPr>
      </w:pPr>
      <w:r>
        <w:rPr>
          <w:sz w:val="24"/>
          <w:szCs w:val="24"/>
        </w:rPr>
        <w:t>五、供方应随货物向需方交付服务的相关的资料。如果所提交文件是外文的，供方有义务为需方提供中文或译成中文文件。</w:t>
      </w:r>
    </w:p>
    <w:p w14:paraId="6F4AE717">
      <w:pPr>
        <w:tabs>
          <w:tab w:val="left" w:pos="360"/>
          <w:tab w:val="left" w:pos="721"/>
        </w:tabs>
        <w:spacing w:line="520" w:lineRule="exact"/>
        <w:rPr>
          <w:sz w:val="24"/>
          <w:szCs w:val="24"/>
        </w:rPr>
      </w:pPr>
      <w:r>
        <w:rPr>
          <w:sz w:val="24"/>
          <w:szCs w:val="24"/>
        </w:rPr>
        <w:t xml:space="preserve">    六、验收工作由需方负责对合同进行验收。</w:t>
      </w:r>
    </w:p>
    <w:p w14:paraId="03F35DF3">
      <w:pPr>
        <w:tabs>
          <w:tab w:val="left" w:pos="360"/>
        </w:tabs>
        <w:spacing w:line="520" w:lineRule="exact"/>
        <w:rPr>
          <w:sz w:val="24"/>
          <w:szCs w:val="24"/>
        </w:rPr>
      </w:pPr>
      <w:r>
        <w:rPr>
          <w:sz w:val="24"/>
          <w:szCs w:val="24"/>
        </w:rPr>
        <w:t xml:space="preserve">    七、货款支付方式：见附件。</w:t>
      </w:r>
    </w:p>
    <w:p w14:paraId="710501CF">
      <w:pPr>
        <w:tabs>
          <w:tab w:val="left" w:pos="0"/>
          <w:tab w:val="left" w:pos="721"/>
        </w:tabs>
        <w:spacing w:line="520" w:lineRule="exact"/>
        <w:ind w:firstLine="448" w:firstLineChars="200"/>
        <w:rPr>
          <w:sz w:val="24"/>
          <w:szCs w:val="24"/>
        </w:rPr>
      </w:pPr>
      <w:r>
        <w:rPr>
          <w:sz w:val="24"/>
          <w:szCs w:val="24"/>
        </w:rPr>
        <w:t>供方开户银行（汉字全称）：</w:t>
      </w:r>
      <w:r>
        <w:rPr>
          <w:sz w:val="24"/>
          <w:szCs w:val="24"/>
          <w:u w:val="single"/>
        </w:rPr>
        <w:t xml:space="preserve">                                        </w:t>
      </w:r>
      <w:r>
        <w:rPr>
          <w:sz w:val="24"/>
          <w:szCs w:val="24"/>
        </w:rPr>
        <w:t>，</w:t>
      </w:r>
    </w:p>
    <w:p w14:paraId="4273A1C9">
      <w:pPr>
        <w:tabs>
          <w:tab w:val="left" w:pos="0"/>
          <w:tab w:val="left" w:pos="721"/>
        </w:tabs>
        <w:spacing w:line="520" w:lineRule="exact"/>
        <w:ind w:firstLine="479" w:firstLineChars="214"/>
        <w:rPr>
          <w:sz w:val="24"/>
          <w:szCs w:val="24"/>
        </w:rPr>
      </w:pPr>
      <w:r>
        <w:rPr>
          <w:sz w:val="24"/>
          <w:szCs w:val="24"/>
        </w:rPr>
        <w:t>行号（数字代码）：</w:t>
      </w:r>
      <w:r>
        <w:rPr>
          <w:sz w:val="24"/>
          <w:szCs w:val="24"/>
          <w:u w:val="single"/>
        </w:rPr>
        <w:t xml:space="preserve">                                                </w:t>
      </w:r>
      <w:r>
        <w:rPr>
          <w:sz w:val="24"/>
          <w:szCs w:val="24"/>
        </w:rPr>
        <w:t>，</w:t>
      </w:r>
    </w:p>
    <w:p w14:paraId="06219639">
      <w:pPr>
        <w:tabs>
          <w:tab w:val="left" w:pos="0"/>
          <w:tab w:val="left" w:pos="721"/>
        </w:tabs>
        <w:spacing w:line="520" w:lineRule="exact"/>
        <w:ind w:firstLine="479"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2BD13ED7">
      <w:pPr>
        <w:tabs>
          <w:tab w:val="left" w:pos="0"/>
          <w:tab w:val="left" w:pos="360"/>
        </w:tabs>
        <w:spacing w:line="520" w:lineRule="exact"/>
        <w:ind w:firstLine="448" w:firstLineChars="200"/>
        <w:rPr>
          <w:sz w:val="24"/>
          <w:szCs w:val="24"/>
        </w:rPr>
      </w:pPr>
      <w:r>
        <w:rPr>
          <w:sz w:val="24"/>
          <w:szCs w:val="24"/>
        </w:rPr>
        <w:t>八、合同约定的交货期（竣工期）或验收期届满，需方由于不具备现场条件导致供方无法验收，合同顺延，延期30日以上，需方应按约定付款，如在实际验收过程中出现质量问题，另行商定；需方无故推迟验收或拒不验收的，则视同“验收合格”并向供方付款，但合同中与验收有关的其他条款以合同实际履行后的验收为准。需方具备现场条件，供方应积极做好安装和验收工作。</w:t>
      </w:r>
    </w:p>
    <w:p w14:paraId="5BEC7A5B">
      <w:pPr>
        <w:pStyle w:val="7"/>
        <w:spacing w:line="520" w:lineRule="exact"/>
        <w:ind w:left="-97" w:leftChars="-50" w:firstLine="448" w:firstLineChars="200"/>
        <w:rPr>
          <w:sz w:val="24"/>
          <w:szCs w:val="24"/>
        </w:rPr>
      </w:pPr>
      <w:r>
        <w:rPr>
          <w:sz w:val="24"/>
          <w:szCs w:val="24"/>
        </w:rPr>
        <w:t>九、有关涉及本合同供方向天津市政府采购中心所提交的响应文件及有关澄清资料和服务承诺均视为本合同不可分割的部分，对供方具有约束力。</w:t>
      </w:r>
    </w:p>
    <w:p w14:paraId="58845C0C">
      <w:pPr>
        <w:tabs>
          <w:tab w:val="left" w:pos="0"/>
          <w:tab w:val="left" w:pos="315"/>
        </w:tabs>
        <w:spacing w:line="520" w:lineRule="exact"/>
        <w:rPr>
          <w:sz w:val="24"/>
          <w:szCs w:val="24"/>
        </w:rPr>
      </w:pPr>
      <w:r>
        <w:rPr>
          <w:sz w:val="24"/>
          <w:szCs w:val="24"/>
        </w:rPr>
        <w:t>十、本合同一式   份，需方留存   份，供方留存   份，均具同等效力，签字盖章后生效。</w:t>
      </w:r>
    </w:p>
    <w:tbl>
      <w:tblPr>
        <w:tblStyle w:val="15"/>
        <w:tblW w:w="0" w:type="auto"/>
        <w:tblInd w:w="0" w:type="dxa"/>
        <w:tblLayout w:type="autofit"/>
        <w:tblCellMar>
          <w:top w:w="0" w:type="dxa"/>
          <w:left w:w="108" w:type="dxa"/>
          <w:bottom w:w="0" w:type="dxa"/>
          <w:right w:w="108" w:type="dxa"/>
        </w:tblCellMar>
      </w:tblPr>
      <w:tblGrid>
        <w:gridCol w:w="4261"/>
        <w:gridCol w:w="4261"/>
      </w:tblGrid>
      <w:tr w14:paraId="66263B4A">
        <w:tblPrEx>
          <w:tblCellMar>
            <w:top w:w="0" w:type="dxa"/>
            <w:left w:w="108" w:type="dxa"/>
            <w:bottom w:w="0" w:type="dxa"/>
            <w:right w:w="108" w:type="dxa"/>
          </w:tblCellMar>
        </w:tblPrEx>
        <w:tc>
          <w:tcPr>
            <w:tcW w:w="4261" w:type="dxa"/>
          </w:tcPr>
          <w:p w14:paraId="422CF948">
            <w:pPr>
              <w:tabs>
                <w:tab w:val="left" w:pos="0"/>
                <w:tab w:val="left" w:pos="315"/>
              </w:tabs>
              <w:spacing w:line="520" w:lineRule="exact"/>
              <w:rPr>
                <w:sz w:val="24"/>
                <w:szCs w:val="24"/>
              </w:rPr>
            </w:pPr>
            <w:r>
              <w:rPr>
                <w:sz w:val="24"/>
                <w:szCs w:val="24"/>
              </w:rPr>
              <w:t xml:space="preserve">供方（公章）： </w:t>
            </w:r>
          </w:p>
        </w:tc>
        <w:tc>
          <w:tcPr>
            <w:tcW w:w="4261" w:type="dxa"/>
          </w:tcPr>
          <w:p w14:paraId="639AE461">
            <w:pPr>
              <w:tabs>
                <w:tab w:val="left" w:pos="0"/>
                <w:tab w:val="left" w:pos="315"/>
              </w:tabs>
              <w:spacing w:line="520" w:lineRule="exact"/>
              <w:rPr>
                <w:sz w:val="24"/>
                <w:szCs w:val="24"/>
              </w:rPr>
            </w:pPr>
            <w:r>
              <w:rPr>
                <w:sz w:val="24"/>
                <w:szCs w:val="24"/>
              </w:rPr>
              <w:t xml:space="preserve">需方（公章）： </w:t>
            </w:r>
          </w:p>
        </w:tc>
      </w:tr>
      <w:tr w14:paraId="7A8DFB40">
        <w:tblPrEx>
          <w:tblCellMar>
            <w:top w:w="0" w:type="dxa"/>
            <w:left w:w="108" w:type="dxa"/>
            <w:bottom w:w="0" w:type="dxa"/>
            <w:right w:w="108" w:type="dxa"/>
          </w:tblCellMar>
        </w:tblPrEx>
        <w:tc>
          <w:tcPr>
            <w:tcW w:w="4261" w:type="dxa"/>
          </w:tcPr>
          <w:p w14:paraId="3ED35392">
            <w:pPr>
              <w:tabs>
                <w:tab w:val="left" w:pos="0"/>
                <w:tab w:val="left" w:pos="315"/>
              </w:tabs>
              <w:spacing w:line="520" w:lineRule="exact"/>
              <w:rPr>
                <w:sz w:val="24"/>
                <w:szCs w:val="24"/>
              </w:rPr>
            </w:pPr>
            <w:r>
              <w:rPr>
                <w:sz w:val="24"/>
                <w:szCs w:val="24"/>
              </w:rPr>
              <w:t xml:space="preserve">地址：  </w:t>
            </w:r>
          </w:p>
        </w:tc>
        <w:tc>
          <w:tcPr>
            <w:tcW w:w="4261" w:type="dxa"/>
          </w:tcPr>
          <w:p w14:paraId="524E56A5">
            <w:pPr>
              <w:tabs>
                <w:tab w:val="left" w:pos="0"/>
                <w:tab w:val="left" w:pos="315"/>
              </w:tabs>
              <w:spacing w:line="520" w:lineRule="exact"/>
              <w:rPr>
                <w:sz w:val="24"/>
                <w:szCs w:val="24"/>
              </w:rPr>
            </w:pPr>
            <w:r>
              <w:rPr>
                <w:sz w:val="24"/>
                <w:szCs w:val="24"/>
              </w:rPr>
              <w:t xml:space="preserve">地址： </w:t>
            </w:r>
          </w:p>
        </w:tc>
      </w:tr>
      <w:tr w14:paraId="6AC4561E">
        <w:tblPrEx>
          <w:tblCellMar>
            <w:top w:w="0" w:type="dxa"/>
            <w:left w:w="108" w:type="dxa"/>
            <w:bottom w:w="0" w:type="dxa"/>
            <w:right w:w="108" w:type="dxa"/>
          </w:tblCellMar>
        </w:tblPrEx>
        <w:tc>
          <w:tcPr>
            <w:tcW w:w="4261" w:type="dxa"/>
          </w:tcPr>
          <w:p w14:paraId="6EEF74D7">
            <w:pPr>
              <w:tabs>
                <w:tab w:val="left" w:pos="360"/>
              </w:tabs>
              <w:spacing w:line="520" w:lineRule="exact"/>
              <w:rPr>
                <w:sz w:val="24"/>
                <w:szCs w:val="24"/>
              </w:rPr>
            </w:pPr>
            <w:r>
              <w:rPr>
                <w:sz w:val="24"/>
                <w:szCs w:val="24"/>
              </w:rPr>
              <w:t xml:space="preserve">法定代表人： </w:t>
            </w:r>
          </w:p>
        </w:tc>
        <w:tc>
          <w:tcPr>
            <w:tcW w:w="4261" w:type="dxa"/>
          </w:tcPr>
          <w:p w14:paraId="567F2683">
            <w:pPr>
              <w:tabs>
                <w:tab w:val="left" w:pos="360"/>
              </w:tabs>
              <w:spacing w:line="520" w:lineRule="exact"/>
              <w:rPr>
                <w:sz w:val="24"/>
                <w:szCs w:val="24"/>
              </w:rPr>
            </w:pPr>
            <w:r>
              <w:rPr>
                <w:sz w:val="24"/>
                <w:szCs w:val="24"/>
              </w:rPr>
              <w:t xml:space="preserve">法定代表人： </w:t>
            </w:r>
          </w:p>
        </w:tc>
      </w:tr>
      <w:tr w14:paraId="06ECF519">
        <w:tc>
          <w:tcPr>
            <w:tcW w:w="4261" w:type="dxa"/>
          </w:tcPr>
          <w:p w14:paraId="2B7B1396">
            <w:pPr>
              <w:tabs>
                <w:tab w:val="left" w:pos="360"/>
              </w:tabs>
              <w:spacing w:line="520" w:lineRule="exact"/>
              <w:rPr>
                <w:sz w:val="24"/>
                <w:szCs w:val="24"/>
              </w:rPr>
            </w:pPr>
            <w:r>
              <w:rPr>
                <w:sz w:val="24"/>
                <w:szCs w:val="24"/>
              </w:rPr>
              <w:t xml:space="preserve">委托代理人： </w:t>
            </w:r>
          </w:p>
        </w:tc>
        <w:tc>
          <w:tcPr>
            <w:tcW w:w="4261" w:type="dxa"/>
          </w:tcPr>
          <w:p w14:paraId="1CB0EB79">
            <w:pPr>
              <w:tabs>
                <w:tab w:val="left" w:pos="360"/>
              </w:tabs>
              <w:spacing w:line="520" w:lineRule="exact"/>
              <w:rPr>
                <w:sz w:val="24"/>
                <w:szCs w:val="24"/>
              </w:rPr>
            </w:pPr>
            <w:r>
              <w:rPr>
                <w:sz w:val="24"/>
                <w:szCs w:val="24"/>
              </w:rPr>
              <w:t xml:space="preserve">委托代理人： </w:t>
            </w:r>
          </w:p>
        </w:tc>
      </w:tr>
      <w:tr w14:paraId="7900FCA6">
        <w:tblPrEx>
          <w:tblCellMar>
            <w:top w:w="0" w:type="dxa"/>
            <w:left w:w="108" w:type="dxa"/>
            <w:bottom w:w="0" w:type="dxa"/>
            <w:right w:w="108" w:type="dxa"/>
          </w:tblCellMar>
        </w:tblPrEx>
        <w:tc>
          <w:tcPr>
            <w:tcW w:w="4261" w:type="dxa"/>
          </w:tcPr>
          <w:p w14:paraId="27D30548">
            <w:pPr>
              <w:tabs>
                <w:tab w:val="left" w:pos="360"/>
              </w:tabs>
              <w:spacing w:line="520" w:lineRule="exact"/>
              <w:rPr>
                <w:sz w:val="24"/>
                <w:szCs w:val="24"/>
              </w:rPr>
            </w:pPr>
            <w:r>
              <w:rPr>
                <w:sz w:val="24"/>
                <w:szCs w:val="24"/>
              </w:rPr>
              <w:t>电话：</w:t>
            </w:r>
          </w:p>
        </w:tc>
        <w:tc>
          <w:tcPr>
            <w:tcW w:w="4261" w:type="dxa"/>
          </w:tcPr>
          <w:p w14:paraId="13375AF8">
            <w:pPr>
              <w:tabs>
                <w:tab w:val="left" w:pos="360"/>
              </w:tabs>
              <w:spacing w:line="520" w:lineRule="exact"/>
              <w:rPr>
                <w:sz w:val="24"/>
                <w:szCs w:val="24"/>
              </w:rPr>
            </w:pPr>
            <w:r>
              <w:rPr>
                <w:sz w:val="24"/>
                <w:szCs w:val="24"/>
              </w:rPr>
              <w:t>电话：</w:t>
            </w:r>
          </w:p>
        </w:tc>
      </w:tr>
    </w:tbl>
    <w:p w14:paraId="0299B532">
      <w:pPr>
        <w:rPr>
          <w:sz w:val="24"/>
          <w:szCs w:val="24"/>
        </w:rPr>
      </w:pPr>
    </w:p>
    <w:p w14:paraId="416C4F43">
      <w:pPr>
        <w:rPr>
          <w:szCs w:val="24"/>
        </w:rPr>
      </w:pPr>
      <w:r>
        <w:rPr>
          <w:sz w:val="24"/>
          <w:szCs w:val="24"/>
        </w:rPr>
        <w:t>时间：</w:t>
      </w:r>
      <w:r>
        <w:rPr>
          <w:rFonts w:hint="eastAsia"/>
          <w:sz w:val="24"/>
          <w:szCs w:val="24"/>
        </w:rPr>
        <w:t xml:space="preserve">  </w:t>
      </w:r>
      <w:r>
        <w:rPr>
          <w:sz w:val="24"/>
          <w:szCs w:val="24"/>
        </w:rPr>
        <w:t>年  月  日</w:t>
      </w:r>
    </w:p>
    <w:p w14:paraId="2FABE209">
      <w:pPr>
        <w:jc w:val="center"/>
        <w:rPr>
          <w:b/>
          <w:sz w:val="30"/>
          <w:szCs w:val="30"/>
        </w:rPr>
      </w:pPr>
      <w:r>
        <w:rPr>
          <w:b/>
          <w:sz w:val="30"/>
          <w:szCs w:val="30"/>
        </w:rPr>
        <w:br w:type="page"/>
      </w:r>
      <w:r>
        <w:rPr>
          <w:b/>
          <w:sz w:val="30"/>
          <w:szCs w:val="30"/>
        </w:rPr>
        <w:t>合同特殊条款</w:t>
      </w:r>
    </w:p>
    <w:p w14:paraId="417468F7">
      <w:pPr>
        <w:tabs>
          <w:tab w:val="left" w:pos="360"/>
        </w:tabs>
        <w:spacing w:line="520" w:lineRule="exact"/>
        <w:ind w:firstLine="383" w:firstLineChars="171"/>
        <w:rPr>
          <w:color w:val="000000"/>
          <w:sz w:val="24"/>
          <w:szCs w:val="24"/>
        </w:rPr>
      </w:pPr>
    </w:p>
    <w:p w14:paraId="22499BDD">
      <w:pPr>
        <w:tabs>
          <w:tab w:val="left" w:pos="360"/>
        </w:tabs>
        <w:spacing w:line="520" w:lineRule="exact"/>
        <w:ind w:firstLine="383"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0C743EF5">
      <w:pPr>
        <w:tabs>
          <w:tab w:val="left" w:pos="360"/>
        </w:tabs>
        <w:spacing w:line="520" w:lineRule="exact"/>
        <w:ind w:firstLine="383" w:firstLineChars="171"/>
        <w:rPr>
          <w:color w:val="000000"/>
          <w:sz w:val="24"/>
          <w:szCs w:val="24"/>
        </w:rPr>
      </w:pPr>
      <w:r>
        <w:rPr>
          <w:color w:val="000000"/>
          <w:sz w:val="24"/>
          <w:szCs w:val="24"/>
        </w:rPr>
        <w:t xml:space="preserve"> 合同特殊条款由成交单位和货物（或工程、服务）需求方及代理方根据货物项目的具体情况协商拟订。</w:t>
      </w:r>
    </w:p>
    <w:p w14:paraId="103F8C6C">
      <w:pPr>
        <w:pStyle w:val="12"/>
        <w:rPr>
          <w:rFonts w:ascii="Times New Roman" w:hAnsi="Times New Roman"/>
        </w:rPr>
      </w:pPr>
      <w:r>
        <w:rPr>
          <w:rFonts w:ascii="Times New Roman" w:hAnsi="Times New Roman" w:eastAsia="仿宋_GB2312"/>
          <w:b w:val="0"/>
          <w:bCs w:val="0"/>
          <w:color w:val="5F5F5F"/>
          <w:spacing w:val="20"/>
          <w:w w:val="66"/>
          <w:sz w:val="44"/>
          <w:szCs w:val="44"/>
        </w:rPr>
        <w:br w:type="page"/>
      </w:r>
      <w:r>
        <w:rPr>
          <w:rFonts w:ascii="Times New Roman" w:hAnsi="Times New Roman"/>
        </w:rPr>
        <w:t>第五部分  响应文件格式</w:t>
      </w:r>
    </w:p>
    <w:p w14:paraId="09E09A8F">
      <w:pPr>
        <w:autoSpaceDN w:val="0"/>
        <w:spacing w:line="360" w:lineRule="auto"/>
        <w:jc w:val="center"/>
        <w:rPr>
          <w:b/>
          <w:bCs/>
          <w:sz w:val="24"/>
        </w:rPr>
      </w:pPr>
      <w:r>
        <w:rPr>
          <w:b/>
          <w:bCs/>
          <w:sz w:val="24"/>
        </w:rPr>
        <w:t>响应文件封面格式</w:t>
      </w:r>
    </w:p>
    <w:p w14:paraId="74C8EF52">
      <w:pPr>
        <w:autoSpaceDE w:val="0"/>
        <w:autoSpaceDN w:val="0"/>
        <w:adjustRightInd w:val="0"/>
        <w:spacing w:line="520" w:lineRule="exact"/>
      </w:pPr>
    </w:p>
    <w:p w14:paraId="19CAAEC1">
      <w:pPr>
        <w:autoSpaceDE w:val="0"/>
        <w:autoSpaceDN w:val="0"/>
        <w:adjustRightInd w:val="0"/>
        <w:spacing w:line="520" w:lineRule="exact"/>
        <w:rPr>
          <w:b/>
          <w:kern w:val="0"/>
          <w:sz w:val="24"/>
        </w:rPr>
      </w:pPr>
      <w:bookmarkStart w:id="4" w:name="_GoBack"/>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4"/>
    </w:p>
    <w:p w14:paraId="4480C8FE">
      <w:pPr>
        <w:autoSpaceDE w:val="0"/>
        <w:autoSpaceDN w:val="0"/>
        <w:adjustRightInd w:val="0"/>
        <w:spacing w:line="520" w:lineRule="exact"/>
        <w:rPr>
          <w:b/>
          <w:kern w:val="0"/>
          <w:sz w:val="24"/>
        </w:rPr>
      </w:pPr>
    </w:p>
    <w:p w14:paraId="06B5B371">
      <w:pPr>
        <w:autoSpaceDE w:val="0"/>
        <w:autoSpaceDN w:val="0"/>
        <w:adjustRightInd w:val="0"/>
        <w:spacing w:line="520" w:lineRule="exact"/>
        <w:rPr>
          <w:b/>
          <w:kern w:val="0"/>
          <w:sz w:val="24"/>
        </w:rPr>
      </w:pPr>
    </w:p>
    <w:p w14:paraId="44BC8E01">
      <w:pPr>
        <w:autoSpaceDE w:val="0"/>
        <w:autoSpaceDN w:val="0"/>
        <w:adjustRightInd w:val="0"/>
        <w:jc w:val="center"/>
        <w:rPr>
          <w:kern w:val="0"/>
          <w:sz w:val="144"/>
          <w:szCs w:val="144"/>
        </w:rPr>
      </w:pPr>
      <w:r>
        <w:rPr>
          <w:sz w:val="160"/>
          <w:szCs w:val="84"/>
        </w:rPr>
        <w:t>响 应</w:t>
      </w:r>
      <w:r>
        <w:rPr>
          <w:sz w:val="84"/>
          <w:szCs w:val="84"/>
        </w:rPr>
        <w:t xml:space="preserve"> </w:t>
      </w:r>
      <w:r>
        <w:rPr>
          <w:sz w:val="160"/>
          <w:szCs w:val="84"/>
        </w:rPr>
        <w:t>文</w:t>
      </w:r>
      <w:r>
        <w:rPr>
          <w:sz w:val="84"/>
          <w:szCs w:val="84"/>
        </w:rPr>
        <w:t xml:space="preserve"> </w:t>
      </w:r>
      <w:r>
        <w:rPr>
          <w:sz w:val="160"/>
          <w:szCs w:val="84"/>
        </w:rPr>
        <w:t>件</w:t>
      </w:r>
    </w:p>
    <w:p w14:paraId="14270E11">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357B5C08">
      <w:pPr>
        <w:autoSpaceDE w:val="0"/>
        <w:autoSpaceDN w:val="0"/>
        <w:adjustRightInd w:val="0"/>
        <w:spacing w:line="520" w:lineRule="exact"/>
        <w:jc w:val="center"/>
        <w:rPr>
          <w:b/>
          <w:kern w:val="0"/>
          <w:sz w:val="36"/>
          <w:szCs w:val="36"/>
        </w:rPr>
      </w:pPr>
      <w:r>
        <w:rPr>
          <w:b/>
          <w:kern w:val="0"/>
          <w:sz w:val="36"/>
          <w:szCs w:val="36"/>
        </w:rPr>
        <w:t>第一阶段</w:t>
      </w:r>
    </w:p>
    <w:p w14:paraId="209CB979">
      <w:pPr>
        <w:autoSpaceDE w:val="0"/>
        <w:autoSpaceDN w:val="0"/>
        <w:adjustRightInd w:val="0"/>
        <w:spacing w:line="520" w:lineRule="exact"/>
        <w:jc w:val="center"/>
        <w:rPr>
          <w:b/>
          <w:kern w:val="0"/>
          <w:sz w:val="24"/>
        </w:rPr>
      </w:pPr>
    </w:p>
    <w:p w14:paraId="0E41C7D6">
      <w:pPr>
        <w:spacing w:before="85" w:beforeLines="30" w:after="199" w:afterLines="70" w:line="540" w:lineRule="exact"/>
        <w:ind w:left="582" w:leftChars="300"/>
        <w:rPr>
          <w:b/>
          <w:sz w:val="34"/>
          <w:szCs w:val="34"/>
        </w:rPr>
      </w:pPr>
      <w:r>
        <w:rPr>
          <w:b/>
          <w:sz w:val="34"/>
          <w:szCs w:val="34"/>
        </w:rPr>
        <w:t>项目编号：</w:t>
      </w:r>
    </w:p>
    <w:p w14:paraId="07F304AA">
      <w:pPr>
        <w:spacing w:before="85" w:beforeLines="30" w:after="199" w:afterLines="70" w:line="540" w:lineRule="exact"/>
        <w:ind w:left="2027" w:leftChars="300" w:hanging="1445" w:hangingChars="446"/>
        <w:rPr>
          <w:b/>
          <w:sz w:val="34"/>
          <w:szCs w:val="34"/>
        </w:rPr>
      </w:pPr>
      <w:r>
        <w:rPr>
          <w:b/>
          <w:sz w:val="34"/>
          <w:szCs w:val="34"/>
        </w:rPr>
        <w:t>项目名称：</w:t>
      </w:r>
    </w:p>
    <w:p w14:paraId="330FF368">
      <w:pPr>
        <w:spacing w:before="85" w:beforeLines="30" w:after="199" w:afterLines="70" w:line="540" w:lineRule="exact"/>
        <w:ind w:left="2027" w:leftChars="300" w:hanging="1445" w:hangingChars="446"/>
        <w:rPr>
          <w:b/>
          <w:sz w:val="34"/>
          <w:szCs w:val="34"/>
        </w:rPr>
      </w:pPr>
      <w:r>
        <w:rPr>
          <w:b/>
          <w:sz w:val="34"/>
          <w:szCs w:val="34"/>
        </w:rPr>
        <w:t>所投包号：</w:t>
      </w:r>
    </w:p>
    <w:p w14:paraId="6554DB0F">
      <w:pPr>
        <w:spacing w:before="85" w:beforeLines="30" w:after="199" w:afterLines="70" w:line="540" w:lineRule="exact"/>
        <w:ind w:left="582" w:leftChars="300"/>
        <w:rPr>
          <w:b/>
          <w:sz w:val="34"/>
          <w:szCs w:val="34"/>
        </w:rPr>
      </w:pPr>
      <w:r>
        <w:rPr>
          <w:b/>
          <w:sz w:val="34"/>
          <w:szCs w:val="34"/>
        </w:rPr>
        <w:t>投标单位名称：</w:t>
      </w:r>
    </w:p>
    <w:p w14:paraId="1021F917">
      <w:pPr>
        <w:spacing w:before="85" w:beforeLines="30" w:after="199" w:afterLines="70" w:line="540" w:lineRule="exact"/>
        <w:ind w:left="582" w:leftChars="300"/>
        <w:rPr>
          <w:b/>
          <w:sz w:val="34"/>
          <w:szCs w:val="34"/>
        </w:rPr>
      </w:pPr>
    </w:p>
    <w:p w14:paraId="11DFCF09">
      <w:pPr>
        <w:spacing w:before="85" w:beforeLines="30" w:after="199" w:afterLines="70" w:line="540" w:lineRule="exact"/>
        <w:ind w:left="582" w:leftChars="300"/>
        <w:rPr>
          <w:b/>
          <w:sz w:val="34"/>
          <w:szCs w:val="34"/>
        </w:rPr>
      </w:pPr>
    </w:p>
    <w:p w14:paraId="73921329">
      <w:pPr>
        <w:spacing w:before="85" w:beforeLines="30" w:after="199" w:afterLines="70" w:line="540" w:lineRule="exact"/>
        <w:ind w:left="582" w:leftChars="300"/>
        <w:rPr>
          <w:b/>
          <w:sz w:val="34"/>
          <w:szCs w:val="34"/>
        </w:rPr>
      </w:pPr>
    </w:p>
    <w:p w14:paraId="163718CA">
      <w:pPr>
        <w:spacing w:before="85" w:beforeLines="30" w:after="199" w:afterLines="70" w:line="540" w:lineRule="exact"/>
        <w:ind w:left="582" w:leftChars="300"/>
        <w:rPr>
          <w:b/>
          <w:bCs/>
          <w:sz w:val="24"/>
        </w:rPr>
      </w:pPr>
      <w:r>
        <w:rPr>
          <w:b/>
          <w:sz w:val="34"/>
          <w:szCs w:val="34"/>
        </w:rPr>
        <w:t>谈判日期：   年   月   日</w:t>
      </w:r>
    </w:p>
    <w:p w14:paraId="3366815C">
      <w:pPr>
        <w:widowControl/>
        <w:jc w:val="left"/>
        <w:rPr>
          <w:b/>
          <w:bCs/>
          <w:sz w:val="24"/>
        </w:rPr>
      </w:pPr>
      <w:r>
        <w:rPr>
          <w:b/>
          <w:bCs/>
          <w:sz w:val="24"/>
        </w:rPr>
        <w:br w:type="page"/>
      </w:r>
    </w:p>
    <w:p w14:paraId="13477492">
      <w:pPr>
        <w:autoSpaceDN w:val="0"/>
        <w:spacing w:line="360" w:lineRule="auto"/>
        <w:jc w:val="center"/>
        <w:rPr>
          <w:b/>
          <w:bCs/>
          <w:sz w:val="24"/>
        </w:rPr>
      </w:pPr>
      <w:r>
        <w:rPr>
          <w:b/>
          <w:sz w:val="24"/>
        </w:rPr>
        <w:t>第一阶段</w:t>
      </w:r>
      <w:r>
        <w:rPr>
          <w:b/>
          <w:bCs/>
          <w:sz w:val="24"/>
        </w:rPr>
        <w:t>响应文件总目录</w:t>
      </w:r>
    </w:p>
    <w:p w14:paraId="2D369F3F">
      <w:pPr>
        <w:autoSpaceDN w:val="0"/>
        <w:spacing w:line="360" w:lineRule="auto"/>
        <w:jc w:val="center"/>
        <w:rPr>
          <w:b/>
          <w:bCs/>
          <w:sz w:val="24"/>
        </w:rPr>
      </w:pPr>
      <w:r>
        <w:rPr>
          <w:b/>
          <w:bCs/>
          <w:sz w:val="24"/>
        </w:rPr>
        <w:t>（需投标人自行编制）</w:t>
      </w:r>
    </w:p>
    <w:p w14:paraId="379638D9">
      <w:pPr>
        <w:widowControl/>
        <w:jc w:val="center"/>
        <w:rPr>
          <w:b/>
          <w:sz w:val="24"/>
        </w:rPr>
      </w:pPr>
    </w:p>
    <w:p w14:paraId="011FB287">
      <w:pPr>
        <w:spacing w:line="460" w:lineRule="exact"/>
        <w:jc w:val="left"/>
        <w:rPr>
          <w:b/>
          <w:kern w:val="0"/>
          <w:sz w:val="24"/>
          <w:szCs w:val="21"/>
        </w:rPr>
      </w:pPr>
      <w:r>
        <w:rPr>
          <w:b/>
          <w:sz w:val="24"/>
        </w:rPr>
        <w:br w:type="page"/>
      </w:r>
      <w:r>
        <w:rPr>
          <w:b/>
          <w:kern w:val="0"/>
          <w:sz w:val="24"/>
          <w:szCs w:val="21"/>
        </w:rPr>
        <w:t>附件1</w:t>
      </w:r>
    </w:p>
    <w:p w14:paraId="6633429D">
      <w:pPr>
        <w:tabs>
          <w:tab w:val="left" w:pos="360"/>
        </w:tabs>
        <w:spacing w:line="560" w:lineRule="exact"/>
        <w:jc w:val="center"/>
        <w:rPr>
          <w:b/>
          <w:sz w:val="24"/>
        </w:rPr>
      </w:pPr>
      <w:r>
        <w:rPr>
          <w:b/>
          <w:sz w:val="24"/>
        </w:rPr>
        <w:t>响应书</w:t>
      </w:r>
    </w:p>
    <w:p w14:paraId="1EBF8B05">
      <w:pPr>
        <w:tabs>
          <w:tab w:val="left" w:pos="360"/>
        </w:tabs>
        <w:spacing w:line="560" w:lineRule="exact"/>
        <w:jc w:val="center"/>
        <w:rPr>
          <w:b/>
          <w:sz w:val="24"/>
        </w:rPr>
      </w:pPr>
    </w:p>
    <w:p w14:paraId="0CCBBF6D">
      <w:pPr>
        <w:autoSpaceDE w:val="0"/>
        <w:autoSpaceDN w:val="0"/>
        <w:adjustRightInd w:val="0"/>
        <w:spacing w:line="520" w:lineRule="exact"/>
        <w:jc w:val="left"/>
        <w:rPr>
          <w:kern w:val="0"/>
          <w:sz w:val="24"/>
        </w:rPr>
      </w:pPr>
      <w:r>
        <w:rPr>
          <w:kern w:val="0"/>
          <w:sz w:val="24"/>
        </w:rPr>
        <w:t>致：天津市政府采购中心</w:t>
      </w:r>
    </w:p>
    <w:p w14:paraId="5A29A83D">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）的谈判邀请，</w:t>
      </w:r>
      <w:r>
        <w:rPr>
          <w:rFonts w:hint="eastAsia"/>
          <w:sz w:val="24"/>
        </w:rPr>
        <w:t>谈判</w:t>
      </w:r>
      <w:r>
        <w:rPr>
          <w:sz w:val="24"/>
        </w:rPr>
        <w:t>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（投标单位名称、地址）提交网上应答及上传加盖电子签章的响应文件。</w:t>
      </w:r>
    </w:p>
    <w:p w14:paraId="55845EA8">
      <w:pPr>
        <w:autoSpaceDE w:val="0"/>
        <w:autoSpaceDN w:val="0"/>
        <w:adjustRightInd w:val="0"/>
        <w:spacing w:line="360" w:lineRule="auto"/>
        <w:ind w:firstLine="480"/>
        <w:jc w:val="left"/>
        <w:rPr>
          <w:kern w:val="0"/>
          <w:sz w:val="24"/>
        </w:rPr>
      </w:pPr>
      <w:r>
        <w:rPr>
          <w:kern w:val="0"/>
          <w:sz w:val="24"/>
        </w:rPr>
        <w:t>据此函，签字代表宣布同意如下：</w:t>
      </w:r>
    </w:p>
    <w:p w14:paraId="61F3C12F">
      <w:pPr>
        <w:spacing w:line="360" w:lineRule="auto"/>
        <w:ind w:firstLine="448" w:firstLineChars="200"/>
        <w:rPr>
          <w:sz w:val="24"/>
        </w:rPr>
      </w:pPr>
      <w:r>
        <w:rPr>
          <w:sz w:val="24"/>
        </w:rPr>
        <w:t>1. 我公司将按谈判文件的规定履行合同责任和义务。</w:t>
      </w:r>
    </w:p>
    <w:p w14:paraId="379575A7">
      <w:pPr>
        <w:spacing w:line="360" w:lineRule="auto"/>
        <w:ind w:firstLine="448" w:firstLineChars="200"/>
        <w:rPr>
          <w:sz w:val="24"/>
        </w:rPr>
      </w:pPr>
      <w:r>
        <w:rPr>
          <w:sz w:val="24"/>
        </w:rPr>
        <w:t>2. 我公司已详细审查全部谈判文件，包括更正公告以及全部参考资料和所有附件。我们完全理解并同意放弃对这方面有不明及误解的权利，并认为全部谈判文件（包括更正公告以及全部参考资料和所有附件）公平公正，无倾向性和排他性。</w:t>
      </w:r>
    </w:p>
    <w:p w14:paraId="5B3D4B9F">
      <w:pPr>
        <w:spacing w:line="360" w:lineRule="auto"/>
        <w:ind w:firstLine="448" w:firstLineChars="200"/>
        <w:rPr>
          <w:sz w:val="24"/>
        </w:rPr>
      </w:pPr>
      <w:r>
        <w:rPr>
          <w:sz w:val="24"/>
        </w:rPr>
        <w:t>3. 我公司的谈判有效期为响应文件开启之日起60天。</w:t>
      </w:r>
    </w:p>
    <w:p w14:paraId="1233C08C">
      <w:pPr>
        <w:spacing w:line="360" w:lineRule="auto"/>
        <w:ind w:firstLine="448" w:firstLineChars="200"/>
        <w:rPr>
          <w:sz w:val="24"/>
        </w:rPr>
      </w:pPr>
      <w:r>
        <w:rPr>
          <w:sz w:val="24"/>
        </w:rPr>
        <w:t>4. 我公司同意按照采购人、采购代理机构要求提供的与投标有关的一切数据或资料，并声明响应文件及所提供的一切资料均真实有效。由于我公司提供资料不实而造成的责任和后果由我公司自行承担。</w:t>
      </w:r>
    </w:p>
    <w:p w14:paraId="3CEC005F">
      <w:pPr>
        <w:spacing w:line="360" w:lineRule="auto"/>
        <w:ind w:firstLine="448" w:firstLineChars="200"/>
        <w:rPr>
          <w:sz w:val="24"/>
        </w:rPr>
      </w:pPr>
      <w:r>
        <w:rPr>
          <w:sz w:val="24"/>
        </w:rPr>
        <w:t>5. 我公司保证所投产品来自合法的供货渠道，若成交，则有义务向采购人提供其需要的有效书面证明材料。如果提供非法渠道的商品，视为欺诈，并承担相关责任。</w:t>
      </w:r>
    </w:p>
    <w:p w14:paraId="0ECF45C7">
      <w:pPr>
        <w:spacing w:line="360" w:lineRule="auto"/>
        <w:ind w:firstLine="448" w:firstLineChars="200"/>
        <w:rPr>
          <w:sz w:val="24"/>
        </w:rPr>
      </w:pPr>
      <w:r>
        <w:rPr>
          <w:sz w:val="24"/>
        </w:rPr>
        <w:t>6.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0BB5C781">
      <w:pPr>
        <w:spacing w:line="360" w:lineRule="auto"/>
        <w:ind w:firstLine="448" w:firstLineChars="200"/>
        <w:rPr>
          <w:sz w:val="24"/>
        </w:rPr>
      </w:pPr>
      <w:r>
        <w:rPr>
          <w:sz w:val="24"/>
        </w:rPr>
        <w:t>7. 我公司承诺完全符合《中华人民共和国政府采购法》、《中华人民共和国政府采购法实施条例》等法律法规规定，并随时接受采购人、采购代理机构的检查验证。在整个谈判过程中，我公司若有违规行为，我公司完全接受贵中心依照相关法律法规和谈判文件的规定给予处罚。</w:t>
      </w:r>
    </w:p>
    <w:p w14:paraId="28731592">
      <w:pPr>
        <w:spacing w:line="360" w:lineRule="auto"/>
        <w:ind w:firstLine="448" w:firstLineChars="200"/>
        <w:rPr>
          <w:sz w:val="24"/>
        </w:rPr>
      </w:pPr>
      <w:r>
        <w:rPr>
          <w:sz w:val="24"/>
        </w:rPr>
        <w:t>8.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w:t>
      </w:r>
      <w:r>
        <w:rPr>
          <w:rFonts w:hint="eastAsia"/>
          <w:sz w:val="24"/>
        </w:rPr>
        <w:t>具备履行合同所必需的设备和专业技术能力，</w:t>
      </w:r>
      <w:r>
        <w:rPr>
          <w:sz w:val="24"/>
          <w:szCs w:val="24"/>
        </w:rPr>
        <w:t>投标截止日前3年在经营活动中没有重大违法记录。</w:t>
      </w:r>
    </w:p>
    <w:p w14:paraId="7E2945DF">
      <w:pPr>
        <w:spacing w:line="360" w:lineRule="auto"/>
        <w:ind w:firstLine="448" w:firstLineChars="200"/>
        <w:rPr>
          <w:sz w:val="24"/>
        </w:rPr>
      </w:pPr>
      <w:r>
        <w:rPr>
          <w:sz w:val="24"/>
        </w:rPr>
        <w:t>9. 我公司若成交，本承诺将成为合同不可分割的一部分，与合同具有同等的法律效力。</w:t>
      </w:r>
    </w:p>
    <w:p w14:paraId="08AA6C52">
      <w:pPr>
        <w:spacing w:line="360" w:lineRule="auto"/>
        <w:ind w:firstLine="448" w:firstLineChars="200"/>
        <w:rPr>
          <w:sz w:val="24"/>
        </w:rPr>
      </w:pPr>
      <w:r>
        <w:rPr>
          <w:sz w:val="24"/>
        </w:rPr>
        <w:t>10. 如违反上述承诺，我公司投标无效且接受相关部门依法作出的处罚，并承担通过相关媒体予以公布的任何风险和责任。</w:t>
      </w:r>
    </w:p>
    <w:p w14:paraId="67597120">
      <w:pPr>
        <w:spacing w:line="360" w:lineRule="auto"/>
        <w:ind w:firstLine="448" w:firstLineChars="200"/>
        <w:rPr>
          <w:sz w:val="24"/>
        </w:rPr>
      </w:pPr>
      <w:r>
        <w:rPr>
          <w:rFonts w:hint="eastAsia"/>
          <w:sz w:val="24"/>
        </w:rPr>
        <w:t>11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273B3C80">
      <w:pPr>
        <w:spacing w:line="360" w:lineRule="auto"/>
        <w:ind w:firstLine="448" w:firstLineChars="200"/>
        <w:rPr>
          <w:sz w:val="24"/>
        </w:rPr>
      </w:pPr>
      <w:r>
        <w:rPr>
          <w:rFonts w:hint="eastAsia"/>
          <w:sz w:val="24"/>
        </w:rPr>
        <w:t>纳税人识别号：</w:t>
      </w:r>
    </w:p>
    <w:p w14:paraId="3A6CDC64">
      <w:pPr>
        <w:spacing w:line="360" w:lineRule="auto"/>
        <w:ind w:firstLine="448" w:firstLineChars="200"/>
        <w:rPr>
          <w:sz w:val="24"/>
        </w:rPr>
      </w:pPr>
      <w:r>
        <w:rPr>
          <w:rFonts w:hint="eastAsia"/>
          <w:sz w:val="24"/>
        </w:rPr>
        <w:t>地址、电话：</w:t>
      </w:r>
    </w:p>
    <w:p w14:paraId="77DB5386">
      <w:pPr>
        <w:spacing w:line="360" w:lineRule="auto"/>
        <w:ind w:firstLine="448" w:firstLineChars="200"/>
        <w:rPr>
          <w:sz w:val="24"/>
        </w:rPr>
      </w:pPr>
      <w:r>
        <w:rPr>
          <w:rFonts w:hint="eastAsia"/>
          <w:sz w:val="24"/>
        </w:rPr>
        <w:t>开户行及账号：</w:t>
      </w:r>
    </w:p>
    <w:p w14:paraId="7322C7F4">
      <w:pPr>
        <w:spacing w:line="360" w:lineRule="auto"/>
        <w:ind w:firstLine="448" w:firstLineChars="200"/>
        <w:rPr>
          <w:sz w:val="24"/>
        </w:rPr>
      </w:pPr>
      <w:r>
        <w:rPr>
          <w:rFonts w:hint="eastAsia"/>
          <w:sz w:val="24"/>
        </w:rPr>
        <w:t>开具发票类型：□增值税专用发票         □增值税普通发票</w:t>
      </w:r>
    </w:p>
    <w:p w14:paraId="3513799D">
      <w:pPr>
        <w:spacing w:line="360" w:lineRule="auto"/>
        <w:ind w:firstLine="448" w:firstLineChars="200"/>
        <w:rPr>
          <w:sz w:val="24"/>
        </w:rPr>
      </w:pPr>
      <w:r>
        <w:rPr>
          <w:rFonts w:hint="eastAsia"/>
          <w:sz w:val="24"/>
        </w:rPr>
        <w:t>12. 我公司选择招标代理服务费</w:t>
      </w:r>
      <w:r>
        <w:rPr>
          <w:sz w:val="24"/>
        </w:rPr>
        <w:t>发票领取方式（请自行选择以下任一方式并在相应</w:t>
      </w:r>
      <w:r>
        <w:rPr>
          <w:rFonts w:hint="eastAsia"/>
          <w:sz w:val="24"/>
        </w:rPr>
        <w:t>□里划“√”</w:t>
      </w:r>
      <w:r>
        <w:rPr>
          <w:sz w:val="24"/>
        </w:rPr>
        <w:t>）：</w:t>
      </w:r>
    </w:p>
    <w:p w14:paraId="3CD9CBD9">
      <w:pPr>
        <w:spacing w:line="360" w:lineRule="auto"/>
        <w:ind w:firstLine="448" w:firstLineChars="200"/>
        <w:rPr>
          <w:sz w:val="24"/>
        </w:rPr>
      </w:pPr>
      <w:r>
        <w:rPr>
          <w:rFonts w:hint="eastAsia"/>
          <w:b/>
          <w:sz w:val="24"/>
        </w:rPr>
        <w:t>□</w:t>
      </w:r>
      <w:r>
        <w:rPr>
          <w:b/>
          <w:sz w:val="24"/>
        </w:rPr>
        <w:t>上门自取</w:t>
      </w:r>
    </w:p>
    <w:p w14:paraId="38546666">
      <w:pPr>
        <w:spacing w:line="360" w:lineRule="auto"/>
        <w:ind w:firstLine="448" w:firstLineChars="200"/>
        <w:rPr>
          <w:b/>
          <w:sz w:val="24"/>
        </w:rPr>
      </w:pPr>
      <w:r>
        <w:rPr>
          <w:rFonts w:hint="eastAsia"/>
          <w:b/>
          <w:sz w:val="24"/>
        </w:rPr>
        <w:t>□</w:t>
      </w:r>
      <w:r>
        <w:rPr>
          <w:b/>
          <w:sz w:val="24"/>
        </w:rPr>
        <w:t>到付邮寄</w:t>
      </w:r>
    </w:p>
    <w:p w14:paraId="55B64CF4">
      <w:pPr>
        <w:spacing w:line="360" w:lineRule="auto"/>
        <w:ind w:firstLine="448" w:firstLineChars="200"/>
        <w:rPr>
          <w:sz w:val="24"/>
        </w:rPr>
      </w:pPr>
      <w:r>
        <w:rPr>
          <w:sz w:val="24"/>
        </w:rPr>
        <w:t>邮寄地址</w:t>
      </w:r>
      <w:r>
        <w:rPr>
          <w:rFonts w:hint="eastAsia"/>
          <w:sz w:val="24"/>
        </w:rPr>
        <w:t>、邮编</w:t>
      </w:r>
      <w:r>
        <w:rPr>
          <w:sz w:val="24"/>
        </w:rPr>
        <w:t>：</w:t>
      </w:r>
    </w:p>
    <w:p w14:paraId="6FDEB43C">
      <w:pPr>
        <w:spacing w:line="360" w:lineRule="auto"/>
        <w:ind w:firstLine="448" w:firstLineChars="200"/>
        <w:rPr>
          <w:sz w:val="24"/>
        </w:rPr>
      </w:pPr>
      <w:r>
        <w:rPr>
          <w:sz w:val="24"/>
        </w:rPr>
        <w:t>邮寄联系人、手机号码：</w:t>
      </w:r>
    </w:p>
    <w:p w14:paraId="63305853">
      <w:pPr>
        <w:spacing w:line="360" w:lineRule="auto"/>
        <w:ind w:firstLine="5488" w:firstLineChars="2450"/>
        <w:rPr>
          <w:sz w:val="24"/>
        </w:rPr>
      </w:pPr>
      <w:r>
        <w:rPr>
          <w:sz w:val="24"/>
        </w:rPr>
        <w:t>供应商名称：</w:t>
      </w:r>
    </w:p>
    <w:p w14:paraId="2A072398">
      <w:pPr>
        <w:spacing w:line="560" w:lineRule="exact"/>
        <w:ind w:firstLine="224" w:firstLineChars="100"/>
        <w:jc w:val="right"/>
        <w:rPr>
          <w:b/>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0387176">
      <w:pPr>
        <w:spacing w:line="460" w:lineRule="exact"/>
        <w:rPr>
          <w:b/>
          <w:sz w:val="24"/>
        </w:rPr>
      </w:pPr>
      <w:r>
        <w:rPr>
          <w:b/>
          <w:sz w:val="24"/>
        </w:rPr>
        <w:br w:type="page"/>
      </w:r>
      <w:r>
        <w:rPr>
          <w:b/>
          <w:sz w:val="24"/>
        </w:rPr>
        <w:t>附件2</w:t>
      </w:r>
    </w:p>
    <w:p w14:paraId="10AC1A1B">
      <w:pPr>
        <w:ind w:right="84"/>
        <w:jc w:val="center"/>
        <w:rPr>
          <w:b/>
          <w:sz w:val="24"/>
        </w:rPr>
      </w:pPr>
    </w:p>
    <w:p w14:paraId="045C20ED">
      <w:pPr>
        <w:ind w:right="84"/>
        <w:jc w:val="center"/>
        <w:rPr>
          <w:b/>
          <w:sz w:val="24"/>
        </w:rPr>
      </w:pPr>
      <w:r>
        <w:rPr>
          <w:rFonts w:hint="eastAsia"/>
          <w:b/>
          <w:sz w:val="24"/>
        </w:rPr>
        <w:t>供应商资格声明函</w:t>
      </w:r>
    </w:p>
    <w:p w14:paraId="72EA37DA">
      <w:pPr>
        <w:spacing w:line="360" w:lineRule="auto"/>
        <w:ind w:firstLine="420"/>
        <w:jc w:val="center"/>
        <w:rPr>
          <w:b/>
          <w:sz w:val="24"/>
        </w:rPr>
      </w:pPr>
    </w:p>
    <w:p w14:paraId="2DBEDCE7">
      <w:pPr>
        <w:spacing w:line="360" w:lineRule="auto"/>
        <w:rPr>
          <w:sz w:val="24"/>
        </w:rPr>
      </w:pPr>
      <w:r>
        <w:rPr>
          <w:rFonts w:hint="eastAsia"/>
          <w:sz w:val="24"/>
        </w:rPr>
        <w:t>天津市政府采购中心：</w:t>
      </w:r>
    </w:p>
    <w:p w14:paraId="5DC07D5F">
      <w:pPr>
        <w:spacing w:line="360" w:lineRule="auto"/>
        <w:ind w:firstLine="448" w:firstLineChars="200"/>
        <w:rPr>
          <w:sz w:val="24"/>
        </w:rPr>
      </w:pPr>
      <w:r>
        <w:rPr>
          <w:rFonts w:hint="eastAsia"/>
          <w:sz w:val="24"/>
        </w:rPr>
        <w:t>我单位自愿参与本项目的政府采购活动，郑重承诺如下：</w:t>
      </w:r>
    </w:p>
    <w:p w14:paraId="7646432A">
      <w:pPr>
        <w:spacing w:line="360" w:lineRule="auto"/>
        <w:ind w:firstLine="448" w:firstLineChars="200"/>
        <w:rPr>
          <w:sz w:val="24"/>
        </w:rPr>
      </w:pPr>
      <w:r>
        <w:rPr>
          <w:rFonts w:hint="eastAsia"/>
          <w:sz w:val="24"/>
        </w:rPr>
        <w:t>（一）我单位具有良好的商业信誉和健全的财务会计制度；</w:t>
      </w:r>
    </w:p>
    <w:p w14:paraId="4B5352C5">
      <w:pPr>
        <w:spacing w:line="360" w:lineRule="auto"/>
        <w:ind w:firstLine="448" w:firstLineChars="200"/>
        <w:rPr>
          <w:sz w:val="24"/>
        </w:rPr>
      </w:pPr>
      <w:r>
        <w:rPr>
          <w:rFonts w:hint="eastAsia"/>
          <w:sz w:val="24"/>
        </w:rPr>
        <w:t>（二）我单位依法缴纳税收和社会保障资金；</w:t>
      </w:r>
    </w:p>
    <w:p w14:paraId="51006324">
      <w:pPr>
        <w:spacing w:line="360" w:lineRule="auto"/>
        <w:ind w:firstLine="448" w:firstLineChars="200"/>
        <w:rPr>
          <w:sz w:val="24"/>
        </w:rPr>
      </w:pPr>
      <w:r>
        <w:rPr>
          <w:rFonts w:hint="eastAsia"/>
          <w:sz w:val="24"/>
        </w:rPr>
        <w:t>（三）我单位具备履行合同所必需的设备和专业技术能力；</w:t>
      </w:r>
    </w:p>
    <w:p w14:paraId="6147988A">
      <w:pPr>
        <w:spacing w:line="360" w:lineRule="auto"/>
        <w:ind w:firstLine="448" w:firstLineChars="200"/>
        <w:rPr>
          <w:sz w:val="24"/>
        </w:rPr>
      </w:pPr>
      <w:r>
        <w:rPr>
          <w:rFonts w:hint="eastAsia"/>
          <w:sz w:val="24"/>
        </w:rPr>
        <w:t>（四）参加政府采购活动前3年我单位在经营活动中没有重大违法记录；</w:t>
      </w:r>
    </w:p>
    <w:p w14:paraId="3E50EB41">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19A23D2A">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7026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57C7717">
            <w:pPr>
              <w:jc w:val="center"/>
              <w:rPr>
                <w:szCs w:val="21"/>
              </w:rPr>
            </w:pPr>
            <w:r>
              <w:rPr>
                <w:rFonts w:hint="eastAsia"/>
                <w:szCs w:val="21"/>
              </w:rPr>
              <w:t>序号</w:t>
            </w:r>
          </w:p>
        </w:tc>
        <w:tc>
          <w:tcPr>
            <w:tcW w:w="2273" w:type="pct"/>
            <w:vAlign w:val="center"/>
          </w:tcPr>
          <w:p w14:paraId="3B7AF9BC">
            <w:pPr>
              <w:jc w:val="center"/>
              <w:rPr>
                <w:szCs w:val="21"/>
              </w:rPr>
            </w:pPr>
            <w:r>
              <w:rPr>
                <w:rFonts w:hint="eastAsia"/>
                <w:szCs w:val="21"/>
              </w:rPr>
              <w:t>单位名称</w:t>
            </w:r>
          </w:p>
        </w:tc>
        <w:tc>
          <w:tcPr>
            <w:tcW w:w="1667" w:type="pct"/>
            <w:vAlign w:val="center"/>
          </w:tcPr>
          <w:p w14:paraId="1898F7D4">
            <w:pPr>
              <w:jc w:val="center"/>
              <w:rPr>
                <w:szCs w:val="21"/>
              </w:rPr>
            </w:pPr>
            <w:r>
              <w:rPr>
                <w:rFonts w:hint="eastAsia"/>
                <w:szCs w:val="21"/>
              </w:rPr>
              <w:t>相互关系类型</w:t>
            </w:r>
          </w:p>
        </w:tc>
      </w:tr>
      <w:tr w14:paraId="788E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A5D5FD8">
            <w:pPr>
              <w:jc w:val="center"/>
              <w:rPr>
                <w:szCs w:val="21"/>
              </w:rPr>
            </w:pPr>
            <w:r>
              <w:rPr>
                <w:rFonts w:hint="eastAsia"/>
                <w:szCs w:val="21"/>
              </w:rPr>
              <w:t>1</w:t>
            </w:r>
          </w:p>
        </w:tc>
        <w:tc>
          <w:tcPr>
            <w:tcW w:w="2273" w:type="pct"/>
            <w:vAlign w:val="center"/>
          </w:tcPr>
          <w:p w14:paraId="48391484">
            <w:pPr>
              <w:jc w:val="center"/>
              <w:rPr>
                <w:szCs w:val="21"/>
              </w:rPr>
            </w:pPr>
          </w:p>
        </w:tc>
        <w:tc>
          <w:tcPr>
            <w:tcW w:w="1667" w:type="pct"/>
            <w:vAlign w:val="center"/>
          </w:tcPr>
          <w:p w14:paraId="1AAEB1FA">
            <w:pPr>
              <w:jc w:val="center"/>
              <w:rPr>
                <w:szCs w:val="21"/>
              </w:rPr>
            </w:pPr>
          </w:p>
        </w:tc>
      </w:tr>
      <w:tr w14:paraId="6A6A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A74AAE7">
            <w:pPr>
              <w:jc w:val="center"/>
              <w:rPr>
                <w:szCs w:val="21"/>
              </w:rPr>
            </w:pPr>
            <w:r>
              <w:rPr>
                <w:rFonts w:hint="eastAsia"/>
                <w:szCs w:val="21"/>
              </w:rPr>
              <w:t>2</w:t>
            </w:r>
          </w:p>
        </w:tc>
        <w:tc>
          <w:tcPr>
            <w:tcW w:w="2273" w:type="pct"/>
            <w:vAlign w:val="center"/>
          </w:tcPr>
          <w:p w14:paraId="25951CEB">
            <w:pPr>
              <w:jc w:val="center"/>
              <w:rPr>
                <w:szCs w:val="21"/>
              </w:rPr>
            </w:pPr>
          </w:p>
        </w:tc>
        <w:tc>
          <w:tcPr>
            <w:tcW w:w="1667" w:type="pct"/>
            <w:vAlign w:val="center"/>
          </w:tcPr>
          <w:p w14:paraId="4D6A9153">
            <w:pPr>
              <w:jc w:val="center"/>
              <w:rPr>
                <w:szCs w:val="21"/>
              </w:rPr>
            </w:pPr>
          </w:p>
        </w:tc>
      </w:tr>
      <w:tr w14:paraId="166E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0237242C">
            <w:pPr>
              <w:jc w:val="center"/>
              <w:rPr>
                <w:szCs w:val="21"/>
              </w:rPr>
            </w:pPr>
            <w:r>
              <w:rPr>
                <w:rFonts w:hint="eastAsia"/>
                <w:szCs w:val="21"/>
              </w:rPr>
              <w:t>3</w:t>
            </w:r>
          </w:p>
        </w:tc>
        <w:tc>
          <w:tcPr>
            <w:tcW w:w="2273" w:type="pct"/>
            <w:vAlign w:val="center"/>
          </w:tcPr>
          <w:p w14:paraId="26D840E5">
            <w:pPr>
              <w:jc w:val="center"/>
              <w:rPr>
                <w:szCs w:val="21"/>
              </w:rPr>
            </w:pPr>
          </w:p>
        </w:tc>
        <w:tc>
          <w:tcPr>
            <w:tcW w:w="1667" w:type="pct"/>
            <w:vAlign w:val="center"/>
          </w:tcPr>
          <w:p w14:paraId="1D628D68">
            <w:pPr>
              <w:jc w:val="center"/>
              <w:rPr>
                <w:szCs w:val="21"/>
              </w:rPr>
            </w:pPr>
          </w:p>
        </w:tc>
      </w:tr>
    </w:tbl>
    <w:p w14:paraId="7E23E1AB">
      <w:pPr>
        <w:spacing w:line="360" w:lineRule="auto"/>
        <w:ind w:firstLine="448" w:firstLineChars="200"/>
        <w:rPr>
          <w:sz w:val="24"/>
        </w:rPr>
      </w:pPr>
      <w:r>
        <w:rPr>
          <w:rFonts w:hint="eastAsia"/>
          <w:sz w:val="24"/>
        </w:rPr>
        <w:t>上表未填写的，视为不存在第（六）条所列情形</w:t>
      </w:r>
    </w:p>
    <w:p w14:paraId="29C02C53">
      <w:pPr>
        <w:spacing w:line="360" w:lineRule="auto"/>
        <w:ind w:firstLine="448" w:firstLineChars="200"/>
        <w:rPr>
          <w:sz w:val="24"/>
        </w:rPr>
      </w:pPr>
    </w:p>
    <w:p w14:paraId="31A11240">
      <w:pPr>
        <w:spacing w:line="360" w:lineRule="auto"/>
        <w:ind w:firstLine="448" w:firstLineChars="200"/>
        <w:rPr>
          <w:sz w:val="24"/>
        </w:rPr>
      </w:pPr>
      <w:r>
        <w:rPr>
          <w:rFonts w:hint="eastAsia"/>
          <w:sz w:val="24"/>
        </w:rPr>
        <w:t>上述声明真实有效，否则我单位承担全部责任和不利后果。</w:t>
      </w:r>
    </w:p>
    <w:p w14:paraId="50F1C466">
      <w:pPr>
        <w:spacing w:line="360" w:lineRule="auto"/>
        <w:ind w:firstLine="448" w:firstLineChars="200"/>
        <w:rPr>
          <w:sz w:val="24"/>
        </w:rPr>
      </w:pPr>
    </w:p>
    <w:p w14:paraId="20BB55C1">
      <w:pPr>
        <w:spacing w:line="360" w:lineRule="auto"/>
        <w:ind w:firstLine="224" w:firstLineChars="100"/>
        <w:rPr>
          <w:sz w:val="24"/>
        </w:rPr>
      </w:pPr>
      <w:r>
        <w:rPr>
          <w:sz w:val="24"/>
        </w:rPr>
        <w:t>投标人名称：</w:t>
      </w:r>
    </w:p>
    <w:p w14:paraId="5B27FB95">
      <w:pPr>
        <w:spacing w:line="360" w:lineRule="auto"/>
        <w:ind w:firstLine="224" w:firstLineChars="100"/>
        <w:rPr>
          <w:sz w:val="24"/>
        </w:rPr>
      </w:pPr>
    </w:p>
    <w:p w14:paraId="17CF18EA">
      <w:pPr>
        <w:spacing w:line="360" w:lineRule="auto"/>
        <w:ind w:firstLine="224" w:firstLineChars="100"/>
        <w:rPr>
          <w:sz w:val="24"/>
        </w:rPr>
      </w:pPr>
      <w:r>
        <w:rPr>
          <w:sz w:val="24"/>
        </w:rPr>
        <w:t xml:space="preserve">日期：  </w:t>
      </w:r>
    </w:p>
    <w:p w14:paraId="271007F5">
      <w:pPr>
        <w:spacing w:line="460" w:lineRule="exact"/>
        <w:rPr>
          <w:b/>
          <w:sz w:val="24"/>
        </w:rPr>
      </w:pPr>
    </w:p>
    <w:p w14:paraId="60CC8B97">
      <w:pPr>
        <w:spacing w:line="460" w:lineRule="exact"/>
        <w:rPr>
          <w:b/>
          <w:sz w:val="24"/>
        </w:rPr>
      </w:pPr>
    </w:p>
    <w:p w14:paraId="62718A55">
      <w:pPr>
        <w:spacing w:line="460" w:lineRule="exact"/>
        <w:rPr>
          <w:b/>
          <w:sz w:val="24"/>
        </w:rPr>
      </w:pPr>
    </w:p>
    <w:p w14:paraId="770F7813">
      <w:pPr>
        <w:spacing w:line="460" w:lineRule="exact"/>
        <w:rPr>
          <w:b/>
          <w:sz w:val="24"/>
        </w:rPr>
      </w:pPr>
      <w:r>
        <w:rPr>
          <w:rFonts w:hint="eastAsia"/>
          <w:b/>
          <w:bCs/>
          <w:sz w:val="24"/>
        </w:rPr>
        <w:t>附件2-1：谈判文件第一部分供应商资格要求的证件</w:t>
      </w:r>
    </w:p>
    <w:p w14:paraId="1C7E6257">
      <w:pPr>
        <w:tabs>
          <w:tab w:val="left" w:pos="360"/>
        </w:tabs>
        <w:spacing w:after="285" w:afterLines="100" w:line="360" w:lineRule="auto"/>
        <w:rPr>
          <w:b/>
          <w:sz w:val="24"/>
        </w:rPr>
      </w:pPr>
    </w:p>
    <w:p w14:paraId="091B4CCD">
      <w:pPr>
        <w:spacing w:line="460" w:lineRule="exact"/>
        <w:jc w:val="left"/>
        <w:rPr>
          <w:b/>
          <w:sz w:val="24"/>
        </w:rPr>
      </w:pPr>
      <w:r>
        <w:rPr>
          <w:b/>
          <w:sz w:val="24"/>
        </w:rPr>
        <w:br w:type="page"/>
      </w:r>
      <w:r>
        <w:rPr>
          <w:b/>
          <w:sz w:val="24"/>
        </w:rPr>
        <w:t>附件3</w:t>
      </w:r>
    </w:p>
    <w:p w14:paraId="7A961BC4">
      <w:pPr>
        <w:spacing w:line="460" w:lineRule="exact"/>
        <w:ind w:left="181"/>
        <w:jc w:val="center"/>
        <w:rPr>
          <w:b/>
          <w:sz w:val="24"/>
        </w:rPr>
      </w:pPr>
      <w:r>
        <w:rPr>
          <w:b/>
          <w:sz w:val="24"/>
        </w:rPr>
        <w:t>服务方案</w:t>
      </w:r>
    </w:p>
    <w:p w14:paraId="07E13701">
      <w:pPr>
        <w:spacing w:line="460" w:lineRule="exact"/>
        <w:ind w:left="181"/>
        <w:jc w:val="center"/>
        <w:rPr>
          <w:b/>
          <w:sz w:val="24"/>
        </w:rPr>
      </w:pPr>
    </w:p>
    <w:p w14:paraId="5DF0EDAA">
      <w:pPr>
        <w:tabs>
          <w:tab w:val="left" w:pos="10395"/>
        </w:tabs>
        <w:spacing w:line="460" w:lineRule="exact"/>
        <w:ind w:left="181" w:right="968"/>
        <w:rPr>
          <w:sz w:val="24"/>
        </w:rPr>
      </w:pPr>
      <w:r>
        <w:rPr>
          <w:sz w:val="24"/>
        </w:rPr>
        <w:t>项目编号：</w:t>
      </w:r>
      <w:r>
        <w:rPr>
          <w:sz w:val="24"/>
          <w:u w:val="single"/>
        </w:rPr>
        <w:t xml:space="preserve">                   </w:t>
      </w:r>
      <w:r>
        <w:rPr>
          <w:sz w:val="24"/>
        </w:rPr>
        <w:t xml:space="preserve">   </w:t>
      </w:r>
    </w:p>
    <w:p w14:paraId="2454F8D3">
      <w:pPr>
        <w:tabs>
          <w:tab w:val="left" w:pos="10395"/>
        </w:tabs>
        <w:spacing w:line="460" w:lineRule="exact"/>
        <w:ind w:left="181" w:right="968"/>
        <w:rPr>
          <w:sz w:val="24"/>
          <w:u w:val="single"/>
        </w:rPr>
      </w:pPr>
      <w:r>
        <w:rPr>
          <w:sz w:val="24"/>
        </w:rPr>
        <w:t>项目名称：</w:t>
      </w:r>
      <w:r>
        <w:rPr>
          <w:sz w:val="24"/>
          <w:u w:val="single"/>
        </w:rPr>
        <w:t xml:space="preserve">                    </w:t>
      </w:r>
    </w:p>
    <w:p w14:paraId="589E6474">
      <w:pPr>
        <w:tabs>
          <w:tab w:val="left" w:pos="10395"/>
        </w:tabs>
        <w:spacing w:line="460" w:lineRule="exact"/>
        <w:ind w:left="181" w:right="968"/>
        <w:rPr>
          <w:sz w:val="24"/>
          <w:u w:val="single"/>
        </w:rPr>
      </w:pPr>
      <w:r>
        <w:rPr>
          <w:sz w:val="24"/>
        </w:rPr>
        <w:t>包号：</w:t>
      </w:r>
      <w:r>
        <w:rPr>
          <w:sz w:val="24"/>
          <w:u w:val="single"/>
        </w:rPr>
        <w:t xml:space="preserve">                    </w:t>
      </w:r>
    </w:p>
    <w:p w14:paraId="398B7B0B">
      <w:pPr>
        <w:tabs>
          <w:tab w:val="left" w:pos="10605"/>
        </w:tabs>
        <w:spacing w:line="460" w:lineRule="exact"/>
        <w:ind w:left="210" w:right="653"/>
        <w:rPr>
          <w:sz w:val="24"/>
        </w:rPr>
      </w:pPr>
    </w:p>
    <w:p w14:paraId="35B85076">
      <w:pPr>
        <w:tabs>
          <w:tab w:val="left" w:pos="10605"/>
        </w:tabs>
        <w:spacing w:line="460" w:lineRule="exact"/>
        <w:ind w:left="210" w:right="653"/>
        <w:rPr>
          <w:sz w:val="24"/>
        </w:rPr>
      </w:pPr>
    </w:p>
    <w:p w14:paraId="58FA225A">
      <w:pPr>
        <w:tabs>
          <w:tab w:val="left" w:pos="10605"/>
        </w:tabs>
        <w:spacing w:line="460" w:lineRule="exact"/>
        <w:ind w:left="210" w:right="653"/>
        <w:rPr>
          <w:sz w:val="24"/>
        </w:rPr>
      </w:pPr>
    </w:p>
    <w:p w14:paraId="6F5BDA0A">
      <w:pPr>
        <w:tabs>
          <w:tab w:val="left" w:pos="10605"/>
        </w:tabs>
        <w:spacing w:line="460" w:lineRule="exact"/>
        <w:ind w:left="210" w:right="653"/>
        <w:rPr>
          <w:sz w:val="24"/>
        </w:rPr>
      </w:pPr>
    </w:p>
    <w:p w14:paraId="76D5FF39">
      <w:pPr>
        <w:tabs>
          <w:tab w:val="left" w:pos="10605"/>
        </w:tabs>
        <w:spacing w:line="460" w:lineRule="exact"/>
        <w:ind w:left="210" w:right="653"/>
        <w:rPr>
          <w:sz w:val="24"/>
        </w:rPr>
      </w:pPr>
    </w:p>
    <w:p w14:paraId="05A06092">
      <w:pPr>
        <w:tabs>
          <w:tab w:val="left" w:pos="10605"/>
        </w:tabs>
        <w:spacing w:line="460" w:lineRule="exact"/>
        <w:ind w:left="210" w:right="653"/>
        <w:rPr>
          <w:sz w:val="24"/>
        </w:rPr>
      </w:pPr>
    </w:p>
    <w:p w14:paraId="274A7F84">
      <w:pPr>
        <w:tabs>
          <w:tab w:val="left" w:pos="10605"/>
        </w:tabs>
        <w:spacing w:line="460" w:lineRule="exact"/>
        <w:ind w:left="210" w:right="653"/>
        <w:rPr>
          <w:sz w:val="24"/>
        </w:rPr>
      </w:pPr>
    </w:p>
    <w:p w14:paraId="1D414CA9">
      <w:pPr>
        <w:tabs>
          <w:tab w:val="left" w:pos="10605"/>
        </w:tabs>
        <w:spacing w:line="460" w:lineRule="exact"/>
        <w:ind w:left="210" w:right="653"/>
        <w:rPr>
          <w:sz w:val="24"/>
        </w:rPr>
      </w:pPr>
    </w:p>
    <w:p w14:paraId="5B2488D7">
      <w:pPr>
        <w:tabs>
          <w:tab w:val="left" w:pos="10605"/>
        </w:tabs>
        <w:spacing w:line="460" w:lineRule="exact"/>
        <w:ind w:left="210" w:right="653"/>
        <w:rPr>
          <w:sz w:val="24"/>
        </w:rPr>
      </w:pPr>
    </w:p>
    <w:p w14:paraId="2E13BDD7">
      <w:pPr>
        <w:tabs>
          <w:tab w:val="left" w:pos="10605"/>
        </w:tabs>
        <w:spacing w:line="460" w:lineRule="exact"/>
        <w:ind w:left="210" w:right="653"/>
        <w:rPr>
          <w:sz w:val="24"/>
        </w:rPr>
      </w:pPr>
    </w:p>
    <w:p w14:paraId="60A9F053">
      <w:pPr>
        <w:tabs>
          <w:tab w:val="left" w:pos="10605"/>
        </w:tabs>
        <w:spacing w:line="460" w:lineRule="exact"/>
        <w:ind w:left="210" w:right="653"/>
        <w:rPr>
          <w:sz w:val="24"/>
        </w:rPr>
      </w:pPr>
    </w:p>
    <w:p w14:paraId="21BF94F3">
      <w:pPr>
        <w:tabs>
          <w:tab w:val="left" w:pos="10605"/>
        </w:tabs>
        <w:spacing w:line="460" w:lineRule="exact"/>
        <w:ind w:left="210" w:right="653"/>
        <w:rPr>
          <w:sz w:val="24"/>
        </w:rPr>
      </w:pPr>
    </w:p>
    <w:p w14:paraId="0B23C3B1">
      <w:pPr>
        <w:tabs>
          <w:tab w:val="left" w:pos="10605"/>
        </w:tabs>
        <w:spacing w:line="460" w:lineRule="exact"/>
        <w:ind w:left="210" w:right="653"/>
        <w:rPr>
          <w:sz w:val="24"/>
        </w:rPr>
      </w:pPr>
    </w:p>
    <w:p w14:paraId="38C25E5C">
      <w:pPr>
        <w:tabs>
          <w:tab w:val="left" w:pos="10605"/>
        </w:tabs>
        <w:spacing w:line="460" w:lineRule="exact"/>
        <w:ind w:left="210" w:right="653"/>
        <w:rPr>
          <w:sz w:val="24"/>
        </w:rPr>
      </w:pPr>
    </w:p>
    <w:p w14:paraId="15A649FA">
      <w:pPr>
        <w:tabs>
          <w:tab w:val="left" w:pos="10605"/>
        </w:tabs>
        <w:spacing w:line="460" w:lineRule="exact"/>
        <w:ind w:left="210" w:right="653"/>
        <w:rPr>
          <w:sz w:val="24"/>
        </w:rPr>
      </w:pPr>
    </w:p>
    <w:p w14:paraId="43D5D464">
      <w:pPr>
        <w:tabs>
          <w:tab w:val="left" w:pos="10605"/>
        </w:tabs>
        <w:spacing w:line="460" w:lineRule="exact"/>
        <w:ind w:left="210" w:right="653"/>
        <w:jc w:val="left"/>
        <w:rPr>
          <w:b/>
          <w:sz w:val="24"/>
        </w:rPr>
      </w:pPr>
    </w:p>
    <w:p w14:paraId="15137D4E">
      <w:pPr>
        <w:spacing w:line="360" w:lineRule="auto"/>
        <w:rPr>
          <w:sz w:val="24"/>
        </w:rPr>
      </w:pPr>
      <w:r>
        <w:rPr>
          <w:sz w:val="24"/>
        </w:rPr>
        <w:t>供应商名称：</w:t>
      </w:r>
    </w:p>
    <w:p w14:paraId="6DB48AF9">
      <w:pPr>
        <w:spacing w:line="360" w:lineRule="auto"/>
        <w:ind w:firstLine="5488" w:firstLineChars="2450"/>
        <w:jc w:val="left"/>
        <w:rPr>
          <w:sz w:val="24"/>
        </w:rPr>
      </w:pPr>
    </w:p>
    <w:p w14:paraId="145312C7">
      <w:pPr>
        <w:spacing w:line="560" w:lineRule="exact"/>
        <w:jc w:val="lef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98F9079">
      <w:pPr>
        <w:spacing w:line="460" w:lineRule="exact"/>
        <w:rPr>
          <w:b/>
          <w:sz w:val="24"/>
        </w:rPr>
      </w:pPr>
      <w:r>
        <w:rPr>
          <w:sz w:val="24"/>
        </w:rPr>
        <w:br w:type="page"/>
      </w:r>
      <w:r>
        <w:rPr>
          <w:b/>
          <w:sz w:val="24"/>
        </w:rPr>
        <w:t>附件4</w:t>
      </w:r>
    </w:p>
    <w:p w14:paraId="0A86437A">
      <w:pPr>
        <w:tabs>
          <w:tab w:val="left" w:pos="3964"/>
          <w:tab w:val="center" w:pos="4592"/>
        </w:tabs>
        <w:jc w:val="left"/>
        <w:rPr>
          <w:rFonts w:eastAsia="仿宋_GB2312"/>
          <w:kern w:val="0"/>
          <w:sz w:val="32"/>
          <w:szCs w:val="32"/>
        </w:rPr>
      </w:pPr>
    </w:p>
    <w:p w14:paraId="65FA2C53">
      <w:pPr>
        <w:autoSpaceDN w:val="0"/>
        <w:spacing w:line="360" w:lineRule="auto"/>
        <w:jc w:val="center"/>
        <w:rPr>
          <w:rFonts w:ascii="方正小标宋简体" w:eastAsia="方正小标宋简体"/>
          <w:bCs/>
          <w:sz w:val="40"/>
        </w:rPr>
      </w:pPr>
      <w:r>
        <w:rPr>
          <w:rFonts w:hint="eastAsia" w:ascii="方正小标宋简体" w:eastAsia="方正小标宋简体"/>
          <w:bCs/>
          <w:sz w:val="40"/>
        </w:rPr>
        <w:t>授权代表授权书</w:t>
      </w:r>
    </w:p>
    <w:p w14:paraId="4E7A7678">
      <w:pPr>
        <w:autoSpaceDN w:val="0"/>
        <w:spacing w:line="360" w:lineRule="auto"/>
        <w:jc w:val="center"/>
        <w:rPr>
          <w:rFonts w:ascii="楷体_GB2312" w:eastAsia="楷体_GB2312"/>
          <w:bCs/>
          <w:sz w:val="32"/>
        </w:rPr>
      </w:pPr>
    </w:p>
    <w:p w14:paraId="4C4FF7E4">
      <w:pPr>
        <w:spacing w:line="600" w:lineRule="exact"/>
        <w:rPr>
          <w:rFonts w:ascii="仿宋_GB2312" w:eastAsia="仿宋_GB2312"/>
          <w:sz w:val="30"/>
          <w:szCs w:val="30"/>
        </w:rPr>
      </w:pPr>
      <w:r>
        <w:rPr>
          <w:rFonts w:hint="eastAsia" w:ascii="仿宋_GB2312" w:eastAsia="仿宋_GB2312"/>
          <w:sz w:val="30"/>
          <w:szCs w:val="30"/>
        </w:rPr>
        <w:t>致：天津市政府采购中心</w:t>
      </w:r>
    </w:p>
    <w:p w14:paraId="02284A64">
      <w:pPr>
        <w:snapToGrid w:val="0"/>
        <w:spacing w:line="600" w:lineRule="exact"/>
        <w:ind w:firstLine="568" w:firstLineChars="200"/>
        <w:rPr>
          <w:rFonts w:ascii="仿宋_GB2312" w:eastAsia="仿宋_GB2312"/>
          <w:sz w:val="30"/>
          <w:szCs w:val="30"/>
        </w:rPr>
      </w:pPr>
      <w:r>
        <w:rPr>
          <w:rFonts w:hint="eastAsia" w:ascii="仿宋_GB2312" w:eastAsia="仿宋_GB2312"/>
          <w:sz w:val="30"/>
          <w:szCs w:val="30"/>
        </w:rPr>
        <w:t>我单位</w:t>
      </w:r>
      <w:r>
        <w:rPr>
          <w:rFonts w:hint="eastAsia" w:ascii="仿宋_GB2312" w:eastAsia="仿宋_GB2312"/>
          <w:sz w:val="30"/>
          <w:szCs w:val="30"/>
          <w:u w:val="single"/>
        </w:rPr>
        <w:t xml:space="preserve"> （单位</w:t>
      </w:r>
      <w:r>
        <w:rPr>
          <w:rFonts w:ascii="仿宋_GB2312" w:eastAsia="仿宋_GB2312"/>
          <w:sz w:val="30"/>
          <w:szCs w:val="30"/>
          <w:u w:val="single"/>
        </w:rPr>
        <w:t>名称</w:t>
      </w:r>
      <w:r>
        <w:rPr>
          <w:rFonts w:hint="eastAsia" w:ascii="仿宋_GB2312" w:eastAsia="仿宋_GB2312"/>
          <w:sz w:val="30"/>
          <w:szCs w:val="30"/>
          <w:u w:val="single"/>
        </w:rPr>
        <w:t xml:space="preserve">）  </w:t>
      </w:r>
      <w:r>
        <w:rPr>
          <w:rFonts w:hint="eastAsia" w:ascii="仿宋_GB2312" w:eastAsia="仿宋_GB2312"/>
          <w:sz w:val="30"/>
          <w:szCs w:val="30"/>
        </w:rPr>
        <w:t>授权</w:t>
      </w:r>
      <w:r>
        <w:rPr>
          <w:rFonts w:hint="eastAsia" w:ascii="仿宋_GB2312" w:eastAsia="仿宋_GB2312"/>
          <w:sz w:val="30"/>
          <w:szCs w:val="30"/>
          <w:u w:val="single"/>
        </w:rPr>
        <w:t xml:space="preserve">（人员姓名） </w:t>
      </w:r>
      <w:r>
        <w:rPr>
          <w:rFonts w:hint="eastAsia" w:ascii="仿宋_GB2312" w:eastAsia="仿宋_GB2312"/>
          <w:sz w:val="30"/>
          <w:szCs w:val="30"/>
        </w:rPr>
        <w:t>（身份证号码：</w:t>
      </w:r>
      <w:r>
        <w:rPr>
          <w:rFonts w:ascii="仿宋_GB2312" w:eastAsia="仿宋_GB2312"/>
          <w:sz w:val="30"/>
          <w:szCs w:val="30"/>
          <w:u w:val="single"/>
        </w:rPr>
        <w:t xml:space="preserve">                 </w:t>
      </w:r>
      <w:r>
        <w:rPr>
          <w:rFonts w:hint="eastAsia" w:ascii="仿宋_GB2312" w:eastAsia="仿宋_GB2312"/>
          <w:sz w:val="30"/>
          <w:szCs w:val="30"/>
        </w:rPr>
        <w:t>，</w:t>
      </w:r>
      <w:r>
        <w:rPr>
          <w:rFonts w:hint="eastAsia" w:ascii="仿宋_GB2312" w:eastAsia="仿宋_GB2312"/>
          <w:b/>
          <w:sz w:val="30"/>
          <w:szCs w:val="30"/>
        </w:rPr>
        <w:t>本月/上月社保缴纳单位</w:t>
      </w:r>
      <w:r>
        <w:rPr>
          <w:rFonts w:hint="eastAsia" w:ascii="仿宋_GB2312" w:eastAsia="仿宋_GB2312"/>
          <w:bCs/>
          <w:sz w:val="30"/>
          <w:szCs w:val="30"/>
        </w:rPr>
        <w:t>(本月尚未缴纳社保的，则填写上月社保缴纳单位)</w:t>
      </w:r>
      <w:r>
        <w:rPr>
          <w:rFonts w:hint="eastAsia" w:ascii="仿宋_GB2312" w:eastAsia="仿宋_GB2312"/>
          <w:b/>
          <w:sz w:val="30"/>
          <w:szCs w:val="30"/>
        </w:rPr>
        <w:t>：</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，联系电话：</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）作为授权代表</w:t>
      </w:r>
      <w:r>
        <w:rPr>
          <w:rFonts w:ascii="仿宋_GB2312" w:eastAsia="仿宋_GB2312"/>
          <w:sz w:val="30"/>
          <w:szCs w:val="30"/>
        </w:rPr>
        <w:t>，</w:t>
      </w:r>
      <w:r>
        <w:rPr>
          <w:rFonts w:hint="eastAsia" w:ascii="仿宋_GB2312" w:eastAsia="仿宋_GB2312"/>
          <w:sz w:val="30"/>
          <w:szCs w:val="30"/>
        </w:rPr>
        <w:t>以我单位的名义参加</w:t>
      </w:r>
      <w:r>
        <w:rPr>
          <w:rFonts w:hint="eastAsia" w:ascii="仿宋_GB2312" w:eastAsia="仿宋_GB2312"/>
          <w:sz w:val="30"/>
          <w:szCs w:val="30"/>
          <w:u w:val="single"/>
        </w:rPr>
        <w:t xml:space="preserve"> </w:t>
      </w:r>
      <w:r>
        <w:rPr>
          <w:rFonts w:ascii="仿宋_GB2312" w:eastAsia="仿宋_GB2312"/>
          <w:sz w:val="30"/>
          <w:szCs w:val="30"/>
          <w:u w:val="single"/>
        </w:rPr>
        <w:t xml:space="preserve">   </w:t>
      </w:r>
      <w:r>
        <w:rPr>
          <w:rFonts w:hint="eastAsia" w:ascii="仿宋_GB2312" w:eastAsia="仿宋_GB2312"/>
          <w:sz w:val="30"/>
          <w:szCs w:val="30"/>
        </w:rPr>
        <w:t>项目（项目编号：</w:t>
      </w:r>
      <w:r>
        <w:rPr>
          <w:rFonts w:hint="eastAsia" w:ascii="仿宋_GB2312" w:eastAsia="仿宋_GB2312"/>
          <w:sz w:val="30"/>
          <w:szCs w:val="30"/>
          <w:u w:val="single"/>
        </w:rPr>
        <w:t xml:space="preserve">            </w:t>
      </w:r>
      <w:r>
        <w:rPr>
          <w:rFonts w:hint="eastAsia" w:ascii="仿宋_GB2312" w:eastAsia="仿宋_GB2312"/>
          <w:sz w:val="30"/>
          <w:szCs w:val="30"/>
        </w:rPr>
        <w:t>）的政府采购活动，并代表我单位全权办理上述项目的投标、开标、投标（</w:t>
      </w:r>
      <w:r>
        <w:rPr>
          <w:rFonts w:ascii="仿宋_GB2312" w:eastAsia="仿宋_GB2312"/>
          <w:sz w:val="30"/>
          <w:szCs w:val="30"/>
        </w:rPr>
        <w:t>响应</w:t>
      </w:r>
      <w:r>
        <w:rPr>
          <w:rFonts w:hint="eastAsia" w:ascii="仿宋_GB2312" w:eastAsia="仿宋_GB2312"/>
          <w:sz w:val="30"/>
          <w:szCs w:val="30"/>
        </w:rPr>
        <w:t>）文件澄清、</w:t>
      </w:r>
      <w:r>
        <w:rPr>
          <w:rFonts w:ascii="仿宋_GB2312" w:eastAsia="仿宋_GB2312"/>
          <w:sz w:val="30"/>
          <w:szCs w:val="30"/>
        </w:rPr>
        <w:t>说明或者更正</w:t>
      </w:r>
      <w:r>
        <w:rPr>
          <w:rFonts w:hint="eastAsia" w:ascii="仿宋_GB2312" w:eastAsia="仿宋_GB2312"/>
          <w:sz w:val="30"/>
          <w:szCs w:val="30"/>
        </w:rPr>
        <w:t>等一切具体事务和签署相关文件。</w:t>
      </w:r>
    </w:p>
    <w:p w14:paraId="2DBC5339">
      <w:pPr>
        <w:snapToGrid w:val="0"/>
        <w:spacing w:line="600" w:lineRule="exact"/>
        <w:ind w:firstLine="568" w:firstLineChars="200"/>
        <w:rPr>
          <w:rFonts w:ascii="仿宋_GB2312" w:eastAsia="仿宋_GB2312"/>
          <w:sz w:val="30"/>
          <w:szCs w:val="30"/>
        </w:rPr>
      </w:pPr>
      <w:r>
        <w:rPr>
          <w:rFonts w:hint="eastAsia" w:ascii="仿宋_GB2312" w:eastAsia="仿宋_GB2312"/>
          <w:sz w:val="30"/>
          <w:szCs w:val="30"/>
        </w:rPr>
        <w:t>我单位对授权代表的签名事项负全部责任。</w:t>
      </w:r>
    </w:p>
    <w:p w14:paraId="4FE512F1">
      <w:pPr>
        <w:snapToGrid w:val="0"/>
        <w:spacing w:line="600" w:lineRule="exact"/>
        <w:ind w:firstLine="568" w:firstLineChars="200"/>
        <w:rPr>
          <w:rFonts w:ascii="仿宋_GB2312" w:eastAsia="仿宋_GB2312"/>
          <w:b/>
          <w:sz w:val="30"/>
          <w:szCs w:val="30"/>
        </w:rPr>
      </w:pPr>
      <w:r>
        <w:rPr>
          <w:rFonts w:hint="eastAsia" w:ascii="仿宋_GB2312" w:eastAsia="仿宋_GB2312"/>
          <w:b/>
          <w:sz w:val="30"/>
          <w:szCs w:val="30"/>
        </w:rPr>
        <w:t>我单位对填写</w:t>
      </w:r>
      <w:r>
        <w:rPr>
          <w:rFonts w:ascii="仿宋_GB2312" w:eastAsia="仿宋_GB2312"/>
          <w:b/>
          <w:sz w:val="30"/>
          <w:szCs w:val="30"/>
        </w:rPr>
        <w:t>的上述</w:t>
      </w:r>
      <w:r>
        <w:rPr>
          <w:rFonts w:hint="eastAsia" w:ascii="仿宋_GB2312" w:eastAsia="仿宋_GB2312"/>
          <w:b/>
          <w:sz w:val="30"/>
          <w:szCs w:val="30"/>
        </w:rPr>
        <w:t>授权代表的</w:t>
      </w:r>
      <w:r>
        <w:rPr>
          <w:rFonts w:ascii="仿宋_GB2312" w:eastAsia="仿宋_GB2312"/>
          <w:b/>
          <w:sz w:val="30"/>
          <w:szCs w:val="30"/>
        </w:rPr>
        <w:t>社保缴纳单位信息的真实性</w:t>
      </w:r>
      <w:r>
        <w:rPr>
          <w:rFonts w:hint="eastAsia" w:ascii="仿宋_GB2312" w:eastAsia="仿宋_GB2312"/>
          <w:b/>
          <w:sz w:val="30"/>
          <w:szCs w:val="30"/>
        </w:rPr>
        <w:t>负责</w:t>
      </w:r>
      <w:r>
        <w:rPr>
          <w:rFonts w:ascii="仿宋_GB2312" w:eastAsia="仿宋_GB2312"/>
          <w:b/>
          <w:sz w:val="30"/>
          <w:szCs w:val="30"/>
        </w:rPr>
        <w:t>，如有不实，愿承担相应的责任。</w:t>
      </w:r>
    </w:p>
    <w:p w14:paraId="0798051E">
      <w:pPr>
        <w:snapToGrid w:val="0"/>
        <w:spacing w:line="600" w:lineRule="exact"/>
        <w:ind w:firstLine="568" w:firstLineChars="200"/>
        <w:rPr>
          <w:rFonts w:ascii="仿宋_GB2312" w:eastAsia="仿宋_GB2312"/>
          <w:sz w:val="30"/>
          <w:szCs w:val="30"/>
        </w:rPr>
      </w:pPr>
      <w:r>
        <w:rPr>
          <w:rFonts w:hint="eastAsia" w:ascii="仿宋_GB2312" w:eastAsia="仿宋_GB2312"/>
          <w:sz w:val="30"/>
          <w:szCs w:val="30"/>
        </w:rPr>
        <w:t>本授权书至投标有效期结束前始终有效。</w:t>
      </w:r>
    </w:p>
    <w:p w14:paraId="3A385D11">
      <w:pPr>
        <w:snapToGrid w:val="0"/>
        <w:spacing w:line="600" w:lineRule="exact"/>
        <w:ind w:firstLine="568" w:firstLineChars="200"/>
        <w:rPr>
          <w:rFonts w:ascii="仿宋_GB2312" w:eastAsia="仿宋_GB2312"/>
          <w:sz w:val="30"/>
          <w:szCs w:val="30"/>
        </w:rPr>
      </w:pPr>
      <w:r>
        <w:rPr>
          <w:rFonts w:hint="eastAsia" w:ascii="仿宋_GB2312" w:eastAsia="仿宋_GB2312"/>
          <w:sz w:val="30"/>
          <w:szCs w:val="30"/>
        </w:rPr>
        <w:t>授权代表无转委托权，特此委托。</w:t>
      </w:r>
    </w:p>
    <w:p w14:paraId="54A3C9E1">
      <w:pPr>
        <w:snapToGrid w:val="0"/>
        <w:spacing w:line="600" w:lineRule="exact"/>
        <w:ind w:firstLine="568" w:firstLineChars="200"/>
        <w:rPr>
          <w:rFonts w:ascii="仿宋_GB2312" w:eastAsia="仿宋_GB2312"/>
          <w:sz w:val="30"/>
          <w:szCs w:val="30"/>
        </w:rPr>
      </w:pPr>
      <w:r>
        <w:rPr>
          <w:rFonts w:hint="eastAsia" w:ascii="仿宋_GB2312" w:eastAsia="仿宋_GB2312"/>
          <w:sz w:val="30"/>
          <w:szCs w:val="30"/>
        </w:rPr>
        <w:t xml:space="preserve"> </w:t>
      </w:r>
      <w:r>
        <w:rPr>
          <w:rFonts w:ascii="仿宋_GB2312" w:eastAsia="仿宋_GB2312"/>
          <w:sz w:val="30"/>
          <w:szCs w:val="30"/>
        </w:rPr>
        <w:t xml:space="preserve"> </w:t>
      </w:r>
    </w:p>
    <w:p w14:paraId="1AB51565">
      <w:pPr>
        <w:snapToGrid w:val="0"/>
        <w:spacing w:line="360" w:lineRule="auto"/>
        <w:ind w:firstLine="4527" w:firstLineChars="1594"/>
        <w:rPr>
          <w:rFonts w:ascii="仿宋_GB2312" w:eastAsia="仿宋_GB2312"/>
          <w:sz w:val="30"/>
          <w:szCs w:val="30"/>
        </w:rPr>
      </w:pPr>
      <w:r>
        <w:rPr>
          <w:rFonts w:hint="eastAsia" w:ascii="仿宋_GB2312" w:eastAsia="仿宋_GB2312"/>
          <w:sz w:val="30"/>
          <w:szCs w:val="30"/>
        </w:rPr>
        <w:t xml:space="preserve">             年  月  日</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536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4" w:type="dxa"/>
          </w:tcPr>
          <w:p w14:paraId="6CF15B48">
            <w:pPr>
              <w:spacing w:line="360" w:lineRule="auto"/>
              <w:jc w:val="left"/>
              <w:rPr>
                <w:rFonts w:asciiTheme="minorHAnsi" w:hAnsiTheme="minorHAnsi" w:cstheme="minorBidi"/>
                <w:sz w:val="24"/>
              </w:rPr>
            </w:pPr>
            <w:r>
              <w:rPr>
                <w:rFonts w:asciiTheme="minorHAnsi" w:hAnsiTheme="minorHAnsi" w:cstheme="minorBidi"/>
                <w:sz w:val="24"/>
              </w:rPr>
              <w:t xml:space="preserve">     </w:t>
            </w:r>
            <w:r>
              <w:rPr>
                <w:rFonts w:hint="eastAsia" w:asciiTheme="minorHAnsi" w:hAnsiTheme="minorHAnsi" w:cstheme="minorBidi"/>
                <w:sz w:val="24"/>
              </w:rPr>
              <w:t>授权代表</w:t>
            </w:r>
            <w:r>
              <w:rPr>
                <w:rFonts w:asciiTheme="minorHAnsi" w:hAnsiTheme="minorHAnsi" w:cstheme="minorBidi"/>
                <w:sz w:val="24"/>
              </w:rPr>
              <w:t>身份证正面</w:t>
            </w:r>
          </w:p>
          <w:p w14:paraId="00731638">
            <w:pPr>
              <w:spacing w:line="360" w:lineRule="auto"/>
              <w:jc w:val="left"/>
              <w:rPr>
                <w:rFonts w:asciiTheme="minorHAnsi" w:hAnsiTheme="minorHAnsi" w:cstheme="minorBidi"/>
                <w:sz w:val="24"/>
              </w:rPr>
            </w:pPr>
          </w:p>
          <w:p w14:paraId="1E4A1279">
            <w:pPr>
              <w:spacing w:line="360" w:lineRule="auto"/>
              <w:jc w:val="left"/>
              <w:rPr>
                <w:rFonts w:asciiTheme="minorHAnsi" w:hAnsiTheme="minorHAnsi" w:cstheme="minorBidi"/>
                <w:sz w:val="24"/>
              </w:rPr>
            </w:pPr>
          </w:p>
          <w:p w14:paraId="795B9DCB">
            <w:pPr>
              <w:spacing w:line="360" w:lineRule="auto"/>
              <w:jc w:val="left"/>
              <w:rPr>
                <w:rFonts w:asciiTheme="minorHAnsi" w:hAnsiTheme="minorHAnsi" w:cstheme="minorBidi"/>
                <w:sz w:val="24"/>
              </w:rPr>
            </w:pPr>
          </w:p>
        </w:tc>
        <w:tc>
          <w:tcPr>
            <w:tcW w:w="4264" w:type="dxa"/>
          </w:tcPr>
          <w:p w14:paraId="0BCED346">
            <w:pPr>
              <w:spacing w:line="360" w:lineRule="auto"/>
              <w:jc w:val="left"/>
              <w:rPr>
                <w:rFonts w:asciiTheme="minorHAnsi" w:hAnsiTheme="minorHAnsi" w:cstheme="minorBidi"/>
                <w:sz w:val="24"/>
              </w:rPr>
            </w:pPr>
            <w:r>
              <w:rPr>
                <w:rFonts w:hint="eastAsia" w:asciiTheme="minorHAnsi" w:hAnsiTheme="minorHAnsi" w:cstheme="minorBidi"/>
                <w:sz w:val="24"/>
              </w:rPr>
              <w:t>授权代表</w:t>
            </w:r>
            <w:r>
              <w:rPr>
                <w:rFonts w:asciiTheme="minorHAnsi" w:hAnsiTheme="minorHAnsi" w:cstheme="minorBidi"/>
                <w:sz w:val="24"/>
              </w:rPr>
              <w:t>身份证背面</w:t>
            </w:r>
          </w:p>
        </w:tc>
      </w:tr>
    </w:tbl>
    <w:p w14:paraId="40EF3FC3">
      <w:pPr>
        <w:ind w:firstLine="640"/>
      </w:pPr>
    </w:p>
    <w:p w14:paraId="2F94768A">
      <w:pPr>
        <w:spacing w:line="360" w:lineRule="auto"/>
        <w:ind w:firstLine="448" w:firstLineChars="200"/>
        <w:jc w:val="left"/>
        <w:rPr>
          <w:sz w:val="24"/>
        </w:rPr>
      </w:pPr>
    </w:p>
    <w:p w14:paraId="47F6C13C">
      <w:pPr>
        <w:tabs>
          <w:tab w:val="left" w:pos="360"/>
        </w:tabs>
        <w:spacing w:after="285" w:afterLines="100" w:line="360" w:lineRule="auto"/>
        <w:rPr>
          <w:b/>
          <w:sz w:val="24"/>
        </w:rPr>
      </w:pPr>
      <w:r>
        <w:rPr>
          <w:kern w:val="0"/>
          <w:szCs w:val="21"/>
        </w:rPr>
        <w:br w:type="page"/>
      </w:r>
      <w:r>
        <w:rPr>
          <w:b/>
          <w:sz w:val="24"/>
        </w:rPr>
        <w:t>附件5-1</w:t>
      </w:r>
    </w:p>
    <w:p w14:paraId="1811D710">
      <w:pPr>
        <w:autoSpaceDN w:val="0"/>
        <w:spacing w:line="360" w:lineRule="auto"/>
        <w:jc w:val="center"/>
        <w:rPr>
          <w:b/>
          <w:bCs/>
          <w:sz w:val="24"/>
        </w:rPr>
      </w:pPr>
      <w:r>
        <w:rPr>
          <w:b/>
          <w:bCs/>
          <w:sz w:val="24"/>
        </w:rPr>
        <w:t>商务要求点对点应答表</w:t>
      </w:r>
    </w:p>
    <w:p w14:paraId="7D380A22">
      <w:pPr>
        <w:spacing w:line="460" w:lineRule="exact"/>
        <w:rPr>
          <w:sz w:val="24"/>
        </w:rPr>
      </w:pPr>
    </w:p>
    <w:p w14:paraId="757BB892">
      <w:pPr>
        <w:spacing w:line="460" w:lineRule="exact"/>
        <w:rPr>
          <w:sz w:val="24"/>
        </w:rPr>
      </w:pPr>
      <w:r>
        <w:rPr>
          <w:sz w:val="24"/>
        </w:rPr>
        <w:t>项目名称：</w:t>
      </w:r>
      <w:r>
        <w:rPr>
          <w:sz w:val="24"/>
          <w:u w:val="single"/>
        </w:rPr>
        <w:t xml:space="preserve">                    </w:t>
      </w:r>
    </w:p>
    <w:p w14:paraId="4CD75C76">
      <w:pPr>
        <w:spacing w:line="460" w:lineRule="exact"/>
        <w:rPr>
          <w:sz w:val="24"/>
        </w:rPr>
      </w:pPr>
      <w:r>
        <w:rPr>
          <w:sz w:val="24"/>
        </w:rPr>
        <w:t>项目编号：</w:t>
      </w:r>
      <w:r>
        <w:rPr>
          <w:sz w:val="24"/>
          <w:u w:val="single"/>
        </w:rPr>
        <w:t xml:space="preserve">                    </w:t>
      </w:r>
    </w:p>
    <w:p w14:paraId="08ACB0BA">
      <w:pPr>
        <w:spacing w:line="460" w:lineRule="exact"/>
        <w:rPr>
          <w:sz w:val="24"/>
          <w:u w:val="single"/>
        </w:rPr>
      </w:pPr>
      <w:r>
        <w:rPr>
          <w:sz w:val="24"/>
        </w:rPr>
        <w:t>包号：</w:t>
      </w:r>
      <w:r>
        <w:rPr>
          <w:sz w:val="24"/>
          <w:u w:val="single"/>
        </w:rPr>
        <w:t xml:space="preserve">                        </w:t>
      </w:r>
    </w:p>
    <w:p w14:paraId="0A89CCAB">
      <w:pPr>
        <w:spacing w:line="460" w:lineRule="exact"/>
        <w:rPr>
          <w:sz w:val="24"/>
          <w:u w:val="single"/>
        </w:rPr>
      </w:pPr>
    </w:p>
    <w:tbl>
      <w:tblPr>
        <w:tblStyle w:val="15"/>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090439D0">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2190A517">
            <w:pPr>
              <w:widowControl/>
              <w:adjustRightInd w:val="0"/>
              <w:snapToGrid w:val="0"/>
              <w:jc w:val="center"/>
              <w:rPr>
                <w:color w:val="000000"/>
                <w:kern w:val="0"/>
                <w:sz w:val="24"/>
                <w:szCs w:val="21"/>
              </w:rPr>
            </w:pPr>
            <w:r>
              <w:rPr>
                <w:color w:val="000000"/>
                <w:kern w:val="0"/>
                <w:sz w:val="24"/>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1AFBD8FA">
            <w:pPr>
              <w:widowControl/>
              <w:adjustRightInd w:val="0"/>
              <w:snapToGrid w:val="0"/>
              <w:jc w:val="center"/>
              <w:rPr>
                <w:color w:val="000000"/>
                <w:kern w:val="0"/>
                <w:sz w:val="24"/>
                <w:szCs w:val="21"/>
              </w:rPr>
            </w:pPr>
            <w:r>
              <w:rPr>
                <w:color w:val="000000"/>
                <w:kern w:val="0"/>
                <w:sz w:val="24"/>
                <w:szCs w:val="21"/>
              </w:rPr>
              <w:t>谈判文件要求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67EF2974">
            <w:pPr>
              <w:widowControl/>
              <w:adjustRightInd w:val="0"/>
              <w:snapToGrid w:val="0"/>
              <w:jc w:val="center"/>
              <w:rPr>
                <w:color w:val="000000"/>
                <w:kern w:val="0"/>
                <w:sz w:val="24"/>
                <w:szCs w:val="21"/>
              </w:rPr>
            </w:pPr>
            <w:r>
              <w:rPr>
                <w:rFonts w:hint="eastAsia"/>
                <w:color w:val="000000"/>
                <w:kern w:val="0"/>
                <w:sz w:val="24"/>
                <w:szCs w:val="21"/>
              </w:rPr>
              <w:t>响应</w:t>
            </w:r>
            <w:r>
              <w:rPr>
                <w:color w:val="000000"/>
                <w:kern w:val="0"/>
                <w:sz w:val="24"/>
                <w:szCs w:val="21"/>
              </w:rPr>
              <w:t>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76D63A1D">
            <w:pPr>
              <w:widowControl/>
              <w:adjustRightInd w:val="0"/>
              <w:snapToGrid w:val="0"/>
              <w:jc w:val="center"/>
              <w:rPr>
                <w:color w:val="000000"/>
                <w:kern w:val="0"/>
                <w:sz w:val="24"/>
                <w:szCs w:val="21"/>
              </w:rPr>
            </w:pPr>
            <w:r>
              <w:rPr>
                <w:color w:val="000000"/>
                <w:kern w:val="0"/>
                <w:sz w:val="24"/>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0691245C">
            <w:pPr>
              <w:widowControl/>
              <w:adjustRightInd w:val="0"/>
              <w:snapToGrid w:val="0"/>
              <w:jc w:val="center"/>
              <w:rPr>
                <w:color w:val="000000"/>
                <w:kern w:val="0"/>
                <w:sz w:val="24"/>
                <w:szCs w:val="21"/>
              </w:rPr>
            </w:pPr>
            <w:r>
              <w:rPr>
                <w:color w:val="000000"/>
                <w:kern w:val="0"/>
                <w:sz w:val="24"/>
                <w:szCs w:val="21"/>
              </w:rPr>
              <w:t>备注</w:t>
            </w:r>
          </w:p>
        </w:tc>
      </w:tr>
      <w:tr w14:paraId="3C7782DA">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911CAC8">
            <w:pPr>
              <w:widowControl/>
              <w:adjustRightInd w:val="0"/>
              <w:snapToGrid w:val="0"/>
              <w:jc w:val="left"/>
              <w:rPr>
                <w:color w:val="000000"/>
                <w:kern w:val="0"/>
                <w:sz w:val="24"/>
                <w:szCs w:val="21"/>
              </w:rPr>
            </w:pPr>
            <w:r>
              <w:rPr>
                <w:color w:val="000000"/>
                <w:kern w:val="0"/>
                <w:sz w:val="24"/>
                <w:szCs w:val="21"/>
              </w:rPr>
              <w:t>（一）报价要求</w:t>
            </w:r>
          </w:p>
        </w:tc>
      </w:tr>
      <w:tr w14:paraId="04ACBB67">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7BEB935B">
            <w:pPr>
              <w:widowControl/>
              <w:adjustRightInd w:val="0"/>
              <w:snapToGrid w:val="0"/>
              <w:jc w:val="left"/>
              <w:rPr>
                <w:color w:val="000000"/>
                <w:kern w:val="0"/>
                <w:sz w:val="24"/>
                <w:szCs w:val="21"/>
              </w:rPr>
            </w:pPr>
            <w:r>
              <w:rPr>
                <w:color w:val="000000"/>
                <w:kern w:val="0"/>
                <w:sz w:val="24"/>
                <w:szCs w:val="21"/>
              </w:rPr>
              <w:t>　</w:t>
            </w:r>
          </w:p>
        </w:tc>
        <w:tc>
          <w:tcPr>
            <w:tcW w:w="1274" w:type="pct"/>
            <w:tcBorders>
              <w:top w:val="nil"/>
              <w:left w:val="nil"/>
              <w:bottom w:val="single" w:color="auto" w:sz="8" w:space="0"/>
              <w:right w:val="single" w:color="auto" w:sz="8" w:space="0"/>
            </w:tcBorders>
            <w:shd w:val="clear" w:color="auto" w:fill="auto"/>
            <w:vAlign w:val="center"/>
          </w:tcPr>
          <w:p w14:paraId="6B83D775">
            <w:pPr>
              <w:widowControl/>
              <w:adjustRightInd w:val="0"/>
              <w:snapToGrid w:val="0"/>
              <w:jc w:val="left"/>
              <w:rPr>
                <w:color w:val="000000"/>
                <w:kern w:val="0"/>
                <w:sz w:val="24"/>
                <w:szCs w:val="21"/>
              </w:rPr>
            </w:pPr>
            <w:r>
              <w:rPr>
                <w:color w:val="000000"/>
                <w:kern w:val="0"/>
                <w:sz w:val="24"/>
                <w:szCs w:val="21"/>
              </w:rPr>
              <w:t>　</w:t>
            </w:r>
          </w:p>
        </w:tc>
        <w:tc>
          <w:tcPr>
            <w:tcW w:w="1457" w:type="pct"/>
            <w:tcBorders>
              <w:top w:val="nil"/>
              <w:left w:val="nil"/>
              <w:bottom w:val="single" w:color="auto" w:sz="8" w:space="0"/>
              <w:right w:val="single" w:color="auto" w:sz="8" w:space="0"/>
            </w:tcBorders>
            <w:shd w:val="clear" w:color="auto" w:fill="auto"/>
            <w:vAlign w:val="center"/>
          </w:tcPr>
          <w:p w14:paraId="21BD9824">
            <w:pPr>
              <w:widowControl/>
              <w:adjustRightInd w:val="0"/>
              <w:snapToGrid w:val="0"/>
              <w:jc w:val="left"/>
              <w:rPr>
                <w:color w:val="000000"/>
                <w:kern w:val="0"/>
                <w:sz w:val="24"/>
                <w:szCs w:val="21"/>
              </w:rPr>
            </w:pPr>
            <w:r>
              <w:rPr>
                <w:color w:val="000000"/>
                <w:kern w:val="0"/>
                <w:sz w:val="24"/>
                <w:szCs w:val="21"/>
              </w:rPr>
              <w:t>　</w:t>
            </w:r>
          </w:p>
        </w:tc>
        <w:tc>
          <w:tcPr>
            <w:tcW w:w="648" w:type="pct"/>
            <w:tcBorders>
              <w:top w:val="nil"/>
              <w:left w:val="nil"/>
              <w:bottom w:val="single" w:color="auto" w:sz="8" w:space="0"/>
              <w:right w:val="single" w:color="auto" w:sz="8" w:space="0"/>
            </w:tcBorders>
            <w:shd w:val="clear" w:color="auto" w:fill="auto"/>
            <w:vAlign w:val="center"/>
          </w:tcPr>
          <w:p w14:paraId="48DD7A45">
            <w:pPr>
              <w:widowControl/>
              <w:adjustRightInd w:val="0"/>
              <w:snapToGrid w:val="0"/>
              <w:jc w:val="left"/>
              <w:rPr>
                <w:color w:val="000000"/>
                <w:kern w:val="0"/>
                <w:sz w:val="24"/>
                <w:szCs w:val="21"/>
              </w:rPr>
            </w:pPr>
            <w:r>
              <w:rPr>
                <w:color w:val="000000"/>
                <w:kern w:val="0"/>
                <w:sz w:val="24"/>
                <w:szCs w:val="21"/>
              </w:rPr>
              <w:t>　</w:t>
            </w:r>
          </w:p>
        </w:tc>
        <w:tc>
          <w:tcPr>
            <w:tcW w:w="647" w:type="pct"/>
            <w:tcBorders>
              <w:top w:val="nil"/>
              <w:left w:val="nil"/>
              <w:bottom w:val="single" w:color="auto" w:sz="8" w:space="0"/>
              <w:right w:val="single" w:color="auto" w:sz="8" w:space="0"/>
            </w:tcBorders>
            <w:shd w:val="clear" w:color="auto" w:fill="auto"/>
            <w:vAlign w:val="center"/>
          </w:tcPr>
          <w:p w14:paraId="045A1184">
            <w:pPr>
              <w:widowControl/>
              <w:adjustRightInd w:val="0"/>
              <w:snapToGrid w:val="0"/>
              <w:jc w:val="left"/>
              <w:rPr>
                <w:color w:val="000000"/>
                <w:kern w:val="0"/>
                <w:sz w:val="24"/>
                <w:szCs w:val="21"/>
              </w:rPr>
            </w:pPr>
            <w:r>
              <w:rPr>
                <w:color w:val="000000"/>
                <w:kern w:val="0"/>
                <w:sz w:val="24"/>
                <w:szCs w:val="21"/>
              </w:rPr>
              <w:t>　</w:t>
            </w:r>
          </w:p>
        </w:tc>
      </w:tr>
      <w:tr w14:paraId="3015A0EA">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D6F359A">
            <w:pPr>
              <w:widowControl/>
              <w:adjustRightInd w:val="0"/>
              <w:snapToGrid w:val="0"/>
              <w:jc w:val="left"/>
              <w:rPr>
                <w:color w:val="000000"/>
                <w:kern w:val="0"/>
                <w:sz w:val="24"/>
                <w:szCs w:val="21"/>
              </w:rPr>
            </w:pPr>
            <w:r>
              <w:rPr>
                <w:color w:val="000000"/>
                <w:kern w:val="0"/>
                <w:sz w:val="24"/>
                <w:szCs w:val="21"/>
              </w:rPr>
              <w:t>（二）时间、地点要求</w:t>
            </w:r>
          </w:p>
        </w:tc>
      </w:tr>
      <w:tr w14:paraId="569240A2">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1CDA738">
            <w:pPr>
              <w:widowControl/>
              <w:adjustRightInd w:val="0"/>
              <w:snapToGrid w:val="0"/>
              <w:jc w:val="left"/>
              <w:rPr>
                <w:color w:val="000000"/>
                <w:kern w:val="0"/>
                <w:sz w:val="24"/>
                <w:szCs w:val="21"/>
              </w:rPr>
            </w:pPr>
            <w:r>
              <w:rPr>
                <w:color w:val="000000"/>
                <w:kern w:val="0"/>
                <w:sz w:val="24"/>
                <w:szCs w:val="21"/>
              </w:rPr>
              <w:t>　</w:t>
            </w:r>
          </w:p>
        </w:tc>
        <w:tc>
          <w:tcPr>
            <w:tcW w:w="1274" w:type="pct"/>
            <w:tcBorders>
              <w:top w:val="nil"/>
              <w:left w:val="nil"/>
              <w:bottom w:val="single" w:color="auto" w:sz="8" w:space="0"/>
              <w:right w:val="single" w:color="auto" w:sz="8" w:space="0"/>
            </w:tcBorders>
            <w:shd w:val="clear" w:color="auto" w:fill="auto"/>
            <w:vAlign w:val="center"/>
          </w:tcPr>
          <w:p w14:paraId="23E131B0">
            <w:pPr>
              <w:widowControl/>
              <w:adjustRightInd w:val="0"/>
              <w:snapToGrid w:val="0"/>
              <w:jc w:val="left"/>
              <w:rPr>
                <w:color w:val="000000"/>
                <w:kern w:val="0"/>
                <w:sz w:val="24"/>
                <w:szCs w:val="21"/>
              </w:rPr>
            </w:pPr>
            <w:r>
              <w:rPr>
                <w:color w:val="000000"/>
                <w:kern w:val="0"/>
                <w:sz w:val="24"/>
                <w:szCs w:val="21"/>
              </w:rPr>
              <w:t>　</w:t>
            </w:r>
          </w:p>
        </w:tc>
        <w:tc>
          <w:tcPr>
            <w:tcW w:w="1457" w:type="pct"/>
            <w:tcBorders>
              <w:top w:val="nil"/>
              <w:left w:val="nil"/>
              <w:bottom w:val="single" w:color="auto" w:sz="8" w:space="0"/>
              <w:right w:val="single" w:color="auto" w:sz="8" w:space="0"/>
            </w:tcBorders>
            <w:shd w:val="clear" w:color="auto" w:fill="auto"/>
            <w:vAlign w:val="center"/>
          </w:tcPr>
          <w:p w14:paraId="7CDDD16D">
            <w:pPr>
              <w:widowControl/>
              <w:adjustRightInd w:val="0"/>
              <w:snapToGrid w:val="0"/>
              <w:jc w:val="left"/>
              <w:rPr>
                <w:color w:val="000000"/>
                <w:kern w:val="0"/>
                <w:sz w:val="24"/>
                <w:szCs w:val="21"/>
              </w:rPr>
            </w:pPr>
            <w:r>
              <w:rPr>
                <w:color w:val="000000"/>
                <w:kern w:val="0"/>
                <w:sz w:val="24"/>
                <w:szCs w:val="21"/>
              </w:rPr>
              <w:t>　</w:t>
            </w:r>
          </w:p>
        </w:tc>
        <w:tc>
          <w:tcPr>
            <w:tcW w:w="648" w:type="pct"/>
            <w:tcBorders>
              <w:top w:val="nil"/>
              <w:left w:val="nil"/>
              <w:bottom w:val="single" w:color="auto" w:sz="8" w:space="0"/>
              <w:right w:val="single" w:color="auto" w:sz="8" w:space="0"/>
            </w:tcBorders>
            <w:shd w:val="clear" w:color="auto" w:fill="auto"/>
            <w:vAlign w:val="center"/>
          </w:tcPr>
          <w:p w14:paraId="3221659E">
            <w:pPr>
              <w:widowControl/>
              <w:adjustRightInd w:val="0"/>
              <w:snapToGrid w:val="0"/>
              <w:jc w:val="left"/>
              <w:rPr>
                <w:color w:val="000000"/>
                <w:kern w:val="0"/>
                <w:sz w:val="24"/>
                <w:szCs w:val="21"/>
              </w:rPr>
            </w:pPr>
            <w:r>
              <w:rPr>
                <w:color w:val="000000"/>
                <w:kern w:val="0"/>
                <w:sz w:val="24"/>
                <w:szCs w:val="21"/>
              </w:rPr>
              <w:t>　</w:t>
            </w:r>
          </w:p>
        </w:tc>
        <w:tc>
          <w:tcPr>
            <w:tcW w:w="647" w:type="pct"/>
            <w:tcBorders>
              <w:top w:val="nil"/>
              <w:left w:val="nil"/>
              <w:bottom w:val="single" w:color="auto" w:sz="8" w:space="0"/>
              <w:right w:val="single" w:color="auto" w:sz="8" w:space="0"/>
            </w:tcBorders>
            <w:shd w:val="clear" w:color="auto" w:fill="auto"/>
            <w:vAlign w:val="center"/>
          </w:tcPr>
          <w:p w14:paraId="47E802EA">
            <w:pPr>
              <w:widowControl/>
              <w:adjustRightInd w:val="0"/>
              <w:snapToGrid w:val="0"/>
              <w:jc w:val="left"/>
              <w:rPr>
                <w:color w:val="000000"/>
                <w:kern w:val="0"/>
                <w:sz w:val="24"/>
                <w:szCs w:val="21"/>
              </w:rPr>
            </w:pPr>
            <w:r>
              <w:rPr>
                <w:color w:val="000000"/>
                <w:kern w:val="0"/>
                <w:sz w:val="24"/>
                <w:szCs w:val="21"/>
              </w:rPr>
              <w:t>　</w:t>
            </w:r>
          </w:p>
        </w:tc>
      </w:tr>
      <w:tr w14:paraId="3AEC1D0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612EC04">
            <w:pPr>
              <w:widowControl/>
              <w:adjustRightInd w:val="0"/>
              <w:snapToGrid w:val="0"/>
              <w:jc w:val="left"/>
              <w:rPr>
                <w:color w:val="000000"/>
                <w:kern w:val="0"/>
                <w:sz w:val="24"/>
                <w:szCs w:val="21"/>
              </w:rPr>
            </w:pPr>
            <w:r>
              <w:rPr>
                <w:color w:val="000000"/>
                <w:kern w:val="0"/>
                <w:sz w:val="24"/>
                <w:szCs w:val="21"/>
              </w:rPr>
              <w:t>（三）付款方式</w:t>
            </w:r>
          </w:p>
        </w:tc>
      </w:tr>
      <w:tr w14:paraId="12142A81">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05741F8">
            <w:pPr>
              <w:widowControl/>
              <w:adjustRightInd w:val="0"/>
              <w:snapToGrid w:val="0"/>
              <w:jc w:val="left"/>
              <w:rPr>
                <w:color w:val="000000"/>
                <w:kern w:val="0"/>
                <w:sz w:val="24"/>
                <w:szCs w:val="21"/>
              </w:rPr>
            </w:pPr>
            <w:r>
              <w:rPr>
                <w:color w:val="000000"/>
                <w:kern w:val="0"/>
                <w:sz w:val="24"/>
                <w:szCs w:val="21"/>
              </w:rPr>
              <w:t>　</w:t>
            </w:r>
          </w:p>
        </w:tc>
        <w:tc>
          <w:tcPr>
            <w:tcW w:w="1274" w:type="pct"/>
            <w:tcBorders>
              <w:top w:val="nil"/>
              <w:left w:val="nil"/>
              <w:bottom w:val="single" w:color="auto" w:sz="8" w:space="0"/>
              <w:right w:val="single" w:color="auto" w:sz="8" w:space="0"/>
            </w:tcBorders>
            <w:shd w:val="clear" w:color="auto" w:fill="auto"/>
            <w:vAlign w:val="center"/>
          </w:tcPr>
          <w:p w14:paraId="73945F5C">
            <w:pPr>
              <w:widowControl/>
              <w:adjustRightInd w:val="0"/>
              <w:snapToGrid w:val="0"/>
              <w:jc w:val="left"/>
              <w:rPr>
                <w:color w:val="000000"/>
                <w:kern w:val="0"/>
                <w:sz w:val="24"/>
                <w:szCs w:val="21"/>
              </w:rPr>
            </w:pPr>
            <w:r>
              <w:rPr>
                <w:color w:val="000000"/>
                <w:kern w:val="0"/>
                <w:sz w:val="24"/>
                <w:szCs w:val="21"/>
              </w:rPr>
              <w:t>　</w:t>
            </w:r>
          </w:p>
        </w:tc>
        <w:tc>
          <w:tcPr>
            <w:tcW w:w="1457" w:type="pct"/>
            <w:tcBorders>
              <w:top w:val="nil"/>
              <w:left w:val="nil"/>
              <w:bottom w:val="single" w:color="auto" w:sz="8" w:space="0"/>
              <w:right w:val="single" w:color="auto" w:sz="8" w:space="0"/>
            </w:tcBorders>
            <w:shd w:val="clear" w:color="auto" w:fill="auto"/>
            <w:vAlign w:val="center"/>
          </w:tcPr>
          <w:p w14:paraId="3397D29E">
            <w:pPr>
              <w:widowControl/>
              <w:adjustRightInd w:val="0"/>
              <w:snapToGrid w:val="0"/>
              <w:jc w:val="left"/>
              <w:rPr>
                <w:color w:val="000000"/>
                <w:kern w:val="0"/>
                <w:sz w:val="24"/>
                <w:szCs w:val="21"/>
              </w:rPr>
            </w:pPr>
            <w:r>
              <w:rPr>
                <w:color w:val="000000"/>
                <w:kern w:val="0"/>
                <w:sz w:val="24"/>
                <w:szCs w:val="21"/>
              </w:rPr>
              <w:t>　</w:t>
            </w:r>
          </w:p>
        </w:tc>
        <w:tc>
          <w:tcPr>
            <w:tcW w:w="648" w:type="pct"/>
            <w:tcBorders>
              <w:top w:val="nil"/>
              <w:left w:val="nil"/>
              <w:bottom w:val="single" w:color="auto" w:sz="8" w:space="0"/>
              <w:right w:val="single" w:color="auto" w:sz="8" w:space="0"/>
            </w:tcBorders>
            <w:shd w:val="clear" w:color="auto" w:fill="auto"/>
            <w:vAlign w:val="center"/>
          </w:tcPr>
          <w:p w14:paraId="35B70466">
            <w:pPr>
              <w:widowControl/>
              <w:adjustRightInd w:val="0"/>
              <w:snapToGrid w:val="0"/>
              <w:jc w:val="left"/>
              <w:rPr>
                <w:color w:val="000000"/>
                <w:kern w:val="0"/>
                <w:sz w:val="24"/>
                <w:szCs w:val="21"/>
              </w:rPr>
            </w:pPr>
            <w:r>
              <w:rPr>
                <w:color w:val="000000"/>
                <w:kern w:val="0"/>
                <w:sz w:val="24"/>
                <w:szCs w:val="21"/>
              </w:rPr>
              <w:t>　</w:t>
            </w:r>
          </w:p>
        </w:tc>
        <w:tc>
          <w:tcPr>
            <w:tcW w:w="647" w:type="pct"/>
            <w:tcBorders>
              <w:top w:val="nil"/>
              <w:left w:val="nil"/>
              <w:bottom w:val="single" w:color="auto" w:sz="8" w:space="0"/>
              <w:right w:val="single" w:color="auto" w:sz="8" w:space="0"/>
            </w:tcBorders>
            <w:shd w:val="clear" w:color="auto" w:fill="auto"/>
            <w:vAlign w:val="center"/>
          </w:tcPr>
          <w:p w14:paraId="24D0ED56">
            <w:pPr>
              <w:widowControl/>
              <w:adjustRightInd w:val="0"/>
              <w:snapToGrid w:val="0"/>
              <w:jc w:val="left"/>
              <w:rPr>
                <w:color w:val="000000"/>
                <w:kern w:val="0"/>
                <w:sz w:val="24"/>
                <w:szCs w:val="21"/>
              </w:rPr>
            </w:pPr>
            <w:r>
              <w:rPr>
                <w:color w:val="000000"/>
                <w:kern w:val="0"/>
                <w:sz w:val="24"/>
                <w:szCs w:val="21"/>
              </w:rPr>
              <w:t>　</w:t>
            </w:r>
          </w:p>
        </w:tc>
      </w:tr>
      <w:tr w14:paraId="49F65CCE">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201FB12">
            <w:pPr>
              <w:widowControl/>
              <w:adjustRightInd w:val="0"/>
              <w:snapToGrid w:val="0"/>
              <w:jc w:val="left"/>
              <w:rPr>
                <w:color w:val="000000"/>
                <w:kern w:val="0"/>
                <w:sz w:val="24"/>
                <w:szCs w:val="21"/>
              </w:rPr>
            </w:pPr>
            <w:r>
              <w:rPr>
                <w:color w:val="000000"/>
                <w:kern w:val="0"/>
                <w:sz w:val="24"/>
                <w:szCs w:val="21"/>
              </w:rPr>
              <w:t>（四）投标保证金和履约保证金</w:t>
            </w:r>
          </w:p>
        </w:tc>
      </w:tr>
      <w:tr w14:paraId="0F88408B">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85A95EB">
            <w:pPr>
              <w:widowControl/>
              <w:adjustRightInd w:val="0"/>
              <w:snapToGrid w:val="0"/>
              <w:jc w:val="left"/>
              <w:rPr>
                <w:color w:val="000000"/>
                <w:kern w:val="0"/>
                <w:sz w:val="24"/>
                <w:szCs w:val="21"/>
              </w:rPr>
            </w:pPr>
            <w:r>
              <w:rPr>
                <w:color w:val="000000"/>
                <w:kern w:val="0"/>
                <w:sz w:val="24"/>
                <w:szCs w:val="21"/>
              </w:rPr>
              <w:t>　</w:t>
            </w:r>
          </w:p>
        </w:tc>
        <w:tc>
          <w:tcPr>
            <w:tcW w:w="1274" w:type="pct"/>
            <w:tcBorders>
              <w:top w:val="nil"/>
              <w:left w:val="nil"/>
              <w:bottom w:val="single" w:color="auto" w:sz="8" w:space="0"/>
              <w:right w:val="single" w:color="auto" w:sz="8" w:space="0"/>
            </w:tcBorders>
            <w:shd w:val="clear" w:color="auto" w:fill="auto"/>
            <w:vAlign w:val="center"/>
          </w:tcPr>
          <w:p w14:paraId="65056C9A">
            <w:pPr>
              <w:widowControl/>
              <w:adjustRightInd w:val="0"/>
              <w:snapToGrid w:val="0"/>
              <w:jc w:val="left"/>
              <w:rPr>
                <w:color w:val="000000"/>
                <w:kern w:val="0"/>
                <w:sz w:val="24"/>
                <w:szCs w:val="21"/>
              </w:rPr>
            </w:pPr>
            <w:r>
              <w:rPr>
                <w:color w:val="000000"/>
                <w:kern w:val="0"/>
                <w:sz w:val="24"/>
                <w:szCs w:val="21"/>
              </w:rPr>
              <w:t>　</w:t>
            </w:r>
          </w:p>
        </w:tc>
        <w:tc>
          <w:tcPr>
            <w:tcW w:w="1457" w:type="pct"/>
            <w:tcBorders>
              <w:top w:val="nil"/>
              <w:left w:val="nil"/>
              <w:bottom w:val="single" w:color="auto" w:sz="8" w:space="0"/>
              <w:right w:val="single" w:color="auto" w:sz="8" w:space="0"/>
            </w:tcBorders>
            <w:shd w:val="clear" w:color="auto" w:fill="auto"/>
            <w:vAlign w:val="center"/>
          </w:tcPr>
          <w:p w14:paraId="47C25014">
            <w:pPr>
              <w:widowControl/>
              <w:adjustRightInd w:val="0"/>
              <w:snapToGrid w:val="0"/>
              <w:jc w:val="left"/>
              <w:rPr>
                <w:color w:val="000000"/>
                <w:kern w:val="0"/>
                <w:sz w:val="24"/>
                <w:szCs w:val="21"/>
              </w:rPr>
            </w:pPr>
            <w:r>
              <w:rPr>
                <w:color w:val="000000"/>
                <w:kern w:val="0"/>
                <w:sz w:val="24"/>
                <w:szCs w:val="21"/>
              </w:rPr>
              <w:t>　</w:t>
            </w:r>
          </w:p>
        </w:tc>
        <w:tc>
          <w:tcPr>
            <w:tcW w:w="648" w:type="pct"/>
            <w:tcBorders>
              <w:top w:val="nil"/>
              <w:left w:val="nil"/>
              <w:bottom w:val="single" w:color="auto" w:sz="8" w:space="0"/>
              <w:right w:val="single" w:color="auto" w:sz="8" w:space="0"/>
            </w:tcBorders>
            <w:shd w:val="clear" w:color="auto" w:fill="auto"/>
            <w:vAlign w:val="center"/>
          </w:tcPr>
          <w:p w14:paraId="3A805E78">
            <w:pPr>
              <w:widowControl/>
              <w:adjustRightInd w:val="0"/>
              <w:snapToGrid w:val="0"/>
              <w:jc w:val="left"/>
              <w:rPr>
                <w:color w:val="000000"/>
                <w:kern w:val="0"/>
                <w:sz w:val="24"/>
                <w:szCs w:val="21"/>
              </w:rPr>
            </w:pPr>
            <w:r>
              <w:rPr>
                <w:color w:val="000000"/>
                <w:kern w:val="0"/>
                <w:sz w:val="24"/>
                <w:szCs w:val="21"/>
              </w:rPr>
              <w:t>　</w:t>
            </w:r>
          </w:p>
        </w:tc>
        <w:tc>
          <w:tcPr>
            <w:tcW w:w="647" w:type="pct"/>
            <w:tcBorders>
              <w:top w:val="nil"/>
              <w:left w:val="nil"/>
              <w:bottom w:val="single" w:color="auto" w:sz="8" w:space="0"/>
              <w:right w:val="single" w:color="auto" w:sz="8" w:space="0"/>
            </w:tcBorders>
            <w:shd w:val="clear" w:color="auto" w:fill="auto"/>
            <w:vAlign w:val="center"/>
          </w:tcPr>
          <w:p w14:paraId="2572102A">
            <w:pPr>
              <w:widowControl/>
              <w:adjustRightInd w:val="0"/>
              <w:snapToGrid w:val="0"/>
              <w:jc w:val="left"/>
              <w:rPr>
                <w:color w:val="000000"/>
                <w:kern w:val="0"/>
                <w:sz w:val="24"/>
                <w:szCs w:val="21"/>
              </w:rPr>
            </w:pPr>
            <w:r>
              <w:rPr>
                <w:color w:val="000000"/>
                <w:kern w:val="0"/>
                <w:sz w:val="24"/>
                <w:szCs w:val="21"/>
              </w:rPr>
              <w:t>　</w:t>
            </w:r>
          </w:p>
        </w:tc>
      </w:tr>
    </w:tbl>
    <w:p w14:paraId="49C8DF1E">
      <w:pPr>
        <w:spacing w:line="620" w:lineRule="exact"/>
        <w:rPr>
          <w:sz w:val="24"/>
        </w:rPr>
      </w:pPr>
      <w:r>
        <w:rPr>
          <w:sz w:val="24"/>
        </w:rPr>
        <w:t>注：</w:t>
      </w:r>
    </w:p>
    <w:p w14:paraId="1736F78E">
      <w:pPr>
        <w:spacing w:line="360" w:lineRule="auto"/>
        <w:ind w:firstLine="448" w:firstLineChars="200"/>
        <w:rPr>
          <w:sz w:val="24"/>
        </w:rPr>
      </w:pPr>
      <w:r>
        <w:rPr>
          <w:rFonts w:hint="eastAsia"/>
          <w:sz w:val="24"/>
        </w:rPr>
        <w:t>1. 此表应按谈判文件商务要求中的全部内容逐项进行应答，未应答的，视为不满足谈判文件要求。</w:t>
      </w:r>
    </w:p>
    <w:p w14:paraId="6C1C8A26">
      <w:pPr>
        <w:spacing w:line="360" w:lineRule="auto"/>
        <w:ind w:firstLine="448" w:firstLineChars="200"/>
        <w:rPr>
          <w:sz w:val="24"/>
        </w:rPr>
      </w:pPr>
      <w:r>
        <w:rPr>
          <w:rFonts w:hint="eastAsia"/>
          <w:sz w:val="24"/>
        </w:rPr>
        <w:t>2</w:t>
      </w:r>
      <w:r>
        <w:rPr>
          <w:sz w:val="24"/>
        </w:rPr>
        <w:t>. 不如实填写偏离情况的</w:t>
      </w:r>
      <w:r>
        <w:rPr>
          <w:rFonts w:hint="eastAsia"/>
          <w:sz w:val="24"/>
        </w:rPr>
        <w:t>响应</w:t>
      </w:r>
      <w:r>
        <w:rPr>
          <w:sz w:val="24"/>
        </w:rPr>
        <w:t>文件将视为虚假材料。</w:t>
      </w:r>
    </w:p>
    <w:p w14:paraId="7C3D25E9">
      <w:pPr>
        <w:spacing w:line="360" w:lineRule="auto"/>
        <w:ind w:firstLine="448" w:firstLineChars="200"/>
        <w:rPr>
          <w:sz w:val="24"/>
        </w:rPr>
      </w:pPr>
      <w:r>
        <w:rPr>
          <w:rFonts w:hint="eastAsia"/>
          <w:sz w:val="24"/>
        </w:rPr>
        <w:t>3</w:t>
      </w:r>
      <w:r>
        <w:rPr>
          <w:sz w:val="24"/>
        </w:rPr>
        <w:t>. “</w:t>
      </w:r>
      <w:r>
        <w:rPr>
          <w:rFonts w:hint="eastAsia"/>
          <w:sz w:val="24"/>
        </w:rPr>
        <w:t>谈判文件</w:t>
      </w:r>
      <w:r>
        <w:rPr>
          <w:sz w:val="24"/>
        </w:rPr>
        <w:t>要求”指谈判文件中规定的具体要求，“</w:t>
      </w:r>
      <w:r>
        <w:rPr>
          <w:rFonts w:hint="eastAsia"/>
          <w:sz w:val="24"/>
        </w:rPr>
        <w:t>响应</w:t>
      </w:r>
      <w:r>
        <w:rPr>
          <w:sz w:val="24"/>
        </w:rPr>
        <w:t>应答”指</w:t>
      </w:r>
      <w:r>
        <w:rPr>
          <w:rFonts w:hint="eastAsia"/>
          <w:sz w:val="24"/>
        </w:rPr>
        <w:t>响应</w:t>
      </w:r>
      <w:r>
        <w:rPr>
          <w:sz w:val="24"/>
        </w:rPr>
        <w:t>文件的具体内容。“偏离说明”指</w:t>
      </w:r>
      <w:r>
        <w:rPr>
          <w:rFonts w:hint="eastAsia"/>
          <w:sz w:val="24"/>
        </w:rPr>
        <w:t>谈判文件</w:t>
      </w:r>
      <w:r>
        <w:rPr>
          <w:sz w:val="24"/>
        </w:rPr>
        <w:t>要求与</w:t>
      </w:r>
      <w:r>
        <w:rPr>
          <w:rFonts w:hint="eastAsia"/>
          <w:sz w:val="24"/>
        </w:rPr>
        <w:t>响应</w:t>
      </w:r>
      <w:r>
        <w:rPr>
          <w:sz w:val="24"/>
        </w:rPr>
        <w:t>应答之间的不同之处。</w:t>
      </w:r>
    </w:p>
    <w:p w14:paraId="0920F458">
      <w:pPr>
        <w:spacing w:line="360" w:lineRule="auto"/>
        <w:rPr>
          <w:sz w:val="24"/>
        </w:rPr>
      </w:pPr>
    </w:p>
    <w:p w14:paraId="661735AB">
      <w:pPr>
        <w:spacing w:line="360" w:lineRule="auto"/>
        <w:ind w:firstLine="3808" w:firstLineChars="1700"/>
        <w:rPr>
          <w:sz w:val="24"/>
        </w:rPr>
      </w:pPr>
      <w:r>
        <w:rPr>
          <w:sz w:val="24"/>
        </w:rPr>
        <w:t>供应商名称：</w:t>
      </w:r>
    </w:p>
    <w:p w14:paraId="726CD65B">
      <w:pPr>
        <w:spacing w:line="360" w:lineRule="auto"/>
        <w:ind w:firstLine="3808" w:firstLineChars="1700"/>
        <w:rPr>
          <w:sz w:val="24"/>
        </w:rPr>
      </w:pPr>
    </w:p>
    <w:p w14:paraId="436D76A8">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01C9C00">
      <w:pPr>
        <w:tabs>
          <w:tab w:val="left" w:pos="360"/>
        </w:tabs>
        <w:spacing w:after="285" w:afterLines="100" w:line="360" w:lineRule="auto"/>
        <w:rPr>
          <w:b/>
          <w:sz w:val="24"/>
        </w:rPr>
      </w:pPr>
      <w:r>
        <w:rPr>
          <w:sz w:val="24"/>
        </w:rPr>
        <w:br w:type="page"/>
      </w:r>
      <w:r>
        <w:rPr>
          <w:b/>
          <w:sz w:val="24"/>
        </w:rPr>
        <w:t>附件5-2</w:t>
      </w:r>
    </w:p>
    <w:p w14:paraId="2F49F577">
      <w:pPr>
        <w:spacing w:line="360" w:lineRule="auto"/>
        <w:jc w:val="center"/>
        <w:rPr>
          <w:b/>
          <w:bCs/>
          <w:sz w:val="24"/>
          <w:szCs w:val="24"/>
        </w:rPr>
      </w:pPr>
      <w:r>
        <w:rPr>
          <w:rFonts w:ascii="宋体" w:hAnsi="宋体"/>
          <w:b/>
          <w:bCs/>
          <w:sz w:val="24"/>
          <w:szCs w:val="24"/>
        </w:rPr>
        <w:t>技术要求偏离应答表</w:t>
      </w:r>
    </w:p>
    <w:p w14:paraId="54D15151">
      <w:pPr>
        <w:spacing w:line="460" w:lineRule="exact"/>
        <w:rPr>
          <w:sz w:val="24"/>
        </w:rPr>
      </w:pPr>
      <w:r>
        <w:rPr>
          <w:sz w:val="24"/>
        </w:rPr>
        <w:t>项目名称：</w:t>
      </w:r>
      <w:r>
        <w:rPr>
          <w:sz w:val="24"/>
          <w:u w:val="single"/>
        </w:rPr>
        <w:t xml:space="preserve">                    </w:t>
      </w:r>
    </w:p>
    <w:p w14:paraId="1C79FA68">
      <w:pPr>
        <w:spacing w:line="460" w:lineRule="exact"/>
        <w:rPr>
          <w:sz w:val="24"/>
        </w:rPr>
      </w:pPr>
      <w:r>
        <w:rPr>
          <w:sz w:val="24"/>
        </w:rPr>
        <w:t>项目编号：</w:t>
      </w:r>
      <w:r>
        <w:rPr>
          <w:sz w:val="24"/>
          <w:u w:val="single"/>
        </w:rPr>
        <w:t xml:space="preserve">                    </w:t>
      </w:r>
    </w:p>
    <w:p w14:paraId="12B479CC">
      <w:pPr>
        <w:spacing w:line="460" w:lineRule="exact"/>
        <w:rPr>
          <w:sz w:val="24"/>
          <w:u w:val="single"/>
        </w:rPr>
      </w:pPr>
      <w:r>
        <w:rPr>
          <w:sz w:val="24"/>
        </w:rPr>
        <w:t>包号：</w:t>
      </w:r>
      <w:r>
        <w:rPr>
          <w:sz w:val="24"/>
          <w:u w:val="single"/>
        </w:rPr>
        <w:t xml:space="preserve">                        </w:t>
      </w:r>
    </w:p>
    <w:p w14:paraId="3B6B726C">
      <w:pPr>
        <w:spacing w:line="460" w:lineRule="exact"/>
        <w:rPr>
          <w:sz w:val="24"/>
          <w:szCs w:val="24"/>
          <w:u w:val="single"/>
        </w:rPr>
      </w:pPr>
    </w:p>
    <w:p w14:paraId="0411049E">
      <w:pPr>
        <w:spacing w:line="360" w:lineRule="auto"/>
        <w:ind w:firstLine="448" w:firstLineChars="200"/>
        <w:rPr>
          <w:sz w:val="24"/>
          <w:szCs w:val="24"/>
          <w:u w:val="single"/>
        </w:rPr>
      </w:pPr>
      <w:r>
        <w:rPr>
          <w:rFonts w:hint="eastAsia" w:ascii="宋体" w:hAnsi="宋体"/>
          <w:b/>
          <w:sz w:val="24"/>
          <w:szCs w:val="24"/>
        </w:rPr>
        <w:t>我单位郑重承诺：所提供的服务、人员及设备符合相关强制性规定。验收时采购人有权要求投标人出具所提供的服务、人员及设备符合上述规定的证明文件。除下表列出的偏离外，与谈判文件技术要求完全一致，并承担相应的法律责任。</w:t>
      </w:r>
    </w:p>
    <w:tbl>
      <w:tblPr>
        <w:tblStyle w:val="15"/>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52D5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1678AC5">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643E97BF">
            <w:pPr>
              <w:widowControl/>
              <w:snapToGrid w:val="0"/>
              <w:jc w:val="center"/>
              <w:rPr>
                <w:kern w:val="0"/>
                <w:sz w:val="24"/>
                <w:szCs w:val="24"/>
              </w:rPr>
            </w:pPr>
            <w:r>
              <w:rPr>
                <w:rFonts w:hint="eastAsia" w:ascii="宋体" w:hAnsi="宋体"/>
                <w:kern w:val="0"/>
                <w:sz w:val="24"/>
                <w:szCs w:val="24"/>
              </w:rPr>
              <w:t>谈判文件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58BABEC2">
            <w:pPr>
              <w:widowControl/>
              <w:snapToGrid w:val="0"/>
              <w:jc w:val="center"/>
              <w:rPr>
                <w:kern w:val="0"/>
                <w:sz w:val="24"/>
                <w:szCs w:val="24"/>
              </w:rPr>
            </w:pPr>
            <w:r>
              <w:rPr>
                <w:rFonts w:ascii="宋体" w:hAnsi="宋体"/>
                <w:kern w:val="0"/>
                <w:sz w:val="24"/>
                <w:szCs w:val="24"/>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74E73FCB">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07B4DA2D">
            <w:pPr>
              <w:widowControl/>
              <w:snapToGrid w:val="0"/>
              <w:jc w:val="center"/>
              <w:rPr>
                <w:kern w:val="0"/>
                <w:sz w:val="24"/>
                <w:szCs w:val="24"/>
              </w:rPr>
            </w:pPr>
            <w:r>
              <w:rPr>
                <w:rFonts w:ascii="宋体" w:hAnsi="宋体"/>
                <w:kern w:val="0"/>
                <w:sz w:val="24"/>
                <w:szCs w:val="24"/>
              </w:rPr>
              <w:t>备注</w:t>
            </w:r>
          </w:p>
        </w:tc>
      </w:tr>
      <w:tr w14:paraId="4821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358B56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07BB4A0">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1340286A">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4BAE1626">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5A64BE1A">
            <w:pPr>
              <w:widowControl/>
              <w:snapToGrid w:val="0"/>
              <w:jc w:val="center"/>
              <w:rPr>
                <w:kern w:val="0"/>
                <w:sz w:val="24"/>
                <w:szCs w:val="24"/>
              </w:rPr>
            </w:pPr>
          </w:p>
        </w:tc>
      </w:tr>
      <w:tr w14:paraId="1823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60576F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4ECE48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516EB2D">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D4BD8C4">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3DC95DD4">
            <w:pPr>
              <w:widowControl/>
              <w:snapToGrid w:val="0"/>
              <w:jc w:val="center"/>
              <w:rPr>
                <w:kern w:val="0"/>
                <w:sz w:val="24"/>
                <w:szCs w:val="24"/>
              </w:rPr>
            </w:pPr>
          </w:p>
        </w:tc>
      </w:tr>
      <w:tr w14:paraId="0B52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7B53164">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85850A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43C8DF52">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704AD14D">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3E34551A">
            <w:pPr>
              <w:widowControl/>
              <w:snapToGrid w:val="0"/>
              <w:jc w:val="center"/>
              <w:rPr>
                <w:kern w:val="0"/>
                <w:sz w:val="24"/>
                <w:szCs w:val="24"/>
              </w:rPr>
            </w:pPr>
          </w:p>
        </w:tc>
      </w:tr>
      <w:tr w14:paraId="0639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B3DFA2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FCB1A62">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D72014C">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D18B0B2">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DA623C6">
            <w:pPr>
              <w:widowControl/>
              <w:snapToGrid w:val="0"/>
              <w:jc w:val="center"/>
              <w:rPr>
                <w:kern w:val="0"/>
                <w:sz w:val="24"/>
                <w:szCs w:val="24"/>
              </w:rPr>
            </w:pPr>
          </w:p>
        </w:tc>
      </w:tr>
      <w:tr w14:paraId="57E5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140766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3521EA7">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EE5D2AC">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43D8DB42">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01F6DCB">
            <w:pPr>
              <w:widowControl/>
              <w:snapToGrid w:val="0"/>
              <w:jc w:val="center"/>
              <w:rPr>
                <w:kern w:val="0"/>
                <w:sz w:val="24"/>
                <w:szCs w:val="24"/>
              </w:rPr>
            </w:pPr>
          </w:p>
        </w:tc>
      </w:tr>
    </w:tbl>
    <w:p w14:paraId="4A3D6A32">
      <w:pPr>
        <w:spacing w:line="360" w:lineRule="auto"/>
        <w:ind w:firstLine="448" w:firstLineChars="200"/>
        <w:rPr>
          <w:sz w:val="24"/>
          <w:szCs w:val="24"/>
        </w:rPr>
      </w:pPr>
      <w:r>
        <w:rPr>
          <w:rFonts w:ascii="宋体" w:hAnsi="宋体"/>
          <w:sz w:val="24"/>
          <w:szCs w:val="24"/>
        </w:rPr>
        <w:t>注：</w:t>
      </w:r>
    </w:p>
    <w:p w14:paraId="7B081D9C">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此表仅体现与谈判文件技术要求存在偏离的部分，无偏离的部分，无需填写。</w:t>
      </w:r>
    </w:p>
    <w:p w14:paraId="3D871BE6">
      <w:pPr>
        <w:spacing w:line="360" w:lineRule="auto"/>
        <w:ind w:firstLine="448" w:firstLineChars="200"/>
        <w:rPr>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14:paraId="6A684319">
      <w:pPr>
        <w:spacing w:line="360" w:lineRule="auto"/>
        <w:ind w:firstLine="448" w:firstLineChars="200"/>
        <w:rPr>
          <w:sz w:val="24"/>
          <w:szCs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谈判</w:t>
      </w:r>
      <w:r>
        <w:rPr>
          <w:rFonts w:ascii="宋体" w:hAnsi="宋体"/>
          <w:sz w:val="24"/>
          <w:szCs w:val="24"/>
        </w:rPr>
        <w:t>文件要求</w:t>
      </w:r>
      <w:r>
        <w:rPr>
          <w:rFonts w:hint="eastAsia"/>
          <w:sz w:val="24"/>
          <w:szCs w:val="24"/>
        </w:rPr>
        <w:t>”</w:t>
      </w:r>
      <w:r>
        <w:rPr>
          <w:rFonts w:ascii="宋体" w:hAnsi="宋体"/>
          <w:sz w:val="24"/>
          <w:szCs w:val="24"/>
        </w:rPr>
        <w:t>指谈判文件中规定的具体要求，“响应应答”指</w:t>
      </w:r>
      <w:r>
        <w:rPr>
          <w:rFonts w:hint="eastAsia" w:ascii="宋体" w:hAnsi="宋体"/>
          <w:sz w:val="24"/>
          <w:szCs w:val="24"/>
        </w:rPr>
        <w:t>响应文件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谈判</w:t>
      </w:r>
      <w:r>
        <w:rPr>
          <w:rFonts w:ascii="宋体" w:hAnsi="宋体"/>
          <w:sz w:val="24"/>
          <w:szCs w:val="24"/>
        </w:rPr>
        <w:t>文件中规定的具体要求与</w:t>
      </w:r>
      <w:r>
        <w:rPr>
          <w:rFonts w:hint="eastAsia" w:ascii="宋体" w:hAnsi="宋体"/>
          <w:sz w:val="24"/>
          <w:szCs w:val="24"/>
        </w:rPr>
        <w:t>响应</w:t>
      </w:r>
      <w:r>
        <w:rPr>
          <w:rFonts w:ascii="宋体" w:hAnsi="宋体"/>
          <w:sz w:val="24"/>
          <w:szCs w:val="24"/>
        </w:rPr>
        <w:t>文件的具体内容的不同之处。</w:t>
      </w:r>
    </w:p>
    <w:p w14:paraId="562365C6">
      <w:pPr>
        <w:spacing w:line="360" w:lineRule="auto"/>
        <w:rPr>
          <w:sz w:val="24"/>
        </w:rPr>
      </w:pPr>
    </w:p>
    <w:p w14:paraId="26D1F36A">
      <w:pPr>
        <w:spacing w:line="360" w:lineRule="auto"/>
        <w:ind w:firstLine="3808" w:firstLineChars="1700"/>
        <w:rPr>
          <w:sz w:val="24"/>
        </w:rPr>
      </w:pPr>
      <w:r>
        <w:rPr>
          <w:sz w:val="24"/>
        </w:rPr>
        <w:t>供应商名称：</w:t>
      </w:r>
    </w:p>
    <w:p w14:paraId="2859CFE2">
      <w:pPr>
        <w:spacing w:line="360" w:lineRule="auto"/>
        <w:ind w:firstLine="3808" w:firstLineChars="1700"/>
        <w:rPr>
          <w:sz w:val="24"/>
        </w:rPr>
      </w:pPr>
    </w:p>
    <w:p w14:paraId="21EE7FA4">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29831FC">
      <w:pPr>
        <w:tabs>
          <w:tab w:val="left" w:pos="360"/>
        </w:tabs>
        <w:spacing w:after="285" w:afterLines="100" w:line="360" w:lineRule="auto"/>
        <w:rPr>
          <w:b/>
          <w:sz w:val="24"/>
        </w:rPr>
      </w:pPr>
      <w:r>
        <w:rPr>
          <w:sz w:val="24"/>
        </w:rPr>
        <w:br w:type="page"/>
      </w:r>
      <w:r>
        <w:rPr>
          <w:b/>
          <w:sz w:val="24"/>
        </w:rPr>
        <w:t>附件6</w:t>
      </w:r>
    </w:p>
    <w:p w14:paraId="313FD506">
      <w:pPr>
        <w:spacing w:line="560" w:lineRule="exact"/>
        <w:jc w:val="center"/>
        <w:rPr>
          <w:b/>
          <w:sz w:val="24"/>
        </w:rPr>
      </w:pPr>
      <w:r>
        <w:rPr>
          <w:b/>
          <w:sz w:val="24"/>
        </w:rPr>
        <w:t>主要相关项目业绩一览表</w:t>
      </w:r>
    </w:p>
    <w:p w14:paraId="59B90B0E">
      <w:pPr>
        <w:spacing w:line="460" w:lineRule="exact"/>
        <w:rPr>
          <w:sz w:val="24"/>
        </w:rPr>
      </w:pPr>
      <w:r>
        <w:rPr>
          <w:sz w:val="24"/>
        </w:rPr>
        <w:t>项目名称：</w:t>
      </w:r>
      <w:r>
        <w:rPr>
          <w:sz w:val="24"/>
          <w:u w:val="single"/>
        </w:rPr>
        <w:t xml:space="preserve">                    </w:t>
      </w:r>
    </w:p>
    <w:p w14:paraId="49994910">
      <w:pPr>
        <w:spacing w:line="460" w:lineRule="exact"/>
        <w:rPr>
          <w:sz w:val="24"/>
        </w:rPr>
      </w:pPr>
      <w:r>
        <w:rPr>
          <w:sz w:val="24"/>
        </w:rPr>
        <w:t>项目编号：</w:t>
      </w:r>
      <w:r>
        <w:rPr>
          <w:sz w:val="24"/>
          <w:u w:val="single"/>
        </w:rPr>
        <w:t xml:space="preserve">                    </w:t>
      </w:r>
    </w:p>
    <w:p w14:paraId="7395D70F">
      <w:pPr>
        <w:spacing w:line="460" w:lineRule="exact"/>
        <w:rPr>
          <w:sz w:val="24"/>
          <w:u w:val="single"/>
        </w:rPr>
      </w:pPr>
      <w:r>
        <w:rPr>
          <w:sz w:val="24"/>
        </w:rPr>
        <w:t>包号：</w:t>
      </w:r>
      <w:r>
        <w:rPr>
          <w:sz w:val="24"/>
          <w:u w:val="single"/>
        </w:rPr>
        <w:t xml:space="preserve">                        </w:t>
      </w:r>
    </w:p>
    <w:p w14:paraId="502463E8">
      <w:pPr>
        <w:spacing w:line="560" w:lineRule="exact"/>
        <w:jc w:val="center"/>
        <w:rPr>
          <w:b/>
          <w:sz w:val="24"/>
        </w:rPr>
      </w:pPr>
    </w:p>
    <w:tbl>
      <w:tblPr>
        <w:tblStyle w:val="15"/>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3D2F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79DEDAE">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60079060">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6D0E8F37">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57E6E900">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49E76D67">
            <w:pPr>
              <w:snapToGrid w:val="0"/>
              <w:jc w:val="center"/>
              <w:rPr>
                <w:sz w:val="24"/>
              </w:rPr>
            </w:pPr>
            <w:r>
              <w:rPr>
                <w:sz w:val="24"/>
              </w:rPr>
              <w:t>项目起止时间</w:t>
            </w:r>
          </w:p>
        </w:tc>
      </w:tr>
      <w:tr w14:paraId="609D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5458E2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C4904A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042224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B037B0C">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C37CC84">
            <w:pPr>
              <w:snapToGrid w:val="0"/>
              <w:jc w:val="center"/>
              <w:rPr>
                <w:sz w:val="24"/>
              </w:rPr>
            </w:pPr>
          </w:p>
        </w:tc>
      </w:tr>
      <w:tr w14:paraId="7D2C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584197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05CAD4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874069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B38A17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C743C1C">
            <w:pPr>
              <w:snapToGrid w:val="0"/>
              <w:jc w:val="center"/>
              <w:rPr>
                <w:sz w:val="24"/>
              </w:rPr>
            </w:pPr>
          </w:p>
        </w:tc>
      </w:tr>
      <w:tr w14:paraId="022A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80ABE0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105EEF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7A0E23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5C01D9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962D265">
            <w:pPr>
              <w:snapToGrid w:val="0"/>
              <w:jc w:val="center"/>
              <w:rPr>
                <w:sz w:val="24"/>
              </w:rPr>
            </w:pPr>
          </w:p>
        </w:tc>
      </w:tr>
      <w:tr w14:paraId="7D68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03DA53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EDF356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DBA6684">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C0264B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21629ED">
            <w:pPr>
              <w:snapToGrid w:val="0"/>
              <w:jc w:val="center"/>
              <w:rPr>
                <w:sz w:val="24"/>
              </w:rPr>
            </w:pPr>
          </w:p>
        </w:tc>
      </w:tr>
      <w:tr w14:paraId="5B3F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7C1DF3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80A38B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F0D6F38">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73BF31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7F4FC04">
            <w:pPr>
              <w:snapToGrid w:val="0"/>
              <w:jc w:val="center"/>
              <w:rPr>
                <w:sz w:val="24"/>
              </w:rPr>
            </w:pPr>
          </w:p>
        </w:tc>
      </w:tr>
      <w:tr w14:paraId="0AB5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6BB249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67AEC3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803EB2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20662E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AFBBC25">
            <w:pPr>
              <w:snapToGrid w:val="0"/>
              <w:jc w:val="center"/>
              <w:rPr>
                <w:sz w:val="24"/>
              </w:rPr>
            </w:pPr>
          </w:p>
        </w:tc>
      </w:tr>
      <w:tr w14:paraId="2A8D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409F85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E03AC3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E12B548">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334AC8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5056CB4">
            <w:pPr>
              <w:snapToGrid w:val="0"/>
              <w:jc w:val="center"/>
              <w:rPr>
                <w:sz w:val="24"/>
              </w:rPr>
            </w:pPr>
          </w:p>
        </w:tc>
      </w:tr>
      <w:tr w14:paraId="1824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10D69E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DE3A83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4D9CB5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A11E8F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C7C7903">
            <w:pPr>
              <w:snapToGrid w:val="0"/>
              <w:jc w:val="center"/>
              <w:rPr>
                <w:sz w:val="24"/>
              </w:rPr>
            </w:pPr>
          </w:p>
        </w:tc>
      </w:tr>
      <w:tr w14:paraId="185F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AE6D49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DD894B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17AE62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6BB371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C8AA9C8">
            <w:pPr>
              <w:snapToGrid w:val="0"/>
              <w:jc w:val="center"/>
              <w:rPr>
                <w:sz w:val="24"/>
              </w:rPr>
            </w:pPr>
          </w:p>
        </w:tc>
      </w:tr>
      <w:tr w14:paraId="2538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DAA8AD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531998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0DAF07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96C651B">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F060742">
            <w:pPr>
              <w:snapToGrid w:val="0"/>
              <w:jc w:val="center"/>
              <w:rPr>
                <w:sz w:val="24"/>
              </w:rPr>
            </w:pPr>
          </w:p>
        </w:tc>
      </w:tr>
      <w:tr w14:paraId="750C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E8C829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A4E6FC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89BD76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B3A729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3570469">
            <w:pPr>
              <w:snapToGrid w:val="0"/>
              <w:jc w:val="center"/>
              <w:rPr>
                <w:sz w:val="24"/>
              </w:rPr>
            </w:pPr>
          </w:p>
        </w:tc>
      </w:tr>
    </w:tbl>
    <w:p w14:paraId="1D152523">
      <w:pPr>
        <w:spacing w:line="560" w:lineRule="exact"/>
        <w:rPr>
          <w:sz w:val="24"/>
        </w:rPr>
      </w:pPr>
    </w:p>
    <w:p w14:paraId="051CBB5C">
      <w:pPr>
        <w:spacing w:line="560" w:lineRule="exact"/>
        <w:rPr>
          <w:sz w:val="24"/>
        </w:rPr>
      </w:pPr>
    </w:p>
    <w:p w14:paraId="73725754">
      <w:pPr>
        <w:spacing w:line="360" w:lineRule="auto"/>
        <w:ind w:firstLine="3808" w:firstLineChars="1700"/>
        <w:rPr>
          <w:sz w:val="24"/>
        </w:rPr>
      </w:pPr>
      <w:r>
        <w:rPr>
          <w:sz w:val="24"/>
        </w:rPr>
        <w:t>供应商名称：</w:t>
      </w:r>
    </w:p>
    <w:p w14:paraId="4AD41FF3">
      <w:pPr>
        <w:spacing w:line="360" w:lineRule="auto"/>
        <w:ind w:firstLine="3808" w:firstLineChars="1700"/>
        <w:rPr>
          <w:sz w:val="24"/>
        </w:rPr>
      </w:pPr>
    </w:p>
    <w:p w14:paraId="1EC74DC7">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ECBA19C">
      <w:pPr>
        <w:widowControl/>
        <w:jc w:val="left"/>
        <w:rPr>
          <w:sz w:val="24"/>
        </w:rPr>
      </w:pPr>
      <w:r>
        <w:rPr>
          <w:sz w:val="24"/>
        </w:rPr>
        <w:br w:type="page"/>
      </w:r>
      <w:r>
        <w:rPr>
          <w:b/>
          <w:sz w:val="24"/>
        </w:rPr>
        <w:t>附件7</w:t>
      </w:r>
    </w:p>
    <w:p w14:paraId="1CC971CE">
      <w:pPr>
        <w:autoSpaceDE w:val="0"/>
        <w:autoSpaceDN w:val="0"/>
        <w:spacing w:line="480" w:lineRule="auto"/>
        <w:jc w:val="center"/>
        <w:rPr>
          <w:sz w:val="24"/>
          <w:szCs w:val="24"/>
        </w:rPr>
      </w:pPr>
      <w:r>
        <w:rPr>
          <w:b/>
          <w:sz w:val="24"/>
          <w:szCs w:val="24"/>
        </w:rPr>
        <w:t>中小企业声明函（服务）</w:t>
      </w:r>
    </w:p>
    <w:p w14:paraId="5AC96DA1">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5DDD5770">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rPr>
        <w:t>其他</w:t>
      </w:r>
      <w:r>
        <w:rPr>
          <w:sz w:val="24"/>
          <w:szCs w:val="24"/>
          <w:u w:val="single"/>
        </w:rPr>
        <w:t xml:space="preserve">未列明  </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79B84716">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6FFA1736">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5E017832">
      <w:pPr>
        <w:autoSpaceDE w:val="0"/>
        <w:autoSpaceDN w:val="0"/>
        <w:spacing w:line="500" w:lineRule="exact"/>
        <w:ind w:left="3840"/>
        <w:jc w:val="left"/>
        <w:rPr>
          <w:sz w:val="24"/>
          <w:szCs w:val="24"/>
        </w:rPr>
      </w:pPr>
      <w:r>
        <w:rPr>
          <w:sz w:val="24"/>
          <w:szCs w:val="24"/>
        </w:rPr>
        <w:t>投标人名称：</w:t>
      </w:r>
    </w:p>
    <w:p w14:paraId="1FADEB9E">
      <w:pPr>
        <w:autoSpaceDE w:val="0"/>
        <w:autoSpaceDN w:val="0"/>
        <w:spacing w:line="500" w:lineRule="exact"/>
        <w:ind w:left="3840"/>
        <w:jc w:val="left"/>
        <w:rPr>
          <w:sz w:val="32"/>
        </w:rPr>
      </w:pPr>
      <w:r>
        <w:rPr>
          <w:sz w:val="24"/>
          <w:szCs w:val="24"/>
        </w:rPr>
        <w:t>日期：</w:t>
      </w:r>
    </w:p>
    <w:p w14:paraId="19860B3D">
      <w:pPr>
        <w:spacing w:line="360" w:lineRule="auto"/>
        <w:ind w:right="84" w:firstLine="224" w:firstLineChars="100"/>
        <w:rPr>
          <w:b/>
          <w:sz w:val="24"/>
          <w:szCs w:val="24"/>
        </w:rPr>
      </w:pPr>
      <w:r>
        <w:rPr>
          <w:b/>
          <w:sz w:val="24"/>
          <w:szCs w:val="24"/>
        </w:rPr>
        <w:t>注：</w:t>
      </w:r>
    </w:p>
    <w:p w14:paraId="435FF9DE">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17BEBCD3">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57E7A8A6">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079A6323">
      <w:pPr>
        <w:spacing w:line="360" w:lineRule="auto"/>
        <w:ind w:right="84" w:firstLine="224" w:firstLineChars="100"/>
        <w:rPr>
          <w:b/>
          <w:sz w:val="24"/>
          <w:szCs w:val="24"/>
        </w:rPr>
      </w:pPr>
    </w:p>
    <w:p w14:paraId="10E7E6D2">
      <w:pPr>
        <w:tabs>
          <w:tab w:val="left" w:pos="360"/>
        </w:tabs>
        <w:spacing w:line="360" w:lineRule="auto"/>
        <w:rPr>
          <w:b/>
          <w:sz w:val="24"/>
          <w:szCs w:val="24"/>
        </w:rPr>
      </w:pPr>
      <w:r>
        <w:rPr>
          <w:sz w:val="24"/>
          <w:szCs w:val="24"/>
        </w:rPr>
        <w:br w:type="page"/>
      </w:r>
      <w:r>
        <w:rPr>
          <w:b/>
          <w:sz w:val="24"/>
          <w:szCs w:val="24"/>
        </w:rPr>
        <w:t>附件8</w:t>
      </w:r>
    </w:p>
    <w:p w14:paraId="0E96F4DA">
      <w:pPr>
        <w:tabs>
          <w:tab w:val="left" w:pos="360"/>
        </w:tabs>
        <w:spacing w:line="360" w:lineRule="auto"/>
        <w:ind w:firstLine="448" w:firstLineChars="200"/>
        <w:rPr>
          <w:b/>
          <w:sz w:val="24"/>
          <w:szCs w:val="24"/>
        </w:rPr>
      </w:pPr>
    </w:p>
    <w:p w14:paraId="1F70A98B">
      <w:pPr>
        <w:autoSpaceDN w:val="0"/>
        <w:spacing w:line="360" w:lineRule="auto"/>
        <w:jc w:val="left"/>
        <w:rPr>
          <w:b/>
          <w:bCs/>
          <w:sz w:val="24"/>
        </w:rPr>
      </w:pPr>
      <w:r>
        <w:rPr>
          <w:rFonts w:hint="eastAsia"/>
          <w:b/>
          <w:kern w:val="0"/>
          <w:sz w:val="24"/>
          <w:szCs w:val="21"/>
        </w:rPr>
        <w:t>若不是残疾人福利性单位，响应文件中可不提供此声明函</w:t>
      </w:r>
    </w:p>
    <w:p w14:paraId="0674C678">
      <w:pPr>
        <w:autoSpaceDN w:val="0"/>
        <w:spacing w:line="360" w:lineRule="auto"/>
        <w:jc w:val="center"/>
        <w:rPr>
          <w:b/>
          <w:bCs/>
          <w:sz w:val="24"/>
        </w:rPr>
      </w:pPr>
    </w:p>
    <w:p w14:paraId="3138E8E0">
      <w:pPr>
        <w:snapToGrid w:val="0"/>
        <w:spacing w:line="360" w:lineRule="auto"/>
        <w:jc w:val="center"/>
        <w:rPr>
          <w:b/>
          <w:bCs/>
          <w:sz w:val="24"/>
        </w:rPr>
      </w:pPr>
      <w:r>
        <w:rPr>
          <w:rFonts w:hint="eastAsia"/>
          <w:b/>
          <w:bCs/>
          <w:sz w:val="24"/>
        </w:rPr>
        <w:t>残疾人福利性单位声明函</w:t>
      </w:r>
    </w:p>
    <w:p w14:paraId="3DC43219">
      <w:pPr>
        <w:snapToGrid w:val="0"/>
        <w:spacing w:line="360" w:lineRule="auto"/>
        <w:ind w:firstLine="448" w:firstLineChars="200"/>
        <w:jc w:val="left"/>
        <w:rPr>
          <w:b/>
          <w:bCs/>
          <w:sz w:val="24"/>
        </w:rPr>
      </w:pPr>
    </w:p>
    <w:p w14:paraId="4032C4E2">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43ACED7">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229E9508">
      <w:pPr>
        <w:snapToGrid w:val="0"/>
        <w:spacing w:line="360" w:lineRule="auto"/>
        <w:ind w:firstLine="448" w:firstLineChars="200"/>
        <w:jc w:val="left"/>
        <w:rPr>
          <w:bCs/>
          <w:sz w:val="24"/>
        </w:rPr>
      </w:pPr>
    </w:p>
    <w:p w14:paraId="65D28C3C">
      <w:pPr>
        <w:snapToGrid w:val="0"/>
        <w:spacing w:line="360" w:lineRule="auto"/>
        <w:ind w:firstLine="448" w:firstLineChars="200"/>
        <w:jc w:val="left"/>
        <w:rPr>
          <w:bCs/>
          <w:sz w:val="24"/>
        </w:rPr>
      </w:pPr>
    </w:p>
    <w:p w14:paraId="04E99050">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4C0BF179">
      <w:pPr>
        <w:snapToGrid w:val="0"/>
        <w:spacing w:line="360" w:lineRule="auto"/>
        <w:ind w:firstLine="448" w:firstLineChars="200"/>
        <w:jc w:val="left"/>
        <w:rPr>
          <w:bCs/>
          <w:sz w:val="24"/>
        </w:rPr>
      </w:pPr>
    </w:p>
    <w:p w14:paraId="45AA1B30">
      <w:pPr>
        <w:snapToGrid w:val="0"/>
        <w:spacing w:line="360" w:lineRule="auto"/>
        <w:ind w:firstLine="448" w:firstLineChars="200"/>
        <w:jc w:val="left"/>
        <w:rPr>
          <w:sz w:val="24"/>
          <w:szCs w:val="21"/>
        </w:rPr>
      </w:pPr>
      <w:r>
        <w:rPr>
          <w:rFonts w:hint="eastAsia"/>
          <w:bCs/>
          <w:sz w:val="24"/>
        </w:rPr>
        <w:t xml:space="preserve">               日  期：</w:t>
      </w:r>
    </w:p>
    <w:p w14:paraId="5C47DA21">
      <w:pPr>
        <w:snapToGrid w:val="0"/>
        <w:spacing w:line="360" w:lineRule="auto"/>
        <w:ind w:firstLine="448" w:firstLineChars="200"/>
        <w:jc w:val="left"/>
        <w:rPr>
          <w:sz w:val="24"/>
          <w:szCs w:val="21"/>
        </w:rPr>
      </w:pPr>
    </w:p>
    <w:p w14:paraId="2F1E812E">
      <w:pPr>
        <w:snapToGrid w:val="0"/>
        <w:spacing w:line="360" w:lineRule="auto"/>
        <w:ind w:firstLine="448" w:firstLineChars="200"/>
        <w:rPr>
          <w:sz w:val="24"/>
          <w:szCs w:val="21"/>
        </w:rPr>
      </w:pPr>
      <w:r>
        <w:rPr>
          <w:sz w:val="24"/>
          <w:szCs w:val="21"/>
        </w:rPr>
        <w:t>注：</w:t>
      </w:r>
    </w:p>
    <w:p w14:paraId="1D417987">
      <w:pPr>
        <w:snapToGrid w:val="0"/>
        <w:spacing w:line="360" w:lineRule="auto"/>
        <w:ind w:firstLine="448" w:firstLineChars="200"/>
        <w:rPr>
          <w:b/>
          <w:sz w:val="24"/>
          <w:szCs w:val="21"/>
        </w:rPr>
      </w:pPr>
      <w:r>
        <w:rPr>
          <w:b/>
          <w:sz w:val="24"/>
          <w:szCs w:val="21"/>
        </w:rPr>
        <w:t>中标（成交）供应商为残疾人福利性单位的，将随中标（成交）结果同时公告其《残疾人福利性单位声明函》，接受社会监督。</w:t>
      </w:r>
    </w:p>
    <w:p w14:paraId="5F6DAF9D">
      <w:pPr>
        <w:snapToGrid w:val="0"/>
        <w:spacing w:line="360" w:lineRule="auto"/>
        <w:ind w:firstLine="448" w:firstLineChars="200"/>
        <w:rPr>
          <w:b/>
          <w:sz w:val="24"/>
          <w:szCs w:val="21"/>
        </w:rPr>
      </w:pPr>
      <w:r>
        <w:rPr>
          <w:b/>
          <w:kern w:val="0"/>
          <w:sz w:val="24"/>
          <w:szCs w:val="21"/>
        </w:rPr>
        <w:t>若不是残疾人福利性单位，</w:t>
      </w:r>
      <w:r>
        <w:rPr>
          <w:rFonts w:hint="eastAsia"/>
          <w:b/>
          <w:kern w:val="0"/>
          <w:sz w:val="24"/>
          <w:szCs w:val="21"/>
        </w:rPr>
        <w:t>响应</w:t>
      </w:r>
      <w:r>
        <w:rPr>
          <w:b/>
          <w:kern w:val="0"/>
          <w:sz w:val="24"/>
          <w:szCs w:val="21"/>
        </w:rPr>
        <w:t>文件中可不提供此声明函。</w:t>
      </w:r>
    </w:p>
    <w:p w14:paraId="261B44C2">
      <w:pPr>
        <w:snapToGrid w:val="0"/>
        <w:spacing w:line="360" w:lineRule="auto"/>
        <w:ind w:firstLine="448" w:firstLineChars="200"/>
        <w:rPr>
          <w:sz w:val="24"/>
          <w:szCs w:val="21"/>
        </w:rPr>
      </w:pPr>
    </w:p>
    <w:p w14:paraId="7DBD7532">
      <w:pPr>
        <w:tabs>
          <w:tab w:val="left" w:pos="360"/>
        </w:tabs>
        <w:spacing w:line="360" w:lineRule="auto"/>
        <w:ind w:firstLine="448" w:firstLineChars="200"/>
        <w:rPr>
          <w:sz w:val="24"/>
          <w:szCs w:val="24"/>
        </w:rPr>
      </w:pPr>
    </w:p>
    <w:p w14:paraId="1EDA4AFB">
      <w:pPr>
        <w:tabs>
          <w:tab w:val="left" w:pos="360"/>
        </w:tabs>
        <w:spacing w:line="360" w:lineRule="auto"/>
        <w:ind w:firstLine="448" w:firstLineChars="200"/>
        <w:rPr>
          <w:sz w:val="24"/>
          <w:szCs w:val="24"/>
        </w:rPr>
      </w:pPr>
    </w:p>
    <w:p w14:paraId="08C1F77D">
      <w:pPr>
        <w:tabs>
          <w:tab w:val="left" w:pos="360"/>
        </w:tabs>
        <w:spacing w:line="360" w:lineRule="auto"/>
        <w:rPr>
          <w:b/>
          <w:sz w:val="24"/>
          <w:szCs w:val="24"/>
        </w:rPr>
      </w:pPr>
      <w:r>
        <w:rPr>
          <w:b/>
          <w:sz w:val="24"/>
          <w:szCs w:val="24"/>
        </w:rPr>
        <w:br w:type="page"/>
      </w:r>
      <w:r>
        <w:rPr>
          <w:b/>
          <w:sz w:val="24"/>
          <w:szCs w:val="24"/>
        </w:rPr>
        <w:t>附件9</w:t>
      </w:r>
      <w:r>
        <w:rPr>
          <w:b/>
          <w:sz w:val="24"/>
          <w:szCs w:val="21"/>
        </w:rPr>
        <w:t>：投标人认为需要提供的其他材料</w:t>
      </w:r>
    </w:p>
    <w:p w14:paraId="4B6E5A4C">
      <w:pPr>
        <w:spacing w:line="360" w:lineRule="auto"/>
        <w:ind w:right="84" w:firstLine="224" w:firstLineChars="100"/>
        <w:rPr>
          <w:position w:val="-40"/>
          <w:sz w:val="24"/>
          <w:szCs w:val="24"/>
        </w:rPr>
      </w:pPr>
      <w:r>
        <w:rPr>
          <w:sz w:val="24"/>
          <w:szCs w:val="24"/>
        </w:rPr>
        <w:t xml:space="preserve">  </w:t>
      </w:r>
    </w:p>
    <w:p w14:paraId="24357724">
      <w:pPr>
        <w:spacing w:line="460" w:lineRule="exact"/>
        <w:rPr>
          <w:sz w:val="24"/>
        </w:rPr>
      </w:pPr>
    </w:p>
    <w:p w14:paraId="108CF876">
      <w:pPr>
        <w:autoSpaceDE w:val="0"/>
        <w:autoSpaceDN w:val="0"/>
        <w:adjustRightInd w:val="0"/>
        <w:spacing w:line="520" w:lineRule="exact"/>
        <w:rPr>
          <w:b/>
          <w:kern w:val="0"/>
          <w:sz w:val="24"/>
        </w:rPr>
      </w:pPr>
      <w:r>
        <w:rPr>
          <w:b/>
          <w:sz w:val="24"/>
        </w:rPr>
        <w:br w:type="page"/>
      </w:r>
    </w:p>
    <w:p w14:paraId="26F05C12">
      <w:pPr>
        <w:autoSpaceDE w:val="0"/>
        <w:autoSpaceDN w:val="0"/>
        <w:adjustRightInd w:val="0"/>
        <w:spacing w:line="520" w:lineRule="exact"/>
        <w:rPr>
          <w:b/>
          <w:kern w:val="0"/>
          <w:sz w:val="24"/>
        </w:rPr>
      </w:pPr>
      <w:r>
        <w:rPr>
          <w:b/>
          <w:kern w:val="0"/>
          <w:sz w:val="24"/>
        </w:rPr>
        <w:drawing>
          <wp:anchor distT="0" distB="0" distL="114300" distR="114300" simplePos="0" relativeHeight="251663360" behindDoc="0" locked="0" layoutInCell="1" allowOverlap="1">
            <wp:simplePos x="0" y="0"/>
            <wp:positionH relativeFrom="column">
              <wp:posOffset>26670</wp:posOffset>
            </wp:positionH>
            <wp:positionV relativeFrom="paragraph">
              <wp:posOffset>-150495</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48A70DCD">
      <w:pPr>
        <w:autoSpaceDE w:val="0"/>
        <w:autoSpaceDN w:val="0"/>
        <w:adjustRightInd w:val="0"/>
        <w:jc w:val="center"/>
        <w:rPr>
          <w:kern w:val="0"/>
          <w:sz w:val="144"/>
          <w:szCs w:val="144"/>
        </w:rPr>
      </w:pPr>
      <w:r>
        <w:rPr>
          <w:sz w:val="160"/>
          <w:szCs w:val="84"/>
        </w:rPr>
        <w:t>响 应</w:t>
      </w:r>
      <w:r>
        <w:rPr>
          <w:sz w:val="84"/>
          <w:szCs w:val="84"/>
        </w:rPr>
        <w:t xml:space="preserve"> </w:t>
      </w:r>
      <w:r>
        <w:rPr>
          <w:sz w:val="160"/>
          <w:szCs w:val="84"/>
        </w:rPr>
        <w:t>文</w:t>
      </w:r>
      <w:r>
        <w:rPr>
          <w:sz w:val="84"/>
          <w:szCs w:val="84"/>
        </w:rPr>
        <w:t xml:space="preserve"> </w:t>
      </w:r>
      <w:r>
        <w:rPr>
          <w:sz w:val="160"/>
          <w:szCs w:val="84"/>
        </w:rPr>
        <w:t>件</w:t>
      </w:r>
    </w:p>
    <w:p w14:paraId="03EB909D">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75848028">
      <w:pPr>
        <w:autoSpaceDE w:val="0"/>
        <w:autoSpaceDN w:val="0"/>
        <w:adjustRightInd w:val="0"/>
        <w:spacing w:line="520" w:lineRule="exact"/>
        <w:jc w:val="center"/>
        <w:rPr>
          <w:b/>
          <w:kern w:val="0"/>
          <w:sz w:val="36"/>
          <w:szCs w:val="36"/>
        </w:rPr>
      </w:pPr>
    </w:p>
    <w:p w14:paraId="6EA7FE51">
      <w:pPr>
        <w:autoSpaceDE w:val="0"/>
        <w:autoSpaceDN w:val="0"/>
        <w:adjustRightInd w:val="0"/>
        <w:spacing w:line="520" w:lineRule="exact"/>
        <w:jc w:val="center"/>
        <w:rPr>
          <w:b/>
          <w:kern w:val="0"/>
          <w:sz w:val="36"/>
          <w:szCs w:val="36"/>
        </w:rPr>
      </w:pPr>
      <w:r>
        <w:rPr>
          <w:b/>
          <w:kern w:val="0"/>
          <w:sz w:val="36"/>
          <w:szCs w:val="36"/>
        </w:rPr>
        <w:t>第二阶段</w:t>
      </w:r>
    </w:p>
    <w:p w14:paraId="7D275DE8">
      <w:pPr>
        <w:autoSpaceDE w:val="0"/>
        <w:autoSpaceDN w:val="0"/>
        <w:adjustRightInd w:val="0"/>
        <w:spacing w:line="520" w:lineRule="exact"/>
        <w:jc w:val="center"/>
        <w:rPr>
          <w:b/>
          <w:kern w:val="0"/>
          <w:sz w:val="24"/>
        </w:rPr>
      </w:pPr>
    </w:p>
    <w:p w14:paraId="4A19B971">
      <w:pPr>
        <w:spacing w:before="85" w:beforeLines="30" w:after="199" w:afterLines="70" w:line="540" w:lineRule="exact"/>
        <w:ind w:left="582" w:leftChars="300"/>
        <w:rPr>
          <w:b/>
          <w:sz w:val="34"/>
          <w:szCs w:val="34"/>
        </w:rPr>
      </w:pPr>
      <w:r>
        <w:rPr>
          <w:b/>
          <w:sz w:val="34"/>
          <w:szCs w:val="34"/>
        </w:rPr>
        <w:t>项目编号：</w:t>
      </w:r>
    </w:p>
    <w:p w14:paraId="359F02FC">
      <w:pPr>
        <w:spacing w:before="85" w:beforeLines="30" w:after="199" w:afterLines="70" w:line="540" w:lineRule="exact"/>
        <w:ind w:left="2027" w:leftChars="300" w:hanging="1445" w:hangingChars="446"/>
        <w:rPr>
          <w:b/>
          <w:sz w:val="34"/>
          <w:szCs w:val="34"/>
        </w:rPr>
      </w:pPr>
      <w:r>
        <w:rPr>
          <w:b/>
          <w:sz w:val="34"/>
          <w:szCs w:val="34"/>
        </w:rPr>
        <w:t>项目名称：</w:t>
      </w:r>
    </w:p>
    <w:p w14:paraId="43416D3D">
      <w:pPr>
        <w:spacing w:before="85" w:beforeLines="30" w:after="199" w:afterLines="70" w:line="540" w:lineRule="exact"/>
        <w:ind w:left="2027" w:leftChars="300" w:hanging="1445" w:hangingChars="446"/>
        <w:rPr>
          <w:b/>
          <w:sz w:val="34"/>
          <w:szCs w:val="34"/>
        </w:rPr>
      </w:pPr>
      <w:r>
        <w:rPr>
          <w:b/>
          <w:sz w:val="34"/>
          <w:szCs w:val="34"/>
        </w:rPr>
        <w:t>所投包号：</w:t>
      </w:r>
    </w:p>
    <w:p w14:paraId="56061FE7">
      <w:pPr>
        <w:spacing w:before="85" w:beforeLines="30" w:after="199" w:afterLines="70" w:line="540" w:lineRule="exact"/>
        <w:ind w:left="582" w:leftChars="300"/>
        <w:rPr>
          <w:b/>
          <w:sz w:val="34"/>
          <w:szCs w:val="34"/>
        </w:rPr>
      </w:pPr>
      <w:r>
        <w:rPr>
          <w:b/>
          <w:sz w:val="34"/>
          <w:szCs w:val="34"/>
        </w:rPr>
        <w:t>投标单位名称：</w:t>
      </w:r>
    </w:p>
    <w:p w14:paraId="18A8D781">
      <w:pPr>
        <w:spacing w:before="85" w:beforeLines="30" w:after="199" w:afterLines="70" w:line="540" w:lineRule="exact"/>
        <w:ind w:left="582" w:leftChars="300"/>
        <w:rPr>
          <w:b/>
          <w:sz w:val="34"/>
          <w:szCs w:val="34"/>
        </w:rPr>
      </w:pPr>
    </w:p>
    <w:p w14:paraId="0B0232E8">
      <w:pPr>
        <w:spacing w:before="85" w:beforeLines="30" w:after="199" w:afterLines="70" w:line="540" w:lineRule="exact"/>
        <w:ind w:left="582" w:leftChars="300"/>
        <w:rPr>
          <w:b/>
          <w:sz w:val="34"/>
          <w:szCs w:val="34"/>
        </w:rPr>
      </w:pPr>
    </w:p>
    <w:p w14:paraId="0A1C7318">
      <w:pPr>
        <w:spacing w:before="85" w:beforeLines="30" w:after="199" w:afterLines="70" w:line="540" w:lineRule="exact"/>
        <w:ind w:left="582" w:leftChars="300"/>
        <w:rPr>
          <w:b/>
          <w:sz w:val="34"/>
          <w:szCs w:val="34"/>
        </w:rPr>
      </w:pPr>
    </w:p>
    <w:p w14:paraId="023BD4E6">
      <w:pPr>
        <w:spacing w:before="85" w:beforeLines="30" w:after="199" w:afterLines="70" w:line="540" w:lineRule="exact"/>
        <w:ind w:left="582" w:leftChars="300"/>
        <w:rPr>
          <w:b/>
          <w:sz w:val="34"/>
          <w:szCs w:val="34"/>
        </w:rPr>
      </w:pPr>
    </w:p>
    <w:p w14:paraId="1051944C">
      <w:pPr>
        <w:spacing w:line="460" w:lineRule="exact"/>
        <w:ind w:firstLine="648" w:firstLineChars="200"/>
        <w:rPr>
          <w:b/>
          <w:sz w:val="24"/>
        </w:rPr>
      </w:pPr>
      <w:r>
        <w:rPr>
          <w:b/>
          <w:sz w:val="34"/>
          <w:szCs w:val="34"/>
        </w:rPr>
        <w:t>谈判日期：   年   月   日</w:t>
      </w:r>
      <w:r>
        <w:rPr>
          <w:b/>
          <w:bCs/>
          <w:sz w:val="24"/>
        </w:rPr>
        <w:br w:type="page"/>
      </w:r>
    </w:p>
    <w:p w14:paraId="37CE3BF8">
      <w:pPr>
        <w:tabs>
          <w:tab w:val="left" w:pos="360"/>
        </w:tabs>
        <w:spacing w:line="460" w:lineRule="exact"/>
        <w:jc w:val="center"/>
        <w:rPr>
          <w:b/>
          <w:sz w:val="24"/>
        </w:rPr>
      </w:pPr>
      <w:r>
        <w:rPr>
          <w:b/>
          <w:sz w:val="24"/>
        </w:rPr>
        <w:t>报价书</w:t>
      </w:r>
    </w:p>
    <w:p w14:paraId="3FF2AA42">
      <w:pPr>
        <w:tabs>
          <w:tab w:val="left" w:pos="360"/>
        </w:tabs>
        <w:spacing w:line="460" w:lineRule="exact"/>
        <w:jc w:val="center"/>
        <w:rPr>
          <w:b/>
          <w:sz w:val="24"/>
        </w:rPr>
      </w:pPr>
    </w:p>
    <w:p w14:paraId="24F8620A">
      <w:pPr>
        <w:spacing w:line="460" w:lineRule="exact"/>
        <w:rPr>
          <w:sz w:val="24"/>
        </w:rPr>
      </w:pPr>
      <w:r>
        <w:rPr>
          <w:sz w:val="24"/>
        </w:rPr>
        <w:t>致：天津市政府采购中心</w:t>
      </w:r>
    </w:p>
    <w:p w14:paraId="7A8395D4">
      <w:pPr>
        <w:tabs>
          <w:tab w:val="left" w:pos="540"/>
          <w:tab w:val="left" w:pos="720"/>
        </w:tabs>
        <w:spacing w:line="460" w:lineRule="exact"/>
        <w:rPr>
          <w:sz w:val="24"/>
        </w:rPr>
      </w:pPr>
      <w:r>
        <w:rPr>
          <w:sz w:val="24"/>
        </w:rPr>
        <w:t xml:space="preserve">     根据贵方为天津市</w:t>
      </w:r>
      <w:r>
        <w:rPr>
          <w:sz w:val="24"/>
          <w:u w:val="single"/>
        </w:rPr>
        <w:t xml:space="preserve">                      </w:t>
      </w:r>
      <w:r>
        <w:rPr>
          <w:sz w:val="24"/>
        </w:rPr>
        <w:t>项目的竞争性谈判邀请（项目编号：</w:t>
      </w:r>
      <w:r>
        <w:rPr>
          <w:sz w:val="24"/>
          <w:u w:val="single"/>
        </w:rPr>
        <w:t xml:space="preserve">                      </w:t>
      </w:r>
      <w:r>
        <w:rPr>
          <w:sz w:val="24"/>
        </w:rPr>
        <w:t>），</w:t>
      </w:r>
      <w:r>
        <w:rPr>
          <w:rFonts w:hint="eastAsia"/>
          <w:sz w:val="24"/>
        </w:rPr>
        <w:t>授权代表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（投标人名称、地址）提交网上应答及上传加盖电子签章的响应文件。</w:t>
      </w:r>
    </w:p>
    <w:p w14:paraId="78FBA9EC">
      <w:pPr>
        <w:spacing w:line="460" w:lineRule="exact"/>
        <w:rPr>
          <w:sz w:val="24"/>
        </w:rPr>
      </w:pPr>
      <w:r>
        <w:rPr>
          <w:sz w:val="24"/>
        </w:rPr>
        <w:t>据此函，</w:t>
      </w:r>
      <w:r>
        <w:rPr>
          <w:rFonts w:hint="eastAsia"/>
          <w:sz w:val="24"/>
        </w:rPr>
        <w:t>授权代表</w:t>
      </w:r>
      <w:r>
        <w:rPr>
          <w:sz w:val="24"/>
        </w:rPr>
        <w:t>宣布同意如下：</w:t>
      </w:r>
    </w:p>
    <w:p w14:paraId="1CEA2945">
      <w:pPr>
        <w:spacing w:line="460" w:lineRule="exact"/>
        <w:ind w:firstLine="448" w:firstLineChars="200"/>
        <w:jc w:val="left"/>
        <w:rPr>
          <w:sz w:val="24"/>
        </w:rPr>
      </w:pPr>
      <w:r>
        <w:rPr>
          <w:sz w:val="24"/>
        </w:rPr>
        <w:t>1.所附谈判报价表中规定的应提供的服务谈判总价为</w:t>
      </w:r>
    </w:p>
    <w:p w14:paraId="6CBFC6AF">
      <w:pPr>
        <w:spacing w:line="460" w:lineRule="exact"/>
        <w:ind w:firstLine="448" w:firstLineChars="200"/>
        <w:jc w:val="left"/>
        <w:rPr>
          <w:sz w:val="24"/>
        </w:rPr>
      </w:pPr>
      <w:r>
        <w:rPr>
          <w:sz w:val="24"/>
        </w:rPr>
        <w:t>第一包：</w:t>
      </w:r>
    </w:p>
    <w:p w14:paraId="7CF799BA">
      <w:pPr>
        <w:spacing w:line="460" w:lineRule="exact"/>
        <w:ind w:firstLine="448" w:firstLineChars="200"/>
        <w:jc w:val="left"/>
        <w:rPr>
          <w:sz w:val="24"/>
        </w:rPr>
      </w:pPr>
      <w:r>
        <w:rPr>
          <w:sz w:val="24"/>
          <w:u w:val="single"/>
        </w:rPr>
        <w:t xml:space="preserve">         </w:t>
      </w:r>
      <w:r>
        <w:rPr>
          <w:sz w:val="24"/>
        </w:rPr>
        <w:t>元（注明币种）</w:t>
      </w:r>
    </w:p>
    <w:p w14:paraId="5735FC31">
      <w:pPr>
        <w:spacing w:line="460" w:lineRule="exact"/>
        <w:ind w:left="432" w:leftChars="223"/>
        <w:jc w:val="left"/>
        <w:rPr>
          <w:sz w:val="24"/>
        </w:rPr>
      </w:pPr>
      <w:r>
        <w:rPr>
          <w:sz w:val="24"/>
        </w:rPr>
        <w:t>大写</w:t>
      </w:r>
      <w:r>
        <w:rPr>
          <w:sz w:val="24"/>
          <w:u w:val="single"/>
        </w:rPr>
        <w:t xml:space="preserve">                    </w:t>
      </w:r>
      <w:r>
        <w:rPr>
          <w:sz w:val="24"/>
        </w:rPr>
        <w:t>（文字表述）。</w:t>
      </w:r>
    </w:p>
    <w:p w14:paraId="4DED4B3D">
      <w:pPr>
        <w:spacing w:line="460" w:lineRule="exact"/>
        <w:rPr>
          <w:sz w:val="24"/>
        </w:rPr>
      </w:pPr>
      <w:r>
        <w:rPr>
          <w:sz w:val="24"/>
        </w:rPr>
        <w:t xml:space="preserve">    2.投标人已经对全部价格进行了认真核对，保证本报价真实、准确无误，并承担本价格所对应本项目的一切责任和义务。</w:t>
      </w:r>
    </w:p>
    <w:p w14:paraId="31DD73A7">
      <w:pPr>
        <w:spacing w:line="460" w:lineRule="exact"/>
        <w:ind w:firstLine="471"/>
        <w:rPr>
          <w:sz w:val="24"/>
        </w:rPr>
      </w:pPr>
      <w:r>
        <w:rPr>
          <w:sz w:val="24"/>
        </w:rPr>
        <w:t>3.两个阶段响应文件一一对应、不可分割，共同构成我方对本项目的所有承诺。</w:t>
      </w:r>
    </w:p>
    <w:p w14:paraId="79DFCB90">
      <w:pPr>
        <w:spacing w:line="460" w:lineRule="exact"/>
        <w:ind w:firstLine="471"/>
        <w:rPr>
          <w:sz w:val="24"/>
        </w:rPr>
      </w:pPr>
    </w:p>
    <w:p w14:paraId="6619807C">
      <w:pPr>
        <w:spacing w:line="360" w:lineRule="auto"/>
        <w:ind w:firstLine="3808" w:firstLineChars="1700"/>
        <w:rPr>
          <w:sz w:val="24"/>
        </w:rPr>
      </w:pPr>
      <w:r>
        <w:rPr>
          <w:rFonts w:hint="eastAsia"/>
          <w:sz w:val="24"/>
        </w:rPr>
        <w:t>供应商名称：</w:t>
      </w:r>
    </w:p>
    <w:p w14:paraId="051C113F">
      <w:pPr>
        <w:spacing w:line="360" w:lineRule="auto"/>
        <w:ind w:firstLine="3808" w:firstLineChars="1700"/>
        <w:rPr>
          <w:sz w:val="24"/>
        </w:rPr>
      </w:pPr>
    </w:p>
    <w:p w14:paraId="727234BB">
      <w:pPr>
        <w:spacing w:line="360" w:lineRule="auto"/>
        <w:ind w:firstLine="3808" w:firstLineChars="1700"/>
        <w:rPr>
          <w:sz w:val="24"/>
        </w:rPr>
      </w:pPr>
      <w:r>
        <w:rPr>
          <w:rFonts w:hint="eastAsia"/>
          <w:sz w:val="24"/>
        </w:rPr>
        <w:t>日期：</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w:t>
      </w:r>
    </w:p>
    <w:p w14:paraId="32BB9389">
      <w:pPr>
        <w:rPr>
          <w:b/>
          <w:sz w:val="24"/>
        </w:rPr>
      </w:pPr>
      <w:r>
        <w:br w:type="page"/>
      </w:r>
      <w:r>
        <w:rPr>
          <w:b/>
          <w:sz w:val="24"/>
        </w:rPr>
        <w:t>附件1</w:t>
      </w:r>
    </w:p>
    <w:p w14:paraId="37B0E4B1">
      <w:pPr>
        <w:tabs>
          <w:tab w:val="left" w:pos="3780"/>
          <w:tab w:val="left" w:pos="3960"/>
        </w:tabs>
        <w:spacing w:line="460" w:lineRule="exact"/>
        <w:jc w:val="center"/>
        <w:rPr>
          <w:b/>
          <w:sz w:val="24"/>
        </w:rPr>
      </w:pPr>
      <w:r>
        <w:rPr>
          <w:b/>
          <w:sz w:val="24"/>
        </w:rPr>
        <w:t>报价一览表</w:t>
      </w:r>
    </w:p>
    <w:p w14:paraId="0940183B">
      <w:pPr>
        <w:spacing w:line="460" w:lineRule="exact"/>
        <w:rPr>
          <w:b/>
          <w:sz w:val="24"/>
        </w:rPr>
      </w:pPr>
      <w:r>
        <w:rPr>
          <w:b/>
          <w:sz w:val="24"/>
        </w:rPr>
        <w:t xml:space="preserve">  </w:t>
      </w:r>
      <w:r>
        <w:rPr>
          <w:sz w:val="24"/>
        </w:rPr>
        <w:t>项目编号：</w:t>
      </w:r>
      <w:r>
        <w:rPr>
          <w:sz w:val="24"/>
          <w:u w:val="single"/>
        </w:rPr>
        <w:t xml:space="preserve">                    </w:t>
      </w:r>
      <w:r>
        <w:rPr>
          <w:sz w:val="24"/>
        </w:rPr>
        <w:t xml:space="preserve">      </w:t>
      </w:r>
      <w:r>
        <w:rPr>
          <w:b/>
          <w:sz w:val="24"/>
        </w:rPr>
        <w:t xml:space="preserve">            </w:t>
      </w:r>
    </w:p>
    <w:p w14:paraId="27394206">
      <w:pPr>
        <w:spacing w:line="460" w:lineRule="exact"/>
        <w:rPr>
          <w:b/>
          <w:sz w:val="24"/>
        </w:rPr>
      </w:pPr>
      <w:r>
        <w:rPr>
          <w:b/>
          <w:sz w:val="24"/>
        </w:rPr>
        <w:t xml:space="preserve">  </w:t>
      </w:r>
      <w:r>
        <w:rPr>
          <w:sz w:val="24"/>
        </w:rPr>
        <w:t>项目名称：__________</w:t>
      </w:r>
      <w:r>
        <w:rPr>
          <w:sz w:val="24"/>
          <w:u w:val="single"/>
        </w:rPr>
        <w:t>___  __</w:t>
      </w:r>
      <w:r>
        <w:rPr>
          <w:sz w:val="24"/>
        </w:rPr>
        <w:t>_</w:t>
      </w:r>
      <w:r>
        <w:rPr>
          <w:b/>
          <w:sz w:val="24"/>
        </w:rPr>
        <w:t xml:space="preserve">                  </w:t>
      </w:r>
    </w:p>
    <w:p w14:paraId="43CC5FB8">
      <w:pPr>
        <w:spacing w:line="460" w:lineRule="exact"/>
        <w:rPr>
          <w:sz w:val="24"/>
        </w:rPr>
      </w:pPr>
      <w:r>
        <w:rPr>
          <w:sz w:val="24"/>
        </w:rPr>
        <w:t xml:space="preserve">  包号：</w:t>
      </w:r>
      <w:r>
        <w:rPr>
          <w:sz w:val="24"/>
          <w:u w:val="single"/>
        </w:rPr>
        <w:t xml:space="preserve">                        </w:t>
      </w:r>
    </w:p>
    <w:p w14:paraId="31FF21C4">
      <w:pPr>
        <w:spacing w:line="460" w:lineRule="exact"/>
        <w:rPr>
          <w:b/>
          <w:sz w:val="24"/>
        </w:rPr>
      </w:pPr>
      <w:r>
        <w:rPr>
          <w:sz w:val="24"/>
        </w:rPr>
        <w:t xml:space="preserve">                                                            单位：元</w:t>
      </w:r>
      <w:r>
        <w:rPr>
          <w:b/>
          <w:sz w:val="24"/>
        </w:rPr>
        <w:t xml:space="preserve"> </w:t>
      </w:r>
    </w:p>
    <w:tbl>
      <w:tblPr>
        <w:tblStyle w:val="15"/>
        <w:tblW w:w="52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2651"/>
        <w:gridCol w:w="1373"/>
        <w:gridCol w:w="2052"/>
        <w:gridCol w:w="1677"/>
      </w:tblGrid>
      <w:tr w14:paraId="1C94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7EA53899">
            <w:pPr>
              <w:spacing w:line="460" w:lineRule="exact"/>
              <w:jc w:val="center"/>
              <w:rPr>
                <w:sz w:val="24"/>
              </w:rPr>
            </w:pPr>
            <w:r>
              <w:rPr>
                <w:sz w:val="24"/>
              </w:rPr>
              <w:t>包号</w:t>
            </w:r>
          </w:p>
        </w:tc>
        <w:tc>
          <w:tcPr>
            <w:tcW w:w="1473" w:type="pct"/>
            <w:vAlign w:val="center"/>
          </w:tcPr>
          <w:p w14:paraId="1630F3EF">
            <w:pPr>
              <w:spacing w:line="460" w:lineRule="exact"/>
              <w:jc w:val="center"/>
              <w:rPr>
                <w:sz w:val="24"/>
              </w:rPr>
            </w:pPr>
            <w:r>
              <w:rPr>
                <w:sz w:val="24"/>
              </w:rPr>
              <w:t>服务名称</w:t>
            </w:r>
          </w:p>
        </w:tc>
        <w:tc>
          <w:tcPr>
            <w:tcW w:w="763" w:type="pct"/>
            <w:vAlign w:val="center"/>
          </w:tcPr>
          <w:p w14:paraId="02E1539D">
            <w:pPr>
              <w:spacing w:line="460" w:lineRule="exact"/>
              <w:jc w:val="center"/>
              <w:rPr>
                <w:sz w:val="24"/>
              </w:rPr>
            </w:pPr>
            <w:r>
              <w:rPr>
                <w:sz w:val="24"/>
              </w:rPr>
              <w:t>数量</w:t>
            </w:r>
          </w:p>
        </w:tc>
        <w:tc>
          <w:tcPr>
            <w:tcW w:w="1140" w:type="pct"/>
            <w:vAlign w:val="center"/>
          </w:tcPr>
          <w:p w14:paraId="13ABE94B">
            <w:pPr>
              <w:spacing w:line="460" w:lineRule="exact"/>
              <w:jc w:val="center"/>
              <w:rPr>
                <w:sz w:val="24"/>
              </w:rPr>
            </w:pPr>
            <w:r>
              <w:rPr>
                <w:sz w:val="24"/>
              </w:rPr>
              <w:t>投标总价</w:t>
            </w:r>
          </w:p>
        </w:tc>
        <w:tc>
          <w:tcPr>
            <w:tcW w:w="932" w:type="pct"/>
            <w:vAlign w:val="center"/>
          </w:tcPr>
          <w:p w14:paraId="041B0D79">
            <w:pPr>
              <w:spacing w:line="460" w:lineRule="exact"/>
              <w:jc w:val="center"/>
              <w:rPr>
                <w:sz w:val="24"/>
              </w:rPr>
            </w:pPr>
            <w:r>
              <w:rPr>
                <w:sz w:val="24"/>
              </w:rPr>
              <w:t>备注</w:t>
            </w:r>
          </w:p>
        </w:tc>
      </w:tr>
      <w:tr w14:paraId="01DE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407D951E">
            <w:pPr>
              <w:spacing w:line="460" w:lineRule="exact"/>
              <w:jc w:val="center"/>
              <w:rPr>
                <w:szCs w:val="21"/>
              </w:rPr>
            </w:pPr>
          </w:p>
        </w:tc>
        <w:tc>
          <w:tcPr>
            <w:tcW w:w="1473" w:type="pct"/>
            <w:vAlign w:val="center"/>
          </w:tcPr>
          <w:p w14:paraId="7E5DEB38">
            <w:pPr>
              <w:spacing w:line="460" w:lineRule="exact"/>
              <w:jc w:val="center"/>
              <w:rPr>
                <w:szCs w:val="21"/>
              </w:rPr>
            </w:pPr>
          </w:p>
        </w:tc>
        <w:tc>
          <w:tcPr>
            <w:tcW w:w="763" w:type="pct"/>
            <w:vAlign w:val="center"/>
          </w:tcPr>
          <w:p w14:paraId="32F41FC4">
            <w:pPr>
              <w:spacing w:line="460" w:lineRule="exact"/>
              <w:jc w:val="center"/>
              <w:rPr>
                <w:szCs w:val="21"/>
              </w:rPr>
            </w:pPr>
          </w:p>
        </w:tc>
        <w:tc>
          <w:tcPr>
            <w:tcW w:w="1140" w:type="pct"/>
            <w:vAlign w:val="center"/>
          </w:tcPr>
          <w:p w14:paraId="0D2ED077">
            <w:pPr>
              <w:spacing w:line="460" w:lineRule="exact"/>
              <w:jc w:val="center"/>
              <w:rPr>
                <w:szCs w:val="21"/>
              </w:rPr>
            </w:pPr>
          </w:p>
        </w:tc>
        <w:tc>
          <w:tcPr>
            <w:tcW w:w="932" w:type="pct"/>
            <w:vAlign w:val="center"/>
          </w:tcPr>
          <w:p w14:paraId="427B66DB">
            <w:pPr>
              <w:spacing w:line="460" w:lineRule="exact"/>
              <w:jc w:val="center"/>
              <w:rPr>
                <w:szCs w:val="21"/>
              </w:rPr>
            </w:pPr>
          </w:p>
        </w:tc>
      </w:tr>
      <w:tr w14:paraId="3439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56B959C0">
            <w:pPr>
              <w:spacing w:line="460" w:lineRule="exact"/>
              <w:jc w:val="center"/>
              <w:rPr>
                <w:sz w:val="24"/>
              </w:rPr>
            </w:pPr>
          </w:p>
        </w:tc>
        <w:tc>
          <w:tcPr>
            <w:tcW w:w="1473" w:type="pct"/>
            <w:vAlign w:val="center"/>
          </w:tcPr>
          <w:p w14:paraId="03398C3C">
            <w:pPr>
              <w:spacing w:line="460" w:lineRule="exact"/>
              <w:jc w:val="center"/>
              <w:rPr>
                <w:sz w:val="24"/>
              </w:rPr>
            </w:pPr>
          </w:p>
        </w:tc>
        <w:tc>
          <w:tcPr>
            <w:tcW w:w="763" w:type="pct"/>
            <w:vAlign w:val="center"/>
          </w:tcPr>
          <w:p w14:paraId="0AD886A2">
            <w:pPr>
              <w:spacing w:line="460" w:lineRule="exact"/>
              <w:jc w:val="center"/>
              <w:rPr>
                <w:sz w:val="24"/>
              </w:rPr>
            </w:pPr>
          </w:p>
        </w:tc>
        <w:tc>
          <w:tcPr>
            <w:tcW w:w="1140" w:type="pct"/>
            <w:vAlign w:val="center"/>
          </w:tcPr>
          <w:p w14:paraId="4C70400D">
            <w:pPr>
              <w:spacing w:line="460" w:lineRule="exact"/>
              <w:jc w:val="center"/>
              <w:rPr>
                <w:sz w:val="24"/>
              </w:rPr>
            </w:pPr>
          </w:p>
        </w:tc>
        <w:tc>
          <w:tcPr>
            <w:tcW w:w="932" w:type="pct"/>
            <w:vAlign w:val="center"/>
          </w:tcPr>
          <w:p w14:paraId="1DBD7463">
            <w:pPr>
              <w:spacing w:line="460" w:lineRule="exact"/>
              <w:jc w:val="center"/>
              <w:rPr>
                <w:sz w:val="24"/>
              </w:rPr>
            </w:pPr>
          </w:p>
        </w:tc>
      </w:tr>
      <w:tr w14:paraId="7F2B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2" w:type="pct"/>
            <w:vAlign w:val="center"/>
          </w:tcPr>
          <w:p w14:paraId="12EB6DE2">
            <w:pPr>
              <w:spacing w:line="460" w:lineRule="exact"/>
              <w:jc w:val="center"/>
              <w:rPr>
                <w:sz w:val="24"/>
              </w:rPr>
            </w:pPr>
          </w:p>
        </w:tc>
        <w:tc>
          <w:tcPr>
            <w:tcW w:w="1473" w:type="pct"/>
            <w:vAlign w:val="center"/>
          </w:tcPr>
          <w:p w14:paraId="3F523D80">
            <w:pPr>
              <w:spacing w:line="460" w:lineRule="exact"/>
              <w:jc w:val="center"/>
              <w:rPr>
                <w:sz w:val="24"/>
              </w:rPr>
            </w:pPr>
          </w:p>
        </w:tc>
        <w:tc>
          <w:tcPr>
            <w:tcW w:w="763" w:type="pct"/>
            <w:vAlign w:val="center"/>
          </w:tcPr>
          <w:p w14:paraId="431ED331">
            <w:pPr>
              <w:spacing w:line="460" w:lineRule="exact"/>
              <w:jc w:val="center"/>
              <w:rPr>
                <w:sz w:val="24"/>
              </w:rPr>
            </w:pPr>
          </w:p>
        </w:tc>
        <w:tc>
          <w:tcPr>
            <w:tcW w:w="1140" w:type="pct"/>
            <w:vAlign w:val="center"/>
          </w:tcPr>
          <w:p w14:paraId="7AD80674">
            <w:pPr>
              <w:spacing w:line="460" w:lineRule="exact"/>
              <w:jc w:val="center"/>
              <w:rPr>
                <w:sz w:val="24"/>
              </w:rPr>
            </w:pPr>
          </w:p>
        </w:tc>
        <w:tc>
          <w:tcPr>
            <w:tcW w:w="932" w:type="pct"/>
            <w:vAlign w:val="center"/>
          </w:tcPr>
          <w:p w14:paraId="7C14DCC4">
            <w:pPr>
              <w:spacing w:line="460" w:lineRule="exact"/>
              <w:jc w:val="center"/>
              <w:rPr>
                <w:sz w:val="24"/>
              </w:rPr>
            </w:pPr>
          </w:p>
        </w:tc>
      </w:tr>
      <w:tr w14:paraId="34A0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001F2EA6">
            <w:pPr>
              <w:spacing w:line="460" w:lineRule="exact"/>
              <w:jc w:val="center"/>
              <w:rPr>
                <w:sz w:val="24"/>
              </w:rPr>
            </w:pPr>
          </w:p>
        </w:tc>
        <w:tc>
          <w:tcPr>
            <w:tcW w:w="1473" w:type="pct"/>
            <w:vAlign w:val="center"/>
          </w:tcPr>
          <w:p w14:paraId="34942C6A">
            <w:pPr>
              <w:spacing w:line="460" w:lineRule="exact"/>
              <w:jc w:val="center"/>
              <w:rPr>
                <w:sz w:val="24"/>
              </w:rPr>
            </w:pPr>
          </w:p>
        </w:tc>
        <w:tc>
          <w:tcPr>
            <w:tcW w:w="763" w:type="pct"/>
            <w:vAlign w:val="center"/>
          </w:tcPr>
          <w:p w14:paraId="7E8877D4">
            <w:pPr>
              <w:spacing w:line="460" w:lineRule="exact"/>
              <w:jc w:val="center"/>
              <w:rPr>
                <w:sz w:val="24"/>
              </w:rPr>
            </w:pPr>
          </w:p>
        </w:tc>
        <w:tc>
          <w:tcPr>
            <w:tcW w:w="1140" w:type="pct"/>
            <w:vAlign w:val="center"/>
          </w:tcPr>
          <w:p w14:paraId="3E9EBA9D">
            <w:pPr>
              <w:spacing w:line="460" w:lineRule="exact"/>
              <w:jc w:val="center"/>
              <w:rPr>
                <w:sz w:val="24"/>
              </w:rPr>
            </w:pPr>
          </w:p>
        </w:tc>
        <w:tc>
          <w:tcPr>
            <w:tcW w:w="932" w:type="pct"/>
            <w:vAlign w:val="center"/>
          </w:tcPr>
          <w:p w14:paraId="4201F969">
            <w:pPr>
              <w:spacing w:line="460" w:lineRule="exact"/>
              <w:jc w:val="center"/>
              <w:rPr>
                <w:sz w:val="24"/>
              </w:rPr>
            </w:pPr>
          </w:p>
        </w:tc>
      </w:tr>
      <w:tr w14:paraId="08C0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737456EA">
            <w:pPr>
              <w:spacing w:line="460" w:lineRule="exact"/>
              <w:jc w:val="center"/>
              <w:rPr>
                <w:sz w:val="24"/>
              </w:rPr>
            </w:pPr>
          </w:p>
        </w:tc>
        <w:tc>
          <w:tcPr>
            <w:tcW w:w="1473" w:type="pct"/>
            <w:vAlign w:val="center"/>
          </w:tcPr>
          <w:p w14:paraId="692B4323">
            <w:pPr>
              <w:spacing w:line="460" w:lineRule="exact"/>
              <w:jc w:val="center"/>
              <w:rPr>
                <w:sz w:val="24"/>
              </w:rPr>
            </w:pPr>
          </w:p>
        </w:tc>
        <w:tc>
          <w:tcPr>
            <w:tcW w:w="763" w:type="pct"/>
            <w:vAlign w:val="center"/>
          </w:tcPr>
          <w:p w14:paraId="792FA20E">
            <w:pPr>
              <w:spacing w:line="460" w:lineRule="exact"/>
              <w:jc w:val="center"/>
              <w:rPr>
                <w:sz w:val="24"/>
              </w:rPr>
            </w:pPr>
          </w:p>
        </w:tc>
        <w:tc>
          <w:tcPr>
            <w:tcW w:w="1140" w:type="pct"/>
            <w:vAlign w:val="center"/>
          </w:tcPr>
          <w:p w14:paraId="2F5E92EE">
            <w:pPr>
              <w:spacing w:line="460" w:lineRule="exact"/>
              <w:jc w:val="center"/>
              <w:rPr>
                <w:sz w:val="24"/>
              </w:rPr>
            </w:pPr>
          </w:p>
        </w:tc>
        <w:tc>
          <w:tcPr>
            <w:tcW w:w="932" w:type="pct"/>
            <w:vAlign w:val="center"/>
          </w:tcPr>
          <w:p w14:paraId="5FB1CE05">
            <w:pPr>
              <w:spacing w:line="460" w:lineRule="exact"/>
              <w:jc w:val="center"/>
              <w:rPr>
                <w:sz w:val="24"/>
              </w:rPr>
            </w:pPr>
          </w:p>
        </w:tc>
      </w:tr>
      <w:tr w14:paraId="35B9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40C95ABD">
            <w:pPr>
              <w:spacing w:line="460" w:lineRule="exact"/>
              <w:jc w:val="center"/>
              <w:rPr>
                <w:sz w:val="24"/>
              </w:rPr>
            </w:pPr>
          </w:p>
        </w:tc>
        <w:tc>
          <w:tcPr>
            <w:tcW w:w="1473" w:type="pct"/>
            <w:vAlign w:val="center"/>
          </w:tcPr>
          <w:p w14:paraId="136ACBAF">
            <w:pPr>
              <w:spacing w:line="460" w:lineRule="exact"/>
              <w:jc w:val="center"/>
              <w:rPr>
                <w:sz w:val="24"/>
              </w:rPr>
            </w:pPr>
          </w:p>
        </w:tc>
        <w:tc>
          <w:tcPr>
            <w:tcW w:w="763" w:type="pct"/>
            <w:vAlign w:val="center"/>
          </w:tcPr>
          <w:p w14:paraId="10265B05">
            <w:pPr>
              <w:spacing w:line="460" w:lineRule="exact"/>
              <w:jc w:val="center"/>
              <w:rPr>
                <w:sz w:val="24"/>
              </w:rPr>
            </w:pPr>
          </w:p>
        </w:tc>
        <w:tc>
          <w:tcPr>
            <w:tcW w:w="1140" w:type="pct"/>
            <w:vAlign w:val="center"/>
          </w:tcPr>
          <w:p w14:paraId="2E8D4360">
            <w:pPr>
              <w:spacing w:line="460" w:lineRule="exact"/>
              <w:jc w:val="center"/>
              <w:rPr>
                <w:sz w:val="24"/>
              </w:rPr>
            </w:pPr>
          </w:p>
        </w:tc>
        <w:tc>
          <w:tcPr>
            <w:tcW w:w="932" w:type="pct"/>
            <w:vAlign w:val="center"/>
          </w:tcPr>
          <w:p w14:paraId="15902B5B">
            <w:pPr>
              <w:spacing w:line="460" w:lineRule="exact"/>
              <w:jc w:val="center"/>
              <w:rPr>
                <w:sz w:val="24"/>
              </w:rPr>
            </w:pPr>
          </w:p>
        </w:tc>
      </w:tr>
      <w:tr w14:paraId="124C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2" w:type="pct"/>
            <w:vAlign w:val="center"/>
          </w:tcPr>
          <w:p w14:paraId="4E71F74C">
            <w:pPr>
              <w:spacing w:line="460" w:lineRule="exact"/>
              <w:jc w:val="center"/>
              <w:rPr>
                <w:sz w:val="24"/>
              </w:rPr>
            </w:pPr>
          </w:p>
        </w:tc>
        <w:tc>
          <w:tcPr>
            <w:tcW w:w="1473" w:type="pct"/>
            <w:vAlign w:val="center"/>
          </w:tcPr>
          <w:p w14:paraId="64561ACA">
            <w:pPr>
              <w:spacing w:line="460" w:lineRule="exact"/>
              <w:jc w:val="center"/>
              <w:rPr>
                <w:sz w:val="24"/>
              </w:rPr>
            </w:pPr>
          </w:p>
        </w:tc>
        <w:tc>
          <w:tcPr>
            <w:tcW w:w="763" w:type="pct"/>
            <w:vAlign w:val="center"/>
          </w:tcPr>
          <w:p w14:paraId="5F3EA793">
            <w:pPr>
              <w:spacing w:line="460" w:lineRule="exact"/>
              <w:jc w:val="center"/>
              <w:rPr>
                <w:sz w:val="24"/>
              </w:rPr>
            </w:pPr>
          </w:p>
        </w:tc>
        <w:tc>
          <w:tcPr>
            <w:tcW w:w="1140" w:type="pct"/>
            <w:vAlign w:val="center"/>
          </w:tcPr>
          <w:p w14:paraId="2AF9CE97">
            <w:pPr>
              <w:spacing w:line="460" w:lineRule="exact"/>
              <w:jc w:val="center"/>
              <w:rPr>
                <w:sz w:val="24"/>
              </w:rPr>
            </w:pPr>
          </w:p>
        </w:tc>
        <w:tc>
          <w:tcPr>
            <w:tcW w:w="932" w:type="pct"/>
            <w:vAlign w:val="center"/>
          </w:tcPr>
          <w:p w14:paraId="68D70DBD">
            <w:pPr>
              <w:spacing w:line="460" w:lineRule="exact"/>
              <w:jc w:val="center"/>
              <w:rPr>
                <w:sz w:val="24"/>
              </w:rPr>
            </w:pPr>
          </w:p>
        </w:tc>
      </w:tr>
      <w:tr w14:paraId="4E68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0F11F9CD">
            <w:pPr>
              <w:spacing w:line="460" w:lineRule="exact"/>
              <w:jc w:val="center"/>
              <w:rPr>
                <w:sz w:val="24"/>
              </w:rPr>
            </w:pPr>
          </w:p>
        </w:tc>
        <w:tc>
          <w:tcPr>
            <w:tcW w:w="1473" w:type="pct"/>
            <w:vAlign w:val="center"/>
          </w:tcPr>
          <w:p w14:paraId="1CE0A6AA">
            <w:pPr>
              <w:spacing w:line="460" w:lineRule="exact"/>
              <w:jc w:val="center"/>
              <w:rPr>
                <w:sz w:val="24"/>
              </w:rPr>
            </w:pPr>
          </w:p>
        </w:tc>
        <w:tc>
          <w:tcPr>
            <w:tcW w:w="763" w:type="pct"/>
            <w:vAlign w:val="center"/>
          </w:tcPr>
          <w:p w14:paraId="516C89FD">
            <w:pPr>
              <w:spacing w:line="460" w:lineRule="exact"/>
              <w:jc w:val="center"/>
              <w:rPr>
                <w:sz w:val="24"/>
              </w:rPr>
            </w:pPr>
          </w:p>
        </w:tc>
        <w:tc>
          <w:tcPr>
            <w:tcW w:w="1140" w:type="pct"/>
            <w:vAlign w:val="center"/>
          </w:tcPr>
          <w:p w14:paraId="027B9987">
            <w:pPr>
              <w:spacing w:line="460" w:lineRule="exact"/>
              <w:jc w:val="center"/>
              <w:rPr>
                <w:sz w:val="24"/>
              </w:rPr>
            </w:pPr>
          </w:p>
        </w:tc>
        <w:tc>
          <w:tcPr>
            <w:tcW w:w="932" w:type="pct"/>
            <w:vAlign w:val="center"/>
          </w:tcPr>
          <w:p w14:paraId="23046322">
            <w:pPr>
              <w:spacing w:line="460" w:lineRule="exact"/>
              <w:jc w:val="center"/>
              <w:rPr>
                <w:sz w:val="24"/>
              </w:rPr>
            </w:pPr>
          </w:p>
        </w:tc>
      </w:tr>
      <w:tr w14:paraId="2505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72F7729A">
            <w:pPr>
              <w:spacing w:line="460" w:lineRule="exact"/>
              <w:jc w:val="center"/>
              <w:rPr>
                <w:sz w:val="24"/>
              </w:rPr>
            </w:pPr>
          </w:p>
        </w:tc>
        <w:tc>
          <w:tcPr>
            <w:tcW w:w="1473" w:type="pct"/>
            <w:vAlign w:val="center"/>
          </w:tcPr>
          <w:p w14:paraId="398E443C">
            <w:pPr>
              <w:spacing w:line="460" w:lineRule="exact"/>
              <w:jc w:val="center"/>
              <w:rPr>
                <w:sz w:val="24"/>
              </w:rPr>
            </w:pPr>
          </w:p>
        </w:tc>
        <w:tc>
          <w:tcPr>
            <w:tcW w:w="763" w:type="pct"/>
            <w:vAlign w:val="center"/>
          </w:tcPr>
          <w:p w14:paraId="377380C1">
            <w:pPr>
              <w:spacing w:line="460" w:lineRule="exact"/>
              <w:jc w:val="center"/>
              <w:rPr>
                <w:sz w:val="24"/>
              </w:rPr>
            </w:pPr>
          </w:p>
        </w:tc>
        <w:tc>
          <w:tcPr>
            <w:tcW w:w="1140" w:type="pct"/>
            <w:vAlign w:val="center"/>
          </w:tcPr>
          <w:p w14:paraId="7DAA8FBC">
            <w:pPr>
              <w:spacing w:line="460" w:lineRule="exact"/>
              <w:jc w:val="center"/>
              <w:rPr>
                <w:sz w:val="24"/>
              </w:rPr>
            </w:pPr>
          </w:p>
        </w:tc>
        <w:tc>
          <w:tcPr>
            <w:tcW w:w="932" w:type="pct"/>
            <w:vAlign w:val="center"/>
          </w:tcPr>
          <w:p w14:paraId="0421AE46">
            <w:pPr>
              <w:spacing w:line="460" w:lineRule="exact"/>
              <w:jc w:val="center"/>
              <w:rPr>
                <w:sz w:val="24"/>
              </w:rPr>
            </w:pPr>
          </w:p>
        </w:tc>
      </w:tr>
      <w:tr w14:paraId="6EF4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41B2D6D2">
            <w:pPr>
              <w:spacing w:line="460" w:lineRule="exact"/>
              <w:jc w:val="center"/>
              <w:rPr>
                <w:sz w:val="24"/>
              </w:rPr>
            </w:pPr>
          </w:p>
        </w:tc>
        <w:tc>
          <w:tcPr>
            <w:tcW w:w="1473" w:type="pct"/>
            <w:vAlign w:val="center"/>
          </w:tcPr>
          <w:p w14:paraId="431F3466">
            <w:pPr>
              <w:spacing w:line="460" w:lineRule="exact"/>
              <w:jc w:val="center"/>
              <w:rPr>
                <w:sz w:val="24"/>
              </w:rPr>
            </w:pPr>
          </w:p>
        </w:tc>
        <w:tc>
          <w:tcPr>
            <w:tcW w:w="763" w:type="pct"/>
            <w:vAlign w:val="center"/>
          </w:tcPr>
          <w:p w14:paraId="58CA8A5B">
            <w:pPr>
              <w:spacing w:line="460" w:lineRule="exact"/>
              <w:jc w:val="center"/>
              <w:rPr>
                <w:sz w:val="24"/>
              </w:rPr>
            </w:pPr>
          </w:p>
        </w:tc>
        <w:tc>
          <w:tcPr>
            <w:tcW w:w="1140" w:type="pct"/>
            <w:vAlign w:val="center"/>
          </w:tcPr>
          <w:p w14:paraId="4E1445B4">
            <w:pPr>
              <w:spacing w:line="460" w:lineRule="exact"/>
              <w:jc w:val="center"/>
              <w:rPr>
                <w:sz w:val="24"/>
              </w:rPr>
            </w:pPr>
          </w:p>
        </w:tc>
        <w:tc>
          <w:tcPr>
            <w:tcW w:w="932" w:type="pct"/>
            <w:vAlign w:val="center"/>
          </w:tcPr>
          <w:p w14:paraId="2E11C1BF">
            <w:pPr>
              <w:spacing w:line="460" w:lineRule="exact"/>
              <w:jc w:val="center"/>
              <w:rPr>
                <w:sz w:val="24"/>
              </w:rPr>
            </w:pPr>
          </w:p>
        </w:tc>
      </w:tr>
      <w:tr w14:paraId="4E8E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2" w:type="pct"/>
            <w:vAlign w:val="center"/>
          </w:tcPr>
          <w:p w14:paraId="64ED7CAB">
            <w:pPr>
              <w:spacing w:line="460" w:lineRule="exact"/>
              <w:jc w:val="center"/>
              <w:rPr>
                <w:sz w:val="24"/>
              </w:rPr>
            </w:pPr>
          </w:p>
        </w:tc>
        <w:tc>
          <w:tcPr>
            <w:tcW w:w="1473" w:type="pct"/>
            <w:vAlign w:val="center"/>
          </w:tcPr>
          <w:p w14:paraId="060711C6">
            <w:pPr>
              <w:spacing w:line="460" w:lineRule="exact"/>
              <w:jc w:val="center"/>
              <w:rPr>
                <w:sz w:val="24"/>
              </w:rPr>
            </w:pPr>
          </w:p>
        </w:tc>
        <w:tc>
          <w:tcPr>
            <w:tcW w:w="763" w:type="pct"/>
            <w:vAlign w:val="center"/>
          </w:tcPr>
          <w:p w14:paraId="1833251D">
            <w:pPr>
              <w:spacing w:line="460" w:lineRule="exact"/>
              <w:jc w:val="center"/>
              <w:rPr>
                <w:sz w:val="24"/>
              </w:rPr>
            </w:pPr>
          </w:p>
        </w:tc>
        <w:tc>
          <w:tcPr>
            <w:tcW w:w="1140" w:type="pct"/>
            <w:vAlign w:val="center"/>
          </w:tcPr>
          <w:p w14:paraId="22EAF568">
            <w:pPr>
              <w:spacing w:line="460" w:lineRule="exact"/>
              <w:jc w:val="center"/>
              <w:rPr>
                <w:sz w:val="24"/>
              </w:rPr>
            </w:pPr>
          </w:p>
        </w:tc>
        <w:tc>
          <w:tcPr>
            <w:tcW w:w="932" w:type="pct"/>
            <w:vAlign w:val="center"/>
          </w:tcPr>
          <w:p w14:paraId="0081CF51">
            <w:pPr>
              <w:spacing w:line="460" w:lineRule="exact"/>
              <w:jc w:val="center"/>
              <w:rPr>
                <w:sz w:val="24"/>
              </w:rPr>
            </w:pPr>
          </w:p>
        </w:tc>
      </w:tr>
      <w:tr w14:paraId="3835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Align w:val="center"/>
          </w:tcPr>
          <w:p w14:paraId="5CF1AD80">
            <w:pPr>
              <w:spacing w:line="460" w:lineRule="exact"/>
              <w:jc w:val="center"/>
              <w:rPr>
                <w:sz w:val="24"/>
              </w:rPr>
            </w:pPr>
          </w:p>
        </w:tc>
        <w:tc>
          <w:tcPr>
            <w:tcW w:w="1473" w:type="pct"/>
            <w:vAlign w:val="center"/>
          </w:tcPr>
          <w:p w14:paraId="18F9A354">
            <w:pPr>
              <w:spacing w:line="460" w:lineRule="exact"/>
              <w:jc w:val="center"/>
              <w:rPr>
                <w:sz w:val="24"/>
              </w:rPr>
            </w:pPr>
          </w:p>
        </w:tc>
        <w:tc>
          <w:tcPr>
            <w:tcW w:w="763" w:type="pct"/>
            <w:vAlign w:val="center"/>
          </w:tcPr>
          <w:p w14:paraId="344C3443">
            <w:pPr>
              <w:spacing w:line="460" w:lineRule="exact"/>
              <w:jc w:val="center"/>
              <w:rPr>
                <w:sz w:val="24"/>
              </w:rPr>
            </w:pPr>
          </w:p>
        </w:tc>
        <w:tc>
          <w:tcPr>
            <w:tcW w:w="1140" w:type="pct"/>
            <w:vAlign w:val="center"/>
          </w:tcPr>
          <w:p w14:paraId="6A524323">
            <w:pPr>
              <w:spacing w:line="460" w:lineRule="exact"/>
              <w:jc w:val="center"/>
              <w:rPr>
                <w:sz w:val="24"/>
              </w:rPr>
            </w:pPr>
          </w:p>
        </w:tc>
        <w:tc>
          <w:tcPr>
            <w:tcW w:w="932" w:type="pct"/>
            <w:vAlign w:val="center"/>
          </w:tcPr>
          <w:p w14:paraId="6189EA49">
            <w:pPr>
              <w:spacing w:line="460" w:lineRule="exact"/>
              <w:jc w:val="center"/>
              <w:rPr>
                <w:sz w:val="24"/>
              </w:rPr>
            </w:pPr>
          </w:p>
        </w:tc>
      </w:tr>
    </w:tbl>
    <w:p w14:paraId="639CCD81">
      <w:pPr>
        <w:spacing w:line="460" w:lineRule="exact"/>
        <w:ind w:left="180"/>
      </w:pPr>
    </w:p>
    <w:p w14:paraId="7242EA65">
      <w:pPr>
        <w:spacing w:line="460" w:lineRule="exact"/>
        <w:ind w:left="180"/>
      </w:pPr>
    </w:p>
    <w:p w14:paraId="218BCA48">
      <w:pPr>
        <w:spacing w:line="360" w:lineRule="auto"/>
        <w:ind w:firstLine="3808" w:firstLineChars="1700"/>
        <w:rPr>
          <w:sz w:val="24"/>
        </w:rPr>
      </w:pPr>
      <w:r>
        <w:rPr>
          <w:rFonts w:hint="eastAsia"/>
          <w:sz w:val="24"/>
        </w:rPr>
        <w:t>供应商名称：</w:t>
      </w:r>
    </w:p>
    <w:p w14:paraId="51244AB8">
      <w:pPr>
        <w:spacing w:line="360" w:lineRule="auto"/>
        <w:ind w:firstLine="3808" w:firstLineChars="1700"/>
        <w:rPr>
          <w:sz w:val="24"/>
        </w:rPr>
      </w:pPr>
      <w:r>
        <w:rPr>
          <w:rFonts w:hint="eastAsia"/>
          <w:sz w:val="24"/>
        </w:rPr>
        <w:t>日期：</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w:t>
      </w:r>
    </w:p>
    <w:p w14:paraId="7CB739BA">
      <w:pPr>
        <w:spacing w:line="460" w:lineRule="exact"/>
        <w:ind w:left="-163" w:leftChars="-171" w:hanging="168" w:hangingChars="75"/>
        <w:rPr>
          <w:sz w:val="24"/>
        </w:rPr>
      </w:pPr>
      <w:r>
        <w:rPr>
          <w:sz w:val="24"/>
        </w:rPr>
        <w:t xml:space="preserve"> </w:t>
      </w:r>
    </w:p>
    <w:p w14:paraId="51C4F16F">
      <w:pPr>
        <w:spacing w:line="460" w:lineRule="exact"/>
        <w:ind w:left="-163" w:leftChars="-171" w:hanging="168" w:hangingChars="75"/>
        <w:rPr>
          <w:sz w:val="24"/>
        </w:rPr>
      </w:pPr>
    </w:p>
    <w:p w14:paraId="181CA373">
      <w:pPr>
        <w:spacing w:line="460" w:lineRule="exact"/>
        <w:ind w:left="-163" w:leftChars="-171" w:hanging="168" w:hangingChars="75"/>
        <w:rPr>
          <w:sz w:val="24"/>
        </w:rPr>
      </w:pPr>
    </w:p>
    <w:p w14:paraId="0F92CA3C">
      <w:pPr>
        <w:widowControl/>
        <w:jc w:val="left"/>
        <w:rPr>
          <w:b/>
          <w:sz w:val="24"/>
        </w:rPr>
      </w:pPr>
      <w:r>
        <w:rPr>
          <w:b/>
          <w:sz w:val="24"/>
        </w:rPr>
        <w:br w:type="page"/>
      </w:r>
    </w:p>
    <w:p w14:paraId="0521230B">
      <w:pPr>
        <w:spacing w:line="460" w:lineRule="exact"/>
        <w:jc w:val="left"/>
        <w:rPr>
          <w:b/>
          <w:sz w:val="24"/>
        </w:rPr>
      </w:pPr>
      <w:r>
        <w:rPr>
          <w:b/>
          <w:sz w:val="24"/>
        </w:rPr>
        <w:t>附件2</w:t>
      </w:r>
    </w:p>
    <w:p w14:paraId="6FF92C31">
      <w:pPr>
        <w:tabs>
          <w:tab w:val="left" w:pos="3780"/>
          <w:tab w:val="left" w:pos="3960"/>
        </w:tabs>
        <w:spacing w:line="460" w:lineRule="exact"/>
        <w:rPr>
          <w:b/>
          <w:sz w:val="24"/>
        </w:rPr>
      </w:pPr>
    </w:p>
    <w:p w14:paraId="3F9C45DD">
      <w:pPr>
        <w:tabs>
          <w:tab w:val="left" w:pos="3780"/>
          <w:tab w:val="left" w:pos="3960"/>
        </w:tabs>
        <w:spacing w:line="460" w:lineRule="exact"/>
        <w:jc w:val="center"/>
        <w:rPr>
          <w:b/>
          <w:sz w:val="24"/>
        </w:rPr>
      </w:pPr>
      <w:r>
        <w:rPr>
          <w:b/>
          <w:sz w:val="24"/>
        </w:rPr>
        <w:t>报价分项一览表</w:t>
      </w:r>
    </w:p>
    <w:p w14:paraId="27651FFA">
      <w:pPr>
        <w:spacing w:line="460" w:lineRule="exact"/>
        <w:rPr>
          <w:b/>
          <w:sz w:val="24"/>
        </w:rPr>
      </w:pPr>
      <w:r>
        <w:rPr>
          <w:b/>
          <w:sz w:val="24"/>
        </w:rPr>
        <w:t xml:space="preserve">  </w:t>
      </w:r>
      <w:r>
        <w:rPr>
          <w:sz w:val="24"/>
        </w:rPr>
        <w:t>项目编号：</w:t>
      </w:r>
      <w:r>
        <w:rPr>
          <w:sz w:val="24"/>
          <w:u w:val="single"/>
        </w:rPr>
        <w:t xml:space="preserve">                    </w:t>
      </w:r>
      <w:r>
        <w:rPr>
          <w:sz w:val="24"/>
        </w:rPr>
        <w:t xml:space="preserve">      </w:t>
      </w:r>
      <w:r>
        <w:rPr>
          <w:b/>
          <w:sz w:val="24"/>
        </w:rPr>
        <w:t xml:space="preserve">            </w:t>
      </w:r>
    </w:p>
    <w:p w14:paraId="2CB0CB81">
      <w:pPr>
        <w:spacing w:line="460" w:lineRule="exact"/>
        <w:rPr>
          <w:b/>
          <w:sz w:val="24"/>
        </w:rPr>
      </w:pPr>
      <w:r>
        <w:rPr>
          <w:b/>
          <w:sz w:val="24"/>
        </w:rPr>
        <w:t xml:space="preserve">  </w:t>
      </w:r>
      <w:r>
        <w:rPr>
          <w:sz w:val="24"/>
        </w:rPr>
        <w:t>项目名称：__________________</w:t>
      </w:r>
      <w:r>
        <w:rPr>
          <w:b/>
          <w:sz w:val="24"/>
        </w:rPr>
        <w:t xml:space="preserve">                                  </w:t>
      </w:r>
    </w:p>
    <w:p w14:paraId="5A84E655">
      <w:pPr>
        <w:spacing w:line="460" w:lineRule="exact"/>
        <w:rPr>
          <w:sz w:val="24"/>
          <w:u w:val="single"/>
        </w:rPr>
      </w:pPr>
      <w:r>
        <w:rPr>
          <w:sz w:val="24"/>
        </w:rPr>
        <w:t xml:space="preserve">  包号：</w:t>
      </w:r>
      <w:r>
        <w:rPr>
          <w:sz w:val="24"/>
          <w:u w:val="single"/>
        </w:rPr>
        <w:t xml:space="preserve">                        </w:t>
      </w:r>
    </w:p>
    <w:p w14:paraId="7C903C1B">
      <w:pPr>
        <w:spacing w:line="460" w:lineRule="exact"/>
        <w:rPr>
          <w:b/>
          <w:sz w:val="24"/>
        </w:rPr>
      </w:pPr>
      <w:r>
        <w:rPr>
          <w:sz w:val="24"/>
        </w:rPr>
        <w:t xml:space="preserve">                                                              单位：元</w:t>
      </w:r>
      <w:r>
        <w:rPr>
          <w:b/>
          <w:sz w:val="24"/>
        </w:rPr>
        <w:t xml:space="preserve">  </w:t>
      </w:r>
    </w:p>
    <w:tbl>
      <w:tblPr>
        <w:tblStyle w:val="15"/>
        <w:tblW w:w="92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585"/>
        <w:gridCol w:w="1701"/>
        <w:gridCol w:w="2238"/>
        <w:gridCol w:w="1848"/>
      </w:tblGrid>
      <w:tr w14:paraId="5DB9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102671EB">
            <w:pPr>
              <w:widowControl/>
              <w:jc w:val="center"/>
              <w:rPr>
                <w:b/>
                <w:bCs/>
                <w:kern w:val="0"/>
                <w:sz w:val="24"/>
                <w:szCs w:val="24"/>
              </w:rPr>
            </w:pPr>
            <w:r>
              <w:rPr>
                <w:b/>
                <w:bCs/>
                <w:kern w:val="0"/>
                <w:sz w:val="24"/>
                <w:szCs w:val="24"/>
              </w:rPr>
              <w:t>项号</w:t>
            </w:r>
          </w:p>
        </w:tc>
        <w:tc>
          <w:tcPr>
            <w:tcW w:w="2585" w:type="dxa"/>
            <w:vAlign w:val="center"/>
          </w:tcPr>
          <w:p w14:paraId="00B7EA89">
            <w:pPr>
              <w:widowControl/>
              <w:jc w:val="center"/>
              <w:rPr>
                <w:b/>
                <w:bCs/>
                <w:kern w:val="0"/>
                <w:sz w:val="24"/>
                <w:szCs w:val="24"/>
              </w:rPr>
            </w:pPr>
            <w:r>
              <w:rPr>
                <w:b/>
                <w:bCs/>
                <w:kern w:val="0"/>
                <w:sz w:val="24"/>
                <w:szCs w:val="24"/>
              </w:rPr>
              <w:t>服务名称</w:t>
            </w:r>
          </w:p>
        </w:tc>
        <w:tc>
          <w:tcPr>
            <w:tcW w:w="1701" w:type="dxa"/>
            <w:vAlign w:val="center"/>
          </w:tcPr>
          <w:p w14:paraId="34620854">
            <w:pPr>
              <w:widowControl/>
              <w:jc w:val="center"/>
              <w:rPr>
                <w:b/>
                <w:bCs/>
                <w:kern w:val="0"/>
                <w:sz w:val="24"/>
                <w:szCs w:val="24"/>
              </w:rPr>
            </w:pPr>
            <w:r>
              <w:rPr>
                <w:b/>
                <w:bCs/>
                <w:kern w:val="0"/>
                <w:sz w:val="24"/>
                <w:szCs w:val="24"/>
              </w:rPr>
              <w:t>总价</w:t>
            </w:r>
          </w:p>
        </w:tc>
        <w:tc>
          <w:tcPr>
            <w:tcW w:w="2238" w:type="dxa"/>
            <w:vAlign w:val="center"/>
          </w:tcPr>
          <w:p w14:paraId="0A04514C">
            <w:pPr>
              <w:widowControl/>
              <w:jc w:val="center"/>
              <w:rPr>
                <w:b/>
                <w:bCs/>
                <w:kern w:val="0"/>
                <w:sz w:val="24"/>
                <w:szCs w:val="24"/>
              </w:rPr>
            </w:pPr>
            <w:r>
              <w:rPr>
                <w:b/>
                <w:bCs/>
                <w:kern w:val="0"/>
                <w:sz w:val="24"/>
                <w:szCs w:val="24"/>
              </w:rPr>
              <w:t>数量</w:t>
            </w:r>
          </w:p>
        </w:tc>
        <w:tc>
          <w:tcPr>
            <w:tcW w:w="1848" w:type="dxa"/>
            <w:vAlign w:val="center"/>
          </w:tcPr>
          <w:p w14:paraId="34A9B56C">
            <w:pPr>
              <w:widowControl/>
              <w:jc w:val="center"/>
              <w:rPr>
                <w:b/>
                <w:bCs/>
                <w:kern w:val="0"/>
                <w:sz w:val="24"/>
                <w:szCs w:val="24"/>
              </w:rPr>
            </w:pPr>
            <w:r>
              <w:rPr>
                <w:b/>
                <w:bCs/>
                <w:kern w:val="0"/>
                <w:sz w:val="24"/>
                <w:szCs w:val="24"/>
              </w:rPr>
              <w:t>备注</w:t>
            </w:r>
          </w:p>
        </w:tc>
      </w:tr>
      <w:tr w14:paraId="6B9D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65C41159">
            <w:pPr>
              <w:widowControl/>
              <w:jc w:val="center"/>
              <w:rPr>
                <w:kern w:val="0"/>
                <w:sz w:val="24"/>
                <w:szCs w:val="24"/>
              </w:rPr>
            </w:pPr>
            <w:r>
              <w:rPr>
                <w:kern w:val="0"/>
                <w:sz w:val="24"/>
                <w:szCs w:val="24"/>
              </w:rPr>
              <w:t>1</w:t>
            </w:r>
          </w:p>
        </w:tc>
        <w:tc>
          <w:tcPr>
            <w:tcW w:w="2585" w:type="dxa"/>
            <w:vAlign w:val="center"/>
          </w:tcPr>
          <w:p w14:paraId="68107E90">
            <w:pPr>
              <w:widowControl/>
              <w:jc w:val="center"/>
              <w:rPr>
                <w:kern w:val="0"/>
                <w:sz w:val="24"/>
                <w:szCs w:val="24"/>
              </w:rPr>
            </w:pPr>
          </w:p>
        </w:tc>
        <w:tc>
          <w:tcPr>
            <w:tcW w:w="1701" w:type="dxa"/>
            <w:vAlign w:val="center"/>
          </w:tcPr>
          <w:p w14:paraId="56E25368">
            <w:pPr>
              <w:widowControl/>
              <w:jc w:val="center"/>
              <w:rPr>
                <w:kern w:val="0"/>
                <w:sz w:val="24"/>
                <w:szCs w:val="24"/>
              </w:rPr>
            </w:pPr>
          </w:p>
        </w:tc>
        <w:tc>
          <w:tcPr>
            <w:tcW w:w="2238" w:type="dxa"/>
            <w:vAlign w:val="center"/>
          </w:tcPr>
          <w:p w14:paraId="79502377">
            <w:pPr>
              <w:widowControl/>
              <w:jc w:val="center"/>
              <w:rPr>
                <w:sz w:val="24"/>
                <w:szCs w:val="24"/>
              </w:rPr>
            </w:pPr>
            <w:r>
              <w:rPr>
                <w:sz w:val="24"/>
                <w:szCs w:val="24"/>
              </w:rPr>
              <w:t>1项</w:t>
            </w:r>
          </w:p>
        </w:tc>
        <w:tc>
          <w:tcPr>
            <w:tcW w:w="1848" w:type="dxa"/>
            <w:vAlign w:val="center"/>
          </w:tcPr>
          <w:p w14:paraId="15B5986B">
            <w:pPr>
              <w:widowControl/>
              <w:jc w:val="center"/>
              <w:rPr>
                <w:sz w:val="24"/>
                <w:szCs w:val="24"/>
              </w:rPr>
            </w:pPr>
          </w:p>
        </w:tc>
      </w:tr>
      <w:tr w14:paraId="2517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250" w:type="dxa"/>
            <w:gridSpan w:val="5"/>
            <w:vAlign w:val="center"/>
          </w:tcPr>
          <w:p w14:paraId="0A6C38A8">
            <w:pPr>
              <w:widowControl/>
              <w:jc w:val="left"/>
              <w:rPr>
                <w:kern w:val="0"/>
                <w:sz w:val="24"/>
                <w:szCs w:val="24"/>
              </w:rPr>
            </w:pPr>
            <w:r>
              <w:rPr>
                <w:kern w:val="0"/>
                <w:sz w:val="24"/>
                <w:szCs w:val="24"/>
              </w:rPr>
              <w:t>其中</w:t>
            </w:r>
          </w:p>
        </w:tc>
      </w:tr>
      <w:tr w14:paraId="107E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63" w:type="dxa"/>
            <w:gridSpan w:val="2"/>
            <w:vAlign w:val="center"/>
          </w:tcPr>
          <w:p w14:paraId="55AB90F3">
            <w:pPr>
              <w:widowControl/>
              <w:jc w:val="left"/>
              <w:rPr>
                <w:b/>
                <w:sz w:val="24"/>
                <w:szCs w:val="24"/>
              </w:rPr>
            </w:pPr>
            <w:r>
              <w:rPr>
                <w:b/>
                <w:sz w:val="24"/>
                <w:szCs w:val="24"/>
              </w:rPr>
              <w:t>分项名称</w:t>
            </w:r>
          </w:p>
        </w:tc>
        <w:tc>
          <w:tcPr>
            <w:tcW w:w="1701" w:type="dxa"/>
            <w:vAlign w:val="center"/>
          </w:tcPr>
          <w:p w14:paraId="1A6135D5">
            <w:pPr>
              <w:widowControl/>
              <w:jc w:val="center"/>
              <w:rPr>
                <w:b/>
                <w:kern w:val="0"/>
                <w:sz w:val="24"/>
                <w:szCs w:val="24"/>
              </w:rPr>
            </w:pPr>
            <w:r>
              <w:rPr>
                <w:b/>
                <w:kern w:val="0"/>
                <w:sz w:val="24"/>
                <w:szCs w:val="24"/>
              </w:rPr>
              <w:t>价格</w:t>
            </w:r>
          </w:p>
        </w:tc>
        <w:tc>
          <w:tcPr>
            <w:tcW w:w="2238" w:type="dxa"/>
            <w:vAlign w:val="center"/>
          </w:tcPr>
          <w:p w14:paraId="4FA4EB0B">
            <w:pPr>
              <w:widowControl/>
              <w:jc w:val="center"/>
              <w:rPr>
                <w:b/>
                <w:kern w:val="0"/>
                <w:sz w:val="24"/>
                <w:szCs w:val="24"/>
              </w:rPr>
            </w:pPr>
            <w:r>
              <w:rPr>
                <w:b/>
                <w:kern w:val="0"/>
                <w:sz w:val="24"/>
                <w:szCs w:val="24"/>
              </w:rPr>
              <w:t>数量</w:t>
            </w:r>
          </w:p>
        </w:tc>
        <w:tc>
          <w:tcPr>
            <w:tcW w:w="1848" w:type="dxa"/>
            <w:vAlign w:val="center"/>
          </w:tcPr>
          <w:p w14:paraId="7FE7FF39">
            <w:pPr>
              <w:widowControl/>
              <w:jc w:val="center"/>
              <w:rPr>
                <w:b/>
                <w:bCs/>
                <w:kern w:val="0"/>
                <w:sz w:val="24"/>
                <w:szCs w:val="24"/>
              </w:rPr>
            </w:pPr>
            <w:r>
              <w:rPr>
                <w:b/>
                <w:bCs/>
                <w:kern w:val="0"/>
                <w:sz w:val="24"/>
                <w:szCs w:val="24"/>
              </w:rPr>
              <w:t>备注</w:t>
            </w:r>
          </w:p>
        </w:tc>
      </w:tr>
      <w:tr w14:paraId="41E6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63" w:type="dxa"/>
            <w:gridSpan w:val="2"/>
            <w:vAlign w:val="center"/>
          </w:tcPr>
          <w:p w14:paraId="36D3ED52">
            <w:pPr>
              <w:widowControl/>
              <w:jc w:val="left"/>
              <w:rPr>
                <w:kern w:val="0"/>
                <w:sz w:val="24"/>
                <w:szCs w:val="24"/>
              </w:rPr>
            </w:pPr>
            <w:r>
              <w:rPr>
                <w:kern w:val="0"/>
                <w:sz w:val="24"/>
                <w:szCs w:val="24"/>
              </w:rPr>
              <w:t>集采内</w:t>
            </w:r>
          </w:p>
        </w:tc>
        <w:tc>
          <w:tcPr>
            <w:tcW w:w="1701" w:type="dxa"/>
            <w:vAlign w:val="center"/>
          </w:tcPr>
          <w:p w14:paraId="5C36A424">
            <w:pPr>
              <w:widowControl/>
              <w:jc w:val="center"/>
              <w:rPr>
                <w:kern w:val="0"/>
                <w:sz w:val="24"/>
                <w:szCs w:val="24"/>
              </w:rPr>
            </w:pPr>
          </w:p>
        </w:tc>
        <w:tc>
          <w:tcPr>
            <w:tcW w:w="2238" w:type="dxa"/>
            <w:vAlign w:val="center"/>
          </w:tcPr>
          <w:p w14:paraId="44B18525">
            <w:pPr>
              <w:widowControl/>
              <w:jc w:val="center"/>
              <w:rPr>
                <w:kern w:val="0"/>
                <w:sz w:val="24"/>
                <w:szCs w:val="24"/>
              </w:rPr>
            </w:pPr>
          </w:p>
        </w:tc>
        <w:tc>
          <w:tcPr>
            <w:tcW w:w="1848" w:type="dxa"/>
            <w:vAlign w:val="center"/>
          </w:tcPr>
          <w:p w14:paraId="7C0237B1">
            <w:pPr>
              <w:widowControl/>
              <w:jc w:val="center"/>
              <w:rPr>
                <w:sz w:val="24"/>
                <w:szCs w:val="24"/>
              </w:rPr>
            </w:pPr>
          </w:p>
        </w:tc>
      </w:tr>
      <w:tr w14:paraId="5F9C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63" w:type="dxa"/>
            <w:gridSpan w:val="2"/>
            <w:vAlign w:val="center"/>
          </w:tcPr>
          <w:p w14:paraId="71F0FF15">
            <w:pPr>
              <w:widowControl/>
              <w:jc w:val="left"/>
              <w:rPr>
                <w:kern w:val="0"/>
                <w:sz w:val="24"/>
                <w:szCs w:val="24"/>
              </w:rPr>
            </w:pPr>
          </w:p>
        </w:tc>
        <w:tc>
          <w:tcPr>
            <w:tcW w:w="1701" w:type="dxa"/>
            <w:vAlign w:val="center"/>
          </w:tcPr>
          <w:p w14:paraId="79D19420">
            <w:pPr>
              <w:widowControl/>
              <w:jc w:val="center"/>
              <w:rPr>
                <w:kern w:val="0"/>
                <w:sz w:val="24"/>
                <w:szCs w:val="24"/>
              </w:rPr>
            </w:pPr>
          </w:p>
        </w:tc>
        <w:tc>
          <w:tcPr>
            <w:tcW w:w="2238" w:type="dxa"/>
            <w:vAlign w:val="center"/>
          </w:tcPr>
          <w:p w14:paraId="544EF635">
            <w:pPr>
              <w:widowControl/>
              <w:jc w:val="center"/>
              <w:rPr>
                <w:kern w:val="0"/>
                <w:sz w:val="24"/>
                <w:szCs w:val="24"/>
              </w:rPr>
            </w:pPr>
          </w:p>
        </w:tc>
        <w:tc>
          <w:tcPr>
            <w:tcW w:w="1848" w:type="dxa"/>
            <w:vAlign w:val="center"/>
          </w:tcPr>
          <w:p w14:paraId="52409992">
            <w:pPr>
              <w:widowControl/>
              <w:jc w:val="center"/>
              <w:rPr>
                <w:sz w:val="24"/>
                <w:szCs w:val="24"/>
              </w:rPr>
            </w:pPr>
          </w:p>
        </w:tc>
      </w:tr>
      <w:tr w14:paraId="1E7C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63" w:type="dxa"/>
            <w:gridSpan w:val="2"/>
            <w:vAlign w:val="center"/>
          </w:tcPr>
          <w:p w14:paraId="66AC3B83">
            <w:pPr>
              <w:widowControl/>
              <w:jc w:val="left"/>
              <w:rPr>
                <w:kern w:val="0"/>
                <w:sz w:val="24"/>
                <w:szCs w:val="24"/>
              </w:rPr>
            </w:pPr>
          </w:p>
        </w:tc>
        <w:tc>
          <w:tcPr>
            <w:tcW w:w="1701" w:type="dxa"/>
            <w:vAlign w:val="center"/>
          </w:tcPr>
          <w:p w14:paraId="70F80F49">
            <w:pPr>
              <w:widowControl/>
              <w:jc w:val="center"/>
              <w:rPr>
                <w:kern w:val="0"/>
                <w:sz w:val="24"/>
                <w:szCs w:val="24"/>
              </w:rPr>
            </w:pPr>
          </w:p>
        </w:tc>
        <w:tc>
          <w:tcPr>
            <w:tcW w:w="2238" w:type="dxa"/>
            <w:vAlign w:val="center"/>
          </w:tcPr>
          <w:p w14:paraId="27412D86">
            <w:pPr>
              <w:widowControl/>
              <w:jc w:val="center"/>
              <w:rPr>
                <w:kern w:val="0"/>
                <w:sz w:val="24"/>
                <w:szCs w:val="24"/>
              </w:rPr>
            </w:pPr>
          </w:p>
        </w:tc>
        <w:tc>
          <w:tcPr>
            <w:tcW w:w="1848" w:type="dxa"/>
            <w:vAlign w:val="center"/>
          </w:tcPr>
          <w:p w14:paraId="159A9AEC">
            <w:pPr>
              <w:widowControl/>
              <w:jc w:val="center"/>
              <w:rPr>
                <w:sz w:val="24"/>
                <w:szCs w:val="24"/>
              </w:rPr>
            </w:pPr>
          </w:p>
        </w:tc>
      </w:tr>
      <w:tr w14:paraId="4FA8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63" w:type="dxa"/>
            <w:gridSpan w:val="2"/>
            <w:vAlign w:val="center"/>
          </w:tcPr>
          <w:p w14:paraId="30245BF5">
            <w:pPr>
              <w:widowControl/>
              <w:jc w:val="left"/>
              <w:rPr>
                <w:sz w:val="24"/>
              </w:rPr>
            </w:pPr>
            <w:r>
              <w:rPr>
                <w:sz w:val="24"/>
              </w:rPr>
              <w:t>集采外</w:t>
            </w:r>
          </w:p>
        </w:tc>
        <w:tc>
          <w:tcPr>
            <w:tcW w:w="1701" w:type="dxa"/>
            <w:vAlign w:val="center"/>
          </w:tcPr>
          <w:p w14:paraId="0061158C">
            <w:pPr>
              <w:widowControl/>
              <w:jc w:val="center"/>
              <w:rPr>
                <w:kern w:val="0"/>
                <w:sz w:val="24"/>
                <w:szCs w:val="24"/>
              </w:rPr>
            </w:pPr>
          </w:p>
        </w:tc>
        <w:tc>
          <w:tcPr>
            <w:tcW w:w="2238" w:type="dxa"/>
            <w:vAlign w:val="center"/>
          </w:tcPr>
          <w:p w14:paraId="33758361">
            <w:pPr>
              <w:widowControl/>
              <w:jc w:val="center"/>
              <w:rPr>
                <w:kern w:val="0"/>
                <w:sz w:val="24"/>
                <w:szCs w:val="24"/>
              </w:rPr>
            </w:pPr>
          </w:p>
        </w:tc>
        <w:tc>
          <w:tcPr>
            <w:tcW w:w="1848" w:type="dxa"/>
            <w:vAlign w:val="center"/>
          </w:tcPr>
          <w:p w14:paraId="1AF47E83">
            <w:pPr>
              <w:widowControl/>
              <w:jc w:val="center"/>
              <w:rPr>
                <w:sz w:val="24"/>
                <w:szCs w:val="24"/>
              </w:rPr>
            </w:pPr>
          </w:p>
        </w:tc>
      </w:tr>
      <w:tr w14:paraId="6825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63" w:type="dxa"/>
            <w:gridSpan w:val="2"/>
            <w:vAlign w:val="center"/>
          </w:tcPr>
          <w:p w14:paraId="2785E377">
            <w:pPr>
              <w:widowControl/>
              <w:jc w:val="left"/>
              <w:rPr>
                <w:sz w:val="24"/>
              </w:rPr>
            </w:pPr>
          </w:p>
        </w:tc>
        <w:tc>
          <w:tcPr>
            <w:tcW w:w="1701" w:type="dxa"/>
            <w:vAlign w:val="center"/>
          </w:tcPr>
          <w:p w14:paraId="1D4B12D2">
            <w:pPr>
              <w:widowControl/>
              <w:jc w:val="center"/>
              <w:rPr>
                <w:kern w:val="0"/>
                <w:sz w:val="24"/>
                <w:szCs w:val="24"/>
              </w:rPr>
            </w:pPr>
          </w:p>
        </w:tc>
        <w:tc>
          <w:tcPr>
            <w:tcW w:w="2238" w:type="dxa"/>
            <w:vAlign w:val="center"/>
          </w:tcPr>
          <w:p w14:paraId="4B16F1BD">
            <w:pPr>
              <w:widowControl/>
              <w:jc w:val="center"/>
              <w:rPr>
                <w:kern w:val="0"/>
                <w:sz w:val="24"/>
                <w:szCs w:val="24"/>
              </w:rPr>
            </w:pPr>
          </w:p>
        </w:tc>
        <w:tc>
          <w:tcPr>
            <w:tcW w:w="1848" w:type="dxa"/>
            <w:vAlign w:val="center"/>
          </w:tcPr>
          <w:p w14:paraId="386B1F55">
            <w:pPr>
              <w:widowControl/>
              <w:jc w:val="center"/>
              <w:rPr>
                <w:kern w:val="0"/>
                <w:sz w:val="24"/>
                <w:szCs w:val="24"/>
              </w:rPr>
            </w:pPr>
          </w:p>
        </w:tc>
      </w:tr>
      <w:tr w14:paraId="2B2B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63" w:type="dxa"/>
            <w:gridSpan w:val="2"/>
            <w:vAlign w:val="center"/>
          </w:tcPr>
          <w:p w14:paraId="10A0149E">
            <w:pPr>
              <w:widowControl/>
              <w:jc w:val="left"/>
              <w:rPr>
                <w:sz w:val="24"/>
              </w:rPr>
            </w:pPr>
          </w:p>
        </w:tc>
        <w:tc>
          <w:tcPr>
            <w:tcW w:w="1701" w:type="dxa"/>
            <w:vAlign w:val="center"/>
          </w:tcPr>
          <w:p w14:paraId="26573F9A">
            <w:pPr>
              <w:widowControl/>
              <w:jc w:val="center"/>
              <w:rPr>
                <w:kern w:val="0"/>
                <w:sz w:val="24"/>
                <w:szCs w:val="24"/>
              </w:rPr>
            </w:pPr>
          </w:p>
        </w:tc>
        <w:tc>
          <w:tcPr>
            <w:tcW w:w="2238" w:type="dxa"/>
            <w:vAlign w:val="center"/>
          </w:tcPr>
          <w:p w14:paraId="1FDCA63A">
            <w:pPr>
              <w:widowControl/>
              <w:jc w:val="center"/>
              <w:rPr>
                <w:kern w:val="0"/>
                <w:sz w:val="24"/>
                <w:szCs w:val="24"/>
              </w:rPr>
            </w:pPr>
          </w:p>
        </w:tc>
        <w:tc>
          <w:tcPr>
            <w:tcW w:w="1848" w:type="dxa"/>
            <w:vAlign w:val="center"/>
          </w:tcPr>
          <w:p w14:paraId="34B90CC7">
            <w:pPr>
              <w:widowControl/>
              <w:jc w:val="center"/>
              <w:rPr>
                <w:kern w:val="0"/>
                <w:sz w:val="24"/>
                <w:szCs w:val="24"/>
              </w:rPr>
            </w:pPr>
          </w:p>
        </w:tc>
      </w:tr>
      <w:tr w14:paraId="6838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463" w:type="dxa"/>
            <w:gridSpan w:val="2"/>
            <w:vAlign w:val="center"/>
          </w:tcPr>
          <w:p w14:paraId="748E358D">
            <w:pPr>
              <w:widowControl/>
              <w:jc w:val="center"/>
              <w:rPr>
                <w:sz w:val="24"/>
              </w:rPr>
            </w:pPr>
          </w:p>
        </w:tc>
        <w:tc>
          <w:tcPr>
            <w:tcW w:w="1701" w:type="dxa"/>
            <w:vAlign w:val="center"/>
          </w:tcPr>
          <w:p w14:paraId="4E07A011">
            <w:pPr>
              <w:widowControl/>
              <w:jc w:val="center"/>
              <w:rPr>
                <w:kern w:val="0"/>
                <w:sz w:val="24"/>
                <w:szCs w:val="24"/>
              </w:rPr>
            </w:pPr>
          </w:p>
        </w:tc>
        <w:tc>
          <w:tcPr>
            <w:tcW w:w="2238" w:type="dxa"/>
            <w:vAlign w:val="center"/>
          </w:tcPr>
          <w:p w14:paraId="5D110771">
            <w:pPr>
              <w:widowControl/>
              <w:jc w:val="center"/>
              <w:rPr>
                <w:kern w:val="0"/>
                <w:sz w:val="24"/>
                <w:szCs w:val="24"/>
              </w:rPr>
            </w:pPr>
          </w:p>
        </w:tc>
        <w:tc>
          <w:tcPr>
            <w:tcW w:w="1848" w:type="dxa"/>
            <w:vAlign w:val="center"/>
          </w:tcPr>
          <w:p w14:paraId="0A511602">
            <w:pPr>
              <w:widowControl/>
              <w:jc w:val="center"/>
              <w:rPr>
                <w:kern w:val="0"/>
                <w:sz w:val="24"/>
                <w:szCs w:val="24"/>
              </w:rPr>
            </w:pPr>
          </w:p>
        </w:tc>
      </w:tr>
    </w:tbl>
    <w:p w14:paraId="2EC25418">
      <w:pPr>
        <w:ind w:left="180"/>
        <w:rPr>
          <w:sz w:val="22"/>
          <w:szCs w:val="24"/>
        </w:rPr>
      </w:pPr>
      <w:r>
        <w:rPr>
          <w:sz w:val="22"/>
          <w:szCs w:val="24"/>
        </w:rPr>
        <w:t>注：1. 本表第一行填写本项目投标总价，须与</w:t>
      </w:r>
      <w:r>
        <w:rPr>
          <w:rFonts w:hint="eastAsia"/>
          <w:sz w:val="22"/>
          <w:szCs w:val="24"/>
        </w:rPr>
        <w:t>报价一览表</w:t>
      </w:r>
      <w:r>
        <w:rPr>
          <w:sz w:val="22"/>
          <w:szCs w:val="24"/>
        </w:rPr>
        <w:t>中投标总价保持一致。</w:t>
      </w:r>
    </w:p>
    <w:p w14:paraId="5D9A06E0">
      <w:pPr>
        <w:ind w:left="180" w:firstLine="408" w:firstLineChars="200"/>
      </w:pPr>
      <w:r>
        <w:rPr>
          <w:sz w:val="22"/>
          <w:szCs w:val="24"/>
        </w:rPr>
        <w:t>2. 下面应按照集采内和集采外分别填写分项价格及分项名称（分项名称可根据实际情况增减、修改），分项价格汇总应等于总价。（若</w:t>
      </w:r>
      <w:r>
        <w:rPr>
          <w:rFonts w:hint="eastAsia"/>
          <w:sz w:val="22"/>
          <w:szCs w:val="24"/>
        </w:rPr>
        <w:t>不涉及</w:t>
      </w:r>
      <w:r>
        <w:rPr>
          <w:sz w:val="22"/>
          <w:szCs w:val="24"/>
        </w:rPr>
        <w:t>某一类</w:t>
      </w:r>
      <w:r>
        <w:rPr>
          <w:rFonts w:hint="eastAsia"/>
          <w:sz w:val="22"/>
          <w:szCs w:val="24"/>
        </w:rPr>
        <w:t>可填“无”或留白</w:t>
      </w:r>
      <w:r>
        <w:rPr>
          <w:sz w:val="22"/>
          <w:szCs w:val="24"/>
        </w:rPr>
        <w:t>）</w:t>
      </w:r>
    </w:p>
    <w:p w14:paraId="3845CCFE">
      <w:pPr>
        <w:spacing w:line="360" w:lineRule="auto"/>
        <w:ind w:firstLine="3808" w:firstLineChars="1700"/>
        <w:rPr>
          <w:sz w:val="24"/>
        </w:rPr>
      </w:pPr>
      <w:r>
        <w:rPr>
          <w:rFonts w:hint="eastAsia"/>
          <w:sz w:val="24"/>
        </w:rPr>
        <w:t>供应商名称：</w:t>
      </w:r>
    </w:p>
    <w:p w14:paraId="063526CA">
      <w:pPr>
        <w:spacing w:line="360" w:lineRule="auto"/>
        <w:ind w:firstLine="3808" w:firstLineChars="1700"/>
        <w:rPr>
          <w:sz w:val="24"/>
        </w:rPr>
      </w:pPr>
    </w:p>
    <w:p w14:paraId="1EB609BD">
      <w:pPr>
        <w:spacing w:line="360" w:lineRule="auto"/>
        <w:ind w:firstLine="3808" w:firstLineChars="1700"/>
        <w:rPr>
          <w:sz w:val="24"/>
        </w:rPr>
      </w:pPr>
      <w:r>
        <w:rPr>
          <w:rFonts w:hint="eastAsia"/>
          <w:sz w:val="24"/>
        </w:rPr>
        <w:t>日期：</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w:t>
      </w:r>
    </w:p>
    <w:p w14:paraId="78EB9CB1">
      <w:pPr>
        <w:spacing w:line="460" w:lineRule="exact"/>
        <w:ind w:left="192"/>
      </w:pPr>
    </w:p>
    <w:sectPr>
      <w:footerReference r:id="rId5"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0000000000000000000"/>
    <w:charset w:val="86"/>
    <w:family w:val="modern"/>
    <w:pitch w:val="default"/>
    <w:sig w:usb0="00000000" w:usb1="00000000" w:usb2="00000010" w:usb3="00000000" w:csb0="00040000" w:csb1="00000000"/>
  </w:font>
  <w:font w:name="汉仪仿宋KW">
    <w:panose1 w:val="00020600040101010101"/>
    <w:charset w:val="86"/>
    <w:family w:val="auto"/>
    <w:pitch w:val="default"/>
    <w:sig w:usb0="A00002BF" w:usb1="18EF7CFA" w:usb2="00000016" w:usb3="00000000" w:csb0="00040000"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ˎ̥">
    <w:altName w:val="Times New Roman"/>
    <w:panose1 w:val="00000000000000000000"/>
    <w:charset w:val="00"/>
    <w:family w:val="roman"/>
    <w:pitch w:val="default"/>
    <w:sig w:usb0="00000000" w:usb1="00000000" w:usb2="00000000" w:usb3="00000000" w:csb0="00000000" w:csb1="00000000"/>
  </w:font>
  <w:font w:name=".......">
    <w:altName w:val="汉仪中黑KW"/>
    <w:panose1 w:val="00000000000000000000"/>
    <w:charset w:val="86"/>
    <w:family w:val="roman"/>
    <w:pitch w:val="default"/>
    <w:sig w:usb0="00000000" w:usb1="00000000" w:usb2="0000001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楷体_GB2312">
    <w:altName w:val="汉仪楷体KW"/>
    <w:panose1 w:val="00000000000000000000"/>
    <w:charset w:val="86"/>
    <w:family w:val="modern"/>
    <w:pitch w:val="default"/>
    <w:sig w:usb0="00000000" w:usb1="00000000" w:usb2="00000010" w:usb3="00000000" w:csb0="00040000" w:csb1="00000000"/>
  </w:font>
  <w:font w:name="汉仪楷体KW">
    <w:panose1 w:val="00020600040101010101"/>
    <w:charset w:val="86"/>
    <w:family w:val="auto"/>
    <w:pitch w:val="default"/>
    <w:sig w:usb0="A00002BF" w:usb1="18EF7CFA" w:usb2="00000016" w:usb3="00000000" w:csb0="00040000" w:csb1="00000000"/>
  </w:font>
  <w:font w:name="方正小标宋简体">
    <w:altName w:val="汉仪书宋二KW"/>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D356D">
    <w:pPr>
      <w:pStyle w:val="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ED3B9">
    <w:pPr>
      <w:pStyle w:val="9"/>
      <w:jc w:val="center"/>
    </w:pPr>
    <w:r>
      <w:rPr>
        <w:b/>
      </w:rPr>
      <w:fldChar w:fldCharType="begin"/>
    </w:r>
    <w:r>
      <w:rPr>
        <w:b/>
      </w:rPr>
      <w:instrText xml:space="preserve">PAGE  \* Arabic  \* MERGEFORMAT</w:instrText>
    </w:r>
    <w:r>
      <w:rPr>
        <w:b/>
      </w:rPr>
      <w:fldChar w:fldCharType="separate"/>
    </w:r>
    <w:r>
      <w:rPr>
        <w:b/>
        <w:lang w:val="zh-CN"/>
      </w:rPr>
      <w:t>29</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9BD8">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8B"/>
    <w:rsid w:val="000060AB"/>
    <w:rsid w:val="00007FBF"/>
    <w:rsid w:val="00012FFE"/>
    <w:rsid w:val="0001305C"/>
    <w:rsid w:val="000159D2"/>
    <w:rsid w:val="000176A8"/>
    <w:rsid w:val="00027051"/>
    <w:rsid w:val="00030E8A"/>
    <w:rsid w:val="000330AE"/>
    <w:rsid w:val="000375A2"/>
    <w:rsid w:val="0005158E"/>
    <w:rsid w:val="00057C06"/>
    <w:rsid w:val="00062A35"/>
    <w:rsid w:val="000657A6"/>
    <w:rsid w:val="00086F17"/>
    <w:rsid w:val="00094EDD"/>
    <w:rsid w:val="000A7202"/>
    <w:rsid w:val="000C15D1"/>
    <w:rsid w:val="000E1960"/>
    <w:rsid w:val="000F1B7A"/>
    <w:rsid w:val="00116832"/>
    <w:rsid w:val="00127DAD"/>
    <w:rsid w:val="001335CB"/>
    <w:rsid w:val="00137461"/>
    <w:rsid w:val="001401D6"/>
    <w:rsid w:val="0014237F"/>
    <w:rsid w:val="00153E2E"/>
    <w:rsid w:val="00161ECA"/>
    <w:rsid w:val="001636D9"/>
    <w:rsid w:val="00164745"/>
    <w:rsid w:val="0016680A"/>
    <w:rsid w:val="00170F6F"/>
    <w:rsid w:val="0018369F"/>
    <w:rsid w:val="001918A1"/>
    <w:rsid w:val="00195ED7"/>
    <w:rsid w:val="001A029C"/>
    <w:rsid w:val="001C18EA"/>
    <w:rsid w:val="001C1EA3"/>
    <w:rsid w:val="001C2A6A"/>
    <w:rsid w:val="001C3A9F"/>
    <w:rsid w:val="001C5496"/>
    <w:rsid w:val="001D1595"/>
    <w:rsid w:val="001F0EC9"/>
    <w:rsid w:val="001F3C35"/>
    <w:rsid w:val="00204581"/>
    <w:rsid w:val="0020653D"/>
    <w:rsid w:val="00210D9B"/>
    <w:rsid w:val="002128D1"/>
    <w:rsid w:val="0022028F"/>
    <w:rsid w:val="00225AF3"/>
    <w:rsid w:val="00243AFF"/>
    <w:rsid w:val="00263B80"/>
    <w:rsid w:val="002713C3"/>
    <w:rsid w:val="00280F66"/>
    <w:rsid w:val="0028136E"/>
    <w:rsid w:val="00281F16"/>
    <w:rsid w:val="002862A6"/>
    <w:rsid w:val="00293C52"/>
    <w:rsid w:val="002A26B0"/>
    <w:rsid w:val="002A4715"/>
    <w:rsid w:val="002A6C88"/>
    <w:rsid w:val="002C41FD"/>
    <w:rsid w:val="002C5252"/>
    <w:rsid w:val="002C56C0"/>
    <w:rsid w:val="002D63C6"/>
    <w:rsid w:val="002E18A5"/>
    <w:rsid w:val="002F5760"/>
    <w:rsid w:val="003021F4"/>
    <w:rsid w:val="00304B12"/>
    <w:rsid w:val="00305EFB"/>
    <w:rsid w:val="00312A54"/>
    <w:rsid w:val="00315E8A"/>
    <w:rsid w:val="0032419D"/>
    <w:rsid w:val="00332040"/>
    <w:rsid w:val="00332C0B"/>
    <w:rsid w:val="00345442"/>
    <w:rsid w:val="0035596C"/>
    <w:rsid w:val="00360038"/>
    <w:rsid w:val="003611F9"/>
    <w:rsid w:val="003617B6"/>
    <w:rsid w:val="003867B3"/>
    <w:rsid w:val="003954BE"/>
    <w:rsid w:val="003A325A"/>
    <w:rsid w:val="003A6275"/>
    <w:rsid w:val="003B53DE"/>
    <w:rsid w:val="003B5637"/>
    <w:rsid w:val="003C011F"/>
    <w:rsid w:val="003C0533"/>
    <w:rsid w:val="003C33FF"/>
    <w:rsid w:val="003C6A52"/>
    <w:rsid w:val="003C7BFC"/>
    <w:rsid w:val="003D5828"/>
    <w:rsid w:val="003E20C8"/>
    <w:rsid w:val="003E4780"/>
    <w:rsid w:val="003E5F21"/>
    <w:rsid w:val="003E77E9"/>
    <w:rsid w:val="003E7F30"/>
    <w:rsid w:val="003F1CD4"/>
    <w:rsid w:val="003F2EEA"/>
    <w:rsid w:val="004202F1"/>
    <w:rsid w:val="004234F9"/>
    <w:rsid w:val="00424DB9"/>
    <w:rsid w:val="00431EFC"/>
    <w:rsid w:val="00453CD6"/>
    <w:rsid w:val="00461637"/>
    <w:rsid w:val="00473E5A"/>
    <w:rsid w:val="00474FBA"/>
    <w:rsid w:val="00477D0B"/>
    <w:rsid w:val="004870C4"/>
    <w:rsid w:val="0049044A"/>
    <w:rsid w:val="00491EBF"/>
    <w:rsid w:val="00493B0D"/>
    <w:rsid w:val="004972E3"/>
    <w:rsid w:val="004A1803"/>
    <w:rsid w:val="004A2419"/>
    <w:rsid w:val="004A754B"/>
    <w:rsid w:val="004B69DA"/>
    <w:rsid w:val="004B7095"/>
    <w:rsid w:val="004C316B"/>
    <w:rsid w:val="004D0FFB"/>
    <w:rsid w:val="004D3EE5"/>
    <w:rsid w:val="004E1D43"/>
    <w:rsid w:val="0050508B"/>
    <w:rsid w:val="00514D6D"/>
    <w:rsid w:val="005160D8"/>
    <w:rsid w:val="00525891"/>
    <w:rsid w:val="005265E3"/>
    <w:rsid w:val="00535543"/>
    <w:rsid w:val="0054500B"/>
    <w:rsid w:val="00546F9D"/>
    <w:rsid w:val="005471DB"/>
    <w:rsid w:val="00563A34"/>
    <w:rsid w:val="0057438C"/>
    <w:rsid w:val="00574AC6"/>
    <w:rsid w:val="00575C04"/>
    <w:rsid w:val="0057642C"/>
    <w:rsid w:val="00576DF4"/>
    <w:rsid w:val="00581CAE"/>
    <w:rsid w:val="005849F8"/>
    <w:rsid w:val="005915FC"/>
    <w:rsid w:val="0059323B"/>
    <w:rsid w:val="00596863"/>
    <w:rsid w:val="005A282E"/>
    <w:rsid w:val="005A41A3"/>
    <w:rsid w:val="005A47FA"/>
    <w:rsid w:val="005A5C6C"/>
    <w:rsid w:val="005A62C2"/>
    <w:rsid w:val="005B4028"/>
    <w:rsid w:val="005B6D83"/>
    <w:rsid w:val="005C1828"/>
    <w:rsid w:val="005C3ABD"/>
    <w:rsid w:val="005D0EEB"/>
    <w:rsid w:val="005D4D5D"/>
    <w:rsid w:val="005E0149"/>
    <w:rsid w:val="005E15AD"/>
    <w:rsid w:val="005E1F24"/>
    <w:rsid w:val="005E3113"/>
    <w:rsid w:val="005F68CA"/>
    <w:rsid w:val="005F6A58"/>
    <w:rsid w:val="00615085"/>
    <w:rsid w:val="0063072F"/>
    <w:rsid w:val="006359D8"/>
    <w:rsid w:val="00655831"/>
    <w:rsid w:val="0066185C"/>
    <w:rsid w:val="0066711B"/>
    <w:rsid w:val="00670E58"/>
    <w:rsid w:val="0067349A"/>
    <w:rsid w:val="006771DC"/>
    <w:rsid w:val="006773BE"/>
    <w:rsid w:val="006825C9"/>
    <w:rsid w:val="0068608E"/>
    <w:rsid w:val="00686BF1"/>
    <w:rsid w:val="006C284C"/>
    <w:rsid w:val="006D212E"/>
    <w:rsid w:val="006F0F1D"/>
    <w:rsid w:val="006F274D"/>
    <w:rsid w:val="006F6C69"/>
    <w:rsid w:val="006F74A2"/>
    <w:rsid w:val="007046E3"/>
    <w:rsid w:val="007059F8"/>
    <w:rsid w:val="00716576"/>
    <w:rsid w:val="00721B94"/>
    <w:rsid w:val="00721D8C"/>
    <w:rsid w:val="00721E02"/>
    <w:rsid w:val="007313D6"/>
    <w:rsid w:val="00753416"/>
    <w:rsid w:val="00753CC2"/>
    <w:rsid w:val="00754452"/>
    <w:rsid w:val="00755F0D"/>
    <w:rsid w:val="00760722"/>
    <w:rsid w:val="00761050"/>
    <w:rsid w:val="00761647"/>
    <w:rsid w:val="007616AE"/>
    <w:rsid w:val="00764613"/>
    <w:rsid w:val="00772747"/>
    <w:rsid w:val="00776A33"/>
    <w:rsid w:val="00780CCA"/>
    <w:rsid w:val="0078122C"/>
    <w:rsid w:val="00781F31"/>
    <w:rsid w:val="00782D8F"/>
    <w:rsid w:val="0078349D"/>
    <w:rsid w:val="007958D9"/>
    <w:rsid w:val="007B6254"/>
    <w:rsid w:val="007B6642"/>
    <w:rsid w:val="007C5AEC"/>
    <w:rsid w:val="007C779F"/>
    <w:rsid w:val="007E2D1D"/>
    <w:rsid w:val="008059FF"/>
    <w:rsid w:val="008062D5"/>
    <w:rsid w:val="00807F40"/>
    <w:rsid w:val="00810B73"/>
    <w:rsid w:val="008122E6"/>
    <w:rsid w:val="00813271"/>
    <w:rsid w:val="00825AF0"/>
    <w:rsid w:val="0083089F"/>
    <w:rsid w:val="008533C6"/>
    <w:rsid w:val="00861062"/>
    <w:rsid w:val="008658D2"/>
    <w:rsid w:val="0087730D"/>
    <w:rsid w:val="0088795D"/>
    <w:rsid w:val="00891624"/>
    <w:rsid w:val="008A4F9E"/>
    <w:rsid w:val="008B3367"/>
    <w:rsid w:val="008B49B8"/>
    <w:rsid w:val="008B506F"/>
    <w:rsid w:val="008C1B3B"/>
    <w:rsid w:val="008C4FFF"/>
    <w:rsid w:val="008D1ECF"/>
    <w:rsid w:val="008D4F00"/>
    <w:rsid w:val="008E0F08"/>
    <w:rsid w:val="008E1208"/>
    <w:rsid w:val="008E7DD6"/>
    <w:rsid w:val="008F7AE1"/>
    <w:rsid w:val="009015DA"/>
    <w:rsid w:val="009034F9"/>
    <w:rsid w:val="009068C3"/>
    <w:rsid w:val="0091089F"/>
    <w:rsid w:val="00933BCC"/>
    <w:rsid w:val="009340D6"/>
    <w:rsid w:val="009361E7"/>
    <w:rsid w:val="009524E0"/>
    <w:rsid w:val="0095491A"/>
    <w:rsid w:val="00963A5F"/>
    <w:rsid w:val="0098356B"/>
    <w:rsid w:val="0098537F"/>
    <w:rsid w:val="00996FD6"/>
    <w:rsid w:val="00997B39"/>
    <w:rsid w:val="009A3EEB"/>
    <w:rsid w:val="009A78A0"/>
    <w:rsid w:val="009B3003"/>
    <w:rsid w:val="009C1265"/>
    <w:rsid w:val="009C4A63"/>
    <w:rsid w:val="009C7BF2"/>
    <w:rsid w:val="009D3A1A"/>
    <w:rsid w:val="009E3AA3"/>
    <w:rsid w:val="009E7D28"/>
    <w:rsid w:val="009F08A4"/>
    <w:rsid w:val="009F3BA7"/>
    <w:rsid w:val="009F5033"/>
    <w:rsid w:val="00A0585C"/>
    <w:rsid w:val="00A1514F"/>
    <w:rsid w:val="00A242DB"/>
    <w:rsid w:val="00A27925"/>
    <w:rsid w:val="00A3201B"/>
    <w:rsid w:val="00A50465"/>
    <w:rsid w:val="00A55EA4"/>
    <w:rsid w:val="00A6245D"/>
    <w:rsid w:val="00A7624A"/>
    <w:rsid w:val="00A77F7F"/>
    <w:rsid w:val="00A86867"/>
    <w:rsid w:val="00A86F0C"/>
    <w:rsid w:val="00AA5989"/>
    <w:rsid w:val="00AB1B68"/>
    <w:rsid w:val="00AB2D60"/>
    <w:rsid w:val="00AB5E62"/>
    <w:rsid w:val="00AB6152"/>
    <w:rsid w:val="00AD3A13"/>
    <w:rsid w:val="00AD7A33"/>
    <w:rsid w:val="00AF596C"/>
    <w:rsid w:val="00B01C64"/>
    <w:rsid w:val="00B0414F"/>
    <w:rsid w:val="00B139B9"/>
    <w:rsid w:val="00B423E5"/>
    <w:rsid w:val="00B54648"/>
    <w:rsid w:val="00B54995"/>
    <w:rsid w:val="00B568D9"/>
    <w:rsid w:val="00B62295"/>
    <w:rsid w:val="00B64448"/>
    <w:rsid w:val="00B66F60"/>
    <w:rsid w:val="00B84BA6"/>
    <w:rsid w:val="00B95F7C"/>
    <w:rsid w:val="00BA3E4B"/>
    <w:rsid w:val="00BA4484"/>
    <w:rsid w:val="00BA4BF7"/>
    <w:rsid w:val="00BA4F60"/>
    <w:rsid w:val="00BB09B4"/>
    <w:rsid w:val="00BB24A3"/>
    <w:rsid w:val="00BB455D"/>
    <w:rsid w:val="00BC146F"/>
    <w:rsid w:val="00BC47E2"/>
    <w:rsid w:val="00BD6D3D"/>
    <w:rsid w:val="00BD6F11"/>
    <w:rsid w:val="00BD7EB6"/>
    <w:rsid w:val="00BE1D39"/>
    <w:rsid w:val="00BE59C0"/>
    <w:rsid w:val="00BF0242"/>
    <w:rsid w:val="00BF251C"/>
    <w:rsid w:val="00BF37B1"/>
    <w:rsid w:val="00C00F8E"/>
    <w:rsid w:val="00C069A0"/>
    <w:rsid w:val="00C0790E"/>
    <w:rsid w:val="00C1102B"/>
    <w:rsid w:val="00C11AEB"/>
    <w:rsid w:val="00C15A3F"/>
    <w:rsid w:val="00C166BD"/>
    <w:rsid w:val="00C215EE"/>
    <w:rsid w:val="00C305F0"/>
    <w:rsid w:val="00C35A1D"/>
    <w:rsid w:val="00C44D0B"/>
    <w:rsid w:val="00C5510E"/>
    <w:rsid w:val="00C56595"/>
    <w:rsid w:val="00C5674E"/>
    <w:rsid w:val="00C610B2"/>
    <w:rsid w:val="00C62F3A"/>
    <w:rsid w:val="00C651B1"/>
    <w:rsid w:val="00C85BC1"/>
    <w:rsid w:val="00C86A55"/>
    <w:rsid w:val="00C92716"/>
    <w:rsid w:val="00CA7F15"/>
    <w:rsid w:val="00CC611A"/>
    <w:rsid w:val="00CC61D4"/>
    <w:rsid w:val="00CD14A9"/>
    <w:rsid w:val="00CE354B"/>
    <w:rsid w:val="00CE3A96"/>
    <w:rsid w:val="00CE6B99"/>
    <w:rsid w:val="00D07118"/>
    <w:rsid w:val="00D17D3F"/>
    <w:rsid w:val="00D217FC"/>
    <w:rsid w:val="00D233DD"/>
    <w:rsid w:val="00D3048F"/>
    <w:rsid w:val="00D527FF"/>
    <w:rsid w:val="00D56D69"/>
    <w:rsid w:val="00D65243"/>
    <w:rsid w:val="00D724A1"/>
    <w:rsid w:val="00D81DC3"/>
    <w:rsid w:val="00D85042"/>
    <w:rsid w:val="00D907C7"/>
    <w:rsid w:val="00DA224A"/>
    <w:rsid w:val="00DA2C2C"/>
    <w:rsid w:val="00DD6BDC"/>
    <w:rsid w:val="00DD73E7"/>
    <w:rsid w:val="00DE2C0E"/>
    <w:rsid w:val="00E224AE"/>
    <w:rsid w:val="00E23372"/>
    <w:rsid w:val="00E25911"/>
    <w:rsid w:val="00E300AE"/>
    <w:rsid w:val="00E45482"/>
    <w:rsid w:val="00E52803"/>
    <w:rsid w:val="00E56C40"/>
    <w:rsid w:val="00E57D3E"/>
    <w:rsid w:val="00E86FA2"/>
    <w:rsid w:val="00E9048B"/>
    <w:rsid w:val="00E91057"/>
    <w:rsid w:val="00EA2C42"/>
    <w:rsid w:val="00EA40B6"/>
    <w:rsid w:val="00EA6956"/>
    <w:rsid w:val="00EA73D6"/>
    <w:rsid w:val="00EB2B69"/>
    <w:rsid w:val="00EB60D6"/>
    <w:rsid w:val="00EC3A73"/>
    <w:rsid w:val="00EC59EE"/>
    <w:rsid w:val="00ED18E8"/>
    <w:rsid w:val="00ED587E"/>
    <w:rsid w:val="00EE6EFF"/>
    <w:rsid w:val="00EF22A1"/>
    <w:rsid w:val="00EF4A85"/>
    <w:rsid w:val="00EF52CF"/>
    <w:rsid w:val="00F43FED"/>
    <w:rsid w:val="00F449D8"/>
    <w:rsid w:val="00F6119B"/>
    <w:rsid w:val="00F700A7"/>
    <w:rsid w:val="00F710C3"/>
    <w:rsid w:val="00F95AEF"/>
    <w:rsid w:val="00FA0D60"/>
    <w:rsid w:val="00FA228C"/>
    <w:rsid w:val="00FA2B6A"/>
    <w:rsid w:val="00FB614F"/>
    <w:rsid w:val="00FC1661"/>
    <w:rsid w:val="00FC1B68"/>
    <w:rsid w:val="00FC5F78"/>
    <w:rsid w:val="00FD37BB"/>
    <w:rsid w:val="00FF7C66"/>
    <w:rsid w:val="34B0015B"/>
    <w:rsid w:val="36D87B73"/>
    <w:rsid w:val="36FFE653"/>
    <w:rsid w:val="379A7BE2"/>
    <w:rsid w:val="405D610B"/>
    <w:rsid w:val="4AB50E85"/>
    <w:rsid w:val="606C6D28"/>
    <w:rsid w:val="EBBAFABC"/>
    <w:rsid w:val="F71F2EA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1"/>
    <w:qFormat/>
    <w:uiPriority w:val="0"/>
    <w:pPr>
      <w:keepNext/>
      <w:jc w:val="center"/>
      <w:outlineLvl w:val="0"/>
    </w:pPr>
    <w:rPr>
      <w:rFonts w:eastAsia="仿宋_GB2312"/>
      <w:bCs/>
      <w:sz w:val="44"/>
    </w:rPr>
  </w:style>
  <w:style w:type="paragraph" w:styleId="3">
    <w:name w:val="heading 3"/>
    <w:basedOn w:val="1"/>
    <w:next w:val="1"/>
    <w:link w:val="22"/>
    <w:qFormat/>
    <w:uiPriority w:val="0"/>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37"/>
    <w:semiHidden/>
    <w:unhideWhenUsed/>
    <w:qFormat/>
    <w:uiPriority w:val="99"/>
    <w:pPr>
      <w:jc w:val="left"/>
    </w:pPr>
  </w:style>
  <w:style w:type="paragraph" w:styleId="6">
    <w:name w:val="Body Text"/>
    <w:basedOn w:val="1"/>
    <w:link w:val="28"/>
    <w:qFormat/>
    <w:uiPriority w:val="0"/>
    <w:rPr>
      <w:sz w:val="32"/>
    </w:rPr>
  </w:style>
  <w:style w:type="paragraph" w:styleId="7">
    <w:name w:val="Body Text Indent 2"/>
    <w:basedOn w:val="1"/>
    <w:link w:val="30"/>
    <w:unhideWhenUsed/>
    <w:qFormat/>
    <w:uiPriority w:val="99"/>
    <w:pPr>
      <w:spacing w:after="120" w:line="480" w:lineRule="auto"/>
      <w:ind w:left="420" w:leftChars="200"/>
    </w:pPr>
  </w:style>
  <w:style w:type="paragraph" w:styleId="8">
    <w:name w:val="Balloon Text"/>
    <w:basedOn w:val="1"/>
    <w:link w:val="24"/>
    <w:qFormat/>
    <w:uiPriority w:val="0"/>
    <w:rPr>
      <w:sz w:val="18"/>
      <w:szCs w:val="18"/>
    </w:rPr>
  </w:style>
  <w:style w:type="paragraph" w:styleId="9">
    <w:name w:val="footer"/>
    <w:basedOn w:val="1"/>
    <w:link w:val="26"/>
    <w:qFormat/>
    <w:uiPriority w:val="0"/>
    <w:pPr>
      <w:tabs>
        <w:tab w:val="center" w:pos="4153"/>
        <w:tab w:val="right" w:pos="8306"/>
      </w:tabs>
      <w:snapToGrid w:val="0"/>
      <w:jc w:val="left"/>
    </w:pPr>
    <w:rPr>
      <w:sz w:val="18"/>
      <w:szCs w:val="18"/>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tabs>
        <w:tab w:val="right" w:leader="middleDot" w:pos="8302"/>
      </w:tabs>
      <w:spacing w:line="360" w:lineRule="auto"/>
    </w:pPr>
  </w:style>
  <w:style w:type="paragraph" w:styleId="12">
    <w:name w:val="Subtitle"/>
    <w:basedOn w:val="1"/>
    <w:next w:val="1"/>
    <w:link w:val="29"/>
    <w:qFormat/>
    <w:uiPriority w:val="11"/>
    <w:pPr>
      <w:spacing w:before="240" w:after="60" w:line="312" w:lineRule="auto"/>
      <w:jc w:val="center"/>
      <w:outlineLvl w:val="1"/>
    </w:pPr>
    <w:rPr>
      <w:rFonts w:ascii="Cambria" w:hAnsi="Cambria"/>
      <w:b/>
      <w:bCs/>
      <w:kern w:val="28"/>
      <w:sz w:val="32"/>
      <w:szCs w:val="32"/>
      <w:lang w:val="zh-CN"/>
    </w:r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4">
    <w:name w:val="annotation subject"/>
    <w:basedOn w:val="5"/>
    <w:next w:val="5"/>
    <w:link w:val="38"/>
    <w:semiHidden/>
    <w:unhideWhenUsed/>
    <w:qFormat/>
    <w:uiPriority w:val="99"/>
    <w:rPr>
      <w:b/>
      <w:bCs/>
    </w:rPr>
  </w:style>
  <w:style w:type="table" w:styleId="16">
    <w:name w:val="Table Grid"/>
    <w:basedOn w:val="1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Hyperlink"/>
    <w:qFormat/>
    <w:uiPriority w:val="0"/>
    <w:rPr>
      <w:rFonts w:hint="default" w:ascii="ˎ̥" w:hAnsi="ˎ̥"/>
      <w:color w:val="3E3E3E"/>
      <w:sz w:val="24"/>
      <w:szCs w:val="24"/>
      <w:u w:val="none"/>
    </w:rPr>
  </w:style>
  <w:style w:type="character" w:styleId="20">
    <w:name w:val="annotation reference"/>
    <w:basedOn w:val="17"/>
    <w:semiHidden/>
    <w:unhideWhenUsed/>
    <w:qFormat/>
    <w:uiPriority w:val="99"/>
    <w:rPr>
      <w:sz w:val="21"/>
      <w:szCs w:val="21"/>
    </w:rPr>
  </w:style>
  <w:style w:type="character" w:customStyle="1" w:styleId="21">
    <w:name w:val="标题 1 Char"/>
    <w:basedOn w:val="17"/>
    <w:link w:val="2"/>
    <w:qFormat/>
    <w:uiPriority w:val="0"/>
    <w:rPr>
      <w:rFonts w:ascii="Times New Roman" w:hAnsi="Times New Roman" w:eastAsia="仿宋_GB2312" w:cs="Times New Roman"/>
      <w:bCs/>
      <w:sz w:val="44"/>
      <w:szCs w:val="20"/>
    </w:rPr>
  </w:style>
  <w:style w:type="character" w:customStyle="1" w:styleId="22">
    <w:name w:val="标题 3 Char"/>
    <w:basedOn w:val="17"/>
    <w:link w:val="3"/>
    <w:qFormat/>
    <w:uiPriority w:val="0"/>
    <w:rPr>
      <w:rFonts w:ascii="Times New Roman" w:hAnsi="Times New Roman" w:eastAsia="宋体" w:cs="Times New Roman"/>
      <w:b/>
      <w:bCs/>
      <w:sz w:val="32"/>
      <w:szCs w:val="32"/>
    </w:rPr>
  </w:style>
  <w:style w:type="paragraph" w:customStyle="1" w:styleId="23">
    <w:name w:val="批注框文本1"/>
    <w:basedOn w:val="1"/>
    <w:semiHidden/>
    <w:qFormat/>
    <w:uiPriority w:val="0"/>
    <w:rPr>
      <w:sz w:val="16"/>
      <w:szCs w:val="16"/>
    </w:rPr>
  </w:style>
  <w:style w:type="character" w:customStyle="1" w:styleId="24">
    <w:name w:val="批注框文本 Char"/>
    <w:basedOn w:val="17"/>
    <w:link w:val="8"/>
    <w:qFormat/>
    <w:uiPriority w:val="0"/>
    <w:rPr>
      <w:rFonts w:ascii="Times New Roman" w:hAnsi="Times New Roman" w:eastAsia="宋体" w:cs="Times New Roman"/>
      <w:sz w:val="18"/>
      <w:szCs w:val="18"/>
    </w:rPr>
  </w:style>
  <w:style w:type="character" w:customStyle="1" w:styleId="25">
    <w:name w:val="页眉 Char"/>
    <w:basedOn w:val="17"/>
    <w:link w:val="10"/>
    <w:qFormat/>
    <w:uiPriority w:val="0"/>
    <w:rPr>
      <w:rFonts w:ascii="Times New Roman" w:hAnsi="Times New Roman" w:eastAsia="宋体" w:cs="Times New Roman"/>
      <w:sz w:val="18"/>
      <w:szCs w:val="18"/>
    </w:rPr>
  </w:style>
  <w:style w:type="character" w:customStyle="1" w:styleId="26">
    <w:name w:val="页脚 Char"/>
    <w:basedOn w:val="17"/>
    <w:link w:val="9"/>
    <w:qFormat/>
    <w:uiPriority w:val="0"/>
    <w:rPr>
      <w:rFonts w:ascii="Times New Roman" w:hAnsi="Times New Roman" w:eastAsia="宋体" w:cs="Times New Roman"/>
      <w:sz w:val="18"/>
      <w:szCs w:val="18"/>
    </w:rPr>
  </w:style>
  <w:style w:type="paragraph" w:customStyle="1" w:styleId="27">
    <w:name w:val="Default"/>
    <w:link w:val="34"/>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28">
    <w:name w:val="正文文本 Char"/>
    <w:basedOn w:val="17"/>
    <w:link w:val="6"/>
    <w:qFormat/>
    <w:uiPriority w:val="0"/>
    <w:rPr>
      <w:rFonts w:ascii="Times New Roman" w:hAnsi="Times New Roman" w:eastAsia="宋体" w:cs="Times New Roman"/>
      <w:sz w:val="32"/>
      <w:szCs w:val="20"/>
    </w:rPr>
  </w:style>
  <w:style w:type="character" w:customStyle="1" w:styleId="29">
    <w:name w:val="副标题 Char"/>
    <w:basedOn w:val="17"/>
    <w:link w:val="12"/>
    <w:qFormat/>
    <w:uiPriority w:val="11"/>
    <w:rPr>
      <w:rFonts w:ascii="Cambria" w:hAnsi="Cambria" w:eastAsia="宋体" w:cs="Times New Roman"/>
      <w:b/>
      <w:bCs/>
      <w:kern w:val="28"/>
      <w:sz w:val="32"/>
      <w:szCs w:val="32"/>
      <w:lang w:val="zh-CN" w:eastAsia="zh-CN"/>
    </w:rPr>
  </w:style>
  <w:style w:type="character" w:customStyle="1" w:styleId="30">
    <w:name w:val="正文文本缩进 2 Char"/>
    <w:basedOn w:val="17"/>
    <w:link w:val="7"/>
    <w:qFormat/>
    <w:uiPriority w:val="99"/>
    <w:rPr>
      <w:rFonts w:ascii="Times New Roman" w:hAnsi="Times New Roman" w:eastAsia="宋体" w:cs="Times New Roman"/>
      <w:szCs w:val="20"/>
    </w:rPr>
  </w:style>
  <w:style w:type="paragraph" w:customStyle="1" w:styleId="31">
    <w:name w:val="Char"/>
    <w:basedOn w:val="1"/>
    <w:autoRedefine/>
    <w:qFormat/>
    <w:uiPriority w:val="0"/>
    <w:pPr>
      <w:tabs>
        <w:tab w:val="left" w:pos="360"/>
      </w:tabs>
    </w:pPr>
    <w:rPr>
      <w:sz w:val="24"/>
      <w:szCs w:val="24"/>
    </w:rPr>
  </w:style>
  <w:style w:type="paragraph" w:customStyle="1" w:styleId="32">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3">
    <w:name w:val="List Paragraph"/>
    <w:basedOn w:val="1"/>
    <w:link w:val="35"/>
    <w:qFormat/>
    <w:uiPriority w:val="34"/>
    <w:pPr>
      <w:ind w:firstLine="420" w:firstLineChars="200"/>
    </w:pPr>
    <w:rPr>
      <w:sz w:val="28"/>
      <w:szCs w:val="24"/>
    </w:rPr>
  </w:style>
  <w:style w:type="character" w:customStyle="1" w:styleId="34">
    <w:name w:val="Default Char"/>
    <w:link w:val="27"/>
    <w:qFormat/>
    <w:locked/>
    <w:uiPriority w:val="0"/>
    <w:rPr>
      <w:rFonts w:ascii="......." w:hAnsi="Calibri" w:eastAsia="......." w:cs="......."/>
      <w:color w:val="000000"/>
      <w:kern w:val="0"/>
      <w:sz w:val="24"/>
      <w:szCs w:val="24"/>
    </w:rPr>
  </w:style>
  <w:style w:type="character" w:customStyle="1" w:styleId="35">
    <w:name w:val="列出段落 Char"/>
    <w:link w:val="33"/>
    <w:qFormat/>
    <w:uiPriority w:val="34"/>
    <w:rPr>
      <w:rFonts w:ascii="Times New Roman" w:hAnsi="Times New Roman" w:eastAsia="宋体" w:cs="Times New Roman"/>
      <w:sz w:val="28"/>
      <w:szCs w:val="24"/>
    </w:rPr>
  </w:style>
  <w:style w:type="character" w:customStyle="1" w:styleId="36">
    <w:name w:val="纯文本 Char"/>
    <w:basedOn w:val="17"/>
    <w:semiHidden/>
    <w:qFormat/>
    <w:uiPriority w:val="99"/>
    <w:rPr>
      <w:rFonts w:ascii="宋体" w:hAnsi="Courier New" w:eastAsia="宋体" w:cs="Courier New"/>
      <w:szCs w:val="21"/>
    </w:rPr>
  </w:style>
  <w:style w:type="character" w:customStyle="1" w:styleId="37">
    <w:name w:val="批注文字 Char"/>
    <w:basedOn w:val="17"/>
    <w:link w:val="5"/>
    <w:semiHidden/>
    <w:qFormat/>
    <w:uiPriority w:val="99"/>
    <w:rPr>
      <w:rFonts w:ascii="Times New Roman" w:hAnsi="Times New Roman" w:eastAsia="宋体" w:cs="Times New Roman"/>
      <w:kern w:val="2"/>
      <w:sz w:val="21"/>
    </w:rPr>
  </w:style>
  <w:style w:type="character" w:customStyle="1" w:styleId="38">
    <w:name w:val="批注主题 Char"/>
    <w:basedOn w:val="37"/>
    <w:link w:val="14"/>
    <w:semiHidden/>
    <w:qFormat/>
    <w:uiPriority w:val="99"/>
    <w:rPr>
      <w:rFonts w:ascii="Times New Roman" w:hAnsi="Times New Roman" w:eastAsia="宋体" w:cs="Times New Roman"/>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神州网信技术有限公司</Company>
  <Pages>47</Pages>
  <Words>3996</Words>
  <Characters>22782</Characters>
  <Lines>189</Lines>
  <Paragraphs>53</Paragraphs>
  <TotalTime>10</TotalTime>
  <ScaleCrop>false</ScaleCrop>
  <LinksUpToDate>false</LinksUpToDate>
  <CharactersWithSpaces>26725</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2024-06-12T22:45:00Z</dcterms:created>
  <dc:creator>未定义</dc:creator>
  <cp:lastModifiedBy>admin</cp:lastModifiedBy>
  <dcterms:modified xsi:type="dcterms:W3CDTF">2026-10-10T14:04:28Z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8CD8BF92C9DA0EF06CD5C96A85C58208_43</vt:lpwstr>
  </property>
</Properties>
</file>