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ind w:firstLine="640" w:firstLineChars="200"/>
        <w:rPr>
          <w:rFonts w:hint="eastAsia" w:ascii="宋体" w:hAnsi="宋体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1.技术要求</w:t>
      </w:r>
    </w:p>
    <w:p>
      <w:pPr>
        <w:spacing w:line="360" w:lineRule="auto"/>
        <w:ind w:firstLine="420" w:firstLineChars="200"/>
        <w:rPr>
          <w:rFonts w:hint="eastAsia" w:ascii="宋体" w:hAnsi="宋体"/>
        </w:rPr>
      </w:pPr>
      <w:r>
        <w:rPr>
          <w:rFonts w:hint="eastAsia" w:ascii="宋体" w:hAnsi="宋体"/>
        </w:rPr>
        <w:t>包</w:t>
      </w:r>
      <w:r>
        <w:rPr>
          <w:rFonts w:hint="eastAsia" w:ascii="宋体" w:hAnsi="宋体"/>
          <w:lang w:val="en-US" w:eastAsia="zh-CN"/>
        </w:rPr>
        <w:t>2</w:t>
      </w:r>
      <w:r>
        <w:rPr>
          <w:rFonts w:hint="eastAsia" w:ascii="宋体" w:hAnsi="宋体"/>
        </w:rPr>
        <w:t>：荧光体式显微镜</w:t>
      </w:r>
    </w:p>
    <w:tbl>
      <w:tblPr>
        <w:tblStyle w:val="3"/>
        <w:tblW w:w="939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88"/>
        <w:gridCol w:w="1381"/>
        <w:gridCol w:w="4319"/>
        <w:gridCol w:w="546"/>
        <w:gridCol w:w="568"/>
        <w:gridCol w:w="1897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ascii="宋体" w:hAnsi="宋体"/>
              </w:rPr>
              <w:t>序号</w:t>
            </w:r>
          </w:p>
        </w:tc>
        <w:tc>
          <w:tcPr>
            <w:tcW w:w="1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 w:ascii="宋体" w:hAnsi="宋体"/>
              </w:rPr>
              <w:t>标的</w:t>
            </w:r>
            <w:r>
              <w:rPr>
                <w:rFonts w:ascii="宋体" w:hAnsi="宋体"/>
              </w:rPr>
              <w:t>名称</w:t>
            </w:r>
          </w:p>
        </w:tc>
        <w:tc>
          <w:tcPr>
            <w:tcW w:w="4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ascii="宋体" w:hAnsi="宋体"/>
              </w:rPr>
              <w:t>技术要求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ascii="宋体" w:hAnsi="宋体"/>
              </w:rPr>
              <w:t>单位</w:t>
            </w: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ascii="宋体" w:hAnsi="宋体"/>
              </w:rPr>
              <w:t>数量</w:t>
            </w: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ascii="宋体" w:hAnsi="宋体"/>
              </w:rPr>
              <w:t>是否属于现行节能产品政府采购清单强制采购范围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" w:hRule="atLeast"/>
          <w:jc w:val="center"/>
        </w:trPr>
        <w:tc>
          <w:tcPr>
            <w:tcW w:w="68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13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sz w:val="24"/>
              </w:rPr>
              <w:t>▲</w:t>
            </w:r>
            <w:r>
              <w:rPr>
                <w:rFonts w:hint="eastAsia" w:ascii="宋体" w:hAnsi="宋体"/>
              </w:rPr>
              <w:t>荧光体式显微镜</w:t>
            </w:r>
          </w:p>
        </w:tc>
        <w:tc>
          <w:tcPr>
            <w:tcW w:w="4319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</w:rPr>
              <w:t>1.</w:t>
            </w: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光学系统为平行光光学系统，整机眼点高度≥371.6mm</w:t>
            </w: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eastAsia="zh-CN"/>
              </w:rPr>
              <w:t>。</w:t>
            </w:r>
          </w:p>
          <w:p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highlight w:val="none"/>
              </w:rPr>
              <w:t>★</w:t>
            </w:r>
            <w:r>
              <w:rPr>
                <w:rFonts w:hint="eastAsia" w:ascii="宋体" w:hAnsi="宋体" w:eastAsia="宋体" w:cs="宋体"/>
                <w:highlight w:val="none"/>
                <w:lang w:val="en-US" w:eastAsia="zh-CN"/>
              </w:rPr>
              <w:t>2</w:t>
            </w: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.物镜变倍范围至少包含0.6X-9.8X，变倍为横轴式连续变倍，变倍比≥1:16，变倍操作方式为双侧手轮水平变倍；变倍定位装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置可开关的倍数点包含但不限于0.6X、0.7X、0.8X、1X、1.25X、1.6X、2X、3X、4X、6X、7.5X、9.8X；包括目镜筒在内的整个镜体可0-360度定位旋转。</w:t>
            </w:r>
          </w:p>
          <w:p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lang w:val="en-US" w:eastAsia="zh-CN"/>
              </w:rPr>
              <w:t>3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.</w:t>
            </w:r>
            <w:r>
              <w:rPr>
                <w:rFonts w:hint="eastAsia" w:ascii="宋体" w:hAnsi="宋体" w:eastAsia="宋体" w:cs="宋体"/>
              </w:rPr>
              <w:t>在1X PL APO物镜时</w:t>
            </w:r>
            <w:r>
              <w:rPr>
                <w:rFonts w:hint="eastAsia" w:ascii="宋体" w:hAnsi="宋体" w:eastAsia="宋体" w:cs="宋体"/>
                <w:lang w:eastAsia="zh-CN"/>
              </w:rPr>
              <w:t>，有效工作距离≥81mm</w:t>
            </w:r>
          </w:p>
          <w:p>
            <w:pPr>
              <w:numPr>
                <w:ilvl w:val="0"/>
                <w:numId w:val="1"/>
              </w:numPr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配备</w:t>
            </w:r>
            <w:r>
              <w:rPr>
                <w:rFonts w:hint="eastAsia" w:ascii="宋体" w:hAnsi="宋体" w:eastAsia="宋体" w:cs="宋体"/>
                <w:color w:val="auto"/>
                <w:sz w:val="21"/>
                <w:szCs w:val="21"/>
                <w:lang w:val="en-US" w:eastAsia="zh-CN"/>
              </w:rPr>
              <w:t>UC</w:t>
            </w:r>
            <w:r>
              <w:rPr>
                <w:rFonts w:hint="eastAsia" w:ascii="宋体" w:hAnsi="宋体" w:eastAsia="宋体" w:cs="宋体"/>
                <w:color w:val="FF0000"/>
                <w:sz w:val="21"/>
                <w:szCs w:val="21"/>
                <w:lang w:val="en-US" w:eastAsia="zh-CN"/>
              </w:rPr>
              <w:t xml:space="preserve"> 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WF10X高眼点平场目镜，视场直径≥22mm。</w:t>
            </w:r>
          </w:p>
          <w:p>
            <w:pPr>
              <w:widowControl w:val="0"/>
              <w:numPr>
                <w:ilvl w:val="0"/>
                <w:numId w:val="0"/>
              </w:numPr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5.配备铰链式三目目镜筒，30度倾斜，瞳距调节范围至少包含55-75mm，双目视度屈光度调节范围至少包含-5至5度。</w:t>
            </w:r>
          </w:p>
          <w:p>
            <w:pPr>
              <w:widowControl w:val="0"/>
              <w:numPr>
                <w:ilvl w:val="0"/>
                <w:numId w:val="0"/>
              </w:numPr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6.1.0X PL APO平场复消色差物镜。</w:t>
            </w:r>
          </w:p>
          <w:p>
            <w:pPr>
              <w:widowControl w:val="0"/>
              <w:numPr>
                <w:ilvl w:val="0"/>
                <w:numId w:val="0"/>
              </w:numPr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7.调焦粗调旋钮行程≥120mm，可调节松紧。</w:t>
            </w:r>
          </w:p>
          <w:p>
            <w:pPr>
              <w:widowControl w:val="0"/>
              <w:numPr>
                <w:ilvl w:val="0"/>
                <w:numId w:val="0"/>
              </w:numPr>
              <w:jc w:val="left"/>
              <w:rPr>
                <w:rFonts w:hint="default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</w:rPr>
              <w:t>★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8.底座配备立臂式支架，底座台板包含的黑白板及毛玻璃板直径均≥160mm；配备双光路大视场成像模块平台，暗场可变光阑最大直径≥60mm；配备后置透射复合光源，功率≥50W，配有复合反射装置，具备透射角度调节功能及光强调节功能，能完成</w:t>
            </w: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直径≥60mm的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圆形样本全貌尺寸成像。</w:t>
            </w:r>
          </w:p>
          <w:p>
            <w:pPr>
              <w:widowControl w:val="0"/>
              <w:numPr>
                <w:ilvl w:val="0"/>
                <w:numId w:val="0"/>
              </w:numPr>
              <w:jc w:val="left"/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9.明场光源至少包含反射与透射式光源，能够单独使用也可同时使用；光源可连续调节亮度，</w:t>
            </w:r>
            <w:r>
              <w:rPr>
                <w:rFonts w:hint="eastAsia" w:ascii="宋体" w:hAnsi="宋体" w:eastAsia="宋体" w:cs="宋体"/>
                <w:sz w:val="21"/>
                <w:szCs w:val="21"/>
                <w:highlight w:val="none"/>
                <w:lang w:val="en-US" w:eastAsia="zh-CN"/>
              </w:rPr>
              <w:t>光源为LED冷光源，功率≥10W，色温至少包含6000K，光源寿命≥6万小时，可自由调节反射光源角度，不同入射角度光源强度不变。</w:t>
            </w:r>
          </w:p>
          <w:p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</w:rPr>
              <w:t>★</w:t>
            </w: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10.配备双光路荧光集成模块，转盘切换孔位≥8孔位，荧光通道≥4通道，无需切换灯源的情况下可实现光源联动切换。</w:t>
            </w:r>
          </w:p>
          <w:p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★11.荧光光源为LED光源，功率≥10W，点亮时间≥30000小时。</w:t>
            </w:r>
          </w:p>
          <w:p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★12.具备实时亮度控制功能，荧光通道亮度记忆功能，荧光模块开关响应时间≤1ms。</w:t>
            </w:r>
          </w:p>
          <w:p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13.荧光通道包含但不限于：紫外长通:360/50nm;DM:400nm;EM:410nmLP、蓝色带通:475/35nm;DM:500nm;EM:530/50nm、绿色长通G:530/40nm;DM:560nm;EM:575nmLP。</w:t>
            </w:r>
          </w:p>
          <w:p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14.配备彩色荧光摄像头，有效物理像素≥1100万，芯片尺寸≥4/3英寸，增益范围至少包含1X-10X。</w:t>
            </w:r>
          </w:p>
          <w:p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15.操作软件功能包含但不限于：多色荧光叠加功能，手动自动轴多层焦面去模糊功能，手动大图拼接功能。</w:t>
            </w:r>
          </w:p>
          <w:p>
            <w:pPr>
              <w:jc w:val="left"/>
              <w:rPr>
                <w:rFonts w:hint="eastAsia" w:ascii="宋体" w:hAnsi="宋体" w:eastAsia="宋体" w:cs="宋体"/>
                <w:sz w:val="21"/>
                <w:szCs w:val="21"/>
                <w:lang w:val="en-US"/>
              </w:rPr>
            </w:pPr>
            <w:r>
              <w:rPr>
                <w:rFonts w:hint="eastAsia" w:ascii="宋体" w:hAnsi="宋体" w:eastAsia="宋体" w:cs="宋体"/>
                <w:sz w:val="21"/>
                <w:szCs w:val="21"/>
                <w:lang w:val="en-US" w:eastAsia="zh-CN"/>
              </w:rPr>
              <w:t>16.配置包含但不限于：荧光体式显微镜1台、与所投主机同一制造商生产的操作及数据分析终端1套（CPU≥12代酷睿i7，硬盘≥2TB，内存≥16GB，显卡≥4GB，显示器≥23英寸）。</w:t>
            </w:r>
          </w:p>
        </w:tc>
        <w:tc>
          <w:tcPr>
            <w:tcW w:w="546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rFonts w:hint="eastAsia" w:eastAsia="宋体"/>
                <w:szCs w:val="21"/>
                <w:lang w:eastAsia="zh-CN"/>
              </w:rPr>
            </w:pPr>
            <w:r>
              <w:rPr>
                <w:rFonts w:hint="eastAsia" w:ascii="宋体" w:hAnsi="宋体"/>
                <w:lang w:eastAsia="zh-CN"/>
              </w:rPr>
              <w:t>台</w:t>
            </w:r>
          </w:p>
        </w:tc>
        <w:tc>
          <w:tcPr>
            <w:tcW w:w="56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hint="eastAsia"/>
              </w:rPr>
              <w:t>1</w:t>
            </w:r>
          </w:p>
        </w:tc>
        <w:tc>
          <w:tcPr>
            <w:tcW w:w="1897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jc w:val="center"/>
              <w:rPr>
                <w:szCs w:val="21"/>
              </w:rPr>
            </w:pPr>
            <w:r>
              <w:rPr>
                <w:rFonts w:ascii="宋体" w:hAnsi="宋体"/>
              </w:rPr>
              <w:t>否</w:t>
            </w:r>
          </w:p>
        </w:tc>
      </w:tr>
    </w:tbl>
    <w:p>
      <w:pPr>
        <w:spacing w:line="560" w:lineRule="exact"/>
        <w:ind w:firstLine="640" w:firstLineChars="200"/>
        <w:jc w:val="left"/>
        <w:rPr>
          <w:rFonts w:ascii="仿宋" w:hAnsi="仿宋" w:eastAsia="仿宋"/>
          <w:i/>
          <w:color w:val="000000"/>
          <w:sz w:val="32"/>
          <w:szCs w:val="32"/>
          <w:u w:val="single"/>
        </w:rPr>
      </w:pPr>
      <w:r>
        <w:rPr>
          <w:rFonts w:hint="eastAsia" w:ascii="仿宋" w:hAnsi="仿宋" w:eastAsia="仿宋"/>
          <w:color w:val="000000"/>
          <w:sz w:val="32"/>
          <w:szCs w:val="32"/>
        </w:rPr>
        <w:t>2.商务要求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报价要求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（1）投标报价以人民币填列。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（2）投标人的报价应包括：设备主机及附件货款、运输费、运输保险费、装卸费、安装调试费及其他应有的费用。投标人所报价格为货到现场安装调试完成的最终优惠价格。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（3）验收及相关费用由投标人负责。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服务要求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（1）提供所投产品</w:t>
      </w:r>
      <w:r>
        <w:rPr>
          <w:rFonts w:hint="eastAsia" w:ascii="宋体" w:hAnsi="宋体" w:cs="宋体"/>
          <w:b w:val="0"/>
          <w:bCs/>
          <w:sz w:val="24"/>
          <w:lang w:val="en-US" w:eastAsia="zh-CN"/>
        </w:rPr>
        <w:t>1</w:t>
      </w:r>
      <w:r>
        <w:rPr>
          <w:rFonts w:hint="eastAsia" w:ascii="宋体" w:hAnsi="宋体" w:cs="宋体"/>
          <w:sz w:val="24"/>
        </w:rPr>
        <w:t>年的免费上门保修，终身维修。保修期内免费更换零配件，7×24小时技术响应，48小时内维修工程师到达维修现场。保修期自验收合格之日起计算。质保期过后，终身维护，每次维修验收合格后付款（质保期过后全部款项与本项目预算无关由采购人另行支付）。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（2）提供所投产品制造商服务机构情况，包括地址、联系方式及技术人员数量等。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（3）提供原厂标准的易耗品、消耗材料价格清单及折扣率，保修期后设备维修的价格清单及折扣率。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eastAsia="宋体" w:cs="宋体"/>
          <w:sz w:val="24"/>
          <w:highlight w:val="none"/>
          <w:lang w:val="en-US" w:eastAsia="zh-CN"/>
        </w:rPr>
      </w:pPr>
      <w:r>
        <w:rPr>
          <w:rFonts w:hint="eastAsia" w:ascii="宋体" w:hAnsi="宋体" w:cs="宋体"/>
          <w:sz w:val="24"/>
        </w:rPr>
        <w:t>（4）提供现场免费安装、调试设备，进行操作试验演示和现场培训，直至运行正常。培训内容包括设备操作、设备维护及简单的设备维修。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交货要求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（1）交货期：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货到时间：签订合同之日起30日内（特殊情况以合同为准）。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安装完成：货到之日起5日内（特殊情况以合同为准）。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（2）交货地点：天津市河东区华越道6号内采购人指定实验室（特殊情况以合同为准）。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color w:val="0000FF"/>
          <w:sz w:val="24"/>
        </w:rPr>
      </w:pPr>
      <w:r>
        <w:rPr>
          <w:rFonts w:hint="eastAsia" w:ascii="宋体" w:hAnsi="宋体" w:cs="宋体"/>
          <w:sz w:val="24"/>
        </w:rPr>
        <w:t>（3）提供制造商完整的随机资料，包括完整的使用和维修手册等。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特别要求：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  <w:lang w:eastAsia="zh-CN"/>
        </w:rPr>
        <w:t>（</w:t>
      </w:r>
      <w:r>
        <w:rPr>
          <w:rFonts w:hint="eastAsia" w:ascii="宋体" w:hAnsi="宋体" w:cs="宋体"/>
          <w:sz w:val="24"/>
          <w:lang w:val="en-US" w:eastAsia="zh-CN"/>
        </w:rPr>
        <w:t>1</w:t>
      </w:r>
      <w:r>
        <w:rPr>
          <w:rFonts w:hint="eastAsia" w:ascii="宋体" w:hAnsi="宋体" w:cs="宋体"/>
          <w:sz w:val="24"/>
          <w:lang w:eastAsia="zh-CN"/>
        </w:rPr>
        <w:t>）</w:t>
      </w:r>
      <w:r>
        <w:rPr>
          <w:rFonts w:hint="eastAsia" w:ascii="宋体" w:hAnsi="宋体" w:cs="宋体"/>
          <w:sz w:val="24"/>
        </w:rPr>
        <w:t>交货时要求投标人就所投产品提供产品说明书，同时采购人有权要求投标人对产品的合法供货渠道进行说明，经核实如投标人提供非法渠道的商品，视为欺诈，为维护采购人合法权益，投标人要承担商品价值双倍的赔偿；同时，依据现行的国家法律法规追究其他责任，并连带追究所投产品制造商的责任。</w:t>
      </w:r>
    </w:p>
    <w:p>
      <w:pPr>
        <w:autoSpaceDE w:val="0"/>
        <w:autoSpaceDN w:val="0"/>
        <w:adjustRightInd w:val="0"/>
        <w:spacing w:line="360" w:lineRule="auto"/>
        <w:ind w:firstLine="480" w:firstLineChars="200"/>
        <w:rPr>
          <w:rFonts w:hint="eastAsia" w:ascii="宋体" w:hAnsi="宋体" w:cs="宋体"/>
          <w:sz w:val="24"/>
        </w:rPr>
      </w:pPr>
      <w:r>
        <w:rPr>
          <w:rFonts w:hint="eastAsia" w:ascii="宋体" w:hAnsi="宋体" w:cs="宋体"/>
          <w:sz w:val="24"/>
        </w:rPr>
        <w:t>付款方式</w:t>
      </w:r>
    </w:p>
    <w:p>
      <w:pPr>
        <w:spacing w:line="360" w:lineRule="auto"/>
        <w:ind w:firstLine="480" w:firstLineChars="200"/>
        <w:jc w:val="left"/>
        <w:rPr>
          <w:color w:val="8064A2"/>
          <w:sz w:val="24"/>
        </w:rPr>
      </w:pPr>
      <w:r>
        <w:rPr>
          <w:rFonts w:hint="eastAsia" w:ascii="宋体" w:hAnsi="宋体" w:cs="宋体"/>
          <w:sz w:val="24"/>
        </w:rPr>
        <w:t>合同签订后，收到合同总额30%费用的合法等额增值税发票后10个工作日内支付合同总额的30%费用，货到现场，安装调试、操作试验演示和现场培训完毕，所有货物运行正常，使用无质量问题，验收合格后且收到合同总额的70%费用的合法等额增值税发票后10个工作日内</w:t>
      </w:r>
      <w:bookmarkStart w:id="0" w:name="_GoBack"/>
      <w:bookmarkEnd w:id="0"/>
      <w:r>
        <w:rPr>
          <w:rFonts w:hint="eastAsia" w:ascii="宋体" w:hAnsi="宋体" w:cs="宋体"/>
          <w:sz w:val="24"/>
        </w:rPr>
        <w:t>支付合同总额的70%费用（特殊情况以合同为准）。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roman"/>
    <w:pitch w:val="default"/>
    <w:sig w:usb0="E0002AFF" w:usb1="C0007843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E6496759"/>
    <w:multiLevelType w:val="singleLevel"/>
    <w:tmpl w:val="E6496759"/>
    <w:lvl w:ilvl="0" w:tentative="0">
      <w:start w:val="4"/>
      <w:numFmt w:val="decimal"/>
      <w:lvlText w:val="%1."/>
      <w:lvlJc w:val="left"/>
      <w:pPr>
        <w:tabs>
          <w:tab w:val="left" w:pos="312"/>
        </w:tabs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665352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numbering" Target="numbering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Office_10.8.2.7090_F1E327BC-269C-435d-A152-05C5408002CA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lenovo</dc:creator>
  <cp:lastModifiedBy>郝彩霞</cp:lastModifiedBy>
  <dcterms:modified xsi:type="dcterms:W3CDTF">2025-10-13T03:08:58Z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2052-10.8.2.7090</vt:lpwstr>
  </property>
</Properties>
</file>