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ADFF5">
      <w:pPr>
        <w:spacing w:before="120" w:after="120" w:line="360" w:lineRule="auto"/>
        <w:rPr>
          <w:rFonts w:asciiTheme="minorEastAsia" w:hAnsiTheme="minorEastAsia"/>
          <w:b/>
          <w:sz w:val="28"/>
          <w:szCs w:val="28"/>
        </w:rPr>
      </w:pPr>
      <w:bookmarkStart w:id="31" w:name="_GoBack"/>
      <w:bookmarkEnd w:id="31"/>
      <w:r>
        <w:rPr>
          <w:rFonts w:hint="eastAsia" w:cs="Arial" w:asciiTheme="minorEastAsia" w:hAnsiTheme="minorEastAsia"/>
          <w:b/>
          <w:sz w:val="28"/>
          <w:szCs w:val="28"/>
        </w:rPr>
        <w:t>2.改造方案</w:t>
      </w:r>
    </w:p>
    <w:p w14:paraId="54E6742F">
      <w:pPr>
        <w:spacing w:before="320" w:after="120" w:line="360" w:lineRule="auto"/>
        <w:jc w:val="left"/>
        <w:outlineLvl w:val="1"/>
        <w:rPr>
          <w:rFonts w:asciiTheme="minorEastAsia" w:hAnsiTheme="minorEastAsia"/>
          <w:b/>
          <w:sz w:val="24"/>
          <w:szCs w:val="24"/>
        </w:rPr>
      </w:pPr>
      <w:bookmarkStart w:id="0" w:name="_Toc681086891"/>
      <w:bookmarkStart w:id="1" w:name="heading_7"/>
      <w:r>
        <w:rPr>
          <w:rFonts w:cs="Arial" w:asciiTheme="minorEastAsia" w:hAnsiTheme="minorEastAsia"/>
          <w:b/>
          <w:sz w:val="24"/>
          <w:szCs w:val="24"/>
        </w:rPr>
        <w:t>2.</w:t>
      </w:r>
      <w:r>
        <w:rPr>
          <w:rFonts w:hint="eastAsia" w:cs="Arial" w:asciiTheme="minorEastAsia" w:hAnsiTheme="minorEastAsia"/>
          <w:b/>
          <w:sz w:val="24"/>
          <w:szCs w:val="24"/>
        </w:rPr>
        <w:t>1</w:t>
      </w:r>
      <w:r>
        <w:rPr>
          <w:rFonts w:cs="Arial" w:asciiTheme="minorEastAsia" w:hAnsiTheme="minorEastAsia"/>
          <w:b/>
          <w:sz w:val="24"/>
          <w:szCs w:val="24"/>
        </w:rPr>
        <w:t xml:space="preserve"> </w:t>
      </w:r>
      <w:r>
        <w:rPr>
          <w:rFonts w:hint="eastAsia" w:cs="Arial" w:asciiTheme="minorEastAsia" w:hAnsiTheme="minorEastAsia"/>
          <w:b/>
          <w:sz w:val="24"/>
          <w:szCs w:val="24"/>
        </w:rPr>
        <w:t>改造施工</w:t>
      </w:r>
      <w:r>
        <w:rPr>
          <w:rFonts w:cs="Arial" w:asciiTheme="minorEastAsia" w:hAnsiTheme="minorEastAsia"/>
          <w:b/>
          <w:sz w:val="24"/>
          <w:szCs w:val="24"/>
        </w:rPr>
        <w:t>前准备</w:t>
      </w:r>
      <w:bookmarkEnd w:id="0"/>
      <w:bookmarkEnd w:id="1"/>
    </w:p>
    <w:p w14:paraId="44C6E8D7">
      <w:pPr>
        <w:spacing w:before="300" w:after="120" w:line="360" w:lineRule="auto"/>
        <w:jc w:val="left"/>
        <w:outlineLvl w:val="2"/>
        <w:rPr>
          <w:rFonts w:asciiTheme="minorEastAsia" w:hAnsiTheme="minorEastAsia"/>
          <w:b/>
          <w:sz w:val="24"/>
          <w:szCs w:val="24"/>
        </w:rPr>
      </w:pPr>
      <w:bookmarkStart w:id="2" w:name="heading_8"/>
      <w:bookmarkStart w:id="3" w:name="_Toc2050245473"/>
      <w:r>
        <w:rPr>
          <w:rFonts w:cs="Arial" w:asciiTheme="minorEastAsia" w:hAnsiTheme="minorEastAsia"/>
          <w:b/>
          <w:sz w:val="24"/>
          <w:szCs w:val="24"/>
        </w:rPr>
        <w:t>2.</w:t>
      </w:r>
      <w:r>
        <w:rPr>
          <w:rFonts w:hint="eastAsia" w:cs="Arial" w:asciiTheme="minorEastAsia" w:hAnsiTheme="minorEastAsia"/>
          <w:b/>
          <w:sz w:val="24"/>
          <w:szCs w:val="24"/>
        </w:rPr>
        <w:t>1</w:t>
      </w:r>
      <w:r>
        <w:rPr>
          <w:rFonts w:cs="Arial" w:asciiTheme="minorEastAsia" w:hAnsiTheme="minorEastAsia"/>
          <w:b/>
          <w:sz w:val="24"/>
          <w:szCs w:val="24"/>
        </w:rPr>
        <w:t>.1 技术准备</w:t>
      </w:r>
      <w:bookmarkEnd w:id="2"/>
      <w:bookmarkEnd w:id="3"/>
    </w:p>
    <w:p w14:paraId="342CEC88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完成本次UPS改造专项施工方案的编制、审核及审批工作，严格落实全员岗前安全技术交底，明确施工工艺、安全规范、风险控制点及应急处置要求，确保所有施工人员熟知作业内容及岗位职责。</w:t>
      </w:r>
    </w:p>
    <w:p w14:paraId="08A553C8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全面核查原有施耐德UPS设备输入、输出开关的型号参数、额定工作电流及短路分断能力，核验开关各项性能指标，确认其完全满足新增UPS设备的运行及并网使用要求。</w:t>
      </w:r>
    </w:p>
    <w:p w14:paraId="789853AA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实地核实UPS并机电缆的规格型号、敷设长度、敷设路由及安装条件，确认电缆可满足设备并机通信传输、电力功率传输的双重技术要求，杜绝线路适配、传输隐患。</w:t>
      </w:r>
    </w:p>
    <w:p w14:paraId="08F4EFDC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提前收集新增模块化UPS设备的参数手册、配置说明书等技术资料，全面统计机房现有负载总量及负载分布情况，精准核算单台UPS设备额定容量，确认单台设备可完全承载本院现有负载，保障改造期间负载不间断稳定运行。</w:t>
      </w:r>
    </w:p>
    <w:p w14:paraId="55C0E8E8">
      <w:pPr>
        <w:spacing w:before="300" w:after="120" w:line="360" w:lineRule="auto"/>
        <w:jc w:val="left"/>
        <w:outlineLvl w:val="2"/>
        <w:rPr>
          <w:rFonts w:asciiTheme="minorEastAsia" w:hAnsiTheme="minorEastAsia"/>
          <w:b/>
          <w:sz w:val="24"/>
          <w:szCs w:val="24"/>
        </w:rPr>
      </w:pPr>
      <w:bookmarkStart w:id="4" w:name="_Toc1746846308"/>
      <w:bookmarkStart w:id="5" w:name="heading_9"/>
      <w:r>
        <w:rPr>
          <w:rFonts w:cs="Arial" w:asciiTheme="minorEastAsia" w:hAnsiTheme="minorEastAsia"/>
          <w:b/>
          <w:sz w:val="24"/>
          <w:szCs w:val="24"/>
        </w:rPr>
        <w:t>2.</w:t>
      </w:r>
      <w:r>
        <w:rPr>
          <w:rFonts w:hint="eastAsia" w:cs="Arial" w:asciiTheme="minorEastAsia" w:hAnsiTheme="minorEastAsia"/>
          <w:b/>
          <w:sz w:val="24"/>
          <w:szCs w:val="24"/>
        </w:rPr>
        <w:t>1</w:t>
      </w:r>
      <w:r>
        <w:rPr>
          <w:rFonts w:cs="Arial" w:asciiTheme="minorEastAsia" w:hAnsiTheme="minorEastAsia"/>
          <w:b/>
          <w:sz w:val="24"/>
          <w:szCs w:val="24"/>
        </w:rPr>
        <w:t>.2 物资与工具准备</w:t>
      </w:r>
      <w:bookmarkEnd w:id="4"/>
      <w:bookmarkEnd w:id="5"/>
    </w:p>
    <w:p w14:paraId="7784D9BE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根据施工设计及技术规范，配齐所有施工物资、设备及工器具，进场前逐一检查核验，确保所有物资规格合规、性能完好、资料齐全。</w:t>
      </w:r>
    </w:p>
    <w:p w14:paraId="0DBE587B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1.设备主材：新增模块化UPS主机及配套功能模块、配件，设备参数符合设计及现场运行标准。</w:t>
      </w:r>
    </w:p>
    <w:p w14:paraId="768BDC5A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2.线缆材料：施工所需输入、输出动力电缆，UPS并机专用电缆、控制信号线缆，所有线缆规格、材质、负载流量均满足设计及施工技术要求。</w:t>
      </w:r>
    </w:p>
    <w:p w14:paraId="3546AF2C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3.配电辅材：适配的断路器、配电箱、接线端子、铜排等全套配电配套材料，满足设备接线、配电及安全防护要求。</w:t>
      </w:r>
    </w:p>
    <w:p w14:paraId="6B2B2CD3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4.测试仪表：配备绝缘摇表、数字万用表、钳形电流表、相序表等专业检测仪表，所有仪表经校验合格，可正常用于施工检测、通电调试工作。</w:t>
      </w:r>
    </w:p>
    <w:p w14:paraId="6953934A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5.安全工器具：配齐绝缘作业工具、验电器、接地线、绝缘垫等安全防护器具，全部符合高压机房作业安全标准。</w:t>
      </w:r>
    </w:p>
    <w:p w14:paraId="6C23E7B3">
      <w:pPr>
        <w:spacing w:before="300" w:after="120" w:line="360" w:lineRule="auto"/>
        <w:jc w:val="left"/>
        <w:outlineLvl w:val="2"/>
        <w:rPr>
          <w:rFonts w:asciiTheme="minorEastAsia" w:hAnsiTheme="minorEastAsia"/>
          <w:b/>
          <w:sz w:val="24"/>
          <w:szCs w:val="24"/>
        </w:rPr>
      </w:pPr>
      <w:bookmarkStart w:id="6" w:name="_Toc928691852"/>
      <w:bookmarkStart w:id="7" w:name="heading_10"/>
      <w:r>
        <w:rPr>
          <w:rFonts w:cs="Arial" w:asciiTheme="minorEastAsia" w:hAnsiTheme="minorEastAsia"/>
          <w:b/>
          <w:sz w:val="24"/>
          <w:szCs w:val="24"/>
        </w:rPr>
        <w:t>2.</w:t>
      </w:r>
      <w:r>
        <w:rPr>
          <w:rFonts w:hint="eastAsia" w:cs="Arial" w:asciiTheme="minorEastAsia" w:hAnsiTheme="minorEastAsia"/>
          <w:b/>
          <w:sz w:val="24"/>
          <w:szCs w:val="24"/>
        </w:rPr>
        <w:t>1</w:t>
      </w:r>
      <w:r>
        <w:rPr>
          <w:rFonts w:cs="Arial" w:asciiTheme="minorEastAsia" w:hAnsiTheme="minorEastAsia"/>
          <w:b/>
          <w:sz w:val="24"/>
          <w:szCs w:val="24"/>
        </w:rPr>
        <w:t>.3 现场准备</w:t>
      </w:r>
      <w:bookmarkEnd w:id="6"/>
      <w:bookmarkEnd w:id="7"/>
    </w:p>
    <w:p w14:paraId="1553594D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对施工作业区域进行全面排查，确认区域内消防器材、消防设施完好有效、摆放规范、在有效期内，满足施工现场消防安全管控要求。</w:t>
      </w:r>
    </w:p>
    <w:p w14:paraId="0DB31929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施工前对机房原有运行UPS设备及后端承载负载进行全面巡检，核查设备运行参数、工作状态、线路连接情况，确认原有设备运行稳定、无故障隐患，具备施工改造前置条件。</w:t>
      </w:r>
    </w:p>
    <w:p w14:paraId="7A6C9C56">
      <w:pPr>
        <w:spacing w:before="320" w:after="120" w:line="360" w:lineRule="auto"/>
        <w:jc w:val="left"/>
        <w:outlineLvl w:val="1"/>
        <w:rPr>
          <w:rFonts w:asciiTheme="minorEastAsia" w:hAnsiTheme="minorEastAsia"/>
          <w:b/>
          <w:sz w:val="24"/>
          <w:szCs w:val="24"/>
        </w:rPr>
      </w:pPr>
      <w:bookmarkStart w:id="8" w:name="_Toc356100380"/>
      <w:bookmarkStart w:id="9" w:name="heading_11"/>
      <w:r>
        <w:rPr>
          <w:rFonts w:cs="Arial" w:asciiTheme="minorEastAsia" w:hAnsiTheme="minorEastAsia"/>
          <w:b/>
          <w:sz w:val="24"/>
          <w:szCs w:val="24"/>
        </w:rPr>
        <w:t>2.</w:t>
      </w:r>
      <w:r>
        <w:rPr>
          <w:rFonts w:hint="eastAsia" w:cs="Arial" w:asciiTheme="minorEastAsia" w:hAnsiTheme="minorEastAsia"/>
          <w:b/>
          <w:sz w:val="24"/>
          <w:szCs w:val="24"/>
        </w:rPr>
        <w:t>2</w:t>
      </w:r>
      <w:r>
        <w:rPr>
          <w:rFonts w:cs="Arial" w:asciiTheme="minorEastAsia" w:hAnsiTheme="minorEastAsia"/>
          <w:b/>
          <w:sz w:val="24"/>
          <w:szCs w:val="24"/>
        </w:rPr>
        <w:t xml:space="preserve"> </w:t>
      </w:r>
      <w:r>
        <w:rPr>
          <w:rFonts w:hint="eastAsia" w:cs="Arial" w:asciiTheme="minorEastAsia" w:hAnsiTheme="minorEastAsia"/>
          <w:b/>
          <w:sz w:val="24"/>
          <w:szCs w:val="24"/>
        </w:rPr>
        <w:t>改造</w:t>
      </w:r>
      <w:r>
        <w:rPr>
          <w:rFonts w:cs="Arial" w:asciiTheme="minorEastAsia" w:hAnsiTheme="minorEastAsia"/>
          <w:b/>
          <w:sz w:val="24"/>
          <w:szCs w:val="24"/>
        </w:rPr>
        <w:t>总体流程</w:t>
      </w:r>
      <w:bookmarkEnd w:id="8"/>
      <w:bookmarkEnd w:id="9"/>
    </w:p>
    <w:p w14:paraId="7EE7A213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cs="Arial" w:asciiTheme="minorEastAsia" w:hAnsiTheme="minorEastAsia"/>
          <w:bCs/>
          <w:sz w:val="24"/>
          <w:szCs w:val="24"/>
        </w:rPr>
        <w:t>第一阶段：施工前准备与安全技术交底</w:t>
      </w:r>
      <w:r>
        <w:rPr>
          <w:rFonts w:hint="eastAsia" w:cs="Arial" w:asciiTheme="minorEastAsia" w:hAnsiTheme="minorEastAsia"/>
          <w:bCs/>
          <w:sz w:val="24"/>
          <w:szCs w:val="24"/>
        </w:rPr>
        <w:t>；</w:t>
      </w:r>
    </w:p>
    <w:p w14:paraId="020F2D63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cs="Arial" w:asciiTheme="minorEastAsia" w:hAnsiTheme="minorEastAsia"/>
          <w:bCs/>
          <w:sz w:val="24"/>
          <w:szCs w:val="24"/>
        </w:rPr>
        <w:t>第二阶段：拆除</w:t>
      </w:r>
      <w:r>
        <w:rPr>
          <w:rFonts w:hint="eastAsia" w:cs="Arial" w:asciiTheme="minorEastAsia" w:hAnsiTheme="minorEastAsia"/>
          <w:bCs/>
          <w:sz w:val="24"/>
          <w:szCs w:val="24"/>
        </w:rPr>
        <w:t>原</w:t>
      </w:r>
      <w:r>
        <w:rPr>
          <w:rFonts w:cs="Arial" w:asciiTheme="minorEastAsia" w:hAnsiTheme="minorEastAsia"/>
          <w:bCs/>
          <w:sz w:val="24"/>
          <w:szCs w:val="24"/>
        </w:rPr>
        <w:t>施耐德UPS</w:t>
      </w:r>
      <w:r>
        <w:rPr>
          <w:rFonts w:hint="eastAsia" w:cs="Arial" w:asciiTheme="minorEastAsia" w:hAnsiTheme="minorEastAsia"/>
          <w:bCs/>
          <w:sz w:val="24"/>
          <w:szCs w:val="24"/>
        </w:rPr>
        <w:t>；</w:t>
      </w:r>
    </w:p>
    <w:p w14:paraId="046DE38B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cs="Arial" w:asciiTheme="minorEastAsia" w:hAnsiTheme="minorEastAsia"/>
          <w:bCs/>
          <w:sz w:val="24"/>
          <w:szCs w:val="24"/>
        </w:rPr>
        <w:t>第</w:t>
      </w:r>
      <w:r>
        <w:rPr>
          <w:rFonts w:hint="eastAsia" w:cs="Arial" w:asciiTheme="minorEastAsia" w:hAnsiTheme="minorEastAsia"/>
          <w:bCs/>
          <w:sz w:val="24"/>
          <w:szCs w:val="24"/>
        </w:rPr>
        <w:t>三</w:t>
      </w:r>
      <w:r>
        <w:rPr>
          <w:rFonts w:cs="Arial" w:asciiTheme="minorEastAsia" w:hAnsiTheme="minorEastAsia"/>
          <w:bCs/>
          <w:sz w:val="24"/>
          <w:szCs w:val="24"/>
        </w:rPr>
        <w:t>阶段：新增UPS安装</w:t>
      </w:r>
      <w:r>
        <w:rPr>
          <w:rFonts w:hint="eastAsia" w:cs="Arial" w:asciiTheme="minorEastAsia" w:hAnsiTheme="minorEastAsia"/>
          <w:bCs/>
          <w:sz w:val="24"/>
          <w:szCs w:val="24"/>
        </w:rPr>
        <w:t>与</w:t>
      </w:r>
      <w:r>
        <w:rPr>
          <w:rFonts w:cs="Arial" w:asciiTheme="minorEastAsia" w:hAnsiTheme="minorEastAsia"/>
          <w:bCs/>
          <w:sz w:val="24"/>
          <w:szCs w:val="24"/>
        </w:rPr>
        <w:t>接线</w:t>
      </w:r>
      <w:r>
        <w:rPr>
          <w:rFonts w:hint="eastAsia" w:cs="Arial" w:asciiTheme="minorEastAsia" w:hAnsiTheme="minorEastAsia"/>
          <w:bCs/>
          <w:sz w:val="24"/>
          <w:szCs w:val="24"/>
        </w:rPr>
        <w:t>；</w:t>
      </w:r>
    </w:p>
    <w:p w14:paraId="243414F1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cs="Arial" w:asciiTheme="minorEastAsia" w:hAnsiTheme="minorEastAsia"/>
          <w:bCs/>
          <w:sz w:val="24"/>
          <w:szCs w:val="24"/>
        </w:rPr>
        <w:t>第</w:t>
      </w:r>
      <w:r>
        <w:rPr>
          <w:rFonts w:hint="eastAsia" w:cs="Arial" w:asciiTheme="minorEastAsia" w:hAnsiTheme="minorEastAsia"/>
          <w:bCs/>
          <w:sz w:val="24"/>
          <w:szCs w:val="24"/>
        </w:rPr>
        <w:t>四</w:t>
      </w:r>
      <w:r>
        <w:rPr>
          <w:rFonts w:cs="Arial" w:asciiTheme="minorEastAsia" w:hAnsiTheme="minorEastAsia"/>
          <w:bCs/>
          <w:sz w:val="24"/>
          <w:szCs w:val="24"/>
        </w:rPr>
        <w:t>阶段：</w:t>
      </w:r>
      <w:r>
        <w:rPr>
          <w:rFonts w:hint="eastAsia" w:cs="Arial" w:asciiTheme="minorEastAsia" w:hAnsiTheme="minorEastAsia"/>
          <w:bCs/>
          <w:sz w:val="24"/>
          <w:szCs w:val="24"/>
        </w:rPr>
        <w:t>ATS双电源维修改造；</w:t>
      </w:r>
    </w:p>
    <w:p w14:paraId="0E150DA8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cs="Arial" w:asciiTheme="minorEastAsia" w:hAnsiTheme="minorEastAsia"/>
          <w:bCs/>
          <w:sz w:val="24"/>
          <w:szCs w:val="24"/>
        </w:rPr>
        <w:t>第五阶段：UPS</w:t>
      </w:r>
      <w:r>
        <w:rPr>
          <w:rFonts w:hint="eastAsia" w:cs="Arial" w:asciiTheme="minorEastAsia" w:hAnsiTheme="minorEastAsia"/>
          <w:bCs/>
          <w:sz w:val="24"/>
          <w:szCs w:val="24"/>
        </w:rPr>
        <w:t>系统</w:t>
      </w:r>
      <w:r>
        <w:rPr>
          <w:rFonts w:cs="Arial" w:asciiTheme="minorEastAsia" w:hAnsiTheme="minorEastAsia"/>
          <w:bCs/>
          <w:sz w:val="24"/>
          <w:szCs w:val="24"/>
        </w:rPr>
        <w:t>调试</w:t>
      </w:r>
      <w:r>
        <w:rPr>
          <w:rFonts w:hint="eastAsia" w:cs="Arial" w:asciiTheme="minorEastAsia" w:hAnsiTheme="minorEastAsia"/>
          <w:bCs/>
          <w:sz w:val="24"/>
          <w:szCs w:val="24"/>
        </w:rPr>
        <w:t>；</w:t>
      </w:r>
    </w:p>
    <w:p w14:paraId="63F62356">
      <w:pPr>
        <w:spacing w:before="320" w:after="120" w:line="360" w:lineRule="auto"/>
        <w:jc w:val="left"/>
        <w:outlineLvl w:val="1"/>
        <w:rPr>
          <w:rFonts w:asciiTheme="minorEastAsia" w:hAnsiTheme="minorEastAsia"/>
          <w:b/>
          <w:sz w:val="24"/>
          <w:szCs w:val="24"/>
        </w:rPr>
      </w:pPr>
      <w:bookmarkStart w:id="10" w:name="heading_12"/>
      <w:bookmarkStart w:id="11" w:name="_Toc1765531207"/>
      <w:r>
        <w:rPr>
          <w:rFonts w:cs="Arial" w:asciiTheme="minorEastAsia" w:hAnsiTheme="minorEastAsia"/>
          <w:b/>
          <w:sz w:val="24"/>
          <w:szCs w:val="24"/>
        </w:rPr>
        <w:t>2.</w:t>
      </w:r>
      <w:r>
        <w:rPr>
          <w:rFonts w:hint="eastAsia" w:cs="Arial" w:asciiTheme="minorEastAsia" w:hAnsiTheme="minorEastAsia"/>
          <w:b/>
          <w:sz w:val="24"/>
          <w:szCs w:val="24"/>
        </w:rPr>
        <w:t>3</w:t>
      </w:r>
      <w:r>
        <w:rPr>
          <w:rFonts w:cs="Arial" w:asciiTheme="minorEastAsia" w:hAnsiTheme="minorEastAsia"/>
          <w:b/>
          <w:sz w:val="24"/>
          <w:szCs w:val="24"/>
        </w:rPr>
        <w:t xml:space="preserve"> 各阶段</w:t>
      </w:r>
      <w:bookmarkEnd w:id="10"/>
      <w:r>
        <w:rPr>
          <w:rFonts w:hint="eastAsia" w:cs="Arial" w:asciiTheme="minorEastAsia" w:hAnsiTheme="minorEastAsia"/>
          <w:b/>
          <w:sz w:val="24"/>
          <w:szCs w:val="24"/>
        </w:rPr>
        <w:t>实施详细方案</w:t>
      </w:r>
      <w:bookmarkEnd w:id="11"/>
    </w:p>
    <w:p w14:paraId="3E9C0B79">
      <w:pPr>
        <w:spacing w:before="300" w:after="120" w:line="360" w:lineRule="auto"/>
        <w:jc w:val="left"/>
        <w:outlineLvl w:val="2"/>
        <w:rPr>
          <w:rFonts w:asciiTheme="minorEastAsia" w:hAnsiTheme="minorEastAsia"/>
          <w:b/>
          <w:sz w:val="24"/>
          <w:szCs w:val="24"/>
        </w:rPr>
      </w:pPr>
      <w:bookmarkStart w:id="12" w:name="heading_13"/>
      <w:bookmarkStart w:id="13" w:name="_Toc1418821615"/>
      <w:r>
        <w:rPr>
          <w:rFonts w:cs="Arial" w:asciiTheme="minorEastAsia" w:hAnsiTheme="minorEastAsia"/>
          <w:b/>
          <w:sz w:val="24"/>
          <w:szCs w:val="24"/>
        </w:rPr>
        <w:t>2.</w:t>
      </w:r>
      <w:r>
        <w:rPr>
          <w:rFonts w:hint="eastAsia" w:cs="Arial" w:asciiTheme="minorEastAsia" w:hAnsiTheme="minorEastAsia"/>
          <w:b/>
          <w:sz w:val="24"/>
          <w:szCs w:val="24"/>
        </w:rPr>
        <w:t>3</w:t>
      </w:r>
      <w:r>
        <w:rPr>
          <w:rFonts w:cs="Arial" w:asciiTheme="minorEastAsia" w:hAnsiTheme="minorEastAsia"/>
          <w:b/>
          <w:sz w:val="24"/>
          <w:szCs w:val="24"/>
        </w:rPr>
        <w:t>.1 第一阶段：施工前准备与安全交底</w:t>
      </w:r>
      <w:bookmarkEnd w:id="12"/>
      <w:bookmarkEnd w:id="13"/>
    </w:p>
    <w:p w14:paraId="6E236495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施工负责人组织全体作业人员召开班前安全例会，开展专项安全技术交底工作，明确本次施工作业人员分工、作业区域及作业内容，详细梳理现场危险点位，同步公示、落实对应的安全防控措施，确保所有作业人员熟知作业要求及安全注意事项。</w:t>
      </w:r>
    </w:p>
    <w:p w14:paraId="31DBEF3A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全面检查本次施工所用各类工器具、检测仪表，确认设备完好、性能有效、可正常投入使用，所有绝缘工具均在有效检验周期内，杜绝不合格设备、超期设备进场作业。</w:t>
      </w:r>
    </w:p>
    <w:p w14:paraId="632EB254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对原有UPS设备运行状态进行全面核查，精准检测并规范记录设备输入电压、输出电压、负载率、电池电压等核心运行参数，留存完整设备运行数据，为后续施工及设备运维提供数据依据。</w:t>
      </w:r>
    </w:p>
    <w:p w14:paraId="0445D6FD">
      <w:pPr>
        <w:spacing w:before="300" w:after="120" w:line="360" w:lineRule="auto"/>
        <w:jc w:val="left"/>
        <w:outlineLvl w:val="2"/>
        <w:rPr>
          <w:rFonts w:asciiTheme="minorEastAsia" w:hAnsiTheme="minorEastAsia"/>
          <w:b/>
          <w:sz w:val="24"/>
          <w:szCs w:val="24"/>
        </w:rPr>
      </w:pPr>
      <w:bookmarkStart w:id="14" w:name="heading_14"/>
      <w:bookmarkStart w:id="15" w:name="_Toc623810722"/>
      <w:r>
        <w:rPr>
          <w:rFonts w:cs="Arial" w:asciiTheme="minorEastAsia" w:hAnsiTheme="minorEastAsia"/>
          <w:b/>
          <w:sz w:val="24"/>
          <w:szCs w:val="24"/>
        </w:rPr>
        <w:t>2.</w:t>
      </w:r>
      <w:r>
        <w:rPr>
          <w:rFonts w:hint="eastAsia" w:cs="Arial" w:asciiTheme="minorEastAsia" w:hAnsiTheme="minorEastAsia"/>
          <w:b/>
          <w:sz w:val="24"/>
          <w:szCs w:val="24"/>
        </w:rPr>
        <w:t>3</w:t>
      </w:r>
      <w:r>
        <w:rPr>
          <w:rFonts w:cs="Arial" w:asciiTheme="minorEastAsia" w:hAnsiTheme="minorEastAsia"/>
          <w:b/>
          <w:sz w:val="24"/>
          <w:szCs w:val="24"/>
        </w:rPr>
        <w:t>.2 第二阶段：拆除</w:t>
      </w:r>
      <w:r>
        <w:rPr>
          <w:rFonts w:hint="eastAsia" w:cs="Arial" w:asciiTheme="minorEastAsia" w:hAnsiTheme="minorEastAsia"/>
          <w:b/>
          <w:sz w:val="24"/>
          <w:szCs w:val="24"/>
        </w:rPr>
        <w:t>原</w:t>
      </w:r>
      <w:r>
        <w:rPr>
          <w:rFonts w:cs="Arial" w:asciiTheme="minorEastAsia" w:hAnsiTheme="minorEastAsia"/>
          <w:b/>
          <w:sz w:val="24"/>
          <w:szCs w:val="24"/>
        </w:rPr>
        <w:t>施耐德UPS</w:t>
      </w:r>
      <w:bookmarkEnd w:id="14"/>
      <w:bookmarkEnd w:id="15"/>
    </w:p>
    <w:p w14:paraId="15924D14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1、将施耐德UPS切换至电子旁路运行状态，设备保持正常输出电压，全程保障后端负载不间断正常运行。</w:t>
      </w:r>
    </w:p>
    <w:p w14:paraId="03C023E4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2、闭合现场预留的(原系统已预留)手动旁路断路器，完成负载供电回路切换，确保供电稳定无中断。</w:t>
      </w:r>
    </w:p>
    <w:p w14:paraId="35E46B39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3、完成UPS停机操作，依次断开设备输入、输出断路器及对应开关，现场验电确认设备各回路无残余电压，满足安全施工条件。</w:t>
      </w:r>
    </w:p>
    <w:p w14:paraId="450F7B2A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4、拆除UPS主机之间的动力连接线、控制线缆及通信线缆，对各类线缆进行分类整理、标识并妥善存放，避免线缆混杂、损坏或丢失。</w:t>
      </w:r>
    </w:p>
    <w:p w14:paraId="225B9A6F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5、拆除UPS主机与电池组之间的连接电缆，线缆拆除完成后，立即对电缆裸露端头进行绝缘包扎处理，杜绝漏电、短路安全隐患。</w:t>
      </w:r>
    </w:p>
    <w:p w14:paraId="556D4EB4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6、对UPS主机设备进行分体拆解，降低设备整体重量，便于转运，将拆解后的设备部件平稳运输至客户制定位置统一暂存。</w:t>
      </w:r>
    </w:p>
    <w:p w14:paraId="4C01075E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7、清理UPS原有安装区域的杂物与灰尘，全面检查安装地面、走线线槽的完好情况、平整度及可用性，排查破损、松动、积污等问题，做好记录整改，为新增设备进场就位、安装调试做好前期准备工作。</w:t>
      </w:r>
    </w:p>
    <w:p w14:paraId="58CF8DC3">
      <w:pPr>
        <w:spacing w:before="300" w:after="120" w:line="360" w:lineRule="auto"/>
        <w:jc w:val="left"/>
        <w:outlineLvl w:val="2"/>
        <w:rPr>
          <w:rFonts w:asciiTheme="minorEastAsia" w:hAnsiTheme="minorEastAsia"/>
          <w:b/>
          <w:sz w:val="24"/>
          <w:szCs w:val="24"/>
        </w:rPr>
      </w:pPr>
      <w:bookmarkStart w:id="16" w:name="heading_17"/>
      <w:bookmarkStart w:id="17" w:name="_Toc1604345659"/>
      <w:bookmarkStart w:id="18" w:name="heading_15"/>
      <w:r>
        <w:rPr>
          <w:rFonts w:cs="Arial" w:asciiTheme="minorEastAsia" w:hAnsiTheme="minorEastAsia"/>
          <w:b/>
          <w:sz w:val="24"/>
          <w:szCs w:val="24"/>
        </w:rPr>
        <w:t>2.</w:t>
      </w:r>
      <w:r>
        <w:rPr>
          <w:rFonts w:hint="eastAsia" w:cs="Arial" w:asciiTheme="minorEastAsia" w:hAnsiTheme="minorEastAsia"/>
          <w:b/>
          <w:sz w:val="24"/>
          <w:szCs w:val="24"/>
        </w:rPr>
        <w:t>3</w:t>
      </w:r>
      <w:r>
        <w:rPr>
          <w:rFonts w:cs="Arial" w:asciiTheme="minorEastAsia" w:hAnsiTheme="minorEastAsia"/>
          <w:b/>
          <w:sz w:val="24"/>
          <w:szCs w:val="24"/>
        </w:rPr>
        <w:t>.</w:t>
      </w:r>
      <w:r>
        <w:rPr>
          <w:rFonts w:hint="eastAsia" w:cs="Arial" w:asciiTheme="minorEastAsia" w:hAnsiTheme="minorEastAsia"/>
          <w:b/>
          <w:sz w:val="24"/>
          <w:szCs w:val="24"/>
        </w:rPr>
        <w:t>3</w:t>
      </w:r>
      <w:r>
        <w:rPr>
          <w:rFonts w:cs="Arial" w:asciiTheme="minorEastAsia" w:hAnsiTheme="minorEastAsia"/>
          <w:b/>
          <w:sz w:val="24"/>
          <w:szCs w:val="24"/>
        </w:rPr>
        <w:t xml:space="preserve"> 第</w:t>
      </w:r>
      <w:r>
        <w:rPr>
          <w:rFonts w:hint="eastAsia" w:cs="Arial" w:asciiTheme="minorEastAsia" w:hAnsiTheme="minorEastAsia"/>
          <w:b/>
          <w:sz w:val="24"/>
          <w:szCs w:val="24"/>
        </w:rPr>
        <w:t>三</w:t>
      </w:r>
      <w:r>
        <w:rPr>
          <w:rFonts w:cs="Arial" w:asciiTheme="minorEastAsia" w:hAnsiTheme="minorEastAsia"/>
          <w:b/>
          <w:sz w:val="24"/>
          <w:szCs w:val="24"/>
        </w:rPr>
        <w:t>阶段：新增UPS安装与接线</w:t>
      </w:r>
      <w:bookmarkEnd w:id="16"/>
      <w:bookmarkEnd w:id="17"/>
    </w:p>
    <w:p w14:paraId="16902132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1、将新增 UPS 主机转运至原有施耐德UPS安装点位，调平设备水平度，紧固地脚螺栓完成设备固定。</w:t>
      </w:r>
    </w:p>
    <w:p w14:paraId="6F82C0C3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2、UPS 输入电缆接驳：将原施耐德UPS输入开关下端线缆接入新增 UPS 输入接线端子，复核三相相序无误，所有接线压紧紧固。</w:t>
      </w:r>
    </w:p>
    <w:p w14:paraId="72406123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3、UPS 输出电缆接驳：将原输出并机开关对应回路线缆接入新增 UPS 输出接线端子，规范压接固定。</w:t>
      </w:r>
    </w:p>
    <w:p w14:paraId="31E647EC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4、完成蓄电池组与新增UPS主机线缆连接，严格核对电池正负极极性，保证接头连接牢靠。</w:t>
      </w:r>
    </w:p>
    <w:p w14:paraId="1D84866B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5、分别对输入回路、输出回路、电池回路开展绝缘电阻测试，核验回路无短路、无接地异常故障。</w:t>
      </w:r>
    </w:p>
    <w:p w14:paraId="54BB1AA0">
      <w:pPr>
        <w:spacing w:before="300" w:after="120" w:line="360" w:lineRule="auto"/>
        <w:jc w:val="left"/>
        <w:outlineLvl w:val="2"/>
        <w:rPr>
          <w:rFonts w:cs="Arial" w:asciiTheme="minorEastAsia" w:hAnsiTheme="minorEastAsia"/>
          <w:b/>
          <w:sz w:val="24"/>
          <w:szCs w:val="24"/>
        </w:rPr>
      </w:pPr>
      <w:bookmarkStart w:id="19" w:name="_Toc200220829"/>
      <w:r>
        <w:rPr>
          <w:rFonts w:cs="Arial" w:asciiTheme="minorEastAsia" w:hAnsiTheme="minorEastAsia"/>
          <w:b/>
          <w:sz w:val="24"/>
          <w:szCs w:val="24"/>
        </w:rPr>
        <w:t>2.</w:t>
      </w:r>
      <w:r>
        <w:rPr>
          <w:rFonts w:hint="eastAsia" w:cs="Arial" w:asciiTheme="minorEastAsia" w:hAnsiTheme="minorEastAsia"/>
          <w:b/>
          <w:sz w:val="24"/>
          <w:szCs w:val="24"/>
        </w:rPr>
        <w:t>3</w:t>
      </w:r>
      <w:r>
        <w:rPr>
          <w:rFonts w:cs="Arial" w:asciiTheme="minorEastAsia" w:hAnsiTheme="minorEastAsia"/>
          <w:b/>
          <w:sz w:val="24"/>
          <w:szCs w:val="24"/>
        </w:rPr>
        <w:t>.</w:t>
      </w:r>
      <w:r>
        <w:rPr>
          <w:rFonts w:hint="eastAsia" w:cs="Arial" w:asciiTheme="minorEastAsia" w:hAnsiTheme="minorEastAsia"/>
          <w:b/>
          <w:sz w:val="24"/>
          <w:szCs w:val="24"/>
        </w:rPr>
        <w:t>4</w:t>
      </w:r>
      <w:r>
        <w:rPr>
          <w:rFonts w:cs="Arial" w:asciiTheme="minorEastAsia" w:hAnsiTheme="minorEastAsia"/>
          <w:b/>
          <w:sz w:val="24"/>
          <w:szCs w:val="24"/>
        </w:rPr>
        <w:t xml:space="preserve"> 第</w:t>
      </w:r>
      <w:r>
        <w:rPr>
          <w:rFonts w:hint="eastAsia" w:cs="Arial" w:asciiTheme="minorEastAsia" w:hAnsiTheme="minorEastAsia"/>
          <w:b/>
          <w:sz w:val="24"/>
          <w:szCs w:val="24"/>
        </w:rPr>
        <w:t>四</w:t>
      </w:r>
      <w:r>
        <w:rPr>
          <w:rFonts w:cs="Arial" w:asciiTheme="minorEastAsia" w:hAnsiTheme="minorEastAsia"/>
          <w:b/>
          <w:sz w:val="24"/>
          <w:szCs w:val="24"/>
        </w:rPr>
        <w:t>阶段：</w:t>
      </w:r>
      <w:bookmarkEnd w:id="18"/>
      <w:r>
        <w:rPr>
          <w:rFonts w:cs="Arial" w:asciiTheme="minorEastAsia" w:hAnsiTheme="minorEastAsia"/>
          <w:b/>
          <w:sz w:val="24"/>
          <w:szCs w:val="24"/>
        </w:rPr>
        <w:t>ATS双电源维修改造</w:t>
      </w:r>
      <w:bookmarkEnd w:id="19"/>
    </w:p>
    <w:p w14:paraId="32AE36CC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1、搭建临时蓄电池组（32块12V100AH）</w:t>
      </w:r>
    </w:p>
    <w:p w14:paraId="090A9C22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临时增加32块12V200AH的蓄电池，搭建临时蓄电池组，将临时蓄电池组并入新增UPS主机中，保障后台终端系统负载正常运行的情况下，在ATS维修期间保证后备延时间至40分钟。</w:t>
      </w:r>
    </w:p>
    <w:p w14:paraId="2300445B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2、主机与蓄电池完成充电（36小时）</w:t>
      </w:r>
    </w:p>
    <w:p w14:paraId="1A97DF55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临时蓄电池组接入新增UPS供电系统后，对后端设备持续供电的同时，完成蓄电池的充电，充电时长约36小时后进行ATS设备维修。</w:t>
      </w:r>
    </w:p>
    <w:p w14:paraId="51AA6D71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3、彻底断电及安全验电作业</w:t>
      </w:r>
    </w:p>
    <w:p w14:paraId="6A981F03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完成充电后，待确认新增UPS供电系统运行稳定可靠后，依次断开ATS设备全部进线、出线电源开关，对设备柜体、接线端子及回路进行全面验电，并做好接地放电操作，确认设备及线路无残余电压，彻底消除施工触电风险。</w:t>
      </w:r>
    </w:p>
    <w:p w14:paraId="314F8F8C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4、老旧ATS设备拆除作业</w:t>
      </w:r>
    </w:p>
    <w:p w14:paraId="2CA61F7A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按规范依次拆除老旧ATS设备的进出线动力电缆、设备固定螺栓及二次控制信号线缆；拆除过程中对所有线缆逐一做好线号标识、对应台账记录，确保线缆编号清晰、一一对应。完成线缆拆除后，整体移出老旧ATS设备，彻底清理柜内安装底座、线槽及柜体内部残留杂物、灰尘，保持安装点位干净整洁。</w:t>
      </w:r>
    </w:p>
    <w:p w14:paraId="5D8AD446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5、全新ATS控制器模块安装固定</w:t>
      </w:r>
    </w:p>
    <w:p w14:paraId="4079330B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将新ATS控制器模块就位至原部件安装位置，对新替换控制器进行水平、垂直度校准调整，均匀紧固该模块固定螺栓，确保设备安装端正、贴合牢固，无松动、无晃动，符合电气设备安装规范要求。</w:t>
      </w:r>
    </w:p>
    <w:p w14:paraId="68BB8EA9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6、线缆复位接线施工</w:t>
      </w:r>
    </w:p>
    <w:p w14:paraId="46797604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严格按照前期标记的线号及原有接线工艺标准，依次完成市电进线、备用发电机进线、负载出线及二次控制回路线缆的复位接线作业。接线过程中保证线序、相序正确，铜排连接平整贴合，所有接线端子按标准扭矩紧固，杜绝虚接、松动、错接、反接等施工隐患，确保接线工艺规范、电气连接可靠。</w:t>
      </w:r>
    </w:p>
    <w:p w14:paraId="795BF524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7、设备调试检测</w:t>
      </w:r>
    </w:p>
    <w:p w14:paraId="48BBE02A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设备安装接线完成后，开展手动、自动模式全功能调试，验证ATS切换性能及运行工况。</w:t>
      </w:r>
    </w:p>
    <w:p w14:paraId="778A43F3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（1）手动模式调试</w:t>
      </w:r>
    </w:p>
    <w:p w14:paraId="4D120BED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将ATS设备切换至手动工作模式，分别手动完成市电回路、备用电源回路合闸操作。检查开关机构动作顺畅、无卡顿、无机械异响，设备指示灯、状态显示与实际供电回路状态完全一致，手动切换功能正常。</w:t>
      </w:r>
    </w:p>
    <w:p w14:paraId="1BAB8FC6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（2）自动模式调试</w:t>
      </w:r>
    </w:p>
    <w:p w14:paraId="55029BF1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市电正常工况下：ATS设备自动投入市电回路为负载供电，设备运行参数正常、状态显示准确。</w:t>
      </w:r>
    </w:p>
    <w:p w14:paraId="72BF4756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模拟市电断电工况：人为断开市电供电，ATS按照设定延时参数自动切换至备用电源供电，切换过程平稳无间断、无跳闸、无负载断电异常。</w:t>
      </w:r>
    </w:p>
    <w:p w14:paraId="0768E6CF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模拟市电恢复工况：市电供电恢复正常后，ATS自动切回市电主供模式，备用电源回路自动脱扣复位待机，切换逻辑准确、动作可靠，完全满足双电源自动切换运行要求。</w:t>
      </w:r>
    </w:p>
    <w:p w14:paraId="268D91C8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8、临时蓄电池组拆卸</w:t>
      </w:r>
    </w:p>
    <w:p w14:paraId="55B94BA0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cs="Arial" w:asciiTheme="minorEastAsia" w:hAnsiTheme="minorEastAsia"/>
          <w:bCs/>
          <w:sz w:val="24"/>
          <w:szCs w:val="24"/>
        </w:rPr>
        <w:t>拆除32块临时蓄电池，完成现场清理、场地原貌恢复工作</w:t>
      </w:r>
      <w:r>
        <w:rPr>
          <w:rFonts w:hint="eastAsia" w:cs="Arial" w:asciiTheme="minorEastAsia" w:hAnsiTheme="minorEastAsia"/>
          <w:bCs/>
          <w:sz w:val="24"/>
          <w:szCs w:val="24"/>
        </w:rPr>
        <w:t>。</w:t>
      </w:r>
    </w:p>
    <w:p w14:paraId="4FDA480D">
      <w:pPr>
        <w:spacing w:before="300" w:after="120" w:line="360" w:lineRule="auto"/>
        <w:jc w:val="left"/>
        <w:outlineLvl w:val="2"/>
        <w:rPr>
          <w:rFonts w:asciiTheme="minorEastAsia" w:hAnsiTheme="minorEastAsia"/>
          <w:b/>
          <w:sz w:val="24"/>
          <w:szCs w:val="24"/>
        </w:rPr>
      </w:pPr>
      <w:bookmarkStart w:id="20" w:name="heading_18"/>
      <w:bookmarkStart w:id="21" w:name="_Toc1467446887"/>
      <w:r>
        <w:rPr>
          <w:rFonts w:cs="Arial" w:asciiTheme="minorEastAsia" w:hAnsiTheme="minorEastAsia"/>
          <w:b/>
          <w:sz w:val="24"/>
          <w:szCs w:val="24"/>
        </w:rPr>
        <w:t>2.</w:t>
      </w:r>
      <w:r>
        <w:rPr>
          <w:rFonts w:hint="eastAsia" w:cs="Arial" w:asciiTheme="minorEastAsia" w:hAnsiTheme="minorEastAsia"/>
          <w:b/>
          <w:sz w:val="24"/>
          <w:szCs w:val="24"/>
        </w:rPr>
        <w:t>3</w:t>
      </w:r>
      <w:r>
        <w:rPr>
          <w:rFonts w:cs="Arial" w:asciiTheme="minorEastAsia" w:hAnsiTheme="minorEastAsia"/>
          <w:b/>
          <w:sz w:val="24"/>
          <w:szCs w:val="24"/>
        </w:rPr>
        <w:t>.5 第五阶段：UPS</w:t>
      </w:r>
      <w:r>
        <w:rPr>
          <w:rFonts w:hint="eastAsia" w:cs="Arial" w:asciiTheme="minorEastAsia" w:hAnsiTheme="minorEastAsia"/>
          <w:b/>
          <w:sz w:val="24"/>
          <w:szCs w:val="24"/>
        </w:rPr>
        <w:t>系统</w:t>
      </w:r>
      <w:r>
        <w:rPr>
          <w:rFonts w:cs="Arial" w:asciiTheme="minorEastAsia" w:hAnsiTheme="minorEastAsia"/>
          <w:b/>
          <w:sz w:val="24"/>
          <w:szCs w:val="24"/>
        </w:rPr>
        <w:t>调试</w:t>
      </w:r>
      <w:bookmarkEnd w:id="20"/>
      <w:bookmarkEnd w:id="21"/>
    </w:p>
    <w:p w14:paraId="6443A8D3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1、</w:t>
      </w:r>
      <w:r>
        <w:rPr>
          <w:rFonts w:cs="Arial" w:asciiTheme="minorEastAsia" w:hAnsiTheme="minorEastAsia"/>
          <w:bCs/>
          <w:sz w:val="24"/>
          <w:szCs w:val="24"/>
        </w:rPr>
        <w:t>检查新增UPS设备所有开关状态，确保设备各类开关、负载开关均处于完全断开状态，杜绝带电误操作风险。</w:t>
      </w:r>
    </w:p>
    <w:p w14:paraId="589C94F9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2、</w:t>
      </w:r>
      <w:r>
        <w:rPr>
          <w:rFonts w:cs="Arial" w:asciiTheme="minorEastAsia" w:hAnsiTheme="minorEastAsia"/>
          <w:bCs/>
          <w:sz w:val="24"/>
          <w:szCs w:val="24"/>
        </w:rPr>
        <w:t>闭合UPS设备输入开关，启动设备运行，全程观察、核查UPS启动自检全过程，确认自检流程顺利、无异常报错及故障提示。</w:t>
      </w:r>
    </w:p>
    <w:p w14:paraId="3D23F831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3、</w:t>
      </w:r>
      <w:r>
        <w:rPr>
          <w:rFonts w:cs="Arial" w:asciiTheme="minorEastAsia" w:hAnsiTheme="minorEastAsia"/>
          <w:bCs/>
          <w:sz w:val="24"/>
          <w:szCs w:val="24"/>
        </w:rPr>
        <w:t>采用专业检测仪器测量UPS设备输出电压、运行频率，核对各项参数指标，确保参数处于设备规范及标准允许的正常范围内。</w:t>
      </w:r>
    </w:p>
    <w:p w14:paraId="714F87E4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4、</w:t>
      </w:r>
      <w:r>
        <w:rPr>
          <w:rFonts w:cs="Arial" w:asciiTheme="minorEastAsia" w:hAnsiTheme="minorEastAsia"/>
          <w:bCs/>
          <w:sz w:val="24"/>
          <w:szCs w:val="24"/>
        </w:rPr>
        <w:t>开展UPS电池模式切换功能测试，人为断开市电输入开关，验证设备可正常切换至电池供电模式，确认电池供电稳定、运行无异常。</w:t>
      </w:r>
    </w:p>
    <w:p w14:paraId="19832836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5、</w:t>
      </w:r>
      <w:r>
        <w:rPr>
          <w:rFonts w:cs="Arial" w:asciiTheme="minorEastAsia" w:hAnsiTheme="minorEastAsia"/>
          <w:bCs/>
          <w:sz w:val="24"/>
          <w:szCs w:val="24"/>
        </w:rPr>
        <w:t>恢复市电输入供电，核查UPS设备可自动、平稳切回市电运行模式，切换过程无卡顿、无故障，运行状态稳定。</w:t>
      </w:r>
    </w:p>
    <w:p w14:paraId="5E42F937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6、</w:t>
      </w:r>
      <w:r>
        <w:rPr>
          <w:rFonts w:cs="Arial" w:asciiTheme="minorEastAsia" w:hAnsiTheme="minorEastAsia"/>
          <w:bCs/>
          <w:sz w:val="24"/>
          <w:szCs w:val="24"/>
        </w:rPr>
        <w:t>完成全部调试及测试工作后，对UPS整体供电系统进行全面复核检查，确认系统运行稳定、供电状态正常，无隐患及异常情况。</w:t>
      </w:r>
    </w:p>
    <w:p w14:paraId="3AFBF66E">
      <w:pPr>
        <w:spacing w:before="320" w:after="120" w:line="360" w:lineRule="auto"/>
        <w:jc w:val="left"/>
        <w:outlineLvl w:val="1"/>
        <w:rPr>
          <w:rFonts w:asciiTheme="minorEastAsia" w:hAnsiTheme="minorEastAsia"/>
          <w:b/>
          <w:sz w:val="24"/>
          <w:szCs w:val="24"/>
        </w:rPr>
      </w:pPr>
      <w:bookmarkStart w:id="22" w:name="_Toc1212654291"/>
      <w:bookmarkStart w:id="23" w:name="heading_21"/>
      <w:r>
        <w:rPr>
          <w:rFonts w:cs="Arial" w:asciiTheme="minorEastAsia" w:hAnsiTheme="minorEastAsia"/>
          <w:b/>
          <w:sz w:val="24"/>
          <w:szCs w:val="24"/>
        </w:rPr>
        <w:t>2.</w:t>
      </w:r>
      <w:r>
        <w:rPr>
          <w:rFonts w:hint="eastAsia" w:cs="Arial" w:asciiTheme="minorEastAsia" w:hAnsiTheme="minorEastAsia"/>
          <w:b/>
          <w:sz w:val="24"/>
          <w:szCs w:val="24"/>
        </w:rPr>
        <w:t>4</w:t>
      </w:r>
      <w:r>
        <w:rPr>
          <w:rFonts w:cs="Arial" w:asciiTheme="minorEastAsia" w:hAnsiTheme="minorEastAsia"/>
          <w:b/>
          <w:sz w:val="24"/>
          <w:szCs w:val="24"/>
        </w:rPr>
        <w:t xml:space="preserve"> </w:t>
      </w:r>
      <w:r>
        <w:rPr>
          <w:rFonts w:hint="eastAsia" w:cs="Arial" w:asciiTheme="minorEastAsia" w:hAnsiTheme="minorEastAsia"/>
          <w:b/>
          <w:sz w:val="24"/>
          <w:szCs w:val="24"/>
        </w:rPr>
        <w:t>改造</w:t>
      </w:r>
      <w:r>
        <w:rPr>
          <w:rFonts w:cs="Arial" w:asciiTheme="minorEastAsia" w:hAnsiTheme="minorEastAsia"/>
          <w:b/>
          <w:sz w:val="24"/>
          <w:szCs w:val="24"/>
        </w:rPr>
        <w:t>进度计划</w:t>
      </w:r>
      <w:bookmarkEnd w:id="22"/>
      <w:bookmarkEnd w:id="23"/>
    </w:p>
    <w:tbl>
      <w:tblPr>
        <w:tblStyle w:val="12"/>
        <w:tblW w:w="8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40"/>
        <w:gridCol w:w="2666"/>
        <w:gridCol w:w="1609"/>
        <w:gridCol w:w="3069"/>
      </w:tblGrid>
      <w:tr w14:paraId="278B2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A62CDF">
            <w:pPr>
              <w:spacing w:before="120" w:after="120"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序号</w:t>
            </w:r>
          </w:p>
        </w:tc>
        <w:tc>
          <w:tcPr>
            <w:tcW w:w="26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17A4E8">
            <w:pPr>
              <w:spacing w:before="120" w:after="120"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施工内容</w:t>
            </w:r>
          </w:p>
        </w:tc>
        <w:tc>
          <w:tcPr>
            <w:tcW w:w="16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94966D">
            <w:pPr>
              <w:spacing w:before="120" w:after="120"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预计工期</w:t>
            </w:r>
          </w:p>
        </w:tc>
        <w:tc>
          <w:tcPr>
            <w:tcW w:w="30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BB1CC5">
            <w:pPr>
              <w:spacing w:before="120" w:after="120"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备注</w:t>
            </w:r>
          </w:p>
        </w:tc>
      </w:tr>
      <w:tr w14:paraId="79423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0FFE53">
            <w:pPr>
              <w:spacing w:before="120" w:after="120"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1</w:t>
            </w:r>
          </w:p>
        </w:tc>
        <w:tc>
          <w:tcPr>
            <w:tcW w:w="26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AE9971">
            <w:pPr>
              <w:spacing w:before="120" w:after="120"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施工</w:t>
            </w: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前准备与安全交底</w:t>
            </w:r>
          </w:p>
        </w:tc>
        <w:tc>
          <w:tcPr>
            <w:tcW w:w="16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E6AAE0">
            <w:pPr>
              <w:spacing w:before="120" w:after="120"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0.5</w:t>
            </w: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天</w:t>
            </w:r>
          </w:p>
        </w:tc>
        <w:tc>
          <w:tcPr>
            <w:tcW w:w="30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C5C17E">
            <w:pPr>
              <w:spacing w:before="120" w:after="120"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施工前1天完成</w:t>
            </w: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；</w:t>
            </w:r>
          </w:p>
        </w:tc>
      </w:tr>
      <w:tr w14:paraId="5ECD8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80DAED">
            <w:pPr>
              <w:spacing w:before="120" w:after="120"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2</w:t>
            </w:r>
          </w:p>
        </w:tc>
        <w:tc>
          <w:tcPr>
            <w:tcW w:w="26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98F51D">
            <w:pPr>
              <w:spacing w:before="120" w:after="120"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拆除</w:t>
            </w: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原施耐德UPS</w:t>
            </w:r>
          </w:p>
        </w:tc>
        <w:tc>
          <w:tcPr>
            <w:tcW w:w="16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D43288">
            <w:pPr>
              <w:spacing w:before="120" w:after="120"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2小时</w:t>
            </w:r>
          </w:p>
        </w:tc>
        <w:tc>
          <w:tcPr>
            <w:tcW w:w="30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09E127">
            <w:pPr>
              <w:spacing w:before="120" w:after="120"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将原UPS预先置于旁路；</w:t>
            </w:r>
          </w:p>
        </w:tc>
      </w:tr>
      <w:tr w14:paraId="682C7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7D08ED">
            <w:pPr>
              <w:spacing w:before="120" w:after="120"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3</w:t>
            </w:r>
          </w:p>
        </w:tc>
        <w:tc>
          <w:tcPr>
            <w:tcW w:w="26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084912">
            <w:pPr>
              <w:spacing w:before="120" w:after="120"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新增UPS安装与接线</w:t>
            </w:r>
          </w:p>
        </w:tc>
        <w:tc>
          <w:tcPr>
            <w:tcW w:w="16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34FE2A">
            <w:pPr>
              <w:spacing w:before="120" w:after="120"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小时</w:t>
            </w:r>
          </w:p>
        </w:tc>
        <w:tc>
          <w:tcPr>
            <w:tcW w:w="30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756A18">
            <w:pPr>
              <w:spacing w:before="120" w:after="120"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设备就位+接线</w:t>
            </w: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；</w:t>
            </w:r>
          </w:p>
        </w:tc>
      </w:tr>
      <w:tr w14:paraId="67E3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25A9EE">
            <w:pPr>
              <w:spacing w:before="120" w:after="120"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4</w:t>
            </w:r>
          </w:p>
        </w:tc>
        <w:tc>
          <w:tcPr>
            <w:tcW w:w="26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71E2D4">
            <w:pPr>
              <w:spacing w:before="120" w:after="120"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ATS双电源维修改造</w:t>
            </w:r>
          </w:p>
        </w:tc>
        <w:tc>
          <w:tcPr>
            <w:tcW w:w="16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EFEE42">
            <w:pPr>
              <w:spacing w:before="120" w:after="120" w:line="360" w:lineRule="auto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充电36小时</w:t>
            </w:r>
          </w:p>
          <w:p w14:paraId="648485C4">
            <w:pPr>
              <w:spacing w:before="120" w:after="120" w:line="360" w:lineRule="auto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维修40分钟</w:t>
            </w:r>
          </w:p>
        </w:tc>
        <w:tc>
          <w:tcPr>
            <w:tcW w:w="30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870B7B">
            <w:pPr>
              <w:spacing w:before="120" w:after="120" w:line="360" w:lineRule="auto"/>
              <w:jc w:val="left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搭建临时蓄电池组，并入新增UPS系统充电后，进行维修；保证系统后端正常运行不断电。</w:t>
            </w:r>
          </w:p>
        </w:tc>
      </w:tr>
      <w:tr w14:paraId="5DBA4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B3E2CA">
            <w:pPr>
              <w:spacing w:before="120" w:after="120"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5</w:t>
            </w:r>
          </w:p>
        </w:tc>
        <w:tc>
          <w:tcPr>
            <w:tcW w:w="26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D44C60">
            <w:pPr>
              <w:spacing w:before="120" w:after="120"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UPS</w:t>
            </w: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系统调试</w:t>
            </w:r>
          </w:p>
        </w:tc>
        <w:tc>
          <w:tcPr>
            <w:tcW w:w="16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6C36A2">
            <w:pPr>
              <w:spacing w:before="120" w:after="120"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1小时</w:t>
            </w:r>
          </w:p>
        </w:tc>
        <w:tc>
          <w:tcPr>
            <w:tcW w:w="30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11C890">
            <w:pPr>
              <w:spacing w:before="120" w:after="120"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选择业务低峰期进行</w:t>
            </w: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；</w:t>
            </w:r>
          </w:p>
        </w:tc>
      </w:tr>
      <w:tr w14:paraId="4A6B2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0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A457A3">
            <w:pPr>
              <w:spacing w:before="120" w:after="120"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合计</w:t>
            </w:r>
          </w:p>
        </w:tc>
        <w:tc>
          <w:tcPr>
            <w:tcW w:w="16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B13223">
            <w:pPr>
              <w:spacing w:before="120" w:after="120"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约</w:t>
            </w: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2</w:t>
            </w:r>
            <w:r>
              <w:rPr>
                <w:rFonts w:cs="Arial" w:asciiTheme="minorEastAsia" w:hAnsiTheme="minorEastAsia"/>
                <w:bCs/>
                <w:sz w:val="24"/>
                <w:szCs w:val="24"/>
              </w:rPr>
              <w:t>天</w:t>
            </w:r>
          </w:p>
        </w:tc>
        <w:tc>
          <w:tcPr>
            <w:tcW w:w="30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310617">
            <w:pPr>
              <w:spacing w:before="120" w:after="120"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</w:tbl>
    <w:p w14:paraId="1EF99A89">
      <w:pPr>
        <w:spacing w:before="380" w:after="140" w:line="360" w:lineRule="auto"/>
        <w:jc w:val="left"/>
        <w:outlineLvl w:val="0"/>
        <w:rPr>
          <w:rFonts w:asciiTheme="minorEastAsia" w:hAnsiTheme="minorEastAsia"/>
          <w:b/>
          <w:sz w:val="28"/>
          <w:szCs w:val="28"/>
        </w:rPr>
      </w:pPr>
      <w:bookmarkStart w:id="24" w:name="_Toc535544601"/>
      <w:r>
        <w:rPr>
          <w:rFonts w:hint="eastAsia" w:cs="Arial" w:asciiTheme="minorEastAsia" w:hAnsiTheme="minorEastAsia"/>
          <w:b/>
          <w:sz w:val="28"/>
          <w:szCs w:val="28"/>
        </w:rPr>
        <w:t>3.设备选型</w:t>
      </w:r>
      <w:bookmarkEnd w:id="24"/>
    </w:p>
    <w:p w14:paraId="6437B445">
      <w:pPr>
        <w:spacing w:before="320" w:after="120" w:line="360" w:lineRule="auto"/>
        <w:jc w:val="left"/>
        <w:outlineLvl w:val="1"/>
        <w:rPr>
          <w:rFonts w:cs="Arial" w:asciiTheme="minorEastAsia" w:hAnsiTheme="minorEastAsia"/>
          <w:b/>
          <w:sz w:val="24"/>
          <w:szCs w:val="24"/>
        </w:rPr>
      </w:pPr>
      <w:bookmarkStart w:id="25" w:name="heading_36"/>
      <w:bookmarkStart w:id="26" w:name="_Toc1131196422"/>
      <w:r>
        <w:rPr>
          <w:rFonts w:hint="eastAsia" w:cs="Arial" w:asciiTheme="minorEastAsia" w:hAnsiTheme="minorEastAsia"/>
          <w:b/>
          <w:sz w:val="24"/>
          <w:szCs w:val="24"/>
        </w:rPr>
        <w:t>3.1</w:t>
      </w:r>
      <w:bookmarkEnd w:id="25"/>
      <w:r>
        <w:rPr>
          <w:rFonts w:hint="eastAsia" w:cs="Arial" w:asciiTheme="minorEastAsia" w:hAnsiTheme="minorEastAsia"/>
          <w:b/>
          <w:sz w:val="24"/>
          <w:szCs w:val="24"/>
        </w:rPr>
        <w:t>新增UPS系统</w:t>
      </w:r>
      <w:bookmarkEnd w:id="26"/>
    </w:p>
    <w:p w14:paraId="5ADB2648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1、机框容量不低于160KVA，且要求配置相应功率模块；</w:t>
      </w:r>
    </w:p>
    <w:p w14:paraId="715EEDC2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2、安装方式：模块化；</w:t>
      </w:r>
    </w:p>
    <w:p w14:paraId="69FB137F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3、</w:t>
      </w:r>
      <w:r>
        <w:rPr>
          <w:rFonts w:cs="Arial" w:asciiTheme="minorEastAsia" w:hAnsiTheme="minorEastAsia"/>
          <w:bCs/>
          <w:sz w:val="24"/>
          <w:szCs w:val="24"/>
        </w:rPr>
        <w:t>输入电压：380VAC (－25%～＋25%满载)</w:t>
      </w:r>
      <w:r>
        <w:rPr>
          <w:rFonts w:hint="eastAsia" w:cs="Arial" w:asciiTheme="minorEastAsia" w:hAnsiTheme="minorEastAsia"/>
          <w:bCs/>
          <w:sz w:val="24"/>
          <w:szCs w:val="24"/>
        </w:rPr>
        <w:t>；</w:t>
      </w:r>
    </w:p>
    <w:p w14:paraId="00E353FB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4、</w:t>
      </w:r>
      <w:r>
        <w:rPr>
          <w:rFonts w:cs="Arial" w:asciiTheme="minorEastAsia" w:hAnsiTheme="minorEastAsia"/>
          <w:bCs/>
          <w:sz w:val="24"/>
          <w:szCs w:val="24"/>
        </w:rPr>
        <w:t>系统可实时监控UPS的工作状态：系统正常工作方式/电池逆变/旁路供电、过载、蓄电池放电电压低、蓄电池充放电状态、市电故障、功率模块状态（正常/故障退出）、UPS系统故障和运行状态记录</w:t>
      </w:r>
    </w:p>
    <w:p w14:paraId="6FEA47A0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5、</w:t>
      </w:r>
      <w:r>
        <w:rPr>
          <w:rFonts w:cs="Arial" w:asciiTheme="minorEastAsia" w:hAnsiTheme="minorEastAsia"/>
          <w:bCs/>
          <w:sz w:val="24"/>
          <w:szCs w:val="24"/>
        </w:rPr>
        <w:t>应支持电池节数可调，具有定期对电池组进行自动浮充、均充转换、自动温度补偿、电池组放电及记录功能</w:t>
      </w:r>
    </w:p>
    <w:p w14:paraId="4767CB56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6、环境温度：工作温度：0～+40℃。相对湿度：≤95%（25℃,无凝露）</w:t>
      </w:r>
    </w:p>
    <w:p w14:paraId="761561AD">
      <w:pPr>
        <w:spacing w:before="320" w:after="120" w:line="360" w:lineRule="auto"/>
        <w:jc w:val="left"/>
        <w:outlineLvl w:val="1"/>
        <w:rPr>
          <w:rFonts w:cs="Arial" w:asciiTheme="minorEastAsia" w:hAnsiTheme="minorEastAsia"/>
          <w:b/>
          <w:sz w:val="24"/>
          <w:szCs w:val="24"/>
        </w:rPr>
      </w:pPr>
      <w:bookmarkStart w:id="27" w:name="_Toc353387533"/>
      <w:r>
        <w:rPr>
          <w:rFonts w:hint="eastAsia" w:cs="Arial" w:asciiTheme="minorEastAsia" w:hAnsiTheme="minorEastAsia"/>
          <w:b/>
          <w:sz w:val="24"/>
          <w:szCs w:val="24"/>
        </w:rPr>
        <w:t>3.2 ATS维修服务</w:t>
      </w:r>
      <w:bookmarkEnd w:id="27"/>
    </w:p>
    <w:p w14:paraId="5329EFC8">
      <w:pPr>
        <w:spacing w:before="120" w:after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cs="Arial" w:asciiTheme="minorEastAsia" w:hAnsiTheme="minorEastAsia"/>
          <w:bCs/>
          <w:sz w:val="24"/>
          <w:szCs w:val="24"/>
        </w:rPr>
        <w:t>ATS控制器更换</w:t>
      </w:r>
      <w:r>
        <w:rPr>
          <w:rFonts w:hint="eastAsia" w:cs="Arial" w:asciiTheme="minorEastAsia" w:hAnsiTheme="minorEastAsia"/>
          <w:bCs/>
          <w:sz w:val="24"/>
          <w:szCs w:val="24"/>
        </w:rPr>
        <w:t>及</w:t>
      </w:r>
      <w:r>
        <w:rPr>
          <w:rFonts w:cs="Arial" w:asciiTheme="minorEastAsia" w:hAnsiTheme="minorEastAsia"/>
          <w:bCs/>
          <w:sz w:val="24"/>
          <w:szCs w:val="24"/>
        </w:rPr>
        <w:t>维修</w:t>
      </w:r>
      <w:r>
        <w:rPr>
          <w:rFonts w:hint="eastAsia" w:cs="Arial" w:asciiTheme="minorEastAsia" w:hAnsiTheme="minorEastAsia"/>
          <w:bCs/>
          <w:sz w:val="24"/>
          <w:szCs w:val="24"/>
        </w:rPr>
        <w:t>服务，</w:t>
      </w:r>
      <w:r>
        <w:rPr>
          <w:rFonts w:cs="Arial" w:asciiTheme="minorEastAsia" w:hAnsiTheme="minorEastAsia"/>
          <w:bCs/>
          <w:sz w:val="24"/>
          <w:szCs w:val="24"/>
        </w:rPr>
        <w:t>实现双电源自动/手动切换与控制功能</w:t>
      </w:r>
      <w:r>
        <w:rPr>
          <w:rFonts w:hint="eastAsia" w:cs="Arial" w:asciiTheme="minorEastAsia" w:hAnsiTheme="minorEastAsia"/>
          <w:bCs/>
          <w:sz w:val="24"/>
          <w:szCs w:val="24"/>
        </w:rPr>
        <w:t>。</w:t>
      </w:r>
    </w:p>
    <w:p w14:paraId="1A5686CB">
      <w:pPr>
        <w:spacing w:before="380" w:after="140" w:line="360" w:lineRule="auto"/>
        <w:jc w:val="left"/>
        <w:outlineLvl w:val="0"/>
        <w:rPr>
          <w:rFonts w:cs="Arial" w:asciiTheme="minorEastAsia" w:hAnsiTheme="minorEastAsia"/>
          <w:b/>
          <w:sz w:val="28"/>
          <w:szCs w:val="28"/>
        </w:rPr>
      </w:pPr>
      <w:bookmarkStart w:id="28" w:name="_Toc339479636"/>
      <w:r>
        <w:rPr>
          <w:rFonts w:hint="eastAsia" w:cs="Arial" w:asciiTheme="minorEastAsia" w:hAnsiTheme="minorEastAsia"/>
          <w:b/>
          <w:sz w:val="28"/>
          <w:szCs w:val="28"/>
        </w:rPr>
        <w:t>4.项目概算</w:t>
      </w:r>
      <w:bookmarkEnd w:id="28"/>
      <w:r>
        <w:rPr>
          <w:rFonts w:hint="eastAsia" w:cs="Arial" w:asciiTheme="minorEastAsia" w:hAnsiTheme="minorEastAsia"/>
          <w:b/>
          <w:sz w:val="28"/>
          <w:szCs w:val="28"/>
        </w:rPr>
        <w:t>(预算：24.6641万元)</w:t>
      </w:r>
    </w:p>
    <w:p w14:paraId="7F83A6E2">
      <w:pPr>
        <w:spacing w:before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bookmarkStart w:id="29" w:name="OLE_LINK3"/>
      <w:r>
        <w:rPr>
          <w:rFonts w:hint="eastAsia" w:cs="Arial" w:asciiTheme="minorEastAsia" w:hAnsiTheme="minorEastAsia"/>
          <w:bCs/>
          <w:sz w:val="24"/>
          <w:szCs w:val="24"/>
        </w:rPr>
        <w:t>本项目配置UPS系统1套，</w:t>
      </w:r>
      <w:bookmarkStart w:id="30" w:name="OLE_LINK1"/>
      <w:r>
        <w:rPr>
          <w:rFonts w:hint="eastAsia" w:cs="Arial" w:asciiTheme="minorEastAsia" w:hAnsiTheme="minorEastAsia"/>
          <w:bCs/>
          <w:sz w:val="24"/>
          <w:szCs w:val="24"/>
        </w:rPr>
        <w:t>更换原有UPS系统，满足机房设备电力使用要求；更换ATS控制器，实现双电源自动/手动切换与控制功能</w:t>
      </w:r>
      <w:bookmarkEnd w:id="30"/>
      <w:r>
        <w:rPr>
          <w:rFonts w:hint="eastAsia" w:cs="Arial" w:asciiTheme="minorEastAsia" w:hAnsiTheme="minorEastAsia"/>
          <w:bCs/>
          <w:sz w:val="24"/>
          <w:szCs w:val="24"/>
        </w:rPr>
        <w:t>。</w:t>
      </w:r>
      <w:bookmarkEnd w:id="29"/>
    </w:p>
    <w:p w14:paraId="66506E8D">
      <w:pPr>
        <w:spacing w:before="120" w:line="360" w:lineRule="auto"/>
        <w:ind w:firstLine="480" w:firstLineChars="200"/>
        <w:rPr>
          <w:rFonts w:cs="Arial" w:asciiTheme="minorEastAsia" w:hAnsiTheme="minorEastAsia"/>
          <w:bCs/>
          <w:sz w:val="24"/>
          <w:szCs w:val="24"/>
        </w:rPr>
      </w:pPr>
      <w:r>
        <w:rPr>
          <w:rFonts w:hint="eastAsia" w:cs="Arial" w:asciiTheme="minorEastAsia" w:hAnsiTheme="minorEastAsia"/>
          <w:bCs/>
          <w:sz w:val="24"/>
          <w:szCs w:val="24"/>
        </w:rPr>
        <w:t>具体预算构成如下：</w:t>
      </w:r>
    </w:p>
    <w:tbl>
      <w:tblPr>
        <w:tblStyle w:val="12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175"/>
        <w:gridCol w:w="4190"/>
        <w:gridCol w:w="545"/>
        <w:gridCol w:w="609"/>
        <w:gridCol w:w="947"/>
        <w:gridCol w:w="1054"/>
      </w:tblGrid>
      <w:tr w14:paraId="5AEE9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0" w:type="dxa"/>
            <w:shd w:val="clear" w:color="auto" w:fill="F2F2F2"/>
            <w:vAlign w:val="center"/>
          </w:tcPr>
          <w:p w14:paraId="72A5853C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序号</w:t>
            </w:r>
          </w:p>
        </w:tc>
        <w:tc>
          <w:tcPr>
            <w:tcW w:w="1175" w:type="dxa"/>
            <w:shd w:val="clear" w:color="auto" w:fill="F2F2F2"/>
            <w:vAlign w:val="center"/>
          </w:tcPr>
          <w:p w14:paraId="77E54BC3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名称</w:t>
            </w:r>
          </w:p>
        </w:tc>
        <w:tc>
          <w:tcPr>
            <w:tcW w:w="4191" w:type="dxa"/>
            <w:shd w:val="clear" w:color="auto" w:fill="F2F2F2"/>
            <w:vAlign w:val="center"/>
          </w:tcPr>
          <w:p w14:paraId="643C7399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配置参数</w:t>
            </w:r>
          </w:p>
        </w:tc>
        <w:tc>
          <w:tcPr>
            <w:tcW w:w="545" w:type="dxa"/>
            <w:shd w:val="clear" w:color="auto" w:fill="F2F2F2"/>
            <w:vAlign w:val="center"/>
          </w:tcPr>
          <w:p w14:paraId="7EEF43CC">
            <w:pPr>
              <w:spacing w:before="120" w:after="120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单位</w:t>
            </w:r>
          </w:p>
        </w:tc>
        <w:tc>
          <w:tcPr>
            <w:tcW w:w="609" w:type="dxa"/>
            <w:shd w:val="clear" w:color="auto" w:fill="F2F2F2"/>
            <w:vAlign w:val="center"/>
          </w:tcPr>
          <w:p w14:paraId="50D40744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数量</w:t>
            </w:r>
          </w:p>
        </w:tc>
        <w:tc>
          <w:tcPr>
            <w:tcW w:w="946" w:type="dxa"/>
            <w:shd w:val="clear" w:color="auto" w:fill="F2F2F2"/>
            <w:vAlign w:val="center"/>
          </w:tcPr>
          <w:p w14:paraId="134AF7F1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单价（元）</w:t>
            </w:r>
          </w:p>
        </w:tc>
        <w:tc>
          <w:tcPr>
            <w:tcW w:w="1054" w:type="dxa"/>
            <w:shd w:val="clear" w:color="auto" w:fill="F2F2F2"/>
            <w:vAlign w:val="center"/>
          </w:tcPr>
          <w:p w14:paraId="51E73A87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总价（元）</w:t>
            </w:r>
          </w:p>
        </w:tc>
      </w:tr>
      <w:tr w14:paraId="418AC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80" w:type="dxa"/>
            <w:vAlign w:val="center"/>
          </w:tcPr>
          <w:p w14:paraId="472A0AA0">
            <w:pPr>
              <w:spacing w:before="120" w:after="120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1</w:t>
            </w:r>
          </w:p>
        </w:tc>
        <w:tc>
          <w:tcPr>
            <w:tcW w:w="1175" w:type="dxa"/>
            <w:vAlign w:val="center"/>
          </w:tcPr>
          <w:p w14:paraId="7288B835">
            <w:pPr>
              <w:spacing w:before="120" w:after="120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UPS系统（含功率模块）</w:t>
            </w:r>
          </w:p>
        </w:tc>
        <w:tc>
          <w:tcPr>
            <w:tcW w:w="4191" w:type="dxa"/>
            <w:vAlign w:val="center"/>
          </w:tcPr>
          <w:p w14:paraId="40A6297E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1、模块化UPS主机，总容量不低于160kVA，功率模块数量不低于4个。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2、输入电压：380VAC(－25%～＋25%满载)，输入频率：40～70Hz；环境温度：工作温度：0～+40℃。相对湿度：≤95%。整流器输入性能符合满足YD/T2165-2010《通信用模块化不间断电源》标准要求。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3、UPS系统具备RS232或RS485/422、SNMP通讯口；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4、9英寸及以上尺寸液晶彩色触摸屏，单屏可管理供配电系统，显示配电模拟图。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5、UPS系统可实时监控UPS输入开关状态、UPS输出开关状态、UPS维修旁路开关状态。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6、含设备安装调试，三年质保</w:t>
            </w:r>
          </w:p>
        </w:tc>
        <w:tc>
          <w:tcPr>
            <w:tcW w:w="545" w:type="dxa"/>
            <w:vAlign w:val="center"/>
          </w:tcPr>
          <w:p w14:paraId="7CF5F606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套</w:t>
            </w:r>
          </w:p>
        </w:tc>
        <w:tc>
          <w:tcPr>
            <w:tcW w:w="609" w:type="dxa"/>
            <w:vAlign w:val="center"/>
          </w:tcPr>
          <w:p w14:paraId="5B55735E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1</w:t>
            </w:r>
          </w:p>
        </w:tc>
        <w:tc>
          <w:tcPr>
            <w:tcW w:w="946" w:type="dxa"/>
            <w:vAlign w:val="center"/>
          </w:tcPr>
          <w:p w14:paraId="1520D41B">
            <w:pPr>
              <w:spacing w:before="120" w:after="120"/>
              <w:jc w:val="right"/>
              <w:rPr>
                <w:rFonts w:cs="Arial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14:paraId="1B16CFB9">
            <w:pPr>
              <w:spacing w:before="120" w:after="120"/>
              <w:jc w:val="right"/>
              <w:rPr>
                <w:rFonts w:cs="Arial" w:asciiTheme="minorEastAsia" w:hAnsiTheme="minorEastAsia"/>
                <w:bCs/>
                <w:sz w:val="24"/>
                <w:szCs w:val="24"/>
              </w:rPr>
            </w:pPr>
          </w:p>
        </w:tc>
      </w:tr>
      <w:tr w14:paraId="44D68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0" w:type="dxa"/>
            <w:vAlign w:val="center"/>
          </w:tcPr>
          <w:p w14:paraId="126F7C76">
            <w:pPr>
              <w:spacing w:before="120" w:after="120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2</w:t>
            </w:r>
          </w:p>
        </w:tc>
        <w:tc>
          <w:tcPr>
            <w:tcW w:w="1175" w:type="dxa"/>
            <w:vAlign w:val="center"/>
          </w:tcPr>
          <w:p w14:paraId="2A4C3721">
            <w:pPr>
              <w:spacing w:before="120" w:after="120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ATS维修费</w:t>
            </w:r>
          </w:p>
        </w:tc>
        <w:tc>
          <w:tcPr>
            <w:tcW w:w="4191" w:type="dxa"/>
            <w:vAlign w:val="center"/>
          </w:tcPr>
          <w:p w14:paraId="4E5E99B5">
            <w:pPr>
              <w:spacing w:before="120" w:after="120"/>
              <w:jc w:val="left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1、符合GB/T14048.11标准。2、额定工作电压380V。3、额定工作电流不低于630A</w:t>
            </w:r>
          </w:p>
        </w:tc>
        <w:tc>
          <w:tcPr>
            <w:tcW w:w="545" w:type="dxa"/>
            <w:vAlign w:val="center"/>
          </w:tcPr>
          <w:p w14:paraId="0F284CB7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项</w:t>
            </w:r>
          </w:p>
        </w:tc>
        <w:tc>
          <w:tcPr>
            <w:tcW w:w="609" w:type="dxa"/>
            <w:vAlign w:val="center"/>
          </w:tcPr>
          <w:p w14:paraId="493D9FEE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1</w:t>
            </w:r>
          </w:p>
        </w:tc>
        <w:tc>
          <w:tcPr>
            <w:tcW w:w="946" w:type="dxa"/>
            <w:vAlign w:val="center"/>
          </w:tcPr>
          <w:p w14:paraId="25FB897C">
            <w:pPr>
              <w:spacing w:before="120" w:after="120"/>
              <w:jc w:val="right"/>
              <w:rPr>
                <w:rFonts w:cs="Arial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14:paraId="27C688CA">
            <w:pPr>
              <w:spacing w:before="120" w:after="120"/>
              <w:jc w:val="right"/>
              <w:rPr>
                <w:rFonts w:cs="Arial" w:asciiTheme="minorEastAsia" w:hAnsiTheme="minorEastAsia"/>
                <w:bCs/>
                <w:sz w:val="24"/>
                <w:szCs w:val="24"/>
              </w:rPr>
            </w:pPr>
          </w:p>
        </w:tc>
      </w:tr>
      <w:tr w14:paraId="2DED8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0" w:type="dxa"/>
            <w:vAlign w:val="center"/>
          </w:tcPr>
          <w:p w14:paraId="3531F517">
            <w:pPr>
              <w:spacing w:before="120" w:after="120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3</w:t>
            </w:r>
          </w:p>
        </w:tc>
        <w:tc>
          <w:tcPr>
            <w:tcW w:w="1175" w:type="dxa"/>
            <w:vAlign w:val="center"/>
          </w:tcPr>
          <w:p w14:paraId="21F6D4AF">
            <w:pPr>
              <w:spacing w:before="120" w:after="120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安装实施</w:t>
            </w:r>
          </w:p>
        </w:tc>
        <w:tc>
          <w:tcPr>
            <w:tcW w:w="4191" w:type="dxa"/>
            <w:vAlign w:val="center"/>
          </w:tcPr>
          <w:p w14:paraId="7C2957BC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45" w:type="dxa"/>
            <w:vAlign w:val="center"/>
          </w:tcPr>
          <w:p w14:paraId="1A5E31C5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项</w:t>
            </w:r>
          </w:p>
        </w:tc>
        <w:tc>
          <w:tcPr>
            <w:tcW w:w="609" w:type="dxa"/>
            <w:vAlign w:val="center"/>
          </w:tcPr>
          <w:p w14:paraId="20081D41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1</w:t>
            </w:r>
          </w:p>
        </w:tc>
        <w:tc>
          <w:tcPr>
            <w:tcW w:w="946" w:type="dxa"/>
            <w:vAlign w:val="center"/>
          </w:tcPr>
          <w:p w14:paraId="409C2411">
            <w:pPr>
              <w:spacing w:before="120" w:after="120"/>
              <w:jc w:val="right"/>
              <w:rPr>
                <w:rFonts w:cs="Arial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14:paraId="2B65AEC7">
            <w:pPr>
              <w:spacing w:before="120" w:after="120"/>
              <w:jc w:val="right"/>
              <w:rPr>
                <w:rFonts w:cs="Arial" w:asciiTheme="minorEastAsia" w:hAnsiTheme="minorEastAsia"/>
                <w:bCs/>
                <w:sz w:val="24"/>
                <w:szCs w:val="24"/>
              </w:rPr>
            </w:pPr>
          </w:p>
        </w:tc>
      </w:tr>
      <w:tr w14:paraId="7AD1B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79" w:type="dxa"/>
            <w:vAlign w:val="center"/>
          </w:tcPr>
          <w:p w14:paraId="740EE38A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467" w:type="dxa"/>
            <w:gridSpan w:val="5"/>
            <w:vAlign w:val="center"/>
          </w:tcPr>
          <w:p w14:paraId="127CBAA7">
            <w:pPr>
              <w:spacing w:before="120" w:after="120"/>
              <w:jc w:val="center"/>
              <w:rPr>
                <w:rFonts w:cs="Arial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Cs/>
                <w:sz w:val="24"/>
                <w:szCs w:val="24"/>
              </w:rPr>
              <w:t>合计</w:t>
            </w:r>
          </w:p>
        </w:tc>
        <w:tc>
          <w:tcPr>
            <w:tcW w:w="1054" w:type="dxa"/>
            <w:vAlign w:val="center"/>
          </w:tcPr>
          <w:p w14:paraId="78EC1E86">
            <w:pPr>
              <w:spacing w:before="120" w:after="120"/>
              <w:jc w:val="right"/>
              <w:rPr>
                <w:rFonts w:cs="Arial" w:asciiTheme="minorEastAsia" w:hAnsiTheme="minorEastAsia"/>
                <w:bCs/>
                <w:sz w:val="24"/>
                <w:szCs w:val="24"/>
              </w:rPr>
            </w:pPr>
          </w:p>
        </w:tc>
      </w:tr>
    </w:tbl>
    <w:p w14:paraId="665360EC"/>
    <w:sectPr>
      <w:footerReference r:id="rId3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14190719"/>
    </w:sdtPr>
    <w:sdtContent>
      <w:p w14:paraId="49E98961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1A4D856B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B4"/>
    <w:rsid w:val="00005997"/>
    <w:rsid w:val="00007395"/>
    <w:rsid w:val="00011A2A"/>
    <w:rsid w:val="000137AF"/>
    <w:rsid w:val="00016FAE"/>
    <w:rsid w:val="00017691"/>
    <w:rsid w:val="00063AE5"/>
    <w:rsid w:val="000A0F44"/>
    <w:rsid w:val="000D7C8D"/>
    <w:rsid w:val="000E6AB4"/>
    <w:rsid w:val="000F5312"/>
    <w:rsid w:val="00101A54"/>
    <w:rsid w:val="001524F5"/>
    <w:rsid w:val="001813A4"/>
    <w:rsid w:val="0018186D"/>
    <w:rsid w:val="00196227"/>
    <w:rsid w:val="001B1FB0"/>
    <w:rsid w:val="001C2495"/>
    <w:rsid w:val="001F52FC"/>
    <w:rsid w:val="00205162"/>
    <w:rsid w:val="00237D19"/>
    <w:rsid w:val="002721AC"/>
    <w:rsid w:val="0029494A"/>
    <w:rsid w:val="002C241A"/>
    <w:rsid w:val="002F777C"/>
    <w:rsid w:val="00345A08"/>
    <w:rsid w:val="00363DA6"/>
    <w:rsid w:val="00382D05"/>
    <w:rsid w:val="00420EC9"/>
    <w:rsid w:val="004253E4"/>
    <w:rsid w:val="00434B70"/>
    <w:rsid w:val="004452A6"/>
    <w:rsid w:val="00497D28"/>
    <w:rsid w:val="004A3009"/>
    <w:rsid w:val="004A7D13"/>
    <w:rsid w:val="004B79BD"/>
    <w:rsid w:val="004C04FD"/>
    <w:rsid w:val="004C1582"/>
    <w:rsid w:val="004E6615"/>
    <w:rsid w:val="0050784A"/>
    <w:rsid w:val="005174EC"/>
    <w:rsid w:val="00522444"/>
    <w:rsid w:val="00550407"/>
    <w:rsid w:val="005A3F1D"/>
    <w:rsid w:val="005A5DFD"/>
    <w:rsid w:val="005A77C7"/>
    <w:rsid w:val="005C0062"/>
    <w:rsid w:val="005F145A"/>
    <w:rsid w:val="006123D2"/>
    <w:rsid w:val="00624561"/>
    <w:rsid w:val="00625597"/>
    <w:rsid w:val="00626288"/>
    <w:rsid w:val="0066231C"/>
    <w:rsid w:val="00693AE0"/>
    <w:rsid w:val="006D47BD"/>
    <w:rsid w:val="006F0052"/>
    <w:rsid w:val="006F134B"/>
    <w:rsid w:val="007121B9"/>
    <w:rsid w:val="0071472D"/>
    <w:rsid w:val="007231CE"/>
    <w:rsid w:val="00726B1B"/>
    <w:rsid w:val="0074476E"/>
    <w:rsid w:val="00760213"/>
    <w:rsid w:val="00785394"/>
    <w:rsid w:val="00840014"/>
    <w:rsid w:val="00851F82"/>
    <w:rsid w:val="00853F6C"/>
    <w:rsid w:val="00886D2F"/>
    <w:rsid w:val="0089227B"/>
    <w:rsid w:val="00892CB1"/>
    <w:rsid w:val="008A7FCE"/>
    <w:rsid w:val="008B41A0"/>
    <w:rsid w:val="008F3EF9"/>
    <w:rsid w:val="00940680"/>
    <w:rsid w:val="00964C00"/>
    <w:rsid w:val="00980747"/>
    <w:rsid w:val="00987778"/>
    <w:rsid w:val="009C1F1A"/>
    <w:rsid w:val="009D0740"/>
    <w:rsid w:val="009D34D6"/>
    <w:rsid w:val="009E5DA3"/>
    <w:rsid w:val="00AE5BF6"/>
    <w:rsid w:val="00B21193"/>
    <w:rsid w:val="00B511F3"/>
    <w:rsid w:val="00B73131"/>
    <w:rsid w:val="00BD01BE"/>
    <w:rsid w:val="00BE655E"/>
    <w:rsid w:val="00BF6ADA"/>
    <w:rsid w:val="00C43021"/>
    <w:rsid w:val="00C56056"/>
    <w:rsid w:val="00C81671"/>
    <w:rsid w:val="00C86D9A"/>
    <w:rsid w:val="00C920E3"/>
    <w:rsid w:val="00CC0C2B"/>
    <w:rsid w:val="00CE4474"/>
    <w:rsid w:val="00D040B4"/>
    <w:rsid w:val="00D05BB7"/>
    <w:rsid w:val="00D20E0E"/>
    <w:rsid w:val="00D25689"/>
    <w:rsid w:val="00D32212"/>
    <w:rsid w:val="00D35006"/>
    <w:rsid w:val="00D43112"/>
    <w:rsid w:val="00D644B5"/>
    <w:rsid w:val="00E93414"/>
    <w:rsid w:val="00EB61DF"/>
    <w:rsid w:val="00EC236E"/>
    <w:rsid w:val="00EC72CC"/>
    <w:rsid w:val="00EE448F"/>
    <w:rsid w:val="00F0139C"/>
    <w:rsid w:val="00F04AA4"/>
    <w:rsid w:val="00F10E55"/>
    <w:rsid w:val="00F207E3"/>
    <w:rsid w:val="00F6003C"/>
    <w:rsid w:val="00F75E01"/>
    <w:rsid w:val="00F83822"/>
    <w:rsid w:val="00F97609"/>
    <w:rsid w:val="00FA7466"/>
    <w:rsid w:val="00FB58D4"/>
    <w:rsid w:val="00FD1135"/>
    <w:rsid w:val="0E507887"/>
    <w:rsid w:val="10C62916"/>
    <w:rsid w:val="25262A13"/>
    <w:rsid w:val="29BF4281"/>
    <w:rsid w:val="2E1642C7"/>
    <w:rsid w:val="36843BEE"/>
    <w:rsid w:val="3B02185C"/>
    <w:rsid w:val="3B8E7700"/>
    <w:rsid w:val="3CB64A23"/>
    <w:rsid w:val="5C171C39"/>
    <w:rsid w:val="5FFD182B"/>
    <w:rsid w:val="71213827"/>
    <w:rsid w:val="71BF07E5"/>
    <w:rsid w:val="74FB725E"/>
    <w:rsid w:val="7FF5FCF7"/>
    <w:rsid w:val="CE3F9FB8"/>
    <w:rsid w:val="DA775050"/>
    <w:rsid w:val="DEFB95A1"/>
    <w:rsid w:val="E0D7D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qFormat/>
    <w:uiPriority w:val="0"/>
    <w:pPr>
      <w:jc w:val="left"/>
    </w:pPr>
  </w:style>
  <w:style w:type="paragraph" w:styleId="4">
    <w:name w:val="toc 3"/>
    <w:basedOn w:val="1"/>
    <w:next w:val="1"/>
    <w:qFormat/>
    <w:uiPriority w:val="39"/>
    <w:pPr>
      <w:ind w:left="840" w:leftChars="400"/>
    </w:pPr>
  </w:style>
  <w:style w:type="paragraph" w:styleId="5">
    <w:name w:val="Date"/>
    <w:basedOn w:val="1"/>
    <w:next w:val="1"/>
    <w:link w:val="23"/>
    <w:qFormat/>
    <w:uiPriority w:val="0"/>
    <w:pPr>
      <w:ind w:left="100" w:leftChars="2500"/>
    </w:pPr>
  </w:style>
  <w:style w:type="paragraph" w:styleId="6">
    <w:name w:val="Balloon Text"/>
    <w:basedOn w:val="1"/>
    <w:link w:val="24"/>
    <w:uiPriority w:val="0"/>
    <w:rPr>
      <w:sz w:val="18"/>
      <w:szCs w:val="18"/>
    </w:rPr>
  </w:style>
  <w:style w:type="paragraph" w:styleId="7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</w:style>
  <w:style w:type="paragraph" w:styleId="10">
    <w:name w:val="toc 2"/>
    <w:basedOn w:val="1"/>
    <w:next w:val="1"/>
    <w:qFormat/>
    <w:uiPriority w:val="39"/>
    <w:pPr>
      <w:ind w:left="420" w:leftChars="200"/>
    </w:pPr>
  </w:style>
  <w:style w:type="paragraph" w:styleId="11">
    <w:name w:val="annotation subject"/>
    <w:basedOn w:val="3"/>
    <w:next w:val="3"/>
    <w:link w:val="17"/>
    <w:qFormat/>
    <w:uiPriority w:val="0"/>
    <w:rPr>
      <w:b/>
      <w:bCs/>
    </w:rPr>
  </w:style>
  <w:style w:type="character" w:styleId="14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qFormat/>
    <w:uiPriority w:val="0"/>
    <w:rPr>
      <w:sz w:val="21"/>
      <w:szCs w:val="21"/>
    </w:rPr>
  </w:style>
  <w:style w:type="character" w:customStyle="1" w:styleId="16">
    <w:name w:val="批注文字 Char"/>
    <w:basedOn w:val="13"/>
    <w:link w:val="3"/>
    <w:qFormat/>
    <w:uiPriority w:val="0"/>
    <w:rPr>
      <w:sz w:val="21"/>
      <w:szCs w:val="22"/>
    </w:rPr>
  </w:style>
  <w:style w:type="character" w:customStyle="1" w:styleId="17">
    <w:name w:val="批注主题 Char"/>
    <w:basedOn w:val="16"/>
    <w:link w:val="11"/>
    <w:qFormat/>
    <w:uiPriority w:val="0"/>
    <w:rPr>
      <w:b/>
      <w:bCs/>
      <w:sz w:val="21"/>
      <w:szCs w:val="22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标题 1 Char"/>
    <w:basedOn w:val="13"/>
    <w:link w:val="2"/>
    <w:qFormat/>
    <w:uiPriority w:val="0"/>
    <w:rPr>
      <w:b/>
      <w:bCs/>
      <w:kern w:val="44"/>
      <w:sz w:val="44"/>
      <w:szCs w:val="44"/>
    </w:rPr>
  </w:style>
  <w:style w:type="paragraph" w:customStyle="1" w:styleId="20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character" w:customStyle="1" w:styleId="21">
    <w:name w:val="页眉 Char"/>
    <w:basedOn w:val="13"/>
    <w:link w:val="8"/>
    <w:qFormat/>
    <w:uiPriority w:val="0"/>
    <w:rPr>
      <w:sz w:val="18"/>
      <w:szCs w:val="18"/>
    </w:rPr>
  </w:style>
  <w:style w:type="character" w:customStyle="1" w:styleId="22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23">
    <w:name w:val="日期 Char"/>
    <w:basedOn w:val="13"/>
    <w:link w:val="5"/>
    <w:qFormat/>
    <w:uiPriority w:val="0"/>
    <w:rPr>
      <w:sz w:val="21"/>
      <w:szCs w:val="22"/>
    </w:rPr>
  </w:style>
  <w:style w:type="character" w:customStyle="1" w:styleId="24">
    <w:name w:val="批注框文本 Char"/>
    <w:basedOn w:val="13"/>
    <w:link w:val="6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5354</Words>
  <Characters>5835</Characters>
  <Lines>54</Lines>
  <Paragraphs>15</Paragraphs>
  <TotalTime>12</TotalTime>
  <ScaleCrop>false</ScaleCrop>
  <LinksUpToDate>false</LinksUpToDate>
  <CharactersWithSpaces>5955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2026-09-10T03:31:00Z</dcterms:created>
  <dc:creator>Apache POI</dc:creator>
  <cp:lastModifiedBy>Lin</cp:lastModifiedBy>
  <dcterms:modified xsi:type="dcterms:W3CDTF">2026-09-10T03:47:17Z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{"Label":"1","ContentProducer":"001191110102MACQD9K64010000","ProduceID":"7658205198074481896","ReservedCode1":"","ContentPropagator":"","PropagateID":"","ReservedCode2":""}</vt:lpwstr>
  </property>
  <property fmtid="{D5CDD505-2E9C-101B-9397-08002B2CF9AE}" pid="3" name="KSOTemplateDocerSaveRecord">
    <vt:lpwstr>eyJoZGlkIjoiNzJiNWQ2NDYxNjMyZjMyNjg5NzU4Mzk3MzM0YTk1ODQiLCJ1c2VySWQiOiI2NzI5MTcyNDcifQ==</vt:lpwstr>
  </property>
  <property fmtid="{D5CDD505-2E9C-101B-9397-08002B2CF9AE}" pid="4" name="KSOProductBuildVer">
    <vt:lpwstr>2052-12.1.0.28505</vt:lpwstr>
  </property>
  <property fmtid="{D5CDD505-2E9C-101B-9397-08002B2CF9AE}" pid="5" name="ICV">
    <vt:lpwstr>C4B8B2FD17184A88A568DAF027C93702_13</vt:lpwstr>
  </property>
</Properties>
</file>