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both"/>
        <w:rPr>
          <w:rFonts w:hint="eastAsia"/>
          <w:b/>
          <w:bCs/>
          <w:sz w:val="32"/>
          <w:szCs w:val="28"/>
          <w:lang w:val="en-US" w:eastAsia="zh-CN"/>
        </w:rPr>
      </w:pPr>
    </w:p>
    <w:p>
      <w:pPr>
        <w:pStyle w:val="2"/>
        <w:bidi w:val="0"/>
        <w:rPr>
          <w:sz w:val="24"/>
          <w:szCs w:val="24"/>
        </w:rPr>
      </w:pPr>
      <w:r>
        <w:rPr>
          <w:rFonts w:hint="eastAsia"/>
          <w:sz w:val="24"/>
          <w:szCs w:val="24"/>
        </w:rPr>
        <w:t>第一包</w:t>
      </w:r>
    </w:p>
    <w:p>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pPr>
        <w:spacing w:line="360" w:lineRule="auto"/>
        <w:ind w:firstLine="480" w:firstLineChars="200"/>
        <w:outlineLvl w:val="0"/>
        <w:rPr>
          <w:sz w:val="24"/>
        </w:rPr>
      </w:pPr>
      <w:r>
        <w:rPr>
          <w:rFonts w:hint="eastAsia"/>
          <w:sz w:val="24"/>
        </w:rPr>
        <w:t>一、项目背景</w:t>
      </w:r>
    </w:p>
    <w:p>
      <w:pPr>
        <w:pStyle w:val="9"/>
        <w:ind w:firstLine="420"/>
        <w:rPr>
          <w:rFonts w:hint="eastAsia"/>
          <w:sz w:val="24"/>
          <w:szCs w:val="24"/>
        </w:rPr>
      </w:pPr>
      <w:r>
        <w:rPr>
          <w:rFonts w:hint="eastAsia"/>
          <w:sz w:val="24"/>
          <w:szCs w:val="24"/>
        </w:rPr>
        <w:t>天津市人力资源和社会保障局金保二期业务系统承载着天津市就业、社保、培训、劳动关系、人事人才等人社领域7大业务条线的实时经办，是我市重要的民生保障服务平台。金保二期系统于2015年7月启动建设，2016年7月系统正式上线运行，DWDM波分复用设备作为支撑同城双活数据中心的核心关键网络设备，通过租用不同运营商的裸光纤链路达到“1+1”互备方式， 4台传输设备通过波分复用技术，对主链路对应的关键系统和应用互联提供冗余备份。目前，DWDM波分复用设备已经运行10年之久，其设备将于2025年12月</w:t>
      </w:r>
      <w:r>
        <w:rPr>
          <w:rFonts w:hint="eastAsia"/>
          <w:sz w:val="24"/>
          <w:szCs w:val="24"/>
          <w:lang w:val="en-US" w:eastAsia="zh-CN"/>
        </w:rPr>
        <w:t>31日</w:t>
      </w:r>
      <w:r>
        <w:rPr>
          <w:rFonts w:hint="eastAsia"/>
          <w:sz w:val="24"/>
          <w:szCs w:val="24"/>
        </w:rPr>
        <w:t>停止原厂</w:t>
      </w:r>
      <w:r>
        <w:rPr>
          <w:rFonts w:hint="eastAsia"/>
          <w:sz w:val="24"/>
          <w:szCs w:val="24"/>
          <w:lang w:val="en-US" w:eastAsia="zh-CN"/>
        </w:rPr>
        <w:t>技术支持</w:t>
      </w:r>
      <w:r>
        <w:rPr>
          <w:rFonts w:hint="eastAsia"/>
          <w:sz w:val="24"/>
          <w:szCs w:val="24"/>
        </w:rPr>
        <w:t>服务。</w:t>
      </w:r>
      <w:r>
        <w:rPr>
          <w:rFonts w:hint="eastAsia"/>
          <w:sz w:val="24"/>
          <w:szCs w:val="24"/>
          <w:lang w:val="en-US" w:eastAsia="zh-CN"/>
        </w:rPr>
        <w:t>综上述</w:t>
      </w:r>
      <w:r>
        <w:rPr>
          <w:rFonts w:hint="eastAsia"/>
          <w:sz w:val="24"/>
          <w:szCs w:val="24"/>
        </w:rPr>
        <w:t>，</w:t>
      </w:r>
      <w:r>
        <w:rPr>
          <w:rFonts w:hint="eastAsia"/>
          <w:sz w:val="24"/>
          <w:szCs w:val="24"/>
          <w:lang w:val="en-US" w:eastAsia="zh-CN"/>
        </w:rPr>
        <w:t>升级</w:t>
      </w:r>
      <w:r>
        <w:rPr>
          <w:rFonts w:hint="eastAsia"/>
          <w:sz w:val="24"/>
          <w:szCs w:val="24"/>
        </w:rPr>
        <w:t>DWDM波分复用设备工作迫在眉睫，解决设备没有原厂硬件维保及售后服务等问题，以保障金保二期同城双活数据中心稳定运行。</w:t>
      </w:r>
    </w:p>
    <w:p>
      <w:pPr>
        <w:spacing w:line="360" w:lineRule="auto"/>
        <w:ind w:firstLine="480" w:firstLineChars="200"/>
        <w:outlineLvl w:val="0"/>
        <w:rPr>
          <w:rFonts w:hint="eastAsia"/>
          <w:sz w:val="24"/>
        </w:rPr>
      </w:pPr>
      <w:r>
        <w:rPr>
          <w:rFonts w:hint="eastAsia"/>
          <w:sz w:val="24"/>
        </w:rPr>
        <w:t>二、技术要求</w:t>
      </w:r>
    </w:p>
    <w:p>
      <w:pPr>
        <w:bidi w:val="0"/>
        <w:spacing w:line="360" w:lineRule="auto"/>
        <w:ind w:firstLine="240" w:firstLineChars="100"/>
        <w:rPr>
          <w:sz w:val="24"/>
          <w:szCs w:val="24"/>
        </w:rPr>
      </w:pPr>
      <w:r>
        <w:rPr>
          <w:rFonts w:hint="eastAsia"/>
          <w:sz w:val="24"/>
          <w:szCs w:val="24"/>
        </w:rPr>
        <w:t>★（一）投标人须承诺所投产品和服务符合相关强制性规定。交货时采购人有权要求投标人出具所投产品、服务符合上述规定的证明文件。</w:t>
      </w:r>
    </w:p>
    <w:p>
      <w:pPr>
        <w:bidi w:val="0"/>
        <w:spacing w:line="360" w:lineRule="auto"/>
        <w:ind w:firstLine="480" w:firstLineChars="200"/>
        <w:rPr>
          <w:sz w:val="24"/>
          <w:szCs w:val="24"/>
        </w:rPr>
      </w:pPr>
      <w:r>
        <w:rPr>
          <w:rFonts w:hint="eastAsia"/>
          <w:sz w:val="24"/>
          <w:szCs w:val="24"/>
        </w:rPr>
        <w:t>（二）采购清单</w:t>
      </w:r>
    </w:p>
    <w:p>
      <w:pPr>
        <w:bidi w:val="0"/>
        <w:spacing w:line="360" w:lineRule="auto"/>
        <w:ind w:firstLine="480" w:firstLineChars="200"/>
        <w:rPr>
          <w:sz w:val="24"/>
          <w:szCs w:val="24"/>
        </w:rPr>
      </w:pPr>
      <w:r>
        <w:rPr>
          <w:rFonts w:hint="eastAsia"/>
          <w:sz w:val="24"/>
          <w:szCs w:val="24"/>
        </w:rPr>
        <w:t>加注“▲”号的产品为核心产品（如未明确核心产品，则视为全部产品均为核心产品），任意一种核心产品为同一品牌时，按照第三部分第32.4条款执行。</w:t>
      </w:r>
    </w:p>
    <w:p>
      <w:pPr>
        <w:bidi w:val="0"/>
        <w:spacing w:line="360" w:lineRule="auto"/>
        <w:rPr>
          <w:rFonts w:hint="eastAsia"/>
          <w:sz w:val="24"/>
          <w:szCs w:val="24"/>
        </w:rPr>
      </w:pPr>
      <w:r>
        <w:rPr>
          <w:rFonts w:hint="eastAsia"/>
          <w:sz w:val="24"/>
          <w:szCs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tbl>
      <w:tblPr>
        <w:tblStyle w:val="7"/>
        <w:tblW w:w="8197"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
        <w:gridCol w:w="1772"/>
        <w:gridCol w:w="3503"/>
        <w:gridCol w:w="1075"/>
        <w:gridCol w:w="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2" w:hRule="atLeast"/>
        </w:trPr>
        <w:tc>
          <w:tcPr>
            <w:tcW w:w="902" w:type="dxa"/>
            <w:vAlign w:val="center"/>
          </w:tcPr>
          <w:p>
            <w:pPr>
              <w:ind w:firstLine="0" w:firstLineChars="0"/>
              <w:jc w:val="center"/>
              <w:rPr>
                <w:rFonts w:hint="eastAsia"/>
              </w:rPr>
            </w:pPr>
            <w:r>
              <w:rPr>
                <w:rFonts w:hint="eastAsia"/>
              </w:rPr>
              <w:t>序号</w:t>
            </w:r>
          </w:p>
        </w:tc>
        <w:tc>
          <w:tcPr>
            <w:tcW w:w="1772" w:type="dxa"/>
            <w:vAlign w:val="center"/>
          </w:tcPr>
          <w:p>
            <w:pPr>
              <w:ind w:firstLine="0" w:firstLineChars="0"/>
              <w:jc w:val="center"/>
              <w:rPr>
                <w:rFonts w:hint="eastAsia"/>
              </w:rPr>
            </w:pPr>
            <w:r>
              <w:rPr>
                <w:rFonts w:hint="eastAsia"/>
              </w:rPr>
              <w:t>标的名称</w:t>
            </w:r>
          </w:p>
        </w:tc>
        <w:tc>
          <w:tcPr>
            <w:tcW w:w="3503" w:type="dxa"/>
            <w:vAlign w:val="center"/>
          </w:tcPr>
          <w:p>
            <w:pPr>
              <w:ind w:firstLine="0" w:firstLineChars="0"/>
              <w:jc w:val="center"/>
              <w:rPr>
                <w:rFonts w:hint="eastAsia"/>
              </w:rPr>
            </w:pPr>
            <w:r>
              <w:rPr>
                <w:rFonts w:hint="eastAsia"/>
              </w:rPr>
              <w:t>最终技术参数</w:t>
            </w:r>
          </w:p>
        </w:tc>
        <w:tc>
          <w:tcPr>
            <w:tcW w:w="1075" w:type="dxa"/>
            <w:vAlign w:val="center"/>
          </w:tcPr>
          <w:p>
            <w:pPr>
              <w:ind w:firstLine="0" w:firstLineChars="0"/>
              <w:jc w:val="center"/>
              <w:rPr>
                <w:rFonts w:hint="eastAsia"/>
              </w:rPr>
            </w:pPr>
            <w:r>
              <w:rPr>
                <w:rFonts w:hint="eastAsia"/>
              </w:rPr>
              <w:t>单位</w:t>
            </w:r>
          </w:p>
        </w:tc>
        <w:tc>
          <w:tcPr>
            <w:tcW w:w="945" w:type="dxa"/>
            <w:vAlign w:val="center"/>
          </w:tcPr>
          <w:p>
            <w:pPr>
              <w:ind w:firstLine="0" w:firstLineChars="0"/>
              <w:jc w:val="center"/>
              <w:rPr>
                <w:rFonts w:hint="eastAsia"/>
              </w:rPr>
            </w:pPr>
            <w:r>
              <w:rPr>
                <w:rFonts w:hint="eastAsia"/>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51" w:hRule="atLeast"/>
        </w:trPr>
        <w:tc>
          <w:tcPr>
            <w:tcW w:w="902" w:type="dxa"/>
            <w:vMerge w:val="restart"/>
            <w:vAlign w:val="center"/>
          </w:tcPr>
          <w:p>
            <w:pPr>
              <w:ind w:firstLine="0" w:firstLineChars="0"/>
              <w:jc w:val="center"/>
              <w:rPr>
                <w:rFonts w:hint="eastAsia"/>
              </w:rPr>
            </w:pPr>
            <w:r>
              <w:rPr>
                <w:rFonts w:hint="eastAsia"/>
              </w:rPr>
              <w:t>1</w:t>
            </w:r>
          </w:p>
        </w:tc>
        <w:tc>
          <w:tcPr>
            <w:tcW w:w="1772" w:type="dxa"/>
            <w:vMerge w:val="restart"/>
            <w:vAlign w:val="center"/>
          </w:tcPr>
          <w:p>
            <w:pPr>
              <w:ind w:firstLine="0" w:firstLineChars="0"/>
              <w:jc w:val="center"/>
              <w:rPr>
                <w:rFonts w:hint="eastAsia"/>
              </w:rPr>
            </w:pPr>
            <w:r>
              <w:rPr>
                <w:rFonts w:hint="eastAsia"/>
              </w:rPr>
              <w:t>波分复用设备</w:t>
            </w:r>
          </w:p>
        </w:tc>
        <w:tc>
          <w:tcPr>
            <w:tcW w:w="3503" w:type="dxa"/>
            <w:vAlign w:val="center"/>
          </w:tcPr>
          <w:p>
            <w:pPr>
              <w:ind w:right="-94" w:rightChars="-45" w:firstLine="0" w:firstLineChars="0"/>
              <w:rPr>
                <w:rFonts w:hint="eastAsia"/>
                <w:szCs w:val="24"/>
              </w:rPr>
            </w:pPr>
            <w:r>
              <w:rPr>
                <w:rFonts w:hint="eastAsia"/>
                <w:szCs w:val="24"/>
              </w:rPr>
              <w:t>★实配要求</w:t>
            </w:r>
          </w:p>
          <w:p>
            <w:pPr>
              <w:ind w:right="-94" w:rightChars="-45" w:firstLine="0" w:firstLineChars="0"/>
              <w:rPr>
                <w:rFonts w:hint="eastAsia"/>
                <w:szCs w:val="24"/>
              </w:rPr>
            </w:pPr>
            <w:r>
              <w:rPr>
                <w:rFonts w:hint="eastAsia"/>
                <w:szCs w:val="24"/>
              </w:rPr>
              <w:t>1、和平、南开机房各配置2套波分复用设备，每套系统需要光电分离组网。</w:t>
            </w:r>
          </w:p>
          <w:p>
            <w:pPr>
              <w:ind w:right="-94" w:rightChars="-45" w:firstLine="0" w:firstLineChars="0"/>
              <w:rPr>
                <w:rFonts w:hint="eastAsia"/>
                <w:szCs w:val="24"/>
              </w:rPr>
            </w:pPr>
            <w:r>
              <w:rPr>
                <w:rFonts w:hint="eastAsia"/>
                <w:szCs w:val="24"/>
              </w:rPr>
              <w:t>2、每套设备电层线路侧满足带宽≥140G，支路侧满足10GE多模接口≥6，FC8G单模接口≥6，GE多模接口≥10，配置满足上述端口需求的业务单板和光模块。</w:t>
            </w:r>
          </w:p>
          <w:p>
            <w:pPr>
              <w:ind w:right="-94" w:rightChars="-45" w:firstLine="0" w:firstLineChars="0"/>
              <w:rPr>
                <w:rFonts w:hint="eastAsia"/>
                <w:szCs w:val="24"/>
              </w:rPr>
            </w:pPr>
            <w:r>
              <w:rPr>
                <w:rFonts w:hint="eastAsia"/>
                <w:szCs w:val="24"/>
              </w:rPr>
              <w:t>3、配置与光方向匹配的光合分波板、光放大板和光谱分析板。</w:t>
            </w:r>
          </w:p>
        </w:tc>
        <w:tc>
          <w:tcPr>
            <w:tcW w:w="1075" w:type="dxa"/>
            <w:vMerge w:val="restart"/>
            <w:vAlign w:val="center"/>
          </w:tcPr>
          <w:p>
            <w:pPr>
              <w:ind w:firstLine="0" w:firstLineChars="0"/>
              <w:jc w:val="center"/>
              <w:rPr>
                <w:rFonts w:hint="eastAsia" w:eastAsia="宋体"/>
                <w:lang w:eastAsia="zh-CN"/>
              </w:rPr>
            </w:pPr>
            <w:r>
              <w:rPr>
                <w:rFonts w:hint="eastAsia"/>
                <w:lang w:val="en-US" w:eastAsia="zh-CN"/>
              </w:rPr>
              <w:t>台</w:t>
            </w:r>
          </w:p>
        </w:tc>
        <w:tc>
          <w:tcPr>
            <w:tcW w:w="945" w:type="dxa"/>
            <w:vMerge w:val="restart"/>
            <w:vAlign w:val="center"/>
          </w:tcPr>
          <w:p>
            <w:pPr>
              <w:ind w:firstLine="0" w:firstLineChars="0"/>
              <w:jc w:val="center"/>
              <w:rPr>
                <w:rFonts w:hint="eastAsia"/>
              </w:rPr>
            </w:pPr>
            <w:r>
              <w:rPr>
                <w:rFonts w:hint="eastAsia"/>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07"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right="-97" w:rightChars="-46" w:firstLine="0" w:firstLineChars="0"/>
              <w:rPr>
                <w:rFonts w:hint="eastAsia"/>
                <w:szCs w:val="24"/>
              </w:rPr>
            </w:pPr>
            <w:r>
              <w:rPr>
                <w:rFonts w:hint="eastAsia"/>
                <w:szCs w:val="24"/>
              </w:rPr>
              <w:t>★1、</w:t>
            </w:r>
            <w:r>
              <w:rPr>
                <w:rFonts w:hint="eastAsia"/>
                <w:szCs w:val="24"/>
                <w:lang w:val="en-US" w:eastAsia="zh-CN"/>
              </w:rPr>
              <w:t>所投</w:t>
            </w:r>
            <w:r>
              <w:rPr>
                <w:rFonts w:hint="eastAsia"/>
                <w:szCs w:val="24"/>
              </w:rPr>
              <w:t>波分复用设备电层子架应为200G OTN平台，单子架OTN容量不小于2.8T，单槽位背板总线带宽200G；电层子架业务槽位≥14个；</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7"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right="-97" w:rightChars="-46" w:firstLine="0" w:firstLineChars="0"/>
              <w:rPr>
                <w:rFonts w:hint="eastAsia"/>
                <w:szCs w:val="24"/>
              </w:rPr>
            </w:pPr>
            <w:r>
              <w:rPr>
                <w:rFonts w:hint="eastAsia"/>
                <w:szCs w:val="24"/>
              </w:rPr>
              <w:t>所投波分复用设备</w:t>
            </w:r>
            <w:r>
              <w:rPr>
                <w:rFonts w:hint="eastAsia"/>
                <w:szCs w:val="24"/>
                <w:lang w:val="en-US" w:eastAsia="zh-CN"/>
              </w:rPr>
              <w:t>≤</w:t>
            </w:r>
            <w:r>
              <w:rPr>
                <w:rFonts w:hint="eastAsia"/>
                <w:color w:val="auto"/>
                <w:szCs w:val="24"/>
                <w:highlight w:val="none"/>
                <w:shd w:val="clear"/>
              </w:rPr>
              <w:t>6U</w:t>
            </w:r>
            <w:r>
              <w:rPr>
                <w:rFonts w:hint="eastAsia"/>
                <w:szCs w:val="24"/>
              </w:rPr>
              <w:t>，可同时支持19英寸,21英寸安装；</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2"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szCs w:val="24"/>
              </w:rPr>
            </w:pPr>
            <w:r>
              <w:rPr>
                <w:rFonts w:hint="eastAsia"/>
                <w:szCs w:val="24"/>
              </w:rPr>
              <w:t>3、所投波分复用设备支持OSU/Fg-OTN等下一代OTN技术；</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1"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szCs w:val="24"/>
              </w:rPr>
            </w:pPr>
            <w:r>
              <w:rPr>
                <w:rFonts w:hint="eastAsia"/>
                <w:szCs w:val="24"/>
              </w:rPr>
              <w:t>4、所投波分复用设备支持直流或交流供电；</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8"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szCs w:val="24"/>
              </w:rPr>
            </w:pPr>
            <w:r>
              <w:rPr>
                <w:rFonts w:hint="eastAsia"/>
                <w:szCs w:val="24"/>
              </w:rPr>
              <w:t>5、所投波分复用设备支持主控板1+1保护、电源1+1保护等设备级保护；</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0"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szCs w:val="24"/>
              </w:rPr>
            </w:pPr>
            <w:r>
              <w:rPr>
                <w:rFonts w:hint="eastAsia"/>
                <w:szCs w:val="24"/>
              </w:rPr>
              <w:t>6、所投波分复用设备OTN客户侧业务类型支持数据业务：GE、10GE；SAN业务：FC800、FC1600、FC3200</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90"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szCs w:val="24"/>
              </w:rPr>
            </w:pPr>
            <w:r>
              <w:rPr>
                <w:rFonts w:hint="eastAsia"/>
                <w:szCs w:val="24"/>
              </w:rPr>
              <w:t>7、所投波分复用设备支持光线路1+1，ODUk SNCP，板内1+1，客户侧1+1等多种保护方式倒换时间小于50ms；</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34"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szCs w:val="24"/>
              </w:rPr>
            </w:pPr>
            <w:r>
              <w:rPr>
                <w:rFonts w:hint="eastAsia"/>
                <w:szCs w:val="24"/>
              </w:rPr>
              <w:t>8、所投波分复用设备可靠性要求：设备应能连续运转，且重要部分应有冗余的单元配置。当设备加电运行时，插入或拔出机盘时应不引起任何元件的损坏或使用寿命的缩短。</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82"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szCs w:val="24"/>
                <w:highlight w:val="yellow"/>
              </w:rPr>
            </w:pPr>
            <w:r>
              <w:rPr>
                <w:rFonts w:hint="eastAsia"/>
                <w:szCs w:val="24"/>
              </w:rPr>
              <w:t>9、所投波分复用设备支持光监控系统，并且可以保证在光放单板失效时，不影响光监控信道工作。</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eastAsia="宋体"/>
                <w:szCs w:val="24"/>
                <w:highlight w:val="yellow"/>
                <w:lang w:eastAsia="zh-CN"/>
              </w:rPr>
            </w:pPr>
            <w:r>
              <w:rPr>
                <w:rFonts w:hint="eastAsia"/>
                <w:szCs w:val="24"/>
                <w:highlight w:val="none"/>
              </w:rPr>
              <w:t>10、所投波分复用设备的核心芯片，包括主控CPU、交叉处理芯片、业务芯片，均为自主研发</w:t>
            </w:r>
            <w:r>
              <w:rPr>
                <w:rFonts w:hint="eastAsia"/>
                <w:szCs w:val="24"/>
                <w:highlight w:val="none"/>
                <w:lang w:eastAsia="zh-CN"/>
              </w:rPr>
              <w:t>。</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szCs w:val="24"/>
                <w:highlight w:val="none"/>
              </w:rPr>
            </w:pPr>
            <w:r>
              <w:rPr>
                <w:rFonts w:hint="eastAsia" w:ascii="Times New Roman" w:hAnsi="Times New Roman" w:cs="Times New Roman"/>
                <w:szCs w:val="24"/>
                <w:lang w:val="en-US" w:eastAsia="zh-CN"/>
              </w:rPr>
              <w:t>11、</w:t>
            </w:r>
            <w:r>
              <w:rPr>
                <w:rFonts w:hint="eastAsia"/>
                <w:szCs w:val="24"/>
                <w:highlight w:val="none"/>
              </w:rPr>
              <w:t>所投波分复用</w:t>
            </w:r>
            <w:r>
              <w:rPr>
                <w:rFonts w:hint="eastAsia" w:ascii="Times New Roman" w:hAnsi="Times New Roman" w:cs="Times New Roman"/>
                <w:szCs w:val="24"/>
              </w:rPr>
              <w:t>设备光监控单板支持内置OTDR，不需要增加额外的单板即可实现OTDR功能，用于快速定位光纤故障，提升运维效率。</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84"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rPr>
            </w:pPr>
          </w:p>
        </w:tc>
        <w:tc>
          <w:tcPr>
            <w:tcW w:w="3503" w:type="dxa"/>
            <w:vAlign w:val="center"/>
          </w:tcPr>
          <w:p>
            <w:pPr>
              <w:ind w:firstLine="0" w:firstLineChars="0"/>
              <w:rPr>
                <w:rFonts w:hint="eastAsia"/>
                <w:szCs w:val="24"/>
              </w:rPr>
            </w:pPr>
            <w:r>
              <w:rPr>
                <w:rFonts w:hint="eastAsia"/>
                <w:szCs w:val="24"/>
                <w:lang w:val="en-US" w:eastAsia="zh-CN"/>
              </w:rPr>
              <w:t>12、</w:t>
            </w:r>
            <w:r>
              <w:rPr>
                <w:rFonts w:hint="eastAsia"/>
                <w:szCs w:val="24"/>
              </w:rPr>
              <w:t>需要提供3年原厂维保且维保级别不低于标准级别，现场支持人员需要原厂工程师或者具有原厂授权的服务商工程师。</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0" w:hRule="atLeast"/>
        </w:trPr>
        <w:tc>
          <w:tcPr>
            <w:tcW w:w="902" w:type="dxa"/>
            <w:vMerge w:val="restart"/>
            <w:vAlign w:val="center"/>
          </w:tcPr>
          <w:p>
            <w:pPr>
              <w:ind w:firstLine="0" w:firstLineChars="0"/>
              <w:jc w:val="center"/>
              <w:rPr>
                <w:rFonts w:hint="eastAsia"/>
              </w:rPr>
            </w:pPr>
            <w:r>
              <w:rPr>
                <w:rFonts w:hint="eastAsia"/>
              </w:rPr>
              <w:t>2</w:t>
            </w:r>
          </w:p>
        </w:tc>
        <w:tc>
          <w:tcPr>
            <w:tcW w:w="1772" w:type="dxa"/>
            <w:vMerge w:val="restart"/>
            <w:vAlign w:val="center"/>
          </w:tcPr>
          <w:p>
            <w:pPr>
              <w:ind w:firstLine="0" w:firstLineChars="0"/>
              <w:jc w:val="center"/>
              <w:rPr>
                <w:rFonts w:hint="default" w:eastAsia="宋体"/>
                <w:lang w:val="en-US" w:eastAsia="zh-CN"/>
              </w:rPr>
            </w:pPr>
            <w:r>
              <w:rPr>
                <w:rFonts w:hint="eastAsia"/>
                <w:lang w:val="en-US" w:eastAsia="zh-CN"/>
              </w:rPr>
              <w:t>传输网管平台</w:t>
            </w:r>
          </w:p>
        </w:tc>
        <w:tc>
          <w:tcPr>
            <w:tcW w:w="3503" w:type="dxa"/>
            <w:vAlign w:val="center"/>
          </w:tcPr>
          <w:p>
            <w:pPr>
              <w:ind w:firstLine="0" w:firstLineChars="0"/>
              <w:rPr>
                <w:rFonts w:hint="eastAsia"/>
                <w:szCs w:val="24"/>
              </w:rPr>
            </w:pPr>
            <w:r>
              <w:rPr>
                <w:rFonts w:hint="eastAsia"/>
                <w:szCs w:val="24"/>
                <w:lang w:val="en-US" w:eastAsia="zh-CN"/>
              </w:rPr>
              <w:t>★1.</w:t>
            </w:r>
            <w:r>
              <w:rPr>
                <w:rFonts w:hint="eastAsia"/>
                <w:lang w:val="en-US" w:eastAsia="zh-CN"/>
              </w:rPr>
              <w:t>传输网管平台系统</w:t>
            </w:r>
            <w:r>
              <w:rPr>
                <w:rFonts w:hint="eastAsia"/>
                <w:szCs w:val="24"/>
                <w:lang w:val="en-US" w:eastAsia="zh-CN"/>
              </w:rPr>
              <w:t>具有本次所投设备管理的授权；</w:t>
            </w:r>
          </w:p>
        </w:tc>
        <w:tc>
          <w:tcPr>
            <w:tcW w:w="1075" w:type="dxa"/>
            <w:vMerge w:val="restart"/>
            <w:vAlign w:val="center"/>
          </w:tcPr>
          <w:p>
            <w:pPr>
              <w:ind w:firstLine="0" w:firstLineChars="0"/>
              <w:jc w:val="center"/>
              <w:rPr>
                <w:rFonts w:hint="eastAsia"/>
              </w:rPr>
            </w:pPr>
            <w:r>
              <w:rPr>
                <w:rFonts w:hint="eastAsia"/>
              </w:rPr>
              <w:t>套</w:t>
            </w:r>
          </w:p>
        </w:tc>
        <w:tc>
          <w:tcPr>
            <w:tcW w:w="945" w:type="dxa"/>
            <w:vMerge w:val="restart"/>
            <w:vAlign w:val="center"/>
          </w:tcPr>
          <w:p>
            <w:pPr>
              <w:ind w:firstLine="0" w:firstLineChars="0"/>
              <w:jc w:val="center"/>
              <w:rPr>
                <w:rFonts w:hint="eastAsia" w:eastAsia="宋体"/>
                <w:lang w:eastAsia="zh-CN"/>
              </w:rPr>
            </w:pPr>
            <w:r>
              <w:rPr>
                <w:rFonts w:hint="eastAsia"/>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2"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lang w:val="en-US" w:eastAsia="zh-CN"/>
              </w:rPr>
            </w:pPr>
          </w:p>
        </w:tc>
        <w:tc>
          <w:tcPr>
            <w:tcW w:w="3503" w:type="dxa"/>
            <w:vAlign w:val="center"/>
          </w:tcPr>
          <w:p>
            <w:pPr>
              <w:ind w:firstLine="0" w:firstLineChars="0"/>
              <w:rPr>
                <w:rFonts w:hint="default"/>
                <w:szCs w:val="24"/>
                <w:lang w:val="en-US" w:eastAsia="zh-CN"/>
              </w:rPr>
            </w:pPr>
            <w:r>
              <w:rPr>
                <w:rFonts w:hint="eastAsia"/>
                <w:szCs w:val="24"/>
                <w:lang w:val="en-US" w:eastAsia="zh-CN"/>
              </w:rPr>
              <w:t>★2.</w:t>
            </w:r>
            <w:r>
              <w:rPr>
                <w:rFonts w:hint="eastAsia"/>
                <w:lang w:val="en-US" w:eastAsia="zh-CN"/>
              </w:rPr>
              <w:t>传输网管平台需满足双机热备或灾备；</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2"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lang w:val="en-US" w:eastAsia="zh-CN"/>
              </w:rPr>
            </w:pPr>
          </w:p>
        </w:tc>
        <w:tc>
          <w:tcPr>
            <w:tcW w:w="3503" w:type="dxa"/>
            <w:vAlign w:val="center"/>
          </w:tcPr>
          <w:p>
            <w:pPr>
              <w:ind w:firstLine="0" w:firstLineChars="0"/>
              <w:rPr>
                <w:rFonts w:hint="eastAsia"/>
                <w:szCs w:val="24"/>
                <w:lang w:val="en-US" w:eastAsia="zh-CN"/>
              </w:rPr>
            </w:pPr>
            <w:r>
              <w:rPr>
                <w:rFonts w:hint="eastAsia"/>
                <w:szCs w:val="24"/>
                <w:lang w:val="en-US" w:eastAsia="zh-CN"/>
              </w:rPr>
              <w:t>★3.</w:t>
            </w:r>
            <w:r>
              <w:rPr>
                <w:rFonts w:hint="eastAsia" w:ascii="Times New Roman" w:hAnsi="Times New Roman" w:cs="Times New Roman"/>
                <w:szCs w:val="24"/>
              </w:rPr>
              <w:t>所投传输网管平台包括网管服务器、系统软件；</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2"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lang w:val="en-US" w:eastAsia="zh-CN"/>
              </w:rPr>
            </w:pPr>
          </w:p>
        </w:tc>
        <w:tc>
          <w:tcPr>
            <w:tcW w:w="3503" w:type="dxa"/>
            <w:vAlign w:val="center"/>
          </w:tcPr>
          <w:p>
            <w:pPr>
              <w:ind w:firstLine="0" w:firstLineChars="0"/>
              <w:rPr>
                <w:rFonts w:hint="eastAsia"/>
                <w:szCs w:val="24"/>
                <w:lang w:val="en-US" w:eastAsia="zh-CN"/>
              </w:rPr>
            </w:pPr>
            <w:r>
              <w:rPr>
                <w:rFonts w:hint="eastAsia"/>
                <w:lang w:val="en-US" w:eastAsia="zh-CN"/>
              </w:rPr>
              <w:t>4.传输网管平台系统支持对拓扑视图进行管理，支持查找、展开/收缩拓扑视图，查看网元间连接信息、拓扑对象属性，支持对拓扑对象进行编辑；</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2"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lang w:val="en-US" w:eastAsia="zh-CN"/>
              </w:rPr>
            </w:pPr>
          </w:p>
        </w:tc>
        <w:tc>
          <w:tcPr>
            <w:tcW w:w="3503" w:type="dxa"/>
            <w:vAlign w:val="center"/>
          </w:tcPr>
          <w:p>
            <w:pPr>
              <w:ind w:firstLine="0" w:firstLineChars="0"/>
              <w:rPr>
                <w:rFonts w:hint="eastAsia"/>
                <w:szCs w:val="24"/>
                <w:lang w:val="en-US" w:eastAsia="zh-CN"/>
              </w:rPr>
            </w:pPr>
            <w:r>
              <w:rPr>
                <w:rFonts w:hint="eastAsia"/>
                <w:lang w:val="en-US" w:eastAsia="zh-CN"/>
              </w:rPr>
              <w:t>5.支持网元、网管的NTP服务器配置，支持对网元时间、时区进行配置和管理；</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2" w:hRule="atLeast"/>
        </w:trPr>
        <w:tc>
          <w:tcPr>
            <w:tcW w:w="902" w:type="dxa"/>
            <w:vMerge w:val="continue"/>
            <w:vAlign w:val="center"/>
          </w:tcPr>
          <w:p>
            <w:pPr>
              <w:ind w:firstLine="0" w:firstLineChars="0"/>
              <w:jc w:val="center"/>
              <w:rPr>
                <w:rFonts w:hint="eastAsia"/>
              </w:rPr>
            </w:pPr>
          </w:p>
        </w:tc>
        <w:tc>
          <w:tcPr>
            <w:tcW w:w="1772" w:type="dxa"/>
            <w:vMerge w:val="continue"/>
            <w:vAlign w:val="center"/>
          </w:tcPr>
          <w:p>
            <w:pPr>
              <w:ind w:firstLine="0" w:firstLineChars="0"/>
              <w:jc w:val="center"/>
              <w:rPr>
                <w:rFonts w:hint="eastAsia"/>
                <w:lang w:val="en-US" w:eastAsia="zh-CN"/>
              </w:rPr>
            </w:pPr>
          </w:p>
        </w:tc>
        <w:tc>
          <w:tcPr>
            <w:tcW w:w="3503" w:type="dxa"/>
            <w:vAlign w:val="center"/>
          </w:tcPr>
          <w:p>
            <w:pPr>
              <w:ind w:firstLine="0" w:firstLineChars="0"/>
              <w:rPr>
                <w:rFonts w:hint="eastAsia"/>
                <w:lang w:val="en-US" w:eastAsia="zh-CN"/>
              </w:rPr>
            </w:pPr>
            <w:r>
              <w:rPr>
                <w:rFonts w:hint="eastAsia"/>
                <w:szCs w:val="24"/>
                <w:lang w:val="en-US" w:eastAsia="zh-CN"/>
              </w:rPr>
              <w:t>★6.</w:t>
            </w:r>
            <w:r>
              <w:rPr>
                <w:rFonts w:hint="eastAsia"/>
                <w:lang w:val="en-US" w:eastAsia="zh-CN"/>
              </w:rPr>
              <w:t>传输网管平台设备需提供3年原厂保修以及原厂硬盘介质保留服务；</w:t>
            </w:r>
          </w:p>
        </w:tc>
        <w:tc>
          <w:tcPr>
            <w:tcW w:w="1075" w:type="dxa"/>
            <w:vMerge w:val="continue"/>
            <w:vAlign w:val="center"/>
          </w:tcPr>
          <w:p>
            <w:pPr>
              <w:ind w:firstLine="0" w:firstLineChars="0"/>
              <w:jc w:val="center"/>
              <w:rPr>
                <w:rFonts w:hint="eastAsia"/>
              </w:rPr>
            </w:pPr>
          </w:p>
        </w:tc>
        <w:tc>
          <w:tcPr>
            <w:tcW w:w="945" w:type="dxa"/>
            <w:vMerge w:val="continue"/>
            <w:vAlign w:val="center"/>
          </w:tcPr>
          <w:p>
            <w:pPr>
              <w:ind w:firstLine="0" w:firstLineChars="0"/>
              <w:jc w:val="center"/>
              <w:rPr>
                <w:rFonts w:hint="eastAsia"/>
                <w:lang w:val="en-US" w:eastAsia="zh-CN"/>
              </w:rPr>
            </w:pPr>
          </w:p>
        </w:tc>
      </w:tr>
    </w:tbl>
    <w:p>
      <w:pPr>
        <w:bidi w:val="0"/>
        <w:spacing w:line="360" w:lineRule="auto"/>
        <w:rPr>
          <w:rFonts w:hint="eastAsia"/>
          <w:sz w:val="24"/>
          <w:szCs w:val="24"/>
        </w:rPr>
      </w:pPr>
    </w:p>
    <w:p>
      <w:pPr>
        <w:bidi w:val="0"/>
        <w:spacing w:line="360" w:lineRule="auto"/>
        <w:rPr>
          <w:sz w:val="24"/>
          <w:szCs w:val="24"/>
        </w:rPr>
      </w:pPr>
      <w:r>
        <w:rPr>
          <w:rFonts w:hint="eastAsia"/>
          <w:sz w:val="24"/>
          <w:szCs w:val="24"/>
        </w:rPr>
        <w:t>（三）实施及售后服务要求</w:t>
      </w:r>
    </w:p>
    <w:p>
      <w:pPr>
        <w:bidi w:val="0"/>
        <w:spacing w:line="360" w:lineRule="auto"/>
        <w:ind w:firstLine="480" w:firstLineChars="200"/>
        <w:rPr>
          <w:sz w:val="24"/>
          <w:szCs w:val="24"/>
        </w:rPr>
      </w:pPr>
      <w:r>
        <w:rPr>
          <w:rFonts w:hint="eastAsia"/>
          <w:sz w:val="24"/>
          <w:szCs w:val="24"/>
        </w:rPr>
        <w:t>1、本项目是天津市人力资源和社会保障局金保二期系统平台</w:t>
      </w:r>
      <w:r>
        <w:rPr>
          <w:rFonts w:hint="eastAsia"/>
          <w:sz w:val="24"/>
          <w:szCs w:val="24"/>
          <w:highlight w:val="none"/>
        </w:rPr>
        <w:t>支撑同城双活数据中心的核心关键网络设备，投标人和项目主要成员需具备类似</w:t>
      </w:r>
      <w:r>
        <w:rPr>
          <w:rFonts w:hint="eastAsia"/>
          <w:sz w:val="24"/>
          <w:szCs w:val="24"/>
        </w:rPr>
        <w:t>项目实施经验，充分了解人社局金保二期数据中心及系统运行的的特点、组网结构、安全保障需求以及其它要求，充分考虑本次采购的设备与金保二期现有设备的对接，并提供必要的技术支撑和配合，协助完成天津市人力资源和社会保障局金保二期业务系统DWDM</w:t>
      </w:r>
      <w:r>
        <w:rPr>
          <w:rFonts w:hint="eastAsia"/>
          <w:sz w:val="24"/>
          <w:szCs w:val="24"/>
          <w:lang w:val="en-US" w:eastAsia="zh-CN"/>
        </w:rPr>
        <w:t>波分复用</w:t>
      </w:r>
      <w:r>
        <w:rPr>
          <w:rFonts w:hint="eastAsia"/>
          <w:sz w:val="24"/>
          <w:szCs w:val="24"/>
        </w:rPr>
        <w:t>设备替换项目中涉及的各项实施部署工作</w:t>
      </w:r>
      <w:r>
        <w:rPr>
          <w:rFonts w:hint="eastAsia"/>
          <w:sz w:val="24"/>
          <w:szCs w:val="24"/>
          <w:lang w:eastAsia="zh-CN"/>
        </w:rPr>
        <w:t>，</w:t>
      </w:r>
      <w:r>
        <w:rPr>
          <w:rFonts w:hint="eastAsia"/>
          <w:sz w:val="24"/>
          <w:szCs w:val="24"/>
          <w:lang w:val="en-US" w:eastAsia="zh-CN"/>
        </w:rPr>
        <w:t>保证本项目采购设备与原有设备无缝切换</w:t>
      </w:r>
      <w:r>
        <w:rPr>
          <w:rFonts w:hint="eastAsia"/>
          <w:sz w:val="24"/>
          <w:szCs w:val="24"/>
        </w:rPr>
        <w:t>。</w:t>
      </w:r>
    </w:p>
    <w:p>
      <w:pPr>
        <w:bidi w:val="0"/>
        <w:spacing w:line="360" w:lineRule="auto"/>
        <w:ind w:firstLine="480" w:firstLineChars="200"/>
        <w:rPr>
          <w:sz w:val="24"/>
          <w:szCs w:val="24"/>
        </w:rPr>
      </w:pPr>
      <w:r>
        <w:rPr>
          <w:rFonts w:hint="eastAsia"/>
          <w:sz w:val="24"/>
          <w:szCs w:val="24"/>
        </w:rPr>
        <w:t>2、投标人须依据本次项目建设需求、采购项目要求编制集成实施方案，需充分考虑到实施时存在的风险，并描述实施过程的时间进度以及影响程度范围。集成实施方案中需有详细的方案拓扑图。</w:t>
      </w:r>
    </w:p>
    <w:p>
      <w:pPr>
        <w:bidi w:val="0"/>
        <w:spacing w:line="360" w:lineRule="auto"/>
        <w:ind w:firstLine="480" w:firstLineChars="200"/>
        <w:rPr>
          <w:sz w:val="24"/>
          <w:szCs w:val="24"/>
        </w:rPr>
      </w:pPr>
      <w:r>
        <w:rPr>
          <w:rFonts w:hint="eastAsia"/>
          <w:sz w:val="24"/>
          <w:szCs w:val="24"/>
        </w:rPr>
        <w:t>3、投标人须组织实施天津市人力资源和社会保障局金保二期业务系统DWDM</w:t>
      </w:r>
      <w:r>
        <w:rPr>
          <w:rFonts w:hint="eastAsia"/>
          <w:sz w:val="24"/>
          <w:szCs w:val="24"/>
          <w:lang w:val="en-US" w:eastAsia="zh-CN"/>
        </w:rPr>
        <w:t>波分复用</w:t>
      </w:r>
      <w:r>
        <w:rPr>
          <w:rFonts w:hint="eastAsia"/>
          <w:sz w:val="24"/>
          <w:szCs w:val="24"/>
        </w:rPr>
        <w:t>设备替换项目工程所涉及到相关设备实施，须制定合理可行的项目管理计划，保证所有建设内容按计划保质保量地开展。</w:t>
      </w:r>
    </w:p>
    <w:p>
      <w:pPr>
        <w:bidi w:val="0"/>
        <w:spacing w:line="360" w:lineRule="auto"/>
        <w:ind w:firstLine="480" w:firstLineChars="200"/>
        <w:rPr>
          <w:sz w:val="24"/>
          <w:szCs w:val="24"/>
        </w:rPr>
      </w:pPr>
      <w:r>
        <w:rPr>
          <w:rFonts w:hint="eastAsia"/>
          <w:sz w:val="24"/>
          <w:szCs w:val="24"/>
        </w:rPr>
        <w:t>4、投标人须对天津市人力资源和社会保障局金保二期业务系统DWDM</w:t>
      </w:r>
      <w:r>
        <w:rPr>
          <w:rFonts w:hint="eastAsia"/>
          <w:sz w:val="24"/>
          <w:szCs w:val="24"/>
          <w:lang w:val="en-US" w:eastAsia="zh-CN"/>
        </w:rPr>
        <w:t>波分复用</w:t>
      </w:r>
      <w:r>
        <w:rPr>
          <w:rFonts w:hint="eastAsia"/>
          <w:sz w:val="24"/>
          <w:szCs w:val="24"/>
        </w:rPr>
        <w:t>设备替换项目工程的总体质量和进度负总责，包括不限于对天津市人力资源和社会保障局金保二期业务系统DWDM</w:t>
      </w:r>
      <w:r>
        <w:rPr>
          <w:rFonts w:hint="eastAsia"/>
          <w:sz w:val="24"/>
          <w:szCs w:val="24"/>
          <w:lang w:val="en-US" w:eastAsia="zh-CN"/>
        </w:rPr>
        <w:t>波分复用</w:t>
      </w:r>
      <w:r>
        <w:rPr>
          <w:rFonts w:hint="eastAsia"/>
          <w:sz w:val="24"/>
          <w:szCs w:val="24"/>
        </w:rPr>
        <w:t>设备替换项目硬件设备的到货、安装调试、验收负责，同时还要对总体测试、试运行、验收负责。</w:t>
      </w:r>
    </w:p>
    <w:p>
      <w:pPr>
        <w:bidi w:val="0"/>
        <w:spacing w:line="360" w:lineRule="auto"/>
        <w:ind w:firstLine="480" w:firstLineChars="200"/>
        <w:rPr>
          <w:sz w:val="24"/>
          <w:szCs w:val="24"/>
        </w:rPr>
      </w:pPr>
      <w:r>
        <w:rPr>
          <w:rFonts w:hint="eastAsia"/>
          <w:sz w:val="24"/>
          <w:szCs w:val="24"/>
        </w:rPr>
        <w:t>5、为保证本项目顺利实施，投标人须提供本次建设的项目实施方案，实施方案内容要详尽，所投设备在实施过程中需确保保障金保二期系统平稳运行。</w:t>
      </w:r>
    </w:p>
    <w:p>
      <w:pPr>
        <w:bidi w:val="0"/>
        <w:spacing w:line="360" w:lineRule="auto"/>
        <w:ind w:firstLine="480" w:firstLineChars="200"/>
        <w:rPr>
          <w:sz w:val="24"/>
          <w:szCs w:val="24"/>
        </w:rPr>
      </w:pPr>
      <w:r>
        <w:rPr>
          <w:rFonts w:hint="eastAsia"/>
          <w:sz w:val="24"/>
          <w:szCs w:val="24"/>
        </w:rPr>
        <w:t>6、投标人须在规定时间内完成设备、调试、综合布线等系统集成方面的工作，</w:t>
      </w:r>
      <w:r>
        <w:rPr>
          <w:rFonts w:hint="eastAsia"/>
          <w:sz w:val="24"/>
          <w:szCs w:val="24"/>
          <w:lang w:val="en-US" w:eastAsia="zh-CN"/>
        </w:rPr>
        <w:t>实施过程中</w:t>
      </w:r>
      <w:r>
        <w:rPr>
          <w:rFonts w:hint="eastAsia"/>
          <w:sz w:val="24"/>
          <w:szCs w:val="24"/>
        </w:rPr>
        <w:t>根据现场情况提供实施方案，包括施工人员、技术支持、工期进度安排、组织管理培训。</w:t>
      </w:r>
    </w:p>
    <w:p>
      <w:pPr>
        <w:bidi w:val="0"/>
        <w:spacing w:line="360" w:lineRule="auto"/>
        <w:ind w:firstLine="480" w:firstLineChars="200"/>
        <w:rPr>
          <w:sz w:val="24"/>
          <w:szCs w:val="24"/>
        </w:rPr>
      </w:pPr>
      <w:r>
        <w:rPr>
          <w:rFonts w:hint="eastAsia"/>
          <w:sz w:val="24"/>
          <w:szCs w:val="24"/>
        </w:rPr>
        <w:t>7、投标人须针对招标项目实施过程及交付结果进行质量规划、管理、控制，中标单位需能提供项目准备、需求分析、设计、实施、上线、交付各阶段及项目管理等有关文档。投标人要能在充分理解本项目的基础上，对可能出现的各类风险进行评估和制定应对措施，以保证本项目的顺利上线。</w:t>
      </w:r>
    </w:p>
    <w:p>
      <w:pPr>
        <w:bidi w:val="0"/>
        <w:spacing w:line="360" w:lineRule="auto"/>
        <w:ind w:firstLine="480" w:firstLineChars="200"/>
        <w:rPr>
          <w:sz w:val="24"/>
          <w:szCs w:val="24"/>
        </w:rPr>
      </w:pPr>
      <w:r>
        <w:rPr>
          <w:rFonts w:hint="eastAsia"/>
          <w:sz w:val="24"/>
          <w:szCs w:val="24"/>
        </w:rPr>
        <w:t>8、投标人须提供本次采购的设备与天津人力资源和社会保障局金保二期系统平台现有及其他相关设备的联调和测试工作。</w:t>
      </w:r>
    </w:p>
    <w:p>
      <w:pPr>
        <w:bidi w:val="0"/>
        <w:spacing w:line="360" w:lineRule="auto"/>
        <w:ind w:firstLine="480" w:firstLineChars="200"/>
        <w:rPr>
          <w:sz w:val="24"/>
          <w:szCs w:val="24"/>
        </w:rPr>
      </w:pPr>
      <w:r>
        <w:rPr>
          <w:rFonts w:hint="eastAsia"/>
          <w:sz w:val="24"/>
          <w:szCs w:val="24"/>
        </w:rPr>
        <w:t>9、投标人须提供本次采购的设备安装和调试所必备的辅材和辅料。</w:t>
      </w:r>
    </w:p>
    <w:p>
      <w:pPr>
        <w:bidi w:val="0"/>
        <w:spacing w:line="360" w:lineRule="auto"/>
        <w:ind w:firstLine="480" w:firstLineChars="200"/>
        <w:rPr>
          <w:sz w:val="24"/>
          <w:szCs w:val="24"/>
        </w:rPr>
      </w:pPr>
      <w:r>
        <w:rPr>
          <w:rFonts w:hint="eastAsia"/>
          <w:sz w:val="24"/>
          <w:szCs w:val="24"/>
        </w:rPr>
        <w:t>10、投标人须承诺当招标人需要时为其提供包括但不限于设备位置调整、实施配合、系统综合布线、并完成设备上架、搬迁、系统迁移，并协助应用软件开发商完成业务部署。并在招标人需要时提供专业技术人员辅助用户相关技术人员完成系统故障的排查等服务。</w:t>
      </w:r>
    </w:p>
    <w:p>
      <w:pPr>
        <w:bidi w:val="0"/>
        <w:spacing w:line="360" w:lineRule="auto"/>
        <w:ind w:firstLine="240" w:firstLineChars="100"/>
        <w:rPr>
          <w:sz w:val="24"/>
          <w:szCs w:val="24"/>
        </w:rPr>
      </w:pPr>
      <w:r>
        <w:rPr>
          <w:rFonts w:hint="eastAsia"/>
          <w:sz w:val="24"/>
          <w:szCs w:val="24"/>
        </w:rPr>
        <w:t>★11、投标人须承诺为本包项目</w:t>
      </w:r>
      <w:r>
        <w:rPr>
          <w:rFonts w:hint="eastAsia"/>
          <w:sz w:val="24"/>
          <w:szCs w:val="24"/>
          <w:lang w:val="en-US" w:eastAsia="zh-CN"/>
        </w:rPr>
        <w:t>至少投入</w:t>
      </w:r>
      <w:r>
        <w:rPr>
          <w:rFonts w:hint="eastAsia"/>
          <w:sz w:val="24"/>
          <w:szCs w:val="24"/>
        </w:rPr>
        <w:t>项目经理1</w:t>
      </w:r>
      <w:r>
        <w:rPr>
          <w:rFonts w:hint="eastAsia"/>
          <w:sz w:val="24"/>
          <w:szCs w:val="24"/>
          <w:lang w:val="en-US" w:eastAsia="zh-CN"/>
        </w:rPr>
        <w:t>人</w:t>
      </w:r>
      <w:r>
        <w:rPr>
          <w:rFonts w:hint="eastAsia"/>
          <w:sz w:val="24"/>
          <w:szCs w:val="24"/>
        </w:rPr>
        <w:t>，集成专家1</w:t>
      </w:r>
      <w:r>
        <w:rPr>
          <w:rFonts w:hint="eastAsia"/>
          <w:sz w:val="24"/>
          <w:szCs w:val="24"/>
          <w:lang w:val="en-US" w:eastAsia="zh-CN"/>
        </w:rPr>
        <w:t>人</w:t>
      </w:r>
      <w:r>
        <w:rPr>
          <w:rFonts w:hint="eastAsia"/>
          <w:sz w:val="24"/>
          <w:szCs w:val="24"/>
        </w:rPr>
        <w:t>，安全专家1</w:t>
      </w:r>
      <w:r>
        <w:rPr>
          <w:rFonts w:hint="eastAsia"/>
          <w:sz w:val="24"/>
          <w:szCs w:val="24"/>
          <w:lang w:val="en-US" w:eastAsia="zh-CN"/>
        </w:rPr>
        <w:t>人</w:t>
      </w:r>
      <w:r>
        <w:rPr>
          <w:rFonts w:hint="eastAsia"/>
          <w:sz w:val="24"/>
          <w:szCs w:val="24"/>
        </w:rPr>
        <w:t>，网络专家1</w:t>
      </w:r>
      <w:r>
        <w:rPr>
          <w:rFonts w:hint="eastAsia"/>
          <w:sz w:val="24"/>
          <w:szCs w:val="24"/>
          <w:lang w:val="en-US" w:eastAsia="zh-CN"/>
        </w:rPr>
        <w:t>人</w:t>
      </w:r>
      <w:r>
        <w:rPr>
          <w:rFonts w:hint="eastAsia"/>
          <w:sz w:val="24"/>
          <w:szCs w:val="24"/>
        </w:rPr>
        <w:t>，</w:t>
      </w:r>
      <w:r>
        <w:rPr>
          <w:rFonts w:hint="eastAsia"/>
          <w:sz w:val="24"/>
          <w:szCs w:val="24"/>
          <w:lang w:val="en-US" w:eastAsia="zh-CN"/>
        </w:rPr>
        <w:t>运维负责人1人</w:t>
      </w:r>
      <w:r>
        <w:rPr>
          <w:rFonts w:hint="eastAsia"/>
          <w:sz w:val="24"/>
          <w:szCs w:val="24"/>
        </w:rPr>
        <w:t>。</w:t>
      </w:r>
    </w:p>
    <w:p>
      <w:pPr>
        <w:bidi w:val="0"/>
        <w:spacing w:line="360" w:lineRule="auto"/>
        <w:rPr>
          <w:rFonts w:hint="eastAsia"/>
          <w:sz w:val="24"/>
          <w:szCs w:val="24"/>
        </w:rPr>
      </w:pPr>
      <w:r>
        <w:rPr>
          <w:rFonts w:hint="eastAsia"/>
          <w:sz w:val="24"/>
          <w:szCs w:val="24"/>
        </w:rPr>
        <w:t>项目经理主要职责：负责项目整体的</w:t>
      </w:r>
      <w:r>
        <w:rPr>
          <w:rFonts w:hint="eastAsia"/>
          <w:sz w:val="24"/>
          <w:szCs w:val="24"/>
          <w:lang w:val="en-US" w:eastAsia="zh-CN"/>
        </w:rPr>
        <w:t>管理、</w:t>
      </w:r>
      <w:r>
        <w:rPr>
          <w:rFonts w:hint="eastAsia"/>
          <w:sz w:val="24"/>
          <w:szCs w:val="24"/>
        </w:rPr>
        <w:t>协调、验收工作；</w:t>
      </w:r>
    </w:p>
    <w:p>
      <w:pPr>
        <w:bidi w:val="0"/>
        <w:spacing w:line="360" w:lineRule="auto"/>
        <w:rPr>
          <w:rFonts w:hint="default" w:eastAsia="宋体"/>
          <w:sz w:val="24"/>
          <w:szCs w:val="24"/>
          <w:lang w:val="en-US" w:eastAsia="zh-CN"/>
        </w:rPr>
      </w:pPr>
      <w:r>
        <w:rPr>
          <w:rFonts w:hint="eastAsia"/>
          <w:sz w:val="24"/>
          <w:szCs w:val="24"/>
          <w:lang w:val="en-US" w:eastAsia="zh-CN"/>
        </w:rPr>
        <w:t>集成专家主要职责：负责项目技术总控；</w:t>
      </w:r>
    </w:p>
    <w:p>
      <w:pPr>
        <w:bidi w:val="0"/>
        <w:spacing w:line="360" w:lineRule="auto"/>
        <w:rPr>
          <w:sz w:val="24"/>
          <w:szCs w:val="24"/>
        </w:rPr>
      </w:pPr>
      <w:r>
        <w:rPr>
          <w:rFonts w:hint="eastAsia"/>
          <w:sz w:val="24"/>
          <w:szCs w:val="24"/>
        </w:rPr>
        <w:t>安全专家主要职责：负责项目安全管理、安全实施、设备安全运行；</w:t>
      </w:r>
    </w:p>
    <w:p>
      <w:pPr>
        <w:bidi w:val="0"/>
        <w:spacing w:line="360" w:lineRule="auto"/>
        <w:rPr>
          <w:sz w:val="24"/>
          <w:szCs w:val="24"/>
        </w:rPr>
      </w:pPr>
      <w:r>
        <w:rPr>
          <w:rFonts w:hint="eastAsia"/>
          <w:sz w:val="24"/>
          <w:szCs w:val="24"/>
        </w:rPr>
        <w:t>网络专家主要职责：负责本项目所涉及的设备的联调、</w:t>
      </w:r>
      <w:r>
        <w:rPr>
          <w:rFonts w:hint="eastAsia"/>
          <w:sz w:val="24"/>
          <w:szCs w:val="24"/>
          <w:lang w:val="en-US" w:eastAsia="zh-CN"/>
        </w:rPr>
        <w:t>与金保二期网络互联的</w:t>
      </w:r>
      <w:r>
        <w:rPr>
          <w:rFonts w:hint="eastAsia"/>
          <w:sz w:val="24"/>
          <w:szCs w:val="24"/>
        </w:rPr>
        <w:t>技术保障。</w:t>
      </w:r>
    </w:p>
    <w:p>
      <w:pPr>
        <w:bidi w:val="0"/>
        <w:spacing w:line="360" w:lineRule="auto"/>
        <w:ind w:firstLine="480" w:firstLineChars="200"/>
        <w:rPr>
          <w:sz w:val="24"/>
          <w:szCs w:val="24"/>
        </w:rPr>
      </w:pPr>
      <w:r>
        <w:rPr>
          <w:rFonts w:hint="eastAsia"/>
          <w:sz w:val="24"/>
          <w:szCs w:val="24"/>
        </w:rPr>
        <w:t>★12、投标人须承诺在</w:t>
      </w:r>
      <w:r>
        <w:rPr>
          <w:rFonts w:hint="eastAsia"/>
          <w:sz w:val="24"/>
          <w:szCs w:val="24"/>
          <w:lang w:val="en-US" w:eastAsia="zh-CN"/>
        </w:rPr>
        <w:t>设备质保期</w:t>
      </w:r>
      <w:r>
        <w:rPr>
          <w:rFonts w:hint="eastAsia"/>
          <w:sz w:val="24"/>
          <w:szCs w:val="24"/>
        </w:rPr>
        <w:t>内在南开数据中心，和平数据中心各提供1名7*24小时驻场运维服务人员进行现场</w:t>
      </w:r>
      <w:r>
        <w:rPr>
          <w:rFonts w:hint="eastAsia"/>
          <w:sz w:val="24"/>
          <w:szCs w:val="24"/>
          <w:lang w:val="en-US" w:eastAsia="zh-CN"/>
        </w:rPr>
        <w:t>值守</w:t>
      </w:r>
      <w:r>
        <w:rPr>
          <w:rFonts w:hint="eastAsia"/>
          <w:sz w:val="24"/>
          <w:szCs w:val="24"/>
        </w:rPr>
        <w:t>运维及应急保障，重大节假日需派</w:t>
      </w:r>
      <w:r>
        <w:rPr>
          <w:rFonts w:hint="eastAsia"/>
          <w:sz w:val="24"/>
          <w:szCs w:val="24"/>
          <w:lang w:val="en-US" w:eastAsia="zh-CN"/>
        </w:rPr>
        <w:t>网络专家、</w:t>
      </w:r>
      <w:r>
        <w:rPr>
          <w:rFonts w:hint="eastAsia"/>
          <w:sz w:val="24"/>
          <w:szCs w:val="24"/>
        </w:rPr>
        <w:t>安全专家5*8小时进行现场保障。</w:t>
      </w:r>
    </w:p>
    <w:p>
      <w:pPr>
        <w:bidi w:val="0"/>
        <w:spacing w:line="360" w:lineRule="auto"/>
        <w:ind w:firstLine="480" w:firstLineChars="200"/>
        <w:rPr>
          <w:sz w:val="24"/>
          <w:szCs w:val="24"/>
        </w:rPr>
      </w:pPr>
      <w:r>
        <w:rPr>
          <w:rFonts w:hint="eastAsia"/>
          <w:sz w:val="24"/>
          <w:szCs w:val="24"/>
        </w:rPr>
        <w:t>13、投标人须根据采购人要求进行深化设计，投标人所提供的设备除特定的外接设备外，所有提供硬件（如接口设备、线缆、标签、软件、控制器、I/O槽等）需配合用户与本项目相关系统的实施工作，实施过程中产生的费用，均须由中标方自行提供。如出现集成方案建设考虑不周造成业务无法办理的情况，造成损失均由中标供应商承担。如招标文件中遗漏了必需具备的设备、配件或服务，请投标人在投标文件中指出，并提出解决方案供采购人参考。</w:t>
      </w:r>
    </w:p>
    <w:p>
      <w:pPr>
        <w:spacing w:line="360" w:lineRule="auto"/>
        <w:ind w:firstLine="480" w:firstLineChars="200"/>
        <w:outlineLvl w:val="0"/>
        <w:rPr>
          <w:rFonts w:hint="eastAsia"/>
          <w:sz w:val="24"/>
        </w:rPr>
      </w:pPr>
      <w:r>
        <w:rPr>
          <w:rFonts w:hint="eastAsia"/>
          <w:sz w:val="24"/>
        </w:rPr>
        <w:t>三、商务要求</w:t>
      </w:r>
    </w:p>
    <w:p>
      <w:pPr>
        <w:autoSpaceDE w:val="0"/>
        <w:autoSpaceDN w:val="0"/>
        <w:adjustRightInd w:val="0"/>
        <w:spacing w:line="360" w:lineRule="auto"/>
        <w:ind w:firstLine="480" w:firstLineChars="200"/>
        <w:rPr>
          <w:sz w:val="24"/>
        </w:rPr>
      </w:pPr>
      <w:r>
        <w:rPr>
          <w:rFonts w:hint="eastAsia"/>
          <w:sz w:val="24"/>
          <w:szCs w:val="24"/>
        </w:rPr>
        <w:t>★</w:t>
      </w:r>
      <w:r>
        <w:rPr>
          <w:rFonts w:hint="eastAsia"/>
          <w:sz w:val="24"/>
        </w:rPr>
        <w:t>（一）报价要求</w:t>
      </w:r>
    </w:p>
    <w:p>
      <w:pPr>
        <w:autoSpaceDE w:val="0"/>
        <w:autoSpaceDN w:val="0"/>
        <w:adjustRightInd w:val="0"/>
        <w:spacing w:line="360" w:lineRule="auto"/>
        <w:ind w:firstLine="480" w:firstLineChars="200"/>
        <w:rPr>
          <w:rFonts w:hint="eastAsia"/>
          <w:sz w:val="24"/>
        </w:rPr>
      </w:pPr>
      <w:r>
        <w:rPr>
          <w:rFonts w:hint="eastAsia"/>
          <w:sz w:val="24"/>
        </w:rPr>
        <w:t>1. 投标报价以人民币填列。</w:t>
      </w:r>
    </w:p>
    <w:p>
      <w:pPr>
        <w:autoSpaceDE w:val="0"/>
        <w:autoSpaceDN w:val="0"/>
        <w:adjustRightInd w:val="0"/>
        <w:spacing w:line="360" w:lineRule="auto"/>
        <w:ind w:firstLine="480"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pPr>
        <w:autoSpaceDE w:val="0"/>
        <w:autoSpaceDN w:val="0"/>
        <w:adjustRightInd w:val="0"/>
        <w:spacing w:line="360" w:lineRule="auto"/>
        <w:ind w:firstLine="480" w:firstLineChars="200"/>
        <w:rPr>
          <w:sz w:val="24"/>
        </w:rPr>
      </w:pPr>
      <w:r>
        <w:rPr>
          <w:rFonts w:hint="eastAsia"/>
          <w:sz w:val="24"/>
        </w:rPr>
        <w:t>3. 验收及相关费用由投标人负责。</w:t>
      </w:r>
    </w:p>
    <w:p>
      <w:pPr>
        <w:autoSpaceDE w:val="0"/>
        <w:autoSpaceDN w:val="0"/>
        <w:adjustRightInd w:val="0"/>
        <w:spacing w:line="360" w:lineRule="auto"/>
        <w:ind w:firstLine="480" w:firstLineChars="200"/>
        <w:rPr>
          <w:rFonts w:hint="eastAsia"/>
          <w:sz w:val="24"/>
          <w:szCs w:val="24"/>
        </w:rPr>
      </w:pPr>
      <w:r>
        <w:rPr>
          <w:rFonts w:hint="eastAsia"/>
          <w:sz w:val="24"/>
          <w:szCs w:val="24"/>
        </w:rPr>
        <w:t>（二）服务要求</w:t>
      </w:r>
    </w:p>
    <w:p>
      <w:pPr>
        <w:bidi w:val="0"/>
        <w:spacing w:line="360" w:lineRule="auto"/>
        <w:ind w:firstLine="480" w:firstLineChars="200"/>
        <w:rPr>
          <w:sz w:val="24"/>
          <w:szCs w:val="24"/>
        </w:rPr>
      </w:pPr>
      <w:r>
        <w:rPr>
          <w:rFonts w:hint="eastAsia"/>
          <w:sz w:val="24"/>
          <w:szCs w:val="24"/>
        </w:rPr>
        <w:t>★1. 提供所投产品至少3年的免费上门保修，终身维修服务。</w:t>
      </w:r>
    </w:p>
    <w:p>
      <w:pPr>
        <w:bidi w:val="0"/>
        <w:spacing w:line="360" w:lineRule="auto"/>
        <w:ind w:firstLine="720" w:firstLineChars="300"/>
        <w:rPr>
          <w:sz w:val="24"/>
          <w:szCs w:val="24"/>
        </w:rPr>
      </w:pPr>
      <w:r>
        <w:rPr>
          <w:rFonts w:hint="eastAsia"/>
          <w:sz w:val="24"/>
          <w:szCs w:val="24"/>
        </w:rPr>
        <w:t>2. 保修期内免费更换零配件，7×24小时技术响应，48小时内维修工程师到达维修现场。保修期自验收合格之日起计算。</w:t>
      </w:r>
    </w:p>
    <w:p>
      <w:pPr>
        <w:bidi w:val="0"/>
        <w:spacing w:line="360" w:lineRule="auto"/>
        <w:ind w:firstLine="720" w:firstLineChars="300"/>
        <w:rPr>
          <w:sz w:val="24"/>
          <w:szCs w:val="24"/>
        </w:rPr>
      </w:pPr>
      <w:r>
        <w:rPr>
          <w:rFonts w:hint="eastAsia"/>
          <w:sz w:val="24"/>
          <w:szCs w:val="24"/>
        </w:rPr>
        <w:t>3. 提供所投产品制造商服务机构情况，包括地址、联系方式及技术人员数量等。</w:t>
      </w:r>
    </w:p>
    <w:p>
      <w:pPr>
        <w:bidi w:val="0"/>
        <w:spacing w:line="360" w:lineRule="auto"/>
        <w:ind w:firstLine="720" w:firstLineChars="300"/>
        <w:rPr>
          <w:sz w:val="24"/>
          <w:szCs w:val="24"/>
        </w:rPr>
      </w:pPr>
      <w:r>
        <w:rPr>
          <w:rFonts w:hint="eastAsia"/>
          <w:sz w:val="24"/>
          <w:szCs w:val="24"/>
        </w:rPr>
        <w:t>4. 提供原厂标准的易耗品、消耗材料价格清单及折扣率，保修期后设备维修的价格清单及折扣率。</w:t>
      </w:r>
    </w:p>
    <w:p>
      <w:pPr>
        <w:bidi w:val="0"/>
        <w:spacing w:line="360" w:lineRule="auto"/>
        <w:ind w:firstLine="720" w:firstLineChars="300"/>
        <w:rPr>
          <w:sz w:val="24"/>
          <w:szCs w:val="24"/>
        </w:rPr>
      </w:pPr>
      <w:r>
        <w:rPr>
          <w:rFonts w:hint="eastAsia"/>
          <w:sz w:val="24"/>
          <w:szCs w:val="24"/>
        </w:rPr>
        <w:t>5. 提供现场技术培训。</w:t>
      </w:r>
    </w:p>
    <w:p>
      <w:pPr>
        <w:bidi w:val="0"/>
        <w:spacing w:line="360" w:lineRule="auto"/>
        <w:ind w:firstLine="480" w:firstLineChars="200"/>
        <w:rPr>
          <w:sz w:val="24"/>
          <w:szCs w:val="24"/>
        </w:rPr>
      </w:pPr>
      <w:r>
        <w:rPr>
          <w:rFonts w:hint="eastAsia"/>
          <w:sz w:val="24"/>
          <w:szCs w:val="24"/>
        </w:rPr>
        <w:t>★（三）交货要求</w:t>
      </w:r>
    </w:p>
    <w:p>
      <w:pPr>
        <w:bidi w:val="0"/>
        <w:spacing w:line="360" w:lineRule="auto"/>
        <w:ind w:firstLine="240" w:firstLineChars="100"/>
        <w:rPr>
          <w:sz w:val="24"/>
          <w:szCs w:val="24"/>
        </w:rPr>
      </w:pPr>
      <w:r>
        <w:rPr>
          <w:rFonts w:hint="eastAsia"/>
          <w:sz w:val="24"/>
          <w:szCs w:val="24"/>
        </w:rPr>
        <w:t>1. 交货期：</w:t>
      </w:r>
    </w:p>
    <w:p>
      <w:pPr>
        <w:bidi w:val="0"/>
        <w:spacing w:line="360" w:lineRule="auto"/>
        <w:ind w:firstLine="480" w:firstLineChars="200"/>
        <w:rPr>
          <w:sz w:val="24"/>
          <w:szCs w:val="24"/>
        </w:rPr>
      </w:pPr>
      <w:r>
        <w:rPr>
          <w:rFonts w:hint="eastAsia"/>
          <w:sz w:val="24"/>
          <w:szCs w:val="24"/>
        </w:rPr>
        <w:t>货到时间：签订合同之日起30日内（特殊情况以合同为准）。</w:t>
      </w:r>
    </w:p>
    <w:p>
      <w:pPr>
        <w:bidi w:val="0"/>
        <w:spacing w:line="360" w:lineRule="auto"/>
        <w:ind w:firstLine="480" w:firstLineChars="200"/>
        <w:rPr>
          <w:sz w:val="24"/>
          <w:szCs w:val="24"/>
        </w:rPr>
      </w:pPr>
      <w:r>
        <w:rPr>
          <w:rFonts w:hint="eastAsia"/>
          <w:sz w:val="24"/>
          <w:szCs w:val="24"/>
        </w:rPr>
        <w:t>安装完成：货到之日起15日内（特殊情况以合同为准）。</w:t>
      </w:r>
    </w:p>
    <w:p>
      <w:pPr>
        <w:bidi w:val="0"/>
        <w:spacing w:line="360" w:lineRule="auto"/>
        <w:ind w:left="1679" w:leftChars="114" w:hanging="1440" w:hangingChars="600"/>
        <w:rPr>
          <w:sz w:val="24"/>
          <w:szCs w:val="24"/>
        </w:rPr>
      </w:pPr>
      <w:r>
        <w:rPr>
          <w:rFonts w:hint="eastAsia"/>
          <w:sz w:val="24"/>
          <w:szCs w:val="24"/>
        </w:rPr>
        <w:t>2. 交货地点：天津市和平区建设路18号（和平数据中心机房）、天津市南开区咸阳路81号（南开数据中心机房）（特殊情况以合同为准）。</w:t>
      </w:r>
    </w:p>
    <w:p>
      <w:pPr>
        <w:bidi w:val="0"/>
        <w:spacing w:line="360" w:lineRule="auto"/>
        <w:ind w:firstLine="240" w:firstLineChars="100"/>
        <w:rPr>
          <w:sz w:val="24"/>
          <w:szCs w:val="24"/>
        </w:rPr>
      </w:pPr>
      <w:r>
        <w:rPr>
          <w:rFonts w:hint="eastAsia"/>
          <w:sz w:val="24"/>
          <w:szCs w:val="24"/>
        </w:rPr>
        <w:t>3. 提供制造商完整的随机资料，包括完整的使用和维修手册等。</w:t>
      </w:r>
    </w:p>
    <w:p>
      <w:pPr>
        <w:bidi w:val="0"/>
        <w:spacing w:line="360" w:lineRule="auto"/>
        <w:ind w:firstLine="240" w:firstLineChars="100"/>
        <w:rPr>
          <w:sz w:val="24"/>
          <w:szCs w:val="24"/>
        </w:rPr>
      </w:pPr>
      <w:r>
        <w:rPr>
          <w:rFonts w:hint="eastAsia"/>
          <w:sz w:val="24"/>
          <w:szCs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pPr>
        <w:bidi w:val="0"/>
        <w:spacing w:line="360" w:lineRule="auto"/>
        <w:rPr>
          <w:sz w:val="24"/>
          <w:szCs w:val="24"/>
        </w:rPr>
      </w:pPr>
      <w:r>
        <w:rPr>
          <w:rFonts w:hint="eastAsia"/>
          <w:sz w:val="24"/>
          <w:szCs w:val="24"/>
        </w:rPr>
        <w:t>★（四）付款方式</w:t>
      </w:r>
    </w:p>
    <w:p>
      <w:pPr>
        <w:bidi w:val="0"/>
        <w:spacing w:line="360" w:lineRule="auto"/>
        <w:ind w:firstLine="480" w:firstLineChars="200"/>
        <w:rPr>
          <w:sz w:val="24"/>
          <w:szCs w:val="24"/>
        </w:rPr>
      </w:pPr>
      <w:r>
        <w:rPr>
          <w:rFonts w:hint="eastAsia"/>
          <w:sz w:val="24"/>
          <w:szCs w:val="24"/>
        </w:rPr>
        <w:t>签订合同后15个工作日内预付合同总额的</w:t>
      </w:r>
      <w:r>
        <w:rPr>
          <w:rFonts w:hint="eastAsia"/>
          <w:sz w:val="24"/>
          <w:szCs w:val="24"/>
          <w:lang w:val="en-US" w:eastAsia="zh-CN"/>
        </w:rPr>
        <w:t>50</w:t>
      </w:r>
      <w:r>
        <w:rPr>
          <w:rFonts w:hint="eastAsia"/>
          <w:sz w:val="24"/>
          <w:szCs w:val="24"/>
        </w:rPr>
        <w:t>%，货到现场安装、调试完毕，所有设备使用无质量问题，验收合格后</w:t>
      </w:r>
      <w:r>
        <w:rPr>
          <w:rFonts w:hint="eastAsia"/>
          <w:sz w:val="24"/>
          <w:szCs w:val="24"/>
          <w:lang w:val="en-US" w:eastAsia="zh-CN"/>
        </w:rPr>
        <w:t>30</w:t>
      </w:r>
      <w:r>
        <w:rPr>
          <w:rFonts w:hint="eastAsia"/>
          <w:sz w:val="24"/>
          <w:szCs w:val="24"/>
        </w:rPr>
        <w:t>个工作日内支付合同总额的</w:t>
      </w:r>
      <w:r>
        <w:rPr>
          <w:rFonts w:hint="eastAsia"/>
          <w:sz w:val="24"/>
          <w:szCs w:val="24"/>
          <w:lang w:val="en-US" w:eastAsia="zh-CN"/>
        </w:rPr>
        <w:t>50</w:t>
      </w:r>
      <w:r>
        <w:rPr>
          <w:rFonts w:hint="eastAsia"/>
          <w:sz w:val="24"/>
          <w:szCs w:val="24"/>
        </w:rPr>
        <w:t>%（特殊情况以合同为准）。</w:t>
      </w:r>
    </w:p>
    <w:p>
      <w:pPr>
        <w:bidi w:val="0"/>
        <w:spacing w:line="360" w:lineRule="auto"/>
        <w:rPr>
          <w:sz w:val="24"/>
          <w:szCs w:val="24"/>
        </w:rPr>
      </w:pPr>
      <w:r>
        <w:rPr>
          <w:rFonts w:hint="eastAsia"/>
          <w:sz w:val="24"/>
          <w:szCs w:val="24"/>
        </w:rPr>
        <w:t>★（五）投标保证金和履约保证金</w:t>
      </w:r>
    </w:p>
    <w:p>
      <w:pPr>
        <w:bidi w:val="0"/>
        <w:spacing w:line="360" w:lineRule="auto"/>
        <w:ind w:firstLine="480" w:firstLineChars="200"/>
        <w:rPr>
          <w:sz w:val="24"/>
          <w:szCs w:val="24"/>
        </w:rPr>
      </w:pPr>
      <w:r>
        <w:rPr>
          <w:rFonts w:hint="eastAsia"/>
          <w:sz w:val="24"/>
          <w:szCs w:val="24"/>
        </w:rPr>
        <w:t>本项目不收取投标保证金和履约保证金。</w:t>
      </w:r>
    </w:p>
    <w:p>
      <w:pPr>
        <w:bidi w:val="0"/>
        <w:spacing w:line="360" w:lineRule="auto"/>
        <w:rPr>
          <w:sz w:val="24"/>
          <w:szCs w:val="24"/>
        </w:rPr>
      </w:pPr>
      <w:r>
        <w:rPr>
          <w:rFonts w:hint="eastAsia"/>
          <w:sz w:val="24"/>
          <w:szCs w:val="24"/>
        </w:rPr>
        <w:t>★（六）验收方法及标准</w:t>
      </w:r>
    </w:p>
    <w:p>
      <w:pPr>
        <w:bidi w:val="0"/>
        <w:spacing w:line="360" w:lineRule="auto"/>
        <w:ind w:firstLine="480" w:firstLineChars="200"/>
        <w:rPr>
          <w:sz w:val="24"/>
          <w:szCs w:val="24"/>
        </w:rPr>
      </w:pPr>
      <w:r>
        <w:rPr>
          <w:rFonts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pPr>
        <w:pStyle w:val="2"/>
        <w:bidi w:val="0"/>
        <w:rPr>
          <w:rFonts w:hint="eastAsia" w:ascii="宋体" w:hAnsi="宋体" w:eastAsia="宋体" w:cs="宋体"/>
          <w:b/>
          <w:sz w:val="24"/>
          <w:szCs w:val="24"/>
          <w:lang w:val="en-US" w:eastAsia="zh-CN"/>
        </w:rPr>
      </w:pPr>
      <w:r>
        <w:rPr>
          <w:rFonts w:hint="eastAsia" w:ascii="宋体" w:hAnsi="宋体" w:eastAsia="宋体" w:cs="宋体"/>
          <w:b/>
          <w:sz w:val="24"/>
          <w:szCs w:val="24"/>
        </w:rPr>
        <w:t>第</w:t>
      </w:r>
      <w:r>
        <w:rPr>
          <w:rFonts w:hint="eastAsia" w:ascii="宋体" w:hAnsi="宋体" w:eastAsia="宋体" w:cs="宋体"/>
          <w:b/>
          <w:sz w:val="24"/>
          <w:szCs w:val="24"/>
          <w:lang w:val="en-US" w:eastAsia="zh-CN"/>
        </w:rPr>
        <w:t>二</w:t>
      </w:r>
      <w:r>
        <w:rPr>
          <w:rFonts w:hint="eastAsia" w:ascii="宋体" w:hAnsi="宋体" w:eastAsia="宋体" w:cs="宋体"/>
          <w:b/>
          <w:sz w:val="24"/>
          <w:szCs w:val="24"/>
        </w:rPr>
        <w:t>包</w:t>
      </w:r>
      <w:r>
        <w:rPr>
          <w:rFonts w:hint="eastAsia" w:ascii="宋体" w:hAnsi="宋体" w:cs="宋体"/>
          <w:b/>
          <w:sz w:val="24"/>
          <w:szCs w:val="24"/>
          <w:lang w:val="en-US" w:eastAsia="zh-CN"/>
        </w:rPr>
        <w:t xml:space="preserve"> 监理</w:t>
      </w:r>
    </w:p>
    <w:p>
      <w:pPr>
        <w:spacing w:line="360" w:lineRule="auto"/>
        <w:ind w:firstLine="480" w:firstLineChars="200"/>
        <w:outlineLvl w:val="0"/>
        <w:rPr>
          <w:rFonts w:hint="eastAsia" w:ascii="宋体" w:hAnsi="宋体" w:eastAsia="宋体" w:cs="宋体"/>
          <w:sz w:val="24"/>
          <w:szCs w:val="24"/>
        </w:rPr>
      </w:pPr>
      <w:r>
        <w:rPr>
          <w:rFonts w:hint="eastAsia" w:ascii="宋体" w:hAnsi="宋体" w:eastAsia="宋体" w:cs="宋体"/>
          <w:sz w:val="24"/>
          <w:szCs w:val="24"/>
        </w:rPr>
        <w:t>一、项目背景</w:t>
      </w:r>
    </w:p>
    <w:p>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本项目属于</w:t>
      </w:r>
      <w:r>
        <w:rPr>
          <w:rFonts w:hint="eastAsia" w:ascii="宋体" w:hAnsi="宋体" w:eastAsia="宋体" w:cs="宋体"/>
          <w:sz w:val="24"/>
          <w:szCs w:val="24"/>
          <w:lang w:val="en-US" w:eastAsia="zh-CN"/>
        </w:rPr>
        <w:t>硬件</w:t>
      </w:r>
      <w:r>
        <w:rPr>
          <w:rFonts w:hint="eastAsia" w:ascii="宋体" w:hAnsi="宋体" w:eastAsia="宋体" w:cs="宋体"/>
          <w:sz w:val="24"/>
          <w:szCs w:val="24"/>
        </w:rPr>
        <w:t>和信息技术服务业。</w:t>
      </w:r>
    </w:p>
    <w:p>
      <w:pPr>
        <w:spacing w:line="360" w:lineRule="auto"/>
        <w:ind w:firstLine="480" w:firstLineChars="200"/>
        <w:outlineLvl w:val="0"/>
        <w:rPr>
          <w:rFonts w:hint="eastAsia" w:ascii="宋体" w:hAnsi="宋体" w:eastAsia="宋体" w:cs="宋体"/>
          <w:sz w:val="24"/>
          <w:szCs w:val="24"/>
        </w:rPr>
      </w:pPr>
      <w:r>
        <w:rPr>
          <w:rFonts w:hint="eastAsia" w:ascii="宋体" w:hAnsi="宋体" w:eastAsia="宋体" w:cs="宋体"/>
          <w:sz w:val="24"/>
          <w:szCs w:val="24"/>
        </w:rPr>
        <w:t>二、监理范围</w:t>
      </w:r>
    </w:p>
    <w:p>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监理单位应对</w:t>
      </w:r>
      <w:r>
        <w:rPr>
          <w:rFonts w:hint="eastAsia" w:ascii="宋体" w:hAnsi="宋体" w:eastAsia="宋体" w:cs="宋体"/>
          <w:sz w:val="24"/>
          <w:szCs w:val="24"/>
          <w:lang w:val="en-US" w:eastAsia="zh-CN"/>
        </w:rPr>
        <w:t>“天津市人力资源和社会保障局金保二期业务系统DWDM设备替换</w:t>
      </w:r>
      <w:r>
        <w:rPr>
          <w:rFonts w:hint="eastAsia" w:ascii="宋体" w:hAnsi="宋体" w:cs="宋体"/>
          <w:sz w:val="24"/>
          <w:szCs w:val="24"/>
          <w:lang w:val="en-US" w:eastAsia="zh-CN"/>
        </w:rPr>
        <w:t>项目</w:t>
      </w:r>
      <w:r>
        <w:rPr>
          <w:rFonts w:hint="eastAsia" w:ascii="宋体" w:hAnsi="宋体" w:eastAsia="宋体" w:cs="宋体"/>
          <w:sz w:val="24"/>
          <w:szCs w:val="24"/>
          <w:lang w:val="en-US" w:eastAsia="zh-CN"/>
        </w:rPr>
        <w:t>”建</w:t>
      </w:r>
      <w:r>
        <w:rPr>
          <w:rFonts w:hint="eastAsia" w:ascii="宋体" w:hAnsi="宋体" w:eastAsia="宋体" w:cs="宋体"/>
          <w:sz w:val="24"/>
          <w:szCs w:val="24"/>
        </w:rPr>
        <w:t>设的过程进行</w:t>
      </w:r>
      <w:r>
        <w:rPr>
          <w:rFonts w:hint="eastAsia" w:ascii="宋体" w:hAnsi="宋体" w:eastAsia="宋体" w:cs="宋体"/>
          <w:sz w:val="24"/>
          <w:szCs w:val="24"/>
          <w:lang w:val="en-US" w:eastAsia="zh-CN"/>
        </w:rPr>
        <w:t>阶段性</w:t>
      </w:r>
      <w:r>
        <w:rPr>
          <w:rFonts w:hint="eastAsia" w:ascii="宋体" w:hAnsi="宋体" w:eastAsia="宋体" w:cs="宋体"/>
          <w:sz w:val="24"/>
          <w:szCs w:val="24"/>
        </w:rPr>
        <w:t>跟踪监理，包括到货验收、安装调试、系统集成调试、试运行</w:t>
      </w:r>
      <w:r>
        <w:rPr>
          <w:rFonts w:hint="eastAsia" w:ascii="宋体" w:hAnsi="宋体" w:eastAsia="宋体" w:cs="宋体"/>
          <w:sz w:val="24"/>
          <w:szCs w:val="24"/>
          <w:lang w:val="en-US" w:eastAsia="zh-CN"/>
        </w:rPr>
        <w:t>及</w:t>
      </w:r>
      <w:r>
        <w:rPr>
          <w:rFonts w:hint="eastAsia" w:ascii="宋体" w:hAnsi="宋体" w:eastAsia="宋体" w:cs="宋体"/>
          <w:sz w:val="24"/>
          <w:szCs w:val="24"/>
        </w:rPr>
        <w:t>竣工验收；负责本项目建设质量、进度、成本、安全保密控制，参与信息管理和合同管理，并提供相应的咨询和建议。力求项目的质量、进度、投资以及信息安全目标的实现，确保建设行为的合法性、科学性、合理性和经济性。</w:t>
      </w:r>
    </w:p>
    <w:p>
      <w:pPr>
        <w:spacing w:line="360" w:lineRule="auto"/>
        <w:ind w:firstLine="480" w:firstLineChars="200"/>
        <w:outlineLvl w:val="0"/>
        <w:rPr>
          <w:rFonts w:hint="eastAsia" w:ascii="宋体" w:hAnsi="宋体" w:eastAsia="宋体" w:cs="宋体"/>
          <w:sz w:val="24"/>
          <w:szCs w:val="24"/>
        </w:rPr>
      </w:pPr>
      <w:r>
        <w:rPr>
          <w:rFonts w:hint="eastAsia" w:ascii="宋体" w:hAnsi="宋体" w:eastAsia="宋体" w:cs="宋体"/>
          <w:sz w:val="24"/>
          <w:szCs w:val="24"/>
        </w:rPr>
        <w:t>三、监理服务具体要求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1、监理单位在执行服务合同时建立监理项目组，在完成合同约定的任务后方可解散，供应商应严格按照合同履行责任；</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2、监理单位应根据项目的具体情况，配备满足监理工作需要的人员、设备和工具；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3、监理单位应遵守相应的工作制度，包括会议制度、监理文件制度、监理记录制度、工作报告制度等，保证监理工作协调有序的进行；</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4、监理单位应根据项目的实际情况编制项目监理规划，确定具体工作目标和任务，规定具体工作制度、程序、方法和措施；</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5、监理单位应编制项目监理细则，监理细则应符合项目监理规划的要求，并应结合项目的特点，做到详细具体，可操作；</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6、监理单位应该在质量控制、投资控制、进度控制、信息管理、合同管理等几个方面对项目采取必要和完善的监督、控制和管理措施，保证项目能够按时、按质、按量竣工；</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7、监理单位必须定时（每周）向采购人通报项目进展情况及项目实施过程中所遇到的问题。</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8、本次项目实行总监理工程师负责制，</w:t>
      </w:r>
      <w:r>
        <w:rPr>
          <w:rFonts w:hint="eastAsia" w:ascii="宋体" w:hAnsi="宋体" w:eastAsia="宋体" w:cs="宋体"/>
          <w:sz w:val="24"/>
          <w:szCs w:val="24"/>
          <w:lang w:val="en-US" w:eastAsia="zh-CN"/>
        </w:rPr>
        <w:t>并按项目进展关键节点</w:t>
      </w:r>
      <w:r>
        <w:rPr>
          <w:rFonts w:hint="eastAsia" w:ascii="宋体" w:hAnsi="宋体" w:eastAsia="宋体" w:cs="宋体"/>
          <w:sz w:val="24"/>
          <w:szCs w:val="24"/>
        </w:rPr>
        <w:t>现场</w:t>
      </w:r>
      <w:r>
        <w:rPr>
          <w:rFonts w:hint="eastAsia" w:ascii="宋体" w:hAnsi="宋体" w:eastAsia="宋体" w:cs="宋体"/>
          <w:sz w:val="24"/>
          <w:szCs w:val="24"/>
          <w:lang w:val="en-US" w:eastAsia="zh-CN"/>
        </w:rPr>
        <w:t>旁站</w:t>
      </w:r>
      <w:r>
        <w:rPr>
          <w:rFonts w:hint="eastAsia" w:ascii="宋体" w:hAnsi="宋体" w:eastAsia="宋体" w:cs="宋体"/>
          <w:sz w:val="24"/>
          <w:szCs w:val="24"/>
        </w:rPr>
        <w:t>监理。</w:t>
      </w:r>
    </w:p>
    <w:p>
      <w:pPr>
        <w:spacing w:line="360" w:lineRule="auto"/>
        <w:ind w:firstLine="480" w:firstLineChars="200"/>
        <w:outlineLvl w:val="0"/>
        <w:rPr>
          <w:rFonts w:hint="eastAsia" w:ascii="宋体" w:hAnsi="宋体" w:eastAsia="宋体" w:cs="宋体"/>
          <w:sz w:val="24"/>
          <w:szCs w:val="24"/>
        </w:rPr>
      </w:pPr>
      <w:r>
        <w:rPr>
          <w:rFonts w:hint="eastAsia" w:ascii="宋体" w:hAnsi="宋体" w:eastAsia="宋体" w:cs="宋体"/>
          <w:sz w:val="24"/>
          <w:szCs w:val="24"/>
        </w:rPr>
        <w:t>四、监理服务内容</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（一）质量控制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1. 硬件到货质量的控制：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审核供应商的资质，确认硬件产品的规格和性能要求与合同文件一致；</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制定详细的检验和测试计划，确保检验计划覆盖所有关键质量控制点；</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对到货的硬件进行严格的检验，包括外观检查、尺寸测量、性能测试等；</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记录所有检验结果和发现的问题；</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对不合格品采取措施，防止不合格品的使用；</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确保硬件产品符合行业标准和法规要求。</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2. 系统集成质量的控制：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系统集成方案的审核和确认；</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参与对系统集成的总体验收。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 系统安全质量控制：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负责系统安全方案的审核和确认；</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4. 培训的质量控制：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审核确认承建单位的培训计划；</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监督承建单位实施其培训计划，并征求用户的反馈意见；</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审核确认承建单位的培训总结报告。</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（二）进度控制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1. 审核承建单位的进度分解计划，确认分解计划以保证总体计划目标；</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2. 对项目实施进度进行实时跟踪，并要求承建单位对进度计划进行动态调整，以确保项目的阶段和总体进度目标的实现；</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3. 当工期目标出现偏离时，应及时指出，并提出对策建议，同时督促承建单位尽快采取措施。</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（三）投资控制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1. 通过对系统的总体设计方案和项目实施中的方案及设计的评估和优化，确保投资控制在预算和合理、性价比高的范围内；</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2. 协助建设单位将付款进度与项目质量结合起来；</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3. 负责根据相关文件要求，做好设计变更、经济签证相关审核报送工作；</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4. 负责项目决算初审工作，并及时将审核结果上报建设单位。</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（四）变更控制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1. 对变更申请快速响应，在接到变更申请之后，能快速按照变更处理程序进行变更处理，并迅速下达是否可以进行变更的监理通知，保证所有变更都要得到三方（建设单位、监理单位和运维单位）书面的确认；</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2. 规范变更程序，加强变更控制。建立项目变更控制机制，依据相关机制对项目计划、流程、预算、进度或可交付成果的变更申请进行评估。</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3. 对变更风险以及变更效果进行评估，得出对项目计划、费用、效益、质量和进度的影响，审核变更方案，提出监理意见，做好变更记录、报批、实施、确认、发布、归档等各项工作。</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（五）合同管理</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1. 跟踪检查合同的执行情况，确保承建单位按时履约；</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2. 对合同工期的延误和延期进行审核确认；</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3. 对项目暂停，复工等事宜进行审核确认；</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4. 对合同变更、索赔、违约等事宜进行审核确认；</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5. 根据合同约定，审核承建单位提交的支付申请；</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6. 建立变更控制系统；对项目变更控制，明确界定项目变更的目标，防止变更范围的扩大化，加强变更风险以及变更效果的评估；</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7. 任何变更都要得到三方（建设单位、承建单位和本项目供应商）的书面确认。</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（六）人员保密</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1. 在项目建设过程中，保证信息系统的安全，在可用性、保密性、完整性与信息系统工程的可维护性技术环节上没有冲突；</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2. 保证相关人员在安全保密管理制度和安全保密规范下严格执行操作和管理，建立保密意识；</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（七）文档管理</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根据建设单位要求提出相应的项目文档管理规范；</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做好监理日记及项目大事记；</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做好合同批复等各类往来文件的批复与存档；</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做好项目协调会、技术专题会的会议纪要；</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管理好实施期间的各类技术文档；</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提交验收所需的管理文档汇编；</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项目周报、月报；</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监理通知单；</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阶段性项目总结。</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（八）项目安全管理</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1. 协助建设单位审核监测系统建设的有关安全保密项目技术方案；</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2. 负责项目建设实施过程中安全控制，防止出现安全事故。</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（九）协调管理</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1. 建立运行维护管理组织架构、工作协调组织结构；</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2. 建立监理机构与采购人、承建单位之间的协调关系和信息传递机制；</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3. 定期召开运行维护工作监理例会，并形成《会议纪要》；</w:t>
      </w:r>
    </w:p>
    <w:p>
      <w:pPr>
        <w:bidi w:val="0"/>
        <w:spacing w:line="360" w:lineRule="auto"/>
        <w:rPr>
          <w:rFonts w:hint="eastAsia" w:ascii="宋体" w:hAnsi="宋体" w:eastAsia="宋体" w:cs="宋体"/>
          <w:sz w:val="24"/>
          <w:szCs w:val="24"/>
        </w:rPr>
      </w:pPr>
      <w:r>
        <w:rPr>
          <w:rFonts w:hint="eastAsia" w:ascii="宋体" w:hAnsi="宋体" w:eastAsia="宋体" w:cs="宋体"/>
          <w:sz w:val="24"/>
          <w:szCs w:val="24"/>
        </w:rPr>
        <w:t>4 .在需要时，召开运行维护工作监理专题会，并形成《会议纪要》。</w:t>
      </w:r>
    </w:p>
    <w:p>
      <w:pPr>
        <w:tabs>
          <w:tab w:val="left" w:pos="210"/>
        </w:tabs>
        <w:autoSpaceDE w:val="0"/>
        <w:autoSpaceDN w:val="0"/>
        <w:adjustRightInd w:val="0"/>
        <w:spacing w:line="360" w:lineRule="auto"/>
        <w:ind w:firstLine="480" w:firstLineChars="200"/>
        <w:outlineLvl w:val="0"/>
        <w:rPr>
          <w:rFonts w:hint="eastAsia" w:ascii="宋体" w:hAnsi="宋体" w:eastAsia="宋体" w:cs="宋体"/>
          <w:sz w:val="24"/>
          <w:szCs w:val="24"/>
        </w:rPr>
      </w:pPr>
      <w:r>
        <w:rPr>
          <w:rFonts w:hint="eastAsia" w:ascii="宋体" w:hAnsi="宋体" w:eastAsia="宋体" w:cs="宋体"/>
          <w:sz w:val="24"/>
          <w:szCs w:val="24"/>
        </w:rPr>
        <w:t>五、商务要求</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（一）报价要求</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 投标报价以人民币填列。</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 投标人的报价应包括：人员费用、服务费用、材料费用等为完成招标文件规定的一切工作所需的全部费用。投标人所报价格应为最终优惠价格。</w:t>
      </w:r>
    </w:p>
    <w:p>
      <w:pPr>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 xml:space="preserve">3. </w:t>
      </w:r>
      <w:r>
        <w:rPr>
          <w:rFonts w:hint="eastAsia" w:ascii="宋体" w:hAnsi="宋体" w:eastAsia="宋体" w:cs="宋体"/>
          <w:sz w:val="24"/>
          <w:szCs w:val="24"/>
        </w:rPr>
        <w:t>验收相关费用由投标人负责。</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（二）服务要求</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投标人提供详细的服务方案。</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（三）时间、地点要求</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 时间要求：随项目进度进行（特殊情况以合同为准）。</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 服务地点：天津市和平区建设路18号（和平数据中心机房）、天津市南开区咸阳路81号（南开数据中心机房）（特殊情况以合同为准）。</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（四）付款方式</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签订合同后15个工作日内支付合同金额的</w:t>
      </w:r>
      <w:r>
        <w:rPr>
          <w:rFonts w:hint="eastAsia" w:ascii="宋体" w:hAnsi="宋体" w:cs="宋体"/>
          <w:sz w:val="24"/>
          <w:szCs w:val="24"/>
          <w:lang w:val="en-US" w:eastAsia="zh-CN"/>
        </w:rPr>
        <w:t>50</w:t>
      </w:r>
      <w:r>
        <w:rPr>
          <w:rFonts w:hint="eastAsia" w:ascii="宋体" w:hAnsi="宋体" w:eastAsia="宋体" w:cs="宋体"/>
          <w:sz w:val="24"/>
          <w:szCs w:val="24"/>
        </w:rPr>
        <w:t>%，所监理的项目合格且完成相应监理工作后15个工作日内支付合同金额的</w:t>
      </w:r>
      <w:r>
        <w:rPr>
          <w:rFonts w:hint="eastAsia" w:ascii="宋体" w:hAnsi="宋体" w:cs="宋体"/>
          <w:sz w:val="24"/>
          <w:szCs w:val="24"/>
          <w:lang w:val="en-US" w:eastAsia="zh-CN"/>
        </w:rPr>
        <w:t>50</w:t>
      </w:r>
      <w:r>
        <w:rPr>
          <w:rFonts w:hint="eastAsia" w:ascii="宋体" w:hAnsi="宋体" w:eastAsia="宋体" w:cs="宋体"/>
          <w:sz w:val="24"/>
          <w:szCs w:val="24"/>
        </w:rPr>
        <w:t>%（特殊情况以合同为准）。</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（五）投标保证金和履约保证金</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本项目不收取投标保证金和履约保证金。</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（六）验收方法及标准</w:t>
      </w:r>
    </w:p>
    <w:p>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632C6F"/>
    <w:rsid w:val="07B717CE"/>
    <w:rsid w:val="096609CC"/>
    <w:rsid w:val="09CF6571"/>
    <w:rsid w:val="09D811D6"/>
    <w:rsid w:val="0A140428"/>
    <w:rsid w:val="0A7F1697"/>
    <w:rsid w:val="0E6C0832"/>
    <w:rsid w:val="12296A3A"/>
    <w:rsid w:val="18657CE2"/>
    <w:rsid w:val="186C7681"/>
    <w:rsid w:val="19632C6F"/>
    <w:rsid w:val="1BA86C22"/>
    <w:rsid w:val="20E95D13"/>
    <w:rsid w:val="237B3E42"/>
    <w:rsid w:val="2516463D"/>
    <w:rsid w:val="29FA4AED"/>
    <w:rsid w:val="2B3301B0"/>
    <w:rsid w:val="35B5220F"/>
    <w:rsid w:val="3949339B"/>
    <w:rsid w:val="395D6E46"/>
    <w:rsid w:val="39B50A30"/>
    <w:rsid w:val="3DED635A"/>
    <w:rsid w:val="3EDC080D"/>
    <w:rsid w:val="40B01F51"/>
    <w:rsid w:val="41083B3B"/>
    <w:rsid w:val="4504286C"/>
    <w:rsid w:val="46032B23"/>
    <w:rsid w:val="476B6BD2"/>
    <w:rsid w:val="482D3DA0"/>
    <w:rsid w:val="492434DC"/>
    <w:rsid w:val="4BBB11AD"/>
    <w:rsid w:val="4E5D1C48"/>
    <w:rsid w:val="4E8E59FB"/>
    <w:rsid w:val="52A3730B"/>
    <w:rsid w:val="53D55AFF"/>
    <w:rsid w:val="548D63DA"/>
    <w:rsid w:val="5A3C31EA"/>
    <w:rsid w:val="5F7F98F2"/>
    <w:rsid w:val="5FC42C75"/>
    <w:rsid w:val="6C1843FD"/>
    <w:rsid w:val="6EB8009F"/>
    <w:rsid w:val="744BB33D"/>
    <w:rsid w:val="760C31AA"/>
    <w:rsid w:val="7B413BC5"/>
    <w:rsid w:val="7BBEFB2A"/>
    <w:rsid w:val="BF58A270"/>
    <w:rsid w:val="FBED73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Normal Indent"/>
    <w:basedOn w:val="1"/>
    <w:semiHidden/>
    <w:unhideWhenUsed/>
    <w:qFormat/>
    <w:uiPriority w:val="99"/>
    <w:pPr>
      <w:ind w:firstLine="420" w:firstLineChars="200"/>
    </w:pPr>
  </w:style>
  <w:style w:type="paragraph" w:styleId="4">
    <w:name w:val="Subtitle"/>
    <w:basedOn w:val="1"/>
    <w:next w:val="1"/>
    <w:qFormat/>
    <w:uiPriority w:val="0"/>
    <w:pPr>
      <w:spacing w:before="240" w:after="60" w:line="312" w:lineRule="auto"/>
      <w:jc w:val="center"/>
      <w:outlineLvl w:val="1"/>
    </w:pPr>
    <w:rPr>
      <w:rFonts w:ascii="Cambria" w:hAnsi="Cambria"/>
      <w:b/>
      <w:bCs/>
      <w:kern w:val="28"/>
      <w:sz w:val="32"/>
      <w:szCs w:val="32"/>
      <w:lang w:val="zh-CN" w:eastAsia="zh-CN"/>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Default"/>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paragraph" w:customStyle="1" w:styleId="9">
    <w:name w:val="样式 正文缩进 + 首行缩进:  2 字符"/>
    <w:basedOn w:val="3"/>
    <w:qFormat/>
    <w:uiPriority w:val="0"/>
    <w:pPr>
      <w:spacing w:line="360" w:lineRule="auto"/>
      <w:ind w:firstLine="200"/>
    </w:pPr>
    <w:rPr>
      <w:rFonts w:ascii="Calibri" w:hAnsi="Calibri" w:cs="宋体"/>
      <w:sz w:val="24"/>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4288</Words>
  <Characters>4483</Characters>
  <Lines>0</Lines>
  <Paragraphs>0</Paragraphs>
  <TotalTime>5</TotalTime>
  <ScaleCrop>false</ScaleCrop>
  <LinksUpToDate>false</LinksUpToDate>
  <CharactersWithSpaces>4517</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2025-05-17T10:28:00Z</dcterms:created>
  <dc:creator>admin</dc:creator>
  <cp:lastModifiedBy>jgkxhq</cp:lastModifiedBy>
  <dcterms:modified xsi:type="dcterms:W3CDTF">2025-10-27T02:55:14Z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922E3638DF83494EB800EF3A40C234CD_11</vt:lpwstr>
  </property>
  <property fmtid="{D5CDD505-2E9C-101B-9397-08002B2CF9AE}" pid="4" name="KSOTemplateDocerSaveRecord">
    <vt:lpwstr>eyJoZGlkIjoiMGRiMDY0MzVlZWVjY2YxNzE4MWI5ZGY5NThlNDUxODMiLCJ1c2VySWQiOiIyODgwMDczMDgifQ==</vt:lpwstr>
  </property>
</Properties>
</file>