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FDF61B">
      <w:pPr>
        <w:spacing w:line="560" w:lineRule="exact"/>
        <w:ind w:firstLine="640" w:firstLineChars="200"/>
        <w:jc w:val="left"/>
        <w:rPr>
          <w:rFonts w:ascii="仿宋" w:hAnsi="仿宋" w:eastAsia="仿宋"/>
          <w:i/>
          <w:color w:val="000000"/>
          <w:sz w:val="32"/>
          <w:szCs w:val="32"/>
          <w:u w:val="single"/>
        </w:rPr>
      </w:pPr>
      <w:bookmarkStart w:id="0" w:name="_Toc20384570"/>
      <w:r>
        <w:rPr>
          <w:rFonts w:hint="eastAsia" w:ascii="楷体" w:hAnsi="楷体" w:eastAsia="楷体"/>
          <w:color w:val="000000"/>
          <w:sz w:val="32"/>
          <w:szCs w:val="32"/>
        </w:rPr>
        <w:t>技术商务要求</w:t>
      </w:r>
    </w:p>
    <w:p w14:paraId="07CC8DDB">
      <w:pPr>
        <w:spacing w:line="560" w:lineRule="exact"/>
        <w:ind w:firstLine="640" w:firstLineChars="200"/>
        <w:jc w:val="left"/>
        <w:rPr>
          <w:rFonts w:ascii="仿宋" w:hAnsi="仿宋" w:eastAsia="仿宋"/>
          <w:i/>
          <w:color w:val="000000"/>
          <w:sz w:val="32"/>
          <w:szCs w:val="32"/>
          <w:u w:val="single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1.技术要求</w:t>
      </w:r>
    </w:p>
    <w:p w14:paraId="2A8B4DAA">
      <w:pPr>
        <w:spacing w:line="360" w:lineRule="auto"/>
        <w:ind w:firstLine="420" w:firstLineChars="200"/>
        <w:rPr>
          <w:rFonts w:asciiTheme="minorEastAsia" w:hAnsiTheme="minorEastAsia" w:eastAsiaTheme="minorEastAsia" w:cstheme="minorEastAsia"/>
          <w:szCs w:val="21"/>
        </w:rPr>
      </w:pPr>
      <w:r>
        <w:rPr>
          <w:rFonts w:hint="eastAsia" w:asciiTheme="minorEastAsia" w:hAnsiTheme="minorEastAsia" w:eastAsiaTheme="minorEastAsia" w:cstheme="minorEastAsia"/>
          <w:szCs w:val="21"/>
        </w:rPr>
        <w:t>包1：身高计、体重计、脊柱侧弯测量仪，空盒气压表、便携式微生物空气采样器、细颗粒物采样器、甲醛检测仪、数字风速仪、照度计、声级计、温湿度计</w:t>
      </w:r>
    </w:p>
    <w:tbl>
      <w:tblPr>
        <w:tblStyle w:val="7"/>
        <w:tblW w:w="92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4"/>
        <w:gridCol w:w="1228"/>
        <w:gridCol w:w="4049"/>
        <w:gridCol w:w="681"/>
        <w:gridCol w:w="714"/>
        <w:gridCol w:w="1914"/>
      </w:tblGrid>
      <w:tr w14:paraId="396A84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4" w:type="dxa"/>
            <w:vAlign w:val="center"/>
          </w:tcPr>
          <w:p w14:paraId="0A73BD2D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序号</w:t>
            </w:r>
          </w:p>
        </w:tc>
        <w:tc>
          <w:tcPr>
            <w:tcW w:w="1228" w:type="dxa"/>
            <w:vAlign w:val="center"/>
          </w:tcPr>
          <w:p w14:paraId="7DE882CF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标的名称</w:t>
            </w:r>
          </w:p>
        </w:tc>
        <w:tc>
          <w:tcPr>
            <w:tcW w:w="4049" w:type="dxa"/>
            <w:vAlign w:val="center"/>
          </w:tcPr>
          <w:p w14:paraId="7ECD5C02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技术要求</w:t>
            </w:r>
          </w:p>
        </w:tc>
        <w:tc>
          <w:tcPr>
            <w:tcW w:w="681" w:type="dxa"/>
            <w:vAlign w:val="center"/>
          </w:tcPr>
          <w:p w14:paraId="0E1449E1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单位</w:t>
            </w:r>
          </w:p>
        </w:tc>
        <w:tc>
          <w:tcPr>
            <w:tcW w:w="714" w:type="dxa"/>
            <w:vAlign w:val="center"/>
          </w:tcPr>
          <w:p w14:paraId="20183EF9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数量</w:t>
            </w:r>
          </w:p>
        </w:tc>
        <w:tc>
          <w:tcPr>
            <w:tcW w:w="1914" w:type="dxa"/>
            <w:vAlign w:val="center"/>
          </w:tcPr>
          <w:p w14:paraId="48CA391D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是否属于现行节能产品政府采购清单强制采购范围</w:t>
            </w:r>
          </w:p>
        </w:tc>
      </w:tr>
      <w:tr w14:paraId="292B81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4" w:type="dxa"/>
            <w:vAlign w:val="center"/>
          </w:tcPr>
          <w:p w14:paraId="4C265F5B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1</w:t>
            </w:r>
          </w:p>
        </w:tc>
        <w:tc>
          <w:tcPr>
            <w:tcW w:w="1228" w:type="dxa"/>
            <w:vAlign w:val="center"/>
          </w:tcPr>
          <w:p w14:paraId="067FA232">
            <w:pPr>
              <w:jc w:val="center"/>
              <w:rPr>
                <w:color w:val="auto"/>
                <w:sz w:val="20"/>
                <w:szCs w:val="20"/>
              </w:rPr>
            </w:pPr>
            <w:r>
              <w:rPr>
                <w:rFonts w:hint="eastAsia"/>
                <w:color w:val="auto"/>
                <w:sz w:val="20"/>
                <w:szCs w:val="20"/>
              </w:rPr>
              <w:t>身高计、体重计、脊柱侧弯测量仪</w:t>
            </w:r>
          </w:p>
        </w:tc>
        <w:tc>
          <w:tcPr>
            <w:tcW w:w="4049" w:type="dxa"/>
            <w:vAlign w:val="center"/>
          </w:tcPr>
          <w:p w14:paraId="7B106241">
            <w:pPr>
              <w:jc w:val="left"/>
              <w:rPr>
                <w:rFonts w:asciiTheme="minorEastAsia" w:hAnsiTheme="minorEastAsia" w:eastAsiaTheme="minorEastAsia" w:cstheme="minorEastAsia"/>
                <w:b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Cs w:val="21"/>
              </w:rPr>
              <w:t>身高体重计：</w:t>
            </w:r>
          </w:p>
          <w:p w14:paraId="4666F263">
            <w:pPr>
              <w:jc w:val="left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★1.身高测量范围至少包含：40—200cm，测量精度：±0.50cm，测量单位：cm</w:t>
            </w:r>
          </w:p>
          <w:p w14:paraId="0778A3EF">
            <w:pPr>
              <w:jc w:val="left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★2.体重测量范围至少包含：0--200kg，测量精度：±0.1kg，测量单位：kg</w:t>
            </w:r>
          </w:p>
          <w:p w14:paraId="4941F17C">
            <w:pPr>
              <w:jc w:val="left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3.测量身高方式为：超声波自动测量</w:t>
            </w:r>
          </w:p>
          <w:p w14:paraId="613ECF19">
            <w:pPr>
              <w:jc w:val="left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4.工作电压: 仪器配有适配器</w:t>
            </w:r>
          </w:p>
          <w:p w14:paraId="3DF65D86">
            <w:pPr>
              <w:jc w:val="left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5．测量结果语音报出，同时数码显示，可与计算机连接</w:t>
            </w:r>
          </w:p>
          <w:p w14:paraId="5F318DFA">
            <w:pPr>
              <w:jc w:val="left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6.具有显示日期、时间、温度功能</w:t>
            </w:r>
          </w:p>
          <w:p w14:paraId="748E4EFF">
            <w:pPr>
              <w:jc w:val="left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7.仪器具有身高微调校准功能和一键恢复出厂设置功能</w:t>
            </w:r>
            <w:r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  <w:t xml:space="preserve"> </w:t>
            </w:r>
          </w:p>
          <w:p w14:paraId="0C3738AC">
            <w:pPr>
              <w:jc w:val="left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8.语音提示，音量软键盘调节大小</w:t>
            </w:r>
          </w:p>
          <w:p w14:paraId="26834CB1">
            <w:pPr>
              <w:jc w:val="left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9.仪器具有可折叠或伸缩功能</w:t>
            </w:r>
          </w:p>
          <w:p w14:paraId="33E32B0A">
            <w:pPr>
              <w:jc w:val="left"/>
              <w:rPr>
                <w:rFonts w:asciiTheme="minorEastAsia" w:hAnsiTheme="minorEastAsia" w:eastAsiaTheme="minorEastAsia" w:cstheme="minorEastAsia"/>
                <w:b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Cs w:val="21"/>
              </w:rPr>
              <w:t>脊柱侧弯测量仪：</w:t>
            </w:r>
          </w:p>
          <w:p w14:paraId="252B12AE">
            <w:pPr>
              <w:jc w:val="left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★测量范围至少包含：0-30°</w:t>
            </w:r>
          </w:p>
        </w:tc>
        <w:tc>
          <w:tcPr>
            <w:tcW w:w="681" w:type="dxa"/>
            <w:vAlign w:val="center"/>
          </w:tcPr>
          <w:p w14:paraId="3B23C254">
            <w:pPr>
              <w:adjustRightInd w:val="0"/>
              <w:snapToGrid w:val="0"/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套</w:t>
            </w:r>
          </w:p>
        </w:tc>
        <w:tc>
          <w:tcPr>
            <w:tcW w:w="714" w:type="dxa"/>
            <w:vAlign w:val="center"/>
          </w:tcPr>
          <w:p w14:paraId="7B4DEECF">
            <w:pPr>
              <w:adjustRightInd w:val="0"/>
              <w:snapToGrid w:val="0"/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2</w:t>
            </w:r>
          </w:p>
        </w:tc>
        <w:tc>
          <w:tcPr>
            <w:tcW w:w="1914" w:type="dxa"/>
            <w:vAlign w:val="center"/>
          </w:tcPr>
          <w:p w14:paraId="44739F57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否</w:t>
            </w:r>
          </w:p>
        </w:tc>
      </w:tr>
      <w:tr w14:paraId="709BB4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4" w:type="dxa"/>
            <w:vAlign w:val="center"/>
          </w:tcPr>
          <w:p w14:paraId="475412CD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2</w:t>
            </w:r>
          </w:p>
        </w:tc>
        <w:tc>
          <w:tcPr>
            <w:tcW w:w="1228" w:type="dxa"/>
            <w:vAlign w:val="center"/>
          </w:tcPr>
          <w:p w14:paraId="7AA23D1B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 w:val="20"/>
                <w:szCs w:val="20"/>
              </w:rPr>
              <w:t>空盒气压表</w:t>
            </w:r>
          </w:p>
        </w:tc>
        <w:tc>
          <w:tcPr>
            <w:tcW w:w="4049" w:type="dxa"/>
            <w:vAlign w:val="center"/>
          </w:tcPr>
          <w:p w14:paraId="3A182DE0">
            <w:pPr>
              <w:jc w:val="left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★1.测量范围至少包含：800-1060hpa</w:t>
            </w:r>
          </w:p>
          <w:p w14:paraId="5DBB599E">
            <w:pPr>
              <w:jc w:val="left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2.温度范围至少包含：-10~40℃</w:t>
            </w:r>
          </w:p>
          <w:p w14:paraId="1F1FD047">
            <w:pPr>
              <w:jc w:val="left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3.示度最小分度值：1hpa</w:t>
            </w:r>
          </w:p>
          <w:p w14:paraId="295B586F">
            <w:pPr>
              <w:jc w:val="left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4.附温最小分度值：1℃</w:t>
            </w:r>
          </w:p>
        </w:tc>
        <w:tc>
          <w:tcPr>
            <w:tcW w:w="681" w:type="dxa"/>
            <w:vAlign w:val="center"/>
          </w:tcPr>
          <w:p w14:paraId="22283D4D">
            <w:pPr>
              <w:adjustRightInd w:val="0"/>
              <w:snapToGrid w:val="0"/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台</w:t>
            </w:r>
          </w:p>
        </w:tc>
        <w:tc>
          <w:tcPr>
            <w:tcW w:w="714" w:type="dxa"/>
            <w:vAlign w:val="center"/>
          </w:tcPr>
          <w:p w14:paraId="28455EBF">
            <w:pPr>
              <w:adjustRightInd w:val="0"/>
              <w:snapToGrid w:val="0"/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2</w:t>
            </w:r>
          </w:p>
        </w:tc>
        <w:tc>
          <w:tcPr>
            <w:tcW w:w="1914" w:type="dxa"/>
            <w:vAlign w:val="center"/>
          </w:tcPr>
          <w:p w14:paraId="513219AA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否</w:t>
            </w:r>
          </w:p>
        </w:tc>
      </w:tr>
      <w:tr w14:paraId="5ADD53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4" w:type="dxa"/>
            <w:vAlign w:val="center"/>
          </w:tcPr>
          <w:p w14:paraId="25D4733B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3</w:t>
            </w:r>
          </w:p>
        </w:tc>
        <w:tc>
          <w:tcPr>
            <w:tcW w:w="1228" w:type="dxa"/>
            <w:vAlign w:val="center"/>
          </w:tcPr>
          <w:p w14:paraId="4220C7FE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▲</w:t>
            </w:r>
            <w:r>
              <w:rPr>
                <w:rFonts w:hint="eastAsia"/>
                <w:color w:val="auto"/>
                <w:sz w:val="20"/>
                <w:szCs w:val="20"/>
              </w:rPr>
              <w:t>便携式微生物空气采样器</w:t>
            </w:r>
          </w:p>
        </w:tc>
        <w:tc>
          <w:tcPr>
            <w:tcW w:w="4049" w:type="dxa"/>
            <w:vAlign w:val="center"/>
          </w:tcPr>
          <w:p w14:paraId="30D36B7C">
            <w:pPr>
              <w:jc w:val="left"/>
              <w:rPr>
                <w:rFonts w:ascii="宋体" w:hAnsi="宋体" w:cs="宋体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 xml:space="preserve">1.多孔式采样，≥300个采样孔，单孔孔径：0.6mm 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 xml:space="preserve">2.采样速度100L/min，流量精度≤±2.5% 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 xml:space="preserve">3.培养皿支撑架高度调节，可螺纹式调节培养皿支撑架 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 xml:space="preserve">4.培养皿支撑架固定方式，磁吸式固定，可拆卸 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 xml:space="preserve">5.远端采样，可将采样头延长≥0.5米后采样 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 xml:space="preserve">6.采样角度：设备可以在0-180°范围内任意调节采样角度 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 xml:space="preserve">7.可以配用直径90mm规格的平皿 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 xml:space="preserve">8.可设置采样延迟和采样间隔 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 xml:space="preserve">9.进气方向和排气方向一致 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>10.仪器出气口内置HEPA过滤器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 xml:space="preserve">11. 有可拆卸充电锂电池 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>12.系统语言包含中文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>13.采样时间范围至少包含10s-99h（可设定）；延时时间范围至少包含0-600s；间隔时间范围至少包含0-600s</w:t>
            </w:r>
          </w:p>
        </w:tc>
        <w:tc>
          <w:tcPr>
            <w:tcW w:w="681" w:type="dxa"/>
            <w:vAlign w:val="center"/>
          </w:tcPr>
          <w:p w14:paraId="5D2605BA">
            <w:pPr>
              <w:adjustRightInd w:val="0"/>
              <w:snapToGrid w:val="0"/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台</w:t>
            </w:r>
          </w:p>
        </w:tc>
        <w:tc>
          <w:tcPr>
            <w:tcW w:w="714" w:type="dxa"/>
            <w:vAlign w:val="center"/>
          </w:tcPr>
          <w:p w14:paraId="5C4CFC62">
            <w:pPr>
              <w:adjustRightInd w:val="0"/>
              <w:snapToGrid w:val="0"/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3</w:t>
            </w:r>
          </w:p>
        </w:tc>
        <w:tc>
          <w:tcPr>
            <w:tcW w:w="1914" w:type="dxa"/>
            <w:vAlign w:val="center"/>
          </w:tcPr>
          <w:p w14:paraId="4510EEFE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否</w:t>
            </w:r>
          </w:p>
        </w:tc>
      </w:tr>
      <w:tr w14:paraId="7DA1FE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4" w:type="dxa"/>
            <w:vAlign w:val="center"/>
          </w:tcPr>
          <w:p w14:paraId="572F3FFB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4</w:t>
            </w:r>
          </w:p>
        </w:tc>
        <w:tc>
          <w:tcPr>
            <w:tcW w:w="1228" w:type="dxa"/>
            <w:vAlign w:val="center"/>
          </w:tcPr>
          <w:p w14:paraId="55B4D581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 w:val="20"/>
                <w:szCs w:val="20"/>
              </w:rPr>
              <w:t>细颗粒物采样器</w:t>
            </w:r>
          </w:p>
        </w:tc>
        <w:tc>
          <w:tcPr>
            <w:tcW w:w="4049" w:type="dxa"/>
            <w:vAlign w:val="center"/>
          </w:tcPr>
          <w:p w14:paraId="5F9484BB">
            <w:pPr>
              <w:jc w:val="left"/>
              <w:rPr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>1.流量范围至少包含0～30L/min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>2.恒流方式：恒流恒压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>3.可对仪器进行流量校准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>4.具备PM10和PM2.5切割头</w:t>
            </w:r>
          </w:p>
          <w:p w14:paraId="02B477BB">
            <w:pPr>
              <w:jc w:val="left"/>
              <w:rPr>
                <w:rFonts w:ascii="宋体" w:hAnsi="宋体" w:cs="宋体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>5.使用标准滤膜50mm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>6.流量误差≤±2%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>7.流量重复性≤2%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>8.计时误差≤±0.1%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>9.负载能力≤15000pa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>10.噪声≤60dB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>11.LCD 显示屏：提供实时流量、运行时间、标况体积、电池电量信息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>12有温度显示和大气压显示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>13.采样模式包括但不限于定时采样、定容采样、循环采样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>14.定时范围至少包含1min～99h59min</w:t>
            </w:r>
          </w:p>
        </w:tc>
        <w:tc>
          <w:tcPr>
            <w:tcW w:w="681" w:type="dxa"/>
            <w:vAlign w:val="center"/>
          </w:tcPr>
          <w:p w14:paraId="2BCA0AC9">
            <w:pPr>
              <w:adjustRightInd w:val="0"/>
              <w:snapToGrid w:val="0"/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台</w:t>
            </w:r>
          </w:p>
        </w:tc>
        <w:tc>
          <w:tcPr>
            <w:tcW w:w="714" w:type="dxa"/>
            <w:vAlign w:val="center"/>
          </w:tcPr>
          <w:p w14:paraId="39ADC35D">
            <w:pPr>
              <w:adjustRightInd w:val="0"/>
              <w:snapToGrid w:val="0"/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5</w:t>
            </w:r>
          </w:p>
        </w:tc>
        <w:tc>
          <w:tcPr>
            <w:tcW w:w="1914" w:type="dxa"/>
            <w:vAlign w:val="center"/>
          </w:tcPr>
          <w:p w14:paraId="0BB7AAF0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否</w:t>
            </w:r>
          </w:p>
        </w:tc>
      </w:tr>
      <w:tr w14:paraId="593DE5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4" w:type="dxa"/>
            <w:vAlign w:val="center"/>
          </w:tcPr>
          <w:p w14:paraId="7F132C86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5</w:t>
            </w:r>
          </w:p>
        </w:tc>
        <w:tc>
          <w:tcPr>
            <w:tcW w:w="1228" w:type="dxa"/>
            <w:vAlign w:val="center"/>
          </w:tcPr>
          <w:p w14:paraId="25F708B2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 w:val="20"/>
                <w:szCs w:val="20"/>
              </w:rPr>
              <w:t>甲醛检测仪</w:t>
            </w:r>
          </w:p>
        </w:tc>
        <w:tc>
          <w:tcPr>
            <w:tcW w:w="4049" w:type="dxa"/>
            <w:vAlign w:val="center"/>
          </w:tcPr>
          <w:p w14:paraId="2F792A97">
            <w:pPr>
              <w:jc w:val="left"/>
              <w:rPr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>1.检测原理 ：电化学原理</w:t>
            </w:r>
          </w:p>
          <w:p w14:paraId="29D60BB2">
            <w:pPr>
              <w:jc w:val="left"/>
              <w:rPr>
                <w:color w:val="auto"/>
                <w:sz w:val="22"/>
                <w:szCs w:val="22"/>
              </w:rPr>
            </w:pPr>
            <w:r>
              <w:rPr>
                <w:rFonts w:hint="eastAsia"/>
                <w:color w:val="auto"/>
                <w:sz w:val="22"/>
                <w:szCs w:val="22"/>
              </w:rPr>
              <w:t>2.采样方式：泵吸式</w:t>
            </w:r>
          </w:p>
          <w:p w14:paraId="4D626162">
            <w:pPr>
              <w:jc w:val="left"/>
              <w:rPr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>3.量程范围至少包含0-5 mg/m³</w:t>
            </w:r>
          </w:p>
          <w:p w14:paraId="279332E1">
            <w:pPr>
              <w:jc w:val="left"/>
              <w:rPr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>4.分 辨 率：0.01 mg/m³</w:t>
            </w:r>
          </w:p>
          <w:p w14:paraId="2541CEAE">
            <w:pPr>
              <w:jc w:val="left"/>
              <w:rPr>
                <w:color w:val="auto"/>
                <w:sz w:val="22"/>
                <w:szCs w:val="22"/>
              </w:rPr>
            </w:pPr>
            <w:r>
              <w:rPr>
                <w:rFonts w:hint="eastAsia"/>
                <w:color w:val="auto"/>
                <w:sz w:val="22"/>
                <w:szCs w:val="22"/>
              </w:rPr>
              <w:t>5.单位ppm和mg/m³可转换</w:t>
            </w:r>
          </w:p>
          <w:p w14:paraId="20270ED3">
            <w:pPr>
              <w:jc w:val="left"/>
              <w:rPr>
                <w:color w:val="auto"/>
                <w:sz w:val="22"/>
                <w:szCs w:val="22"/>
              </w:rPr>
            </w:pPr>
            <w:r>
              <w:rPr>
                <w:rFonts w:hint="eastAsia"/>
                <w:color w:val="auto"/>
                <w:sz w:val="22"/>
                <w:szCs w:val="22"/>
              </w:rPr>
              <w:t>6.精确度：±2%FS</w:t>
            </w:r>
          </w:p>
          <w:p w14:paraId="19CE98E8">
            <w:pPr>
              <w:jc w:val="left"/>
              <w:rPr>
                <w:color w:val="auto"/>
                <w:sz w:val="22"/>
                <w:szCs w:val="22"/>
              </w:rPr>
            </w:pPr>
            <w:r>
              <w:rPr>
                <w:rFonts w:hint="eastAsia"/>
                <w:color w:val="auto"/>
                <w:sz w:val="22"/>
                <w:szCs w:val="22"/>
              </w:rPr>
              <w:t>7.响应时间：≤15S</w:t>
            </w:r>
          </w:p>
          <w:p w14:paraId="3CE673FC">
            <w:pPr>
              <w:jc w:val="left"/>
              <w:rPr>
                <w:color w:val="auto"/>
                <w:sz w:val="22"/>
                <w:szCs w:val="22"/>
              </w:rPr>
            </w:pPr>
            <w:r>
              <w:rPr>
                <w:rFonts w:hint="eastAsia"/>
                <w:color w:val="auto"/>
                <w:sz w:val="22"/>
                <w:szCs w:val="22"/>
              </w:rPr>
              <w:t>8.重复性 ：≤±1%</w:t>
            </w:r>
          </w:p>
          <w:p w14:paraId="194AB2DC">
            <w:pPr>
              <w:jc w:val="left"/>
              <w:rPr>
                <w:color w:val="auto"/>
                <w:sz w:val="22"/>
                <w:szCs w:val="22"/>
              </w:rPr>
            </w:pPr>
            <w:r>
              <w:rPr>
                <w:rFonts w:hint="eastAsia"/>
                <w:color w:val="auto"/>
                <w:sz w:val="22"/>
                <w:szCs w:val="22"/>
              </w:rPr>
              <w:t>9.零点漂移：≤±1%FS/年</w:t>
            </w:r>
          </w:p>
          <w:p w14:paraId="31A4F1CC">
            <w:pPr>
              <w:jc w:val="left"/>
              <w:rPr>
                <w:color w:val="auto"/>
                <w:sz w:val="22"/>
                <w:szCs w:val="22"/>
              </w:rPr>
            </w:pPr>
            <w:r>
              <w:rPr>
                <w:rFonts w:hint="eastAsia"/>
                <w:color w:val="auto"/>
                <w:sz w:val="22"/>
                <w:szCs w:val="22"/>
              </w:rPr>
              <w:t>10.显示语言:中文</w:t>
            </w:r>
          </w:p>
        </w:tc>
        <w:tc>
          <w:tcPr>
            <w:tcW w:w="681" w:type="dxa"/>
            <w:vAlign w:val="center"/>
          </w:tcPr>
          <w:p w14:paraId="74FCCBD1">
            <w:pPr>
              <w:adjustRightInd w:val="0"/>
              <w:snapToGrid w:val="0"/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台</w:t>
            </w:r>
          </w:p>
        </w:tc>
        <w:tc>
          <w:tcPr>
            <w:tcW w:w="714" w:type="dxa"/>
            <w:vAlign w:val="center"/>
          </w:tcPr>
          <w:p w14:paraId="77AD76EE">
            <w:pPr>
              <w:adjustRightInd w:val="0"/>
              <w:snapToGrid w:val="0"/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1</w:t>
            </w:r>
          </w:p>
        </w:tc>
        <w:tc>
          <w:tcPr>
            <w:tcW w:w="1914" w:type="dxa"/>
            <w:vAlign w:val="center"/>
          </w:tcPr>
          <w:p w14:paraId="03047859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否</w:t>
            </w:r>
          </w:p>
        </w:tc>
      </w:tr>
      <w:tr w14:paraId="2AD8A2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4" w:type="dxa"/>
            <w:vAlign w:val="center"/>
          </w:tcPr>
          <w:p w14:paraId="63290CCB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6</w:t>
            </w:r>
          </w:p>
        </w:tc>
        <w:tc>
          <w:tcPr>
            <w:tcW w:w="1228" w:type="dxa"/>
            <w:vAlign w:val="center"/>
          </w:tcPr>
          <w:p w14:paraId="66BB60BF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 w:val="20"/>
                <w:szCs w:val="20"/>
              </w:rPr>
              <w:t>数字风速仪</w:t>
            </w:r>
          </w:p>
        </w:tc>
        <w:tc>
          <w:tcPr>
            <w:tcW w:w="4049" w:type="dxa"/>
            <w:vAlign w:val="center"/>
          </w:tcPr>
          <w:p w14:paraId="757099DF">
            <w:pPr>
              <w:jc w:val="left"/>
              <w:rPr>
                <w:rFonts w:ascii="宋体" w:hAnsi="宋体" w:cs="宋体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>1.原理：数显式热电风速计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>2.风速量程范围至少包含0.05-10.0m/s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>3.基本误差 0.05-5.00m/s：±（4%U+0.1）m/s；5.0-10.0m/s：±（4%U+0.2）m/s （其中U为实测风速）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>4.响应时间≤3s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>5.最小分辨率 0.01m/s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>6.电池供电</w:t>
            </w:r>
          </w:p>
        </w:tc>
        <w:tc>
          <w:tcPr>
            <w:tcW w:w="681" w:type="dxa"/>
            <w:vAlign w:val="center"/>
          </w:tcPr>
          <w:p w14:paraId="32371AFB">
            <w:pPr>
              <w:adjustRightInd w:val="0"/>
              <w:snapToGrid w:val="0"/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台</w:t>
            </w:r>
          </w:p>
        </w:tc>
        <w:tc>
          <w:tcPr>
            <w:tcW w:w="714" w:type="dxa"/>
            <w:vAlign w:val="center"/>
          </w:tcPr>
          <w:p w14:paraId="69693EA2">
            <w:pPr>
              <w:adjustRightInd w:val="0"/>
              <w:snapToGrid w:val="0"/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1</w:t>
            </w:r>
          </w:p>
        </w:tc>
        <w:tc>
          <w:tcPr>
            <w:tcW w:w="1914" w:type="dxa"/>
            <w:vAlign w:val="center"/>
          </w:tcPr>
          <w:p w14:paraId="0935E7BE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否</w:t>
            </w:r>
          </w:p>
        </w:tc>
      </w:tr>
      <w:tr w14:paraId="39C386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4" w:type="dxa"/>
            <w:vAlign w:val="center"/>
          </w:tcPr>
          <w:p w14:paraId="4E5B93CE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7</w:t>
            </w:r>
          </w:p>
        </w:tc>
        <w:tc>
          <w:tcPr>
            <w:tcW w:w="1228" w:type="dxa"/>
            <w:vAlign w:val="center"/>
          </w:tcPr>
          <w:p w14:paraId="3567B222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 w:val="20"/>
                <w:szCs w:val="20"/>
              </w:rPr>
              <w:t>照度计</w:t>
            </w:r>
          </w:p>
        </w:tc>
        <w:tc>
          <w:tcPr>
            <w:tcW w:w="4049" w:type="dxa"/>
            <w:vAlign w:val="center"/>
          </w:tcPr>
          <w:p w14:paraId="0BE5EE35">
            <w:pPr>
              <w:jc w:val="left"/>
              <w:rPr>
                <w:rFonts w:ascii="宋体" w:hAnsi="宋体" w:cs="宋体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 xml:space="preserve">1.探头原理：利用光敏半导体元件的物理光电现象制成 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>2.显示屏：背光液晶显示屏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>3.量程范围至少包含1-5000LUX，不同量程分档位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>4.检测精度：±5%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>5.重复性：±3%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 xml:space="preserve">6.电池供电  </w:t>
            </w:r>
          </w:p>
        </w:tc>
        <w:tc>
          <w:tcPr>
            <w:tcW w:w="681" w:type="dxa"/>
            <w:vAlign w:val="center"/>
          </w:tcPr>
          <w:p w14:paraId="5DF0DE62">
            <w:pPr>
              <w:adjustRightInd w:val="0"/>
              <w:snapToGrid w:val="0"/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台</w:t>
            </w:r>
          </w:p>
        </w:tc>
        <w:tc>
          <w:tcPr>
            <w:tcW w:w="714" w:type="dxa"/>
            <w:vAlign w:val="center"/>
          </w:tcPr>
          <w:p w14:paraId="31C8C9DB">
            <w:pPr>
              <w:adjustRightInd w:val="0"/>
              <w:snapToGrid w:val="0"/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1</w:t>
            </w:r>
          </w:p>
        </w:tc>
        <w:tc>
          <w:tcPr>
            <w:tcW w:w="1914" w:type="dxa"/>
            <w:vAlign w:val="center"/>
          </w:tcPr>
          <w:p w14:paraId="2B91BC64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否</w:t>
            </w:r>
          </w:p>
        </w:tc>
      </w:tr>
      <w:tr w14:paraId="74586C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4" w:type="dxa"/>
            <w:vAlign w:val="center"/>
          </w:tcPr>
          <w:p w14:paraId="3F5E1E11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8</w:t>
            </w:r>
          </w:p>
        </w:tc>
        <w:tc>
          <w:tcPr>
            <w:tcW w:w="1228" w:type="dxa"/>
            <w:vAlign w:val="center"/>
          </w:tcPr>
          <w:p w14:paraId="62461085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 w:val="20"/>
                <w:szCs w:val="20"/>
              </w:rPr>
              <w:t>声级计</w:t>
            </w:r>
          </w:p>
        </w:tc>
        <w:tc>
          <w:tcPr>
            <w:tcW w:w="4049" w:type="dxa"/>
            <w:vAlign w:val="center"/>
          </w:tcPr>
          <w:p w14:paraId="6EB194F7">
            <w:pPr>
              <w:jc w:val="left"/>
              <w:rPr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>1.原理：利用电容式声电转换器，将声信号转变为电信号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>2.测量频率范围至少包含10 Hz～20 kHz；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>3.量程范围至少包含28 ～136 dB（A）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>4.精度：±1.0dB</w:t>
            </w:r>
          </w:p>
          <w:p w14:paraId="02FBCF9A">
            <w:pPr>
              <w:jc w:val="left"/>
              <w:rPr>
                <w:rFonts w:ascii="宋体" w:hAnsi="宋体" w:cs="宋体"/>
                <w:color w:val="auto"/>
                <w:sz w:val="22"/>
                <w:szCs w:val="22"/>
              </w:rPr>
            </w:pPr>
            <w:r>
              <w:rPr>
                <w:rFonts w:hint="eastAsia"/>
                <w:color w:val="auto"/>
                <w:sz w:val="22"/>
                <w:szCs w:val="22"/>
              </w:rPr>
              <w:t>5.数据存储：具备数据存储功能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>6.</w:t>
            </w:r>
            <w:bookmarkStart w:id="1" w:name="OLE_LINK6"/>
            <w:bookmarkStart w:id="2" w:name="OLE_LINK7"/>
            <w:r>
              <w:rPr>
                <w:rFonts w:hint="eastAsia"/>
                <w:color w:val="auto"/>
                <w:sz w:val="22"/>
                <w:szCs w:val="22"/>
              </w:rPr>
              <w:t>具备时间计权功能包括但不限于：并行（同时）</w:t>
            </w:r>
            <w:r>
              <w:rPr>
                <w:color w:val="auto"/>
                <w:sz w:val="22"/>
                <w:szCs w:val="22"/>
              </w:rPr>
              <w:t>Fast</w:t>
            </w:r>
            <w:r>
              <w:rPr>
                <w:rFonts w:hint="eastAsia"/>
                <w:color w:val="auto"/>
                <w:sz w:val="22"/>
                <w:szCs w:val="22"/>
              </w:rPr>
              <w:t>、</w:t>
            </w:r>
            <w:r>
              <w:rPr>
                <w:color w:val="auto"/>
                <w:sz w:val="22"/>
                <w:szCs w:val="22"/>
              </w:rPr>
              <w:t>Slow</w:t>
            </w:r>
            <w:r>
              <w:rPr>
                <w:rFonts w:hint="eastAsia"/>
                <w:color w:val="auto"/>
                <w:sz w:val="22"/>
                <w:szCs w:val="22"/>
              </w:rPr>
              <w:t>、</w:t>
            </w:r>
            <w:r>
              <w:rPr>
                <w:color w:val="auto"/>
                <w:sz w:val="22"/>
                <w:szCs w:val="22"/>
              </w:rPr>
              <w:t>Impulse</w:t>
            </w:r>
            <w:bookmarkEnd w:id="1"/>
            <w:bookmarkEnd w:id="2"/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>7.主要测量指标包括但不限于：Lxyp、Lxeq,T、Lxeq，t、Lxymax、Lxymin、LxE、Lxpeak、E、Ln、SD、TWA、Lex,8h、LAVG、DOSE、Ld、Ln、Ldn、Linst</w:t>
            </w:r>
          </w:p>
        </w:tc>
        <w:tc>
          <w:tcPr>
            <w:tcW w:w="681" w:type="dxa"/>
            <w:vAlign w:val="center"/>
          </w:tcPr>
          <w:p w14:paraId="21558D59">
            <w:pPr>
              <w:adjustRightInd w:val="0"/>
              <w:snapToGrid w:val="0"/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台</w:t>
            </w:r>
          </w:p>
        </w:tc>
        <w:tc>
          <w:tcPr>
            <w:tcW w:w="714" w:type="dxa"/>
            <w:vAlign w:val="center"/>
          </w:tcPr>
          <w:p w14:paraId="55BCD8CE">
            <w:pPr>
              <w:adjustRightInd w:val="0"/>
              <w:snapToGrid w:val="0"/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1</w:t>
            </w:r>
          </w:p>
        </w:tc>
        <w:tc>
          <w:tcPr>
            <w:tcW w:w="1914" w:type="dxa"/>
            <w:vAlign w:val="center"/>
          </w:tcPr>
          <w:p w14:paraId="480CF823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否</w:t>
            </w:r>
          </w:p>
        </w:tc>
      </w:tr>
      <w:tr w14:paraId="028811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4" w:type="dxa"/>
            <w:vAlign w:val="center"/>
          </w:tcPr>
          <w:p w14:paraId="239F022D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9</w:t>
            </w:r>
          </w:p>
        </w:tc>
        <w:tc>
          <w:tcPr>
            <w:tcW w:w="1228" w:type="dxa"/>
            <w:vAlign w:val="center"/>
          </w:tcPr>
          <w:p w14:paraId="23B6E958">
            <w:pPr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 w:val="20"/>
                <w:szCs w:val="20"/>
              </w:rPr>
              <w:t>温湿度计</w:t>
            </w:r>
          </w:p>
        </w:tc>
        <w:tc>
          <w:tcPr>
            <w:tcW w:w="4049" w:type="dxa"/>
            <w:vAlign w:val="center"/>
          </w:tcPr>
          <w:p w14:paraId="5C76A3D9">
            <w:pPr>
              <w:rPr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>1.原理：温度为数显式温度计法，湿度为电阻电容法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>2.温度范围至少包含-30--100℃，分辨率≤0.1℃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★</w:t>
            </w:r>
            <w:r>
              <w:rPr>
                <w:rFonts w:hint="eastAsia"/>
                <w:color w:val="auto"/>
                <w:sz w:val="22"/>
                <w:szCs w:val="22"/>
              </w:rPr>
              <w:t>3.湿度范围至少包含0%-100%RH，分辨率≤0.1%RH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>4.温度测量精度±0.5℃，湿度最大允许误差≤±5%</w:t>
            </w:r>
          </w:p>
          <w:p w14:paraId="3426322D">
            <w:pPr>
              <w:rPr>
                <w:rFonts w:ascii="宋体" w:hAnsi="宋体" w:cs="宋体"/>
                <w:color w:val="auto"/>
                <w:sz w:val="22"/>
                <w:szCs w:val="22"/>
              </w:rPr>
            </w:pPr>
            <w:r>
              <w:rPr>
                <w:rFonts w:hint="eastAsia"/>
                <w:color w:val="auto"/>
                <w:sz w:val="22"/>
                <w:szCs w:val="22"/>
              </w:rPr>
              <w:t>5.响应时间＜15s</w:t>
            </w:r>
            <w:r>
              <w:rPr>
                <w:rFonts w:hint="eastAsia"/>
                <w:color w:val="auto"/>
                <w:sz w:val="22"/>
                <w:szCs w:val="22"/>
              </w:rPr>
              <w:br w:type="textWrapping"/>
            </w:r>
            <w:r>
              <w:rPr>
                <w:rFonts w:hint="eastAsia"/>
                <w:color w:val="auto"/>
                <w:sz w:val="22"/>
                <w:szCs w:val="22"/>
              </w:rPr>
              <w:t xml:space="preserve">6.电池供电  </w:t>
            </w:r>
          </w:p>
        </w:tc>
        <w:tc>
          <w:tcPr>
            <w:tcW w:w="681" w:type="dxa"/>
            <w:vAlign w:val="center"/>
          </w:tcPr>
          <w:p w14:paraId="01246D4D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台</w:t>
            </w:r>
          </w:p>
        </w:tc>
        <w:tc>
          <w:tcPr>
            <w:tcW w:w="714" w:type="dxa"/>
            <w:vAlign w:val="center"/>
          </w:tcPr>
          <w:p w14:paraId="0EACB5D1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2</w:t>
            </w:r>
          </w:p>
        </w:tc>
        <w:tc>
          <w:tcPr>
            <w:tcW w:w="1914" w:type="dxa"/>
            <w:vAlign w:val="center"/>
          </w:tcPr>
          <w:p w14:paraId="66274778">
            <w:pPr>
              <w:jc w:val="center"/>
              <w:rPr>
                <w:rFonts w:asciiTheme="minorEastAsia" w:hAnsiTheme="minorEastAsia" w:eastAsiaTheme="minorEastAsia" w:cs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Cs w:val="21"/>
              </w:rPr>
              <w:t>否</w:t>
            </w:r>
          </w:p>
        </w:tc>
      </w:tr>
    </w:tbl>
    <w:p w14:paraId="34461703"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hint="eastAsia"/>
          <w:sz w:val="24"/>
        </w:rPr>
        <w:t>注：</w:t>
      </w:r>
    </w:p>
    <w:p w14:paraId="1BA42F8B">
      <w:pPr>
        <w:spacing w:line="360" w:lineRule="auto"/>
        <w:ind w:firstLine="480" w:firstLineChars="200"/>
        <w:outlineLvl w:val="0"/>
        <w:rPr>
          <w:sz w:val="24"/>
        </w:rPr>
      </w:pPr>
      <w:r>
        <w:rPr>
          <w:sz w:val="24"/>
        </w:rPr>
        <w:t>加注“</w:t>
      </w:r>
      <w:r>
        <w:rPr>
          <w:rFonts w:hint="eastAsia" w:ascii="宋体" w:hAnsi="宋体" w:cs="宋体"/>
          <w:sz w:val="24"/>
        </w:rPr>
        <w:t>★</w:t>
      </w:r>
      <w:r>
        <w:rPr>
          <w:sz w:val="24"/>
        </w:rPr>
        <w:t>”号条款为实质性条款，不得出现负偏离，发生负偏离即做无效标处理。</w:t>
      </w:r>
    </w:p>
    <w:p w14:paraId="02D1E019"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hint="eastAsia"/>
          <w:sz w:val="24"/>
        </w:rPr>
        <w:t>加注“▲”号的产品为核心产品（如项目需求书中未明确核心产品，则视为全部产品均为核心产品）。</w:t>
      </w:r>
    </w:p>
    <w:p w14:paraId="7EB93A85">
      <w:pPr>
        <w:spacing w:line="560" w:lineRule="exact"/>
        <w:ind w:firstLine="640" w:firstLineChars="200"/>
        <w:jc w:val="left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2.商务要求</w:t>
      </w:r>
    </w:p>
    <w:p w14:paraId="0E148168">
      <w:pPr>
        <w:autoSpaceDE w:val="0"/>
        <w:autoSpaceDN w:val="0"/>
        <w:adjustRightInd w:val="0"/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报价要求</w:t>
      </w:r>
    </w:p>
    <w:p w14:paraId="6B767298">
      <w:pPr>
        <w:autoSpaceDE w:val="0"/>
        <w:autoSpaceDN w:val="0"/>
        <w:adjustRightInd w:val="0"/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（1）投标报价以人民币填列。</w:t>
      </w:r>
    </w:p>
    <w:p w14:paraId="170ED1E2">
      <w:pPr>
        <w:autoSpaceDE w:val="0"/>
        <w:autoSpaceDN w:val="0"/>
        <w:adjustRightInd w:val="0"/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（2）投标人的报价应包括：设备主机及附件货款、运输费、运输保险费、装卸费、安装调试费及其他应有的费用。投标人所报价格为货到现场安装调试完成的最终优惠价格。</w:t>
      </w:r>
    </w:p>
    <w:p w14:paraId="3F1A9268">
      <w:pPr>
        <w:autoSpaceDE w:val="0"/>
        <w:autoSpaceDN w:val="0"/>
        <w:adjustRightInd w:val="0"/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（3）验收及相关费用由投标人负责。</w:t>
      </w:r>
    </w:p>
    <w:p w14:paraId="615719B0">
      <w:pPr>
        <w:autoSpaceDE w:val="0"/>
        <w:autoSpaceDN w:val="0"/>
        <w:adjustRightInd w:val="0"/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服务要求</w:t>
      </w:r>
    </w:p>
    <w:p w14:paraId="1841E754">
      <w:pPr>
        <w:autoSpaceDE w:val="0"/>
        <w:autoSpaceDN w:val="0"/>
        <w:adjustRightInd w:val="0"/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（1）提供所投产品1年的免费上门保修，终身维修。保修期内免费更换零配件，7×24小时技术响应，48小时内维修工程师到达维修现场。保修期自验收合格之日起计算。</w:t>
      </w:r>
      <w:r>
        <w:rPr>
          <w:rFonts w:hint="eastAsia" w:ascii="宋体" w:hAnsi="宋体" w:cs="宋体"/>
          <w:sz w:val="24"/>
          <w:lang w:eastAsia="zh-CN"/>
        </w:rPr>
        <w:t>保修</w:t>
      </w:r>
      <w:r>
        <w:rPr>
          <w:rFonts w:hint="eastAsia" w:ascii="宋体" w:hAnsi="宋体" w:cs="宋体"/>
          <w:sz w:val="24"/>
        </w:rPr>
        <w:t>期过后，终身维护，每次维修验收合格后付款（</w:t>
      </w:r>
      <w:r>
        <w:rPr>
          <w:rFonts w:hint="eastAsia" w:ascii="宋体" w:hAnsi="宋体" w:cs="宋体"/>
          <w:sz w:val="24"/>
          <w:lang w:eastAsia="zh-CN"/>
        </w:rPr>
        <w:t>保修</w:t>
      </w:r>
      <w:r>
        <w:rPr>
          <w:rFonts w:hint="eastAsia" w:ascii="宋体" w:hAnsi="宋体" w:cs="宋体"/>
          <w:sz w:val="24"/>
        </w:rPr>
        <w:t>期过后全部款项与本项目预算无关由采购人另行支付）。</w:t>
      </w:r>
    </w:p>
    <w:p w14:paraId="3C91D3D9">
      <w:pPr>
        <w:autoSpaceDE w:val="0"/>
        <w:autoSpaceDN w:val="0"/>
        <w:adjustRightInd w:val="0"/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（2）提供所投产品制造商服务机构情况，包括地址、联系方式及技术人员数量等。</w:t>
      </w:r>
    </w:p>
    <w:p w14:paraId="72B39A2C">
      <w:pPr>
        <w:autoSpaceDE w:val="0"/>
        <w:autoSpaceDN w:val="0"/>
        <w:adjustRightInd w:val="0"/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（3）提供原厂标准的易耗品、消耗材料价格清单及折扣率，保修期后设备维修的价格清单及折扣率。</w:t>
      </w:r>
    </w:p>
    <w:p w14:paraId="3B2BEE59">
      <w:pPr>
        <w:autoSpaceDE w:val="0"/>
        <w:autoSpaceDN w:val="0"/>
        <w:adjustRightInd w:val="0"/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（4）提供现场免费安装、调试设备，进行操作试验演示和现场培训，直至运行正常。培训内容包括设备操作、设备维护及简单的设备维修。</w:t>
      </w:r>
    </w:p>
    <w:p w14:paraId="1D0F4DDF">
      <w:pPr>
        <w:autoSpaceDE w:val="0"/>
        <w:autoSpaceDN w:val="0"/>
        <w:adjustRightInd w:val="0"/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交货要求</w:t>
      </w:r>
    </w:p>
    <w:p w14:paraId="28E119FB">
      <w:pPr>
        <w:autoSpaceDE w:val="0"/>
        <w:autoSpaceDN w:val="0"/>
        <w:adjustRightInd w:val="0"/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（1）交货期：</w:t>
      </w:r>
    </w:p>
    <w:p w14:paraId="573B9AA5">
      <w:pPr>
        <w:autoSpaceDE w:val="0"/>
        <w:autoSpaceDN w:val="0"/>
        <w:adjustRightInd w:val="0"/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货到时间：签订合同之日起30日内（特殊情况以合同为准）。</w:t>
      </w:r>
    </w:p>
    <w:p w14:paraId="575FAAFE">
      <w:pPr>
        <w:autoSpaceDE w:val="0"/>
        <w:autoSpaceDN w:val="0"/>
        <w:adjustRightInd w:val="0"/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安装完成：货到之日起5日内（特殊情况以合同为准）。</w:t>
      </w:r>
    </w:p>
    <w:p w14:paraId="626F9580">
      <w:pPr>
        <w:autoSpaceDE w:val="0"/>
        <w:autoSpaceDN w:val="0"/>
        <w:adjustRightInd w:val="0"/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（2）交货地点：天津市河东区华越道6号内采购人指定实验室（特殊情况以合同为准）。</w:t>
      </w:r>
    </w:p>
    <w:p w14:paraId="2D35B64E">
      <w:pPr>
        <w:autoSpaceDE w:val="0"/>
        <w:autoSpaceDN w:val="0"/>
        <w:adjustRightInd w:val="0"/>
        <w:spacing w:line="360" w:lineRule="auto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（3）提供制造商完整的随机资料，包括完整的使用和维修手册等。</w:t>
      </w:r>
    </w:p>
    <w:p w14:paraId="5B1CCEF1">
      <w:pPr>
        <w:autoSpaceDE w:val="0"/>
        <w:autoSpaceDN w:val="0"/>
        <w:adjustRightInd w:val="0"/>
        <w:spacing w:line="360" w:lineRule="auto"/>
        <w:ind w:firstLine="480" w:firstLineChars="200"/>
        <w:rPr>
          <w:rFonts w:hint="eastAsia" w:ascii="宋体" w:hAnsi="宋体" w:eastAsia="宋体" w:cs="宋体"/>
          <w:sz w:val="24"/>
          <w:lang w:eastAsia="zh-CN"/>
        </w:rPr>
      </w:pPr>
      <w:r>
        <w:rPr>
          <w:rFonts w:hint="eastAsia" w:ascii="宋体" w:hAnsi="宋体" w:cs="宋体"/>
          <w:sz w:val="24"/>
          <w:lang w:eastAsia="zh-CN"/>
        </w:rPr>
        <w:t>（</w:t>
      </w:r>
      <w:r>
        <w:rPr>
          <w:rFonts w:hint="eastAsia" w:ascii="宋体" w:hAnsi="宋体" w:cs="宋体"/>
          <w:sz w:val="24"/>
          <w:lang w:val="en-US" w:eastAsia="zh-CN"/>
        </w:rPr>
        <w:t>4</w:t>
      </w:r>
      <w:r>
        <w:rPr>
          <w:rFonts w:hint="eastAsia" w:ascii="宋体" w:hAnsi="宋体" w:cs="宋体"/>
          <w:sz w:val="24"/>
          <w:lang w:eastAsia="zh-CN"/>
        </w:rPr>
        <w:t>）</w:t>
      </w:r>
      <w:r>
        <w:rPr>
          <w:rFonts w:hint="eastAsia"/>
          <w:sz w:val="24"/>
        </w:rPr>
        <w:t>空盒气压表、便携式微生物空气采样器、细颗粒物采样器、甲醛检测仪、数字风速仪、照度计、声级计、温湿度计交货时提供检定或校准证书。</w:t>
      </w:r>
    </w:p>
    <w:p w14:paraId="543C037F">
      <w:pPr>
        <w:autoSpaceDE w:val="0"/>
        <w:autoSpaceDN w:val="0"/>
        <w:adjustRightInd w:val="0"/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特别要求：</w:t>
      </w:r>
    </w:p>
    <w:p w14:paraId="63E52178">
      <w:pPr>
        <w:autoSpaceDE w:val="0"/>
        <w:autoSpaceDN w:val="0"/>
        <w:adjustRightInd w:val="0"/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1）交货时要求投标人就所投产品提供产品说明书，同时采购人有权要求投标人对产品的合法供货渠道进行说明，经核实如投标人提供非法渠道的商品，视为欺诈，为维护采购人合法权益，投标人要承担商品价值双倍的赔偿；同时，依据现行的国家法律法规追究其他责任，并连带追究所投产品制造商的责任。</w:t>
      </w:r>
    </w:p>
    <w:p w14:paraId="36123AC6">
      <w:pPr>
        <w:autoSpaceDE w:val="0"/>
        <w:autoSpaceDN w:val="0"/>
        <w:adjustRightInd w:val="0"/>
        <w:spacing w:line="360" w:lineRule="auto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付款方式</w:t>
      </w:r>
    </w:p>
    <w:p w14:paraId="06B5BF00">
      <w:pPr>
        <w:autoSpaceDE w:val="0"/>
        <w:autoSpaceDN w:val="0"/>
        <w:adjustRightInd w:val="0"/>
        <w:spacing w:line="360" w:lineRule="auto"/>
        <w:ind w:firstLine="480" w:firstLineChars="200"/>
        <w:rPr>
          <w:rFonts w:ascii="宋体" w:hAnsi="宋体" w:cs="宋体"/>
          <w:sz w:val="24"/>
        </w:rPr>
        <w:sectPr>
          <w:footerReference r:id="rId3" w:type="default"/>
          <w:footerReference r:id="rId4" w:type="even"/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  <w:r>
        <w:rPr>
          <w:rFonts w:hint="eastAsia" w:ascii="宋体" w:hAnsi="宋体" w:cs="宋体"/>
          <w:sz w:val="24"/>
        </w:rPr>
        <w:t>合同签订后10个工作日内支付合同总额的30%费用，货到现场，安装调试、操作试验演示和现场培训完毕，所有货物运行正常，使用无质量问题，验收合格后且收到合同总额的合法等额增值税发票后10个工作日内支付合同总额的70%费用（特殊情况以合同为准）</w:t>
      </w:r>
      <w:bookmarkStart w:id="3" w:name="_GoBack"/>
      <w:bookmarkEnd w:id="3"/>
    </w:p>
    <w:p w14:paraId="4BA52F62">
      <w:pPr>
        <w:rPr>
          <w:rFonts w:ascii="黑体" w:hAnsi="黑体" w:eastAsia="黑体" w:cs="宋体"/>
          <w:color w:val="000000"/>
          <w:sz w:val="32"/>
          <w:szCs w:val="32"/>
        </w:rPr>
      </w:pPr>
    </w:p>
    <w:p w14:paraId="2CBDE276">
      <w:pPr>
        <w:jc w:val="center"/>
        <w:rPr>
          <w:rFonts w:ascii="方正小标宋简体" w:hAnsi="方正小标宋简体" w:eastAsia="方正小标宋简体" w:cs="宋体"/>
          <w:color w:val="000000"/>
          <w:sz w:val="44"/>
          <w:szCs w:val="44"/>
          <w:u w:val="single"/>
        </w:rPr>
      </w:pPr>
    </w:p>
    <w:bookmarkEnd w:id="0"/>
    <w:p w14:paraId="271A5D06"/>
    <w:sectPr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.......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0000012" w:usb3="00000000" w:csb0="4002009F" w:csb1="DFD7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5DA665">
    <w:pPr>
      <w:pStyle w:val="6"/>
      <w:jc w:val="right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7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F909CA">
    <w:pPr>
      <w:pStyle w:val="6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10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897DD1">
    <w:pPr>
      <w:pStyle w:val="6"/>
      <w:jc w:val="right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19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9144CA"/>
    <w:rsid w:val="6C276A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paragraph" w:styleId="4">
    <w:name w:val="Body Text Indent"/>
    <w:basedOn w:val="1"/>
    <w:qFormat/>
    <w:uiPriority w:val="0"/>
    <w:pPr>
      <w:tabs>
        <w:tab w:val="left" w:pos="480"/>
      </w:tabs>
      <w:spacing w:line="560" w:lineRule="exact"/>
      <w:ind w:firstLine="480"/>
      <w:jc w:val="left"/>
    </w:pPr>
    <w:rPr>
      <w:rFonts w:ascii="宋体" w:hAnsi="宋体"/>
      <w:sz w:val="24"/>
    </w:rPr>
  </w:style>
  <w:style w:type="paragraph" w:styleId="5">
    <w:name w:val="Plain Text"/>
    <w:basedOn w:val="1"/>
    <w:qFormat/>
    <w:uiPriority w:val="0"/>
    <w:rPr>
      <w:rFonts w:ascii="宋体" w:hAnsi="Courier New"/>
      <w:lang w:val="zh-CN"/>
    </w:rPr>
  </w:style>
  <w:style w:type="paragraph" w:styleId="6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9">
    <w:name w:val="Default"/>
    <w:qFormat/>
    <w:uiPriority w:val="0"/>
    <w:pPr>
      <w:widowControl w:val="0"/>
      <w:autoSpaceDE w:val="0"/>
      <w:autoSpaceDN w:val="0"/>
      <w:adjustRightInd w:val="0"/>
    </w:pPr>
    <w:rPr>
      <w:rFonts w:ascii="......." w:hAnsi="Calibri" w:eastAsia="......." w:cs="......."/>
      <w:color w:val="000000"/>
      <w:sz w:val="24"/>
      <w:szCs w:val="24"/>
      <w:lang w:val="en-US" w:eastAsia="zh-CN" w:bidi="ar-SA"/>
    </w:rPr>
  </w:style>
  <w:style w:type="paragraph" w:customStyle="1" w:styleId="10">
    <w:name w:val="AONormal"/>
    <w:qFormat/>
    <w:uiPriority w:val="0"/>
    <w:pPr>
      <w:autoSpaceDE w:val="0"/>
      <w:autoSpaceDN w:val="0"/>
      <w:adjustRightInd w:val="0"/>
      <w:spacing w:line="400" w:lineRule="exact"/>
      <w:ind w:firstLine="440" w:firstLineChars="200"/>
    </w:pPr>
    <w:rPr>
      <w:rFonts w:ascii="华文楷体" w:hAnsi="华文楷体" w:eastAsia="华文楷体" w:cs="华文楷体"/>
      <w:sz w:val="22"/>
      <w:szCs w:val="21"/>
      <w:lang w:val="en-US" w:eastAsia="zh-CN" w:bidi="ar-SA"/>
    </w:rPr>
  </w:style>
  <w:style w:type="paragraph" w:customStyle="1" w:styleId="11">
    <w:name w:val="列出段落1"/>
    <w:basedOn w:val="1"/>
    <w:qFormat/>
    <w:uiPriority w:val="0"/>
    <w:pPr>
      <w:ind w:firstLine="420" w:firstLineChars="200"/>
    </w:pPr>
    <w:rPr>
      <w:rFonts w:cs="黑体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19122</Words>
  <Characters>20163</Characters>
  <Lines>0</Lines>
  <Paragraphs>0</Paragraphs>
  <TotalTime>0</TotalTime>
  <ScaleCrop>false</ScaleCrop>
  <LinksUpToDate>false</LinksUpToDate>
  <CharactersWithSpaces>22545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片羽时光[咖啡]</cp:lastModifiedBy>
  <dcterms:modified xsi:type="dcterms:W3CDTF">2026-04-30T09:39:12Z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eyJoZGlkIjoiMGRkMTBjYzYwOTM4M2JlZmIxMjRiNmI0YzNmOTJmZDAiLCJ1c2VySWQiOiI3NTk1MzM0MzEifQ==</vt:lpwstr>
  </property>
  <property fmtid="{D5CDD505-2E9C-101B-9397-08002B2CF9AE}" pid="4" name="ICV">
    <vt:lpwstr>ACA10FBE14034179A098AFEE350C9EDC_12</vt:lpwstr>
  </property>
</Properties>
</file>