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8593E">
      <w:pPr>
        <w:spacing w:line="560" w:lineRule="exact"/>
        <w:ind w:firstLine="640" w:firstLineChars="200"/>
        <w:jc w:val="left"/>
        <w:rPr>
          <w:rFonts w:hint="eastAsia" w:ascii="楷体" w:hAnsi="楷体" w:eastAsia="楷体"/>
          <w:color w:val="000000"/>
          <w:sz w:val="32"/>
          <w:szCs w:val="32"/>
          <w:highlight w:val="none"/>
        </w:rPr>
      </w:pPr>
      <w:bookmarkStart w:id="0" w:name="_GoBack"/>
      <w:bookmarkEnd w:id="0"/>
      <w:r>
        <w:rPr>
          <w:rFonts w:hint="eastAsia" w:ascii="楷体" w:hAnsi="楷体" w:eastAsia="楷体"/>
          <w:color w:val="000000"/>
          <w:sz w:val="32"/>
          <w:szCs w:val="32"/>
          <w:highlight w:val="none"/>
        </w:rPr>
        <w:t>（五）技术商务要求</w:t>
      </w:r>
    </w:p>
    <w:p w14:paraId="16045001">
      <w:pPr>
        <w:spacing w:line="560" w:lineRule="exact"/>
        <w:ind w:firstLine="640" w:firstLineChars="200"/>
        <w:jc w:val="left"/>
        <w:rPr>
          <w:rFonts w:hint="eastAsia" w:ascii="仿宋" w:hAnsi="仿宋" w:eastAsia="宋体"/>
          <w:color w:val="000000"/>
          <w:sz w:val="32"/>
          <w:szCs w:val="32"/>
          <w:highlight w:val="none"/>
        </w:rPr>
      </w:pPr>
      <w:r>
        <w:rPr>
          <w:rFonts w:hint="eastAsia" w:ascii="仿宋" w:hAnsi="仿宋" w:eastAsia="仿宋"/>
          <w:color w:val="000000"/>
          <w:sz w:val="32"/>
          <w:szCs w:val="32"/>
          <w:highlight w:val="none"/>
        </w:rPr>
        <w:t>1、技术要求（</w:t>
      </w:r>
      <w:r>
        <w:rPr>
          <w:rFonts w:hint="eastAsia" w:ascii="宋体" w:hAnsi="宋体" w:eastAsia="宋体" w:cs="宋体"/>
          <w:color w:val="000000"/>
          <w:sz w:val="32"/>
          <w:szCs w:val="32"/>
          <w:highlight w:val="none"/>
          <w:u w:val="single"/>
        </w:rPr>
        <w:t>加注“★”号条款为实质性条款，不得出现负偏离，发生负偏离即做无效标处理。加注“</w:t>
      </w:r>
      <w:r>
        <w:rPr>
          <w:rFonts w:hint="eastAsia" w:ascii="宋体" w:hAnsi="宋体" w:eastAsia="宋体" w:cs="宋体"/>
          <w:sz w:val="24"/>
          <w:szCs w:val="24"/>
          <w:highlight w:val="none"/>
        </w:rPr>
        <w:t>●</w:t>
      </w:r>
      <w:r>
        <w:rPr>
          <w:rFonts w:hint="eastAsia" w:ascii="宋体" w:hAnsi="宋体" w:eastAsia="宋体" w:cs="宋体"/>
          <w:color w:val="000000"/>
          <w:sz w:val="32"/>
          <w:szCs w:val="32"/>
          <w:highlight w:val="none"/>
          <w:u w:val="single"/>
        </w:rPr>
        <w:t>”号的为重要参数。）</w:t>
      </w:r>
    </w:p>
    <w:p w14:paraId="3E7DFDD8">
      <w:pPr>
        <w:spacing w:line="500" w:lineRule="exact"/>
        <w:ind w:firstLine="480" w:firstLineChars="200"/>
        <w:rPr>
          <w:sz w:val="24"/>
          <w:highlight w:val="none"/>
        </w:rPr>
      </w:pPr>
      <w:r>
        <w:rPr>
          <w:rFonts w:hint="eastAsia"/>
          <w:sz w:val="24"/>
          <w:highlight w:val="none"/>
        </w:rPr>
        <w:t>1.1整体要求</w:t>
      </w:r>
    </w:p>
    <w:p w14:paraId="02802C40">
      <w:pPr>
        <w:spacing w:line="500" w:lineRule="exact"/>
        <w:ind w:firstLine="480" w:firstLineChars="200"/>
        <w:rPr>
          <w:sz w:val="24"/>
          <w:highlight w:val="none"/>
        </w:rPr>
      </w:pPr>
      <w:r>
        <w:rPr>
          <w:rFonts w:hint="eastAsia"/>
          <w:sz w:val="24"/>
          <w:highlight w:val="none"/>
          <w:lang w:val="en-US" w:eastAsia="zh-CN"/>
        </w:rPr>
        <w:t>（1）</w:t>
      </w:r>
      <w:r>
        <w:rPr>
          <w:rFonts w:hint="eastAsia"/>
          <w:sz w:val="24"/>
          <w:highlight w:val="none"/>
        </w:rPr>
        <w:t>项目概况：本项目为天津体育学院公共机房升级改造项目，为解决老旧机房设备短板、满足多元化教学需要，对学校机房教学终端实施云桌面化升级改造，拟采购云桌面设备1</w:t>
      </w:r>
      <w:r>
        <w:rPr>
          <w:rFonts w:hint="eastAsia"/>
          <w:sz w:val="24"/>
          <w:highlight w:val="none"/>
          <w:lang w:eastAsia="zh-CN"/>
        </w:rPr>
        <w:t>批</w:t>
      </w:r>
      <w:r>
        <w:rPr>
          <w:rFonts w:hint="eastAsia"/>
          <w:sz w:val="24"/>
          <w:highlight w:val="none"/>
        </w:rPr>
        <w:t>，并配套完成机房场地改造、系统集成与工程实施，建成后须支持所有教学云桌面终端同时并发在线使用，满足多媒体教学、上机实训、考试等应用场景需要。</w:t>
      </w:r>
    </w:p>
    <w:p w14:paraId="0A2E527E">
      <w:pPr>
        <w:spacing w:line="500" w:lineRule="exact"/>
        <w:ind w:firstLine="480" w:firstLineChars="200"/>
        <w:rPr>
          <w:sz w:val="24"/>
          <w:highlight w:val="none"/>
        </w:rPr>
      </w:pPr>
      <w:r>
        <w:rPr>
          <w:rFonts w:hint="eastAsia"/>
          <w:sz w:val="24"/>
          <w:highlight w:val="none"/>
          <w:lang w:eastAsia="zh-CN"/>
        </w:rPr>
        <w:t>（</w:t>
      </w:r>
      <w:r>
        <w:rPr>
          <w:rFonts w:hint="eastAsia"/>
          <w:sz w:val="24"/>
          <w:highlight w:val="none"/>
          <w:lang w:val="en-US" w:eastAsia="zh-CN"/>
        </w:rPr>
        <w:t>2）</w:t>
      </w:r>
      <w:r>
        <w:rPr>
          <w:rFonts w:hint="eastAsia"/>
          <w:sz w:val="24"/>
          <w:highlight w:val="none"/>
        </w:rPr>
        <w:t>执行标准：本项目全部设备及系统实施须符合国家现行相关标准及规范要求（包括但不限于计算机通用规范、信息技术设备安全、电磁兼容等相关国家标准），设备须为全新、未使用过的合格产品。</w:t>
      </w:r>
    </w:p>
    <w:p w14:paraId="2E1F6AF1">
      <w:pPr>
        <w:spacing w:line="500" w:lineRule="exact"/>
        <w:ind w:firstLine="480" w:firstLineChars="200"/>
        <w:rPr>
          <w:sz w:val="24"/>
          <w:highlight w:val="none"/>
        </w:rPr>
      </w:pPr>
      <w:r>
        <w:rPr>
          <w:rFonts w:hint="eastAsia"/>
          <w:sz w:val="24"/>
          <w:highlight w:val="none"/>
          <w:lang w:eastAsia="zh-CN"/>
        </w:rPr>
        <w:t>（</w:t>
      </w:r>
      <w:r>
        <w:rPr>
          <w:rFonts w:hint="eastAsia"/>
          <w:sz w:val="24"/>
          <w:highlight w:val="none"/>
          <w:lang w:val="en-US" w:eastAsia="zh-CN"/>
        </w:rPr>
        <w:t>3）</w:t>
      </w:r>
      <w:r>
        <w:rPr>
          <w:rFonts w:hint="eastAsia"/>
          <w:sz w:val="24"/>
          <w:highlight w:val="none"/>
        </w:rPr>
        <w:t>采购范围：本项目为“交钥匙”工程，投标报价应包含全部设备供货、包装运输、安装调试、系统集成、对接迁移、培训、质保及验收等完成本项目所需的全部费用。</w:t>
      </w:r>
    </w:p>
    <w:p w14:paraId="06566EBF">
      <w:pPr>
        <w:spacing w:line="500" w:lineRule="exact"/>
        <w:ind w:firstLine="480" w:firstLineChars="200"/>
        <w:rPr>
          <w:sz w:val="24"/>
          <w:highlight w:val="none"/>
        </w:rPr>
      </w:pPr>
      <w:r>
        <w:rPr>
          <w:rFonts w:hint="eastAsia"/>
          <w:sz w:val="24"/>
          <w:highlight w:val="none"/>
          <w:lang w:eastAsia="zh-CN"/>
        </w:rPr>
        <w:t>（</w:t>
      </w:r>
      <w:r>
        <w:rPr>
          <w:rFonts w:hint="eastAsia"/>
          <w:sz w:val="24"/>
          <w:highlight w:val="none"/>
          <w:lang w:val="en-US" w:eastAsia="zh-CN"/>
        </w:rPr>
        <w:t>4）</w:t>
      </w:r>
      <w:r>
        <w:rPr>
          <w:rFonts w:hint="eastAsia"/>
          <w:sz w:val="24"/>
          <w:highlight w:val="none"/>
        </w:rPr>
        <w:t>设备及功能授权一般要求：</w:t>
      </w:r>
    </w:p>
    <w:p w14:paraId="3CE33964">
      <w:pPr>
        <w:spacing w:line="500" w:lineRule="exact"/>
        <w:ind w:firstLine="480" w:firstLineChars="200"/>
        <w:rPr>
          <w:sz w:val="24"/>
          <w:highlight w:val="none"/>
        </w:rPr>
      </w:pPr>
      <w:r>
        <w:rPr>
          <w:rFonts w:hint="eastAsia" w:ascii="微软雅黑" w:hAnsi="微软雅黑" w:eastAsia="微软雅黑" w:cs="微软雅黑"/>
          <w:sz w:val="24"/>
          <w:highlight w:val="none"/>
        </w:rPr>
        <w:t>①</w:t>
      </w:r>
      <w:r>
        <w:rPr>
          <w:rFonts w:hint="eastAsia"/>
          <w:sz w:val="24"/>
          <w:highlight w:val="none"/>
        </w:rPr>
        <w:t>投标人所投设备技术参数不得低于本需求所列要求，标注“★”的条款为实质性要求，投标人须全部满足，否则按无效投标处理；</w:t>
      </w:r>
    </w:p>
    <w:p w14:paraId="741D82A9">
      <w:pPr>
        <w:spacing w:line="500" w:lineRule="exact"/>
        <w:ind w:firstLine="480" w:firstLineChars="200"/>
        <w:rPr>
          <w:sz w:val="24"/>
          <w:highlight w:val="none"/>
        </w:rPr>
      </w:pPr>
      <w:r>
        <w:rPr>
          <w:rFonts w:hint="eastAsia" w:ascii="微软雅黑" w:hAnsi="微软雅黑" w:eastAsia="微软雅黑" w:cs="微软雅黑"/>
          <w:sz w:val="24"/>
          <w:highlight w:val="none"/>
        </w:rPr>
        <w:t>②</w:t>
      </w:r>
      <w:r>
        <w:rPr>
          <w:rFonts w:hint="eastAsia"/>
          <w:sz w:val="24"/>
          <w:highlight w:val="none"/>
        </w:rPr>
        <w:t>云桌面管理授权须为正版授权，具备统一的桌面管理与终端接入管理能力；</w:t>
      </w:r>
    </w:p>
    <w:p w14:paraId="2B2A80F0">
      <w:pPr>
        <w:spacing w:line="500" w:lineRule="exact"/>
        <w:ind w:firstLine="480" w:firstLineChars="200"/>
        <w:rPr>
          <w:sz w:val="24"/>
          <w:highlight w:val="none"/>
        </w:rPr>
      </w:pPr>
      <w:r>
        <w:rPr>
          <w:rFonts w:hint="eastAsia" w:ascii="微软雅黑" w:hAnsi="微软雅黑" w:eastAsia="微软雅黑" w:cs="微软雅黑"/>
          <w:sz w:val="24"/>
          <w:highlight w:val="none"/>
        </w:rPr>
        <w:t>③</w:t>
      </w:r>
      <w:r>
        <w:rPr>
          <w:rFonts w:hint="eastAsia"/>
          <w:sz w:val="24"/>
          <w:highlight w:val="none"/>
        </w:rPr>
        <w:t>全部硬件及授权产品须提供原厂质保及升级服务，质保期不少于3年，自验收合格之日起计算；</w:t>
      </w:r>
    </w:p>
    <w:p w14:paraId="18A12E43">
      <w:pPr>
        <w:spacing w:line="500" w:lineRule="exact"/>
        <w:ind w:firstLine="480" w:firstLineChars="200"/>
        <w:rPr>
          <w:sz w:val="24"/>
          <w:highlight w:val="none"/>
        </w:rPr>
      </w:pPr>
      <w:r>
        <w:rPr>
          <w:rFonts w:hint="eastAsia" w:ascii="微软雅黑" w:hAnsi="微软雅黑" w:eastAsia="微软雅黑" w:cs="微软雅黑"/>
          <w:sz w:val="24"/>
          <w:highlight w:val="none"/>
        </w:rPr>
        <w:t>④</w:t>
      </w:r>
      <w:r>
        <w:rPr>
          <w:rFonts w:hint="eastAsia"/>
          <w:sz w:val="24"/>
          <w:highlight w:val="none"/>
        </w:rPr>
        <w:t>本项目核心产品为云桌面终端，多家供应商提供相同品牌核心产品的，按一家投标人计算。</w:t>
      </w:r>
    </w:p>
    <w:p w14:paraId="7A788738">
      <w:pPr>
        <w:spacing w:line="500" w:lineRule="exact"/>
        <w:ind w:firstLine="480" w:firstLineChars="200"/>
        <w:rPr>
          <w:sz w:val="24"/>
          <w:highlight w:val="none"/>
        </w:rPr>
      </w:pPr>
      <w:r>
        <w:rPr>
          <w:rFonts w:hint="eastAsia"/>
          <w:sz w:val="24"/>
          <w:highlight w:val="none"/>
          <w:lang w:eastAsia="zh-CN"/>
        </w:rPr>
        <w:t>（</w:t>
      </w:r>
      <w:r>
        <w:rPr>
          <w:rFonts w:hint="eastAsia"/>
          <w:sz w:val="24"/>
          <w:highlight w:val="none"/>
          <w:lang w:val="en-US" w:eastAsia="zh-CN"/>
        </w:rPr>
        <w:t>5）</w:t>
      </w:r>
      <w:r>
        <w:rPr>
          <w:rFonts w:hint="eastAsia"/>
          <w:sz w:val="24"/>
          <w:highlight w:val="none"/>
        </w:rPr>
        <w:t>场地配套及实施要求：</w:t>
      </w:r>
    </w:p>
    <w:p w14:paraId="7CE86919">
      <w:pPr>
        <w:spacing w:line="500" w:lineRule="exact"/>
        <w:ind w:firstLine="480" w:firstLineChars="200"/>
        <w:rPr>
          <w:sz w:val="24"/>
          <w:highlight w:val="none"/>
        </w:rPr>
      </w:pPr>
      <w:r>
        <w:rPr>
          <w:rFonts w:hint="eastAsia" w:ascii="微软雅黑" w:hAnsi="微软雅黑" w:eastAsia="微软雅黑" w:cs="微软雅黑"/>
          <w:sz w:val="24"/>
          <w:highlight w:val="none"/>
        </w:rPr>
        <w:t>①</w:t>
      </w:r>
      <w:r>
        <w:rPr>
          <w:rFonts w:hint="eastAsia"/>
          <w:sz w:val="24"/>
          <w:highlight w:val="none"/>
        </w:rPr>
        <w:t>线缆敷设：据云终端部署情况提供并敷设室内光缆，安装光纤配线架、光纤跳线、光纤终端盒等光配套设备，以及电源插排、PVC线槽、PVC线管等辅助设施。其中涉及到多点位跨区域部署的需确保所有设备及功能可以满足教学及管理的需求，线缆布放整齐、标识清晰；</w:t>
      </w:r>
    </w:p>
    <w:p w14:paraId="7B14EABA">
      <w:pPr>
        <w:spacing w:line="500" w:lineRule="exact"/>
        <w:ind w:firstLine="480" w:firstLineChars="200"/>
        <w:rPr>
          <w:sz w:val="24"/>
          <w:highlight w:val="none"/>
        </w:rPr>
      </w:pPr>
      <w:r>
        <w:rPr>
          <w:rFonts w:hint="eastAsia" w:ascii="微软雅黑" w:hAnsi="微软雅黑" w:eastAsia="微软雅黑" w:cs="微软雅黑"/>
          <w:sz w:val="24"/>
          <w:highlight w:val="none"/>
        </w:rPr>
        <w:t>②</w:t>
      </w:r>
      <w:r>
        <w:rPr>
          <w:rFonts w:hint="eastAsia"/>
          <w:sz w:val="24"/>
          <w:highlight w:val="none"/>
        </w:rPr>
        <w:t>原设备拆除：负责机房原有旧设备的拆除与清理，拆除过程须保障现场安全，并配合采购人完成原有资产清点与移交；</w:t>
      </w:r>
    </w:p>
    <w:p w14:paraId="1209CFE3">
      <w:pPr>
        <w:spacing w:line="500" w:lineRule="exact"/>
        <w:ind w:firstLine="480" w:firstLineChars="200"/>
        <w:rPr>
          <w:sz w:val="24"/>
          <w:highlight w:val="none"/>
        </w:rPr>
      </w:pPr>
      <w:r>
        <w:rPr>
          <w:rFonts w:hint="eastAsia" w:ascii="微软雅黑" w:hAnsi="微软雅黑" w:eastAsia="微软雅黑" w:cs="微软雅黑"/>
          <w:sz w:val="24"/>
          <w:highlight w:val="none"/>
        </w:rPr>
        <w:t>③</w:t>
      </w:r>
      <w:r>
        <w:rPr>
          <w:rFonts w:hint="eastAsia"/>
          <w:sz w:val="24"/>
          <w:highlight w:val="none"/>
        </w:rPr>
        <w:t>与</w:t>
      </w:r>
      <w:r>
        <w:rPr>
          <w:rFonts w:hint="eastAsia"/>
          <w:sz w:val="24"/>
          <w:highlight w:val="none"/>
          <w:lang w:eastAsia="zh-CN"/>
        </w:rPr>
        <w:t>采购人</w:t>
      </w:r>
      <w:r>
        <w:rPr>
          <w:rFonts w:hint="eastAsia"/>
          <w:sz w:val="24"/>
          <w:highlight w:val="none"/>
        </w:rPr>
        <w:t>现有设备及网络实现对接及互联，确保网络架构的平滑过渡和升级。</w:t>
      </w:r>
    </w:p>
    <w:p w14:paraId="6C7DCB24">
      <w:pPr>
        <w:spacing w:line="500" w:lineRule="exact"/>
        <w:ind w:firstLine="480" w:firstLineChars="200"/>
        <w:rPr>
          <w:sz w:val="24"/>
          <w:highlight w:val="none"/>
        </w:rPr>
      </w:pPr>
      <w:r>
        <w:rPr>
          <w:rFonts w:hint="eastAsia" w:ascii="微软雅黑" w:hAnsi="微软雅黑" w:eastAsia="微软雅黑" w:cs="微软雅黑"/>
          <w:sz w:val="24"/>
          <w:highlight w:val="none"/>
        </w:rPr>
        <w:t>④</w:t>
      </w:r>
      <w:r>
        <w:rPr>
          <w:rFonts w:hint="eastAsia"/>
          <w:sz w:val="24"/>
          <w:highlight w:val="none"/>
        </w:rPr>
        <w:t>智能配电</w:t>
      </w:r>
      <w:r>
        <w:rPr>
          <w:rFonts w:hint="eastAsia"/>
          <w:sz w:val="24"/>
          <w:highlight w:val="none"/>
          <w:lang w:eastAsia="zh-CN"/>
        </w:rPr>
        <w:t>：</w:t>
      </w:r>
      <w:r>
        <w:rPr>
          <w:rFonts w:hint="eastAsia"/>
          <w:sz w:val="24"/>
          <w:highlight w:val="none"/>
        </w:rPr>
        <w:t>机房供电应采用智能配电方式，满足全部教学设备同时运行的用电需要，供电安全可靠、接地规范，并具备分级、分区供电与应急断电保护功能。终端供电应采取时序控制开关，根据实际需要开启相应数量的终端，能够记录电力的消耗情况，能够支持手动和远程遥控方式控制。</w:t>
      </w:r>
    </w:p>
    <w:p w14:paraId="4745BFD9">
      <w:pPr>
        <w:spacing w:line="500" w:lineRule="exact"/>
        <w:ind w:firstLine="480" w:firstLineChars="200"/>
        <w:rPr>
          <w:sz w:val="24"/>
          <w:highlight w:val="none"/>
        </w:rPr>
      </w:pPr>
      <w:r>
        <w:rPr>
          <w:rFonts w:hint="eastAsia" w:ascii="微软雅黑" w:hAnsi="微软雅黑" w:eastAsia="微软雅黑" w:cs="微软雅黑"/>
          <w:sz w:val="24"/>
          <w:highlight w:val="none"/>
        </w:rPr>
        <w:t>⑤</w:t>
      </w:r>
      <w:r>
        <w:rPr>
          <w:rFonts w:hint="eastAsia"/>
          <w:sz w:val="24"/>
          <w:highlight w:val="none"/>
        </w:rPr>
        <w:t>云终端虚拟机、云桌面平台搭建，实现存储资源的动态分配与统一管理，根据课程需要部署相应的镜像环境及相对应的资源分配和提供相对应的软件库。部署教学软件及其他所需应用软件，确保软件版本兼容，运行稳定，满足教学需求，完成教学软件标准化封装与批量部署。云终端虚拟机、云桌面平台搭建，实现存储资源的动态分配与统一管理，根据课程需要部署相应的镜像环境及相对应的资源分配和提供相对应的软件库。部署教学软件及其他所需应用软件，确保软件版本兼容，运行稳定，满足教学需求，完成教学软件标准化封装与批量部署。</w:t>
      </w:r>
    </w:p>
    <w:p w14:paraId="1C44AAE9">
      <w:pPr>
        <w:spacing w:line="500" w:lineRule="exact"/>
        <w:ind w:firstLine="480" w:firstLineChars="200"/>
        <w:rPr>
          <w:sz w:val="24"/>
          <w:highlight w:val="none"/>
        </w:rPr>
      </w:pPr>
      <w:r>
        <w:rPr>
          <w:rFonts w:hint="eastAsia" w:ascii="微软雅黑" w:hAnsi="微软雅黑" w:eastAsia="微软雅黑" w:cs="微软雅黑"/>
          <w:sz w:val="24"/>
          <w:highlight w:val="none"/>
        </w:rPr>
        <w:t>⑥</w:t>
      </w:r>
      <w:r>
        <w:rPr>
          <w:rFonts w:hint="eastAsia"/>
          <w:sz w:val="24"/>
          <w:highlight w:val="none"/>
        </w:rPr>
        <w:t>网络传输性能优化、云平台业务承载测试及终端用户体验调优。</w:t>
      </w:r>
    </w:p>
    <w:p w14:paraId="30E721BC">
      <w:pPr>
        <w:pStyle w:val="4"/>
        <w:spacing w:after="0" w:line="500" w:lineRule="exact"/>
        <w:ind w:firstLine="480" w:firstLineChars="200"/>
        <w:rPr>
          <w:rFonts w:hint="eastAsia" w:ascii="仿宋" w:hAnsi="仿宋" w:eastAsia="仿宋"/>
          <w:color w:val="000000"/>
          <w:sz w:val="32"/>
          <w:szCs w:val="32"/>
          <w:highlight w:val="none"/>
        </w:rPr>
      </w:pPr>
      <w:r>
        <w:rPr>
          <w:rFonts w:hint="eastAsia"/>
          <w:sz w:val="24"/>
          <w:highlight w:val="none"/>
        </w:rPr>
        <w:t>1.2设备技术需求</w:t>
      </w:r>
    </w:p>
    <w:tbl>
      <w:tblPr>
        <w:tblStyle w:val="8"/>
        <w:tblW w:w="813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9"/>
        <w:gridCol w:w="951"/>
        <w:gridCol w:w="5207"/>
        <w:gridCol w:w="657"/>
        <w:gridCol w:w="715"/>
      </w:tblGrid>
      <w:tr w14:paraId="601828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09" w:type="dxa"/>
            <w:tcBorders>
              <w:top w:val="single" w:color="000000" w:sz="4" w:space="0"/>
              <w:bottom w:val="single" w:color="000000" w:sz="4" w:space="0"/>
              <w:right w:val="single" w:color="000000" w:sz="4" w:space="0"/>
            </w:tcBorders>
            <w:shd w:val="clear" w:color="auto" w:fill="auto"/>
            <w:noWrap/>
            <w:vAlign w:val="center"/>
          </w:tcPr>
          <w:p w14:paraId="2E05F44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w:t>
            </w:r>
          </w:p>
          <w:p w14:paraId="357A00FF">
            <w:pPr>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号</w:t>
            </w:r>
          </w:p>
        </w:tc>
        <w:tc>
          <w:tcPr>
            <w:tcW w:w="951" w:type="dxa"/>
            <w:tcBorders>
              <w:top w:val="single" w:color="000000" w:sz="4" w:space="0"/>
              <w:left w:val="nil"/>
              <w:bottom w:val="single" w:color="000000" w:sz="4" w:space="0"/>
              <w:right w:val="single" w:color="000000" w:sz="4" w:space="0"/>
            </w:tcBorders>
            <w:shd w:val="clear" w:color="auto" w:fill="auto"/>
            <w:vAlign w:val="center"/>
          </w:tcPr>
          <w:p w14:paraId="2484F401">
            <w:pPr>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货物名称</w:t>
            </w:r>
          </w:p>
        </w:tc>
        <w:tc>
          <w:tcPr>
            <w:tcW w:w="5207" w:type="dxa"/>
            <w:tcBorders>
              <w:top w:val="single" w:color="000000" w:sz="4" w:space="0"/>
              <w:left w:val="nil"/>
              <w:bottom w:val="single" w:color="000000" w:sz="4" w:space="0"/>
              <w:right w:val="single" w:color="000000" w:sz="4" w:space="0"/>
            </w:tcBorders>
            <w:shd w:val="clear" w:color="auto" w:fill="auto"/>
            <w:noWrap/>
            <w:vAlign w:val="center"/>
          </w:tcPr>
          <w:p w14:paraId="1B919B23">
            <w:pPr>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主要技术要求</w:t>
            </w:r>
          </w:p>
        </w:tc>
        <w:tc>
          <w:tcPr>
            <w:tcW w:w="657" w:type="dxa"/>
            <w:tcBorders>
              <w:top w:val="single" w:color="000000" w:sz="4" w:space="0"/>
              <w:left w:val="nil"/>
              <w:bottom w:val="single" w:color="000000" w:sz="4" w:space="0"/>
              <w:right w:val="single" w:color="000000" w:sz="4" w:space="0"/>
            </w:tcBorders>
            <w:shd w:val="clear" w:color="auto" w:fill="auto"/>
            <w:vAlign w:val="center"/>
          </w:tcPr>
          <w:p w14:paraId="3BF96036">
            <w:pPr>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单位</w:t>
            </w:r>
          </w:p>
        </w:tc>
        <w:tc>
          <w:tcPr>
            <w:tcW w:w="715" w:type="dxa"/>
            <w:tcBorders>
              <w:top w:val="single" w:color="000000" w:sz="4" w:space="0"/>
              <w:left w:val="nil"/>
              <w:bottom w:val="single" w:color="000000" w:sz="4" w:space="0"/>
            </w:tcBorders>
            <w:shd w:val="clear" w:color="auto" w:fill="auto"/>
            <w:vAlign w:val="center"/>
          </w:tcPr>
          <w:p w14:paraId="68ECD0EE">
            <w:pPr>
              <w:jc w:val="center"/>
              <w:rPr>
                <w:rFonts w:hint="eastAsia" w:ascii="宋体" w:hAnsi="宋体" w:eastAsia="宋体" w:cs="宋体"/>
                <w:color w:val="000000"/>
                <w:sz w:val="24"/>
                <w:szCs w:val="24"/>
                <w:highlight w:val="none"/>
                <w:lang w:bidi="ar"/>
              </w:rPr>
            </w:pPr>
            <w:r>
              <w:rPr>
                <w:rFonts w:hint="eastAsia" w:ascii="宋体" w:hAnsi="宋体" w:eastAsia="宋体" w:cs="宋体"/>
                <w:sz w:val="24"/>
                <w:szCs w:val="24"/>
                <w:highlight w:val="none"/>
              </w:rPr>
              <w:t>数量</w:t>
            </w:r>
          </w:p>
        </w:tc>
      </w:tr>
      <w:tr w14:paraId="74BD5B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09" w:type="dxa"/>
            <w:tcBorders>
              <w:top w:val="single" w:color="000000" w:sz="4" w:space="0"/>
              <w:bottom w:val="single" w:color="000000" w:sz="4" w:space="0"/>
              <w:right w:val="single" w:color="000000" w:sz="4" w:space="0"/>
            </w:tcBorders>
            <w:shd w:val="clear" w:color="auto" w:fill="auto"/>
            <w:noWrap/>
            <w:vAlign w:val="center"/>
          </w:tcPr>
          <w:p w14:paraId="19C67D81">
            <w:pPr>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1</w:t>
            </w:r>
          </w:p>
        </w:tc>
        <w:tc>
          <w:tcPr>
            <w:tcW w:w="951" w:type="dxa"/>
            <w:tcBorders>
              <w:top w:val="single" w:color="000000" w:sz="4" w:space="0"/>
              <w:left w:val="nil"/>
              <w:bottom w:val="single" w:color="000000" w:sz="4" w:space="0"/>
              <w:right w:val="single" w:color="000000" w:sz="4" w:space="0"/>
            </w:tcBorders>
            <w:shd w:val="clear" w:color="auto" w:fill="auto"/>
            <w:vAlign w:val="center"/>
          </w:tcPr>
          <w:p w14:paraId="6EC98977">
            <w:pPr>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▲云桌面控制器</w:t>
            </w:r>
          </w:p>
        </w:tc>
        <w:tc>
          <w:tcPr>
            <w:tcW w:w="5207" w:type="dxa"/>
            <w:tcBorders>
              <w:top w:val="single" w:color="000000" w:sz="4" w:space="0"/>
              <w:left w:val="nil"/>
              <w:bottom w:val="single" w:color="000000" w:sz="4" w:space="0"/>
              <w:right w:val="single" w:color="000000" w:sz="4" w:space="0"/>
            </w:tcBorders>
            <w:shd w:val="clear" w:color="auto" w:fill="auto"/>
            <w:noWrap/>
            <w:vAlign w:val="center"/>
          </w:tcPr>
          <w:p w14:paraId="44AB7EA2">
            <w:pPr>
              <w:pStyle w:val="2"/>
              <w:numPr>
                <w:ilvl w:val="255"/>
                <w:numId w:val="0"/>
              </w:numPr>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一、</w:t>
            </w:r>
            <w:r>
              <w:rPr>
                <w:rFonts w:hint="eastAsia" w:ascii="宋体" w:hAnsi="宋体" w:eastAsia="宋体" w:cs="宋体"/>
                <w:sz w:val="24"/>
                <w:szCs w:val="24"/>
                <w:highlight w:val="none"/>
              </w:rPr>
              <w:t>产品配置参数：</w:t>
            </w:r>
          </w:p>
          <w:p w14:paraId="0225F5FB">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★1.一体化设备，配置不低于2颗CPU，总物理核心数不低于48核，主频不低于2.0Ghz，内存不低于128GB，系统盘不低于2块480G SSD，总NVME数据盘不低于2块3.84T，总机械数据盘不低于4块18T，不低于4G raid缓存，总计不低于4个1G网口，冗余电源；</w:t>
            </w:r>
          </w:p>
          <w:p w14:paraId="055A4B98">
            <w:pPr>
              <w:pStyle w:val="2"/>
              <w:numPr>
                <w:ilvl w:val="255"/>
                <w:numId w:val="0"/>
              </w:numPr>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二、</w:t>
            </w:r>
            <w:r>
              <w:rPr>
                <w:rFonts w:hint="eastAsia" w:ascii="宋体" w:hAnsi="宋体" w:eastAsia="宋体" w:cs="宋体"/>
                <w:sz w:val="24"/>
                <w:szCs w:val="24"/>
                <w:highlight w:val="none"/>
              </w:rPr>
              <w:t>功能指标：</w:t>
            </w:r>
          </w:p>
          <w:p w14:paraId="7412BC8B">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1.提供虚拟化功能，提供虚拟机全生命周期管理能力，包括但不限于启动、关机、配置修改、销毁等能力；</w:t>
            </w:r>
          </w:p>
          <w:p w14:paraId="0DD8056B">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●2.支持统一界面集成管理，可以在同一个管理页面中完成硬件、虚拟化、存储、云桌面的统一管理，统一告警，统一日志查询；（需提供具有CMA或CNAS标识的检测报告复印件并加盖制造商公章。）</w:t>
            </w:r>
          </w:p>
          <w:p w14:paraId="335497D7">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3.支持系统健康度监控，包括主机、虚拟机状态、资源利用率、内存利用率、存储利用率、存储集群IOPS、IO吞吐量等指标；</w:t>
            </w:r>
          </w:p>
          <w:p w14:paraId="4F51CEE6">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4.支持不少于94个桌面管理能力，使用统一管理的方式下发桌面，如授课桌面、考试桌面、实验桌面等场景，桌面场景可按需切换；</w:t>
            </w:r>
          </w:p>
          <w:p w14:paraId="107B2573">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5.终端能够根据课表编排在课程开始前10分钟完成终端自动开机；</w:t>
            </w:r>
          </w:p>
          <w:p w14:paraId="5F5862B9">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6.课程结束后终端在规定时间待机后可自动进行关机，以达到节能目的。应有相应的日志，或观察窗口以便确认；</w:t>
            </w:r>
          </w:p>
          <w:p w14:paraId="5CD04B04">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7.终端传输带宽不小于1千兆，控制器在部署时连接带宽不小于2千兆；</w:t>
            </w:r>
          </w:p>
          <w:p w14:paraId="3DDAC34D">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8.控制器提供带外管理。控制器能够支持任意划分班级，不限班级数量，可指派任意多个终端为教师机。且开局后用户可以任意重新部署教室布局，划分任意终端至指定教室。</w:t>
            </w:r>
          </w:p>
          <w:p w14:paraId="0C833B90">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9.控制器可以远端部署（跨三层网络）且有桌面网关功能模块，支持必要的地址分配，连接管控，区域隔离，网络安全,链路加密等功能。在控制器异常状态下网关可以支持课程的本地启动和正常授课场景。</w:t>
            </w:r>
          </w:p>
          <w:p w14:paraId="2190CDF1">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10.终端附带上课所需课堂控制的相关的控制及文件管理功能。</w:t>
            </w:r>
          </w:p>
          <w:p w14:paraId="4B396D18">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11.在离线或控制器异常状态下终端也可以启动课程所需桌面</w:t>
            </w:r>
          </w:p>
          <w:p w14:paraId="751B03B0">
            <w:pPr>
              <w:pStyle w:val="2"/>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●12.不同架构桌面无需区分终端，即一款胖终端可以支持IDV、VOI、TCI多种模式启动，用户可以根据操作系统的匹配状态，自由选择启动方式（提供功能界面截图证明）</w:t>
            </w:r>
          </w:p>
          <w:p w14:paraId="28696C34">
            <w:pPr>
              <w:pStyle w:val="2"/>
              <w:ind w:firstLine="0" w:firstLineChars="0"/>
              <w:jc w:val="left"/>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13.支持一键巡检功能，帮助管理员快速执行系统检测，包含平台虚拟化服务组件、云桌面检测、计算资源检测、存储资源检测、网络资源检测，双机热备服务检测等各项指标。（需提供具有CMA或CNAS标识的检测报告复印件并加盖制造商公章。）</w:t>
            </w:r>
          </w:p>
        </w:tc>
        <w:tc>
          <w:tcPr>
            <w:tcW w:w="657" w:type="dxa"/>
            <w:tcBorders>
              <w:top w:val="single" w:color="000000" w:sz="4" w:space="0"/>
              <w:left w:val="nil"/>
              <w:bottom w:val="single" w:color="000000" w:sz="4" w:space="0"/>
              <w:right w:val="single" w:color="000000" w:sz="4" w:space="0"/>
            </w:tcBorders>
            <w:shd w:val="clear" w:color="auto" w:fill="auto"/>
            <w:vAlign w:val="center"/>
          </w:tcPr>
          <w:p w14:paraId="6F68C4B4">
            <w:pPr>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套</w:t>
            </w:r>
          </w:p>
        </w:tc>
        <w:tc>
          <w:tcPr>
            <w:tcW w:w="715" w:type="dxa"/>
            <w:tcBorders>
              <w:top w:val="single" w:color="000000" w:sz="4" w:space="0"/>
              <w:left w:val="nil"/>
              <w:bottom w:val="single" w:color="000000" w:sz="4" w:space="0"/>
            </w:tcBorders>
            <w:shd w:val="clear" w:color="auto" w:fill="auto"/>
            <w:vAlign w:val="center"/>
          </w:tcPr>
          <w:p w14:paraId="214F27FA">
            <w:pPr>
              <w:jc w:val="center"/>
              <w:rPr>
                <w:rFonts w:hint="eastAsia" w:ascii="宋体" w:hAnsi="宋体" w:eastAsia="宋体" w:cs="宋体"/>
                <w:color w:val="000000"/>
                <w:sz w:val="24"/>
                <w:szCs w:val="24"/>
                <w:highlight w:val="none"/>
                <w:lang w:bidi="ar"/>
              </w:rPr>
            </w:pPr>
            <w:r>
              <w:rPr>
                <w:rFonts w:hint="eastAsia" w:ascii="宋体" w:hAnsi="宋体" w:eastAsia="宋体" w:cs="宋体"/>
                <w:color w:val="000000"/>
                <w:sz w:val="24"/>
                <w:szCs w:val="24"/>
                <w:highlight w:val="none"/>
              </w:rPr>
              <w:t>1</w:t>
            </w:r>
          </w:p>
        </w:tc>
      </w:tr>
      <w:tr w14:paraId="64BA57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09" w:type="dxa"/>
            <w:tcBorders>
              <w:top w:val="single" w:color="000000" w:sz="4" w:space="0"/>
              <w:bottom w:val="single" w:color="000000" w:sz="4" w:space="0"/>
              <w:right w:val="single" w:color="000000" w:sz="4" w:space="0"/>
            </w:tcBorders>
            <w:shd w:val="clear" w:color="auto" w:fill="auto"/>
            <w:noWrap/>
            <w:vAlign w:val="center"/>
          </w:tcPr>
          <w:p w14:paraId="1F6F8B6C">
            <w:pP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2</w:t>
            </w:r>
          </w:p>
        </w:tc>
        <w:tc>
          <w:tcPr>
            <w:tcW w:w="951" w:type="dxa"/>
            <w:tcBorders>
              <w:top w:val="single" w:color="000000" w:sz="4" w:space="0"/>
              <w:left w:val="nil"/>
              <w:bottom w:val="single" w:color="000000" w:sz="4" w:space="0"/>
              <w:right w:val="single" w:color="000000" w:sz="4" w:space="0"/>
            </w:tcBorders>
            <w:shd w:val="clear" w:color="auto" w:fill="auto"/>
            <w:vAlign w:val="center"/>
          </w:tcPr>
          <w:p w14:paraId="15446084">
            <w:pP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数据交换机</w:t>
            </w:r>
          </w:p>
        </w:tc>
        <w:tc>
          <w:tcPr>
            <w:tcW w:w="5207" w:type="dxa"/>
            <w:tcBorders>
              <w:top w:val="single" w:color="000000" w:sz="4" w:space="0"/>
              <w:left w:val="nil"/>
              <w:bottom w:val="single" w:color="000000" w:sz="4" w:space="0"/>
              <w:right w:val="single" w:color="000000" w:sz="4" w:space="0"/>
            </w:tcBorders>
            <w:shd w:val="clear" w:color="auto" w:fill="auto"/>
            <w:noWrap/>
            <w:vAlign w:val="center"/>
          </w:tcPr>
          <w:p w14:paraId="7B3756DB">
            <w:pPr>
              <w:pStyle w:val="2"/>
              <w:keepNext w:val="0"/>
              <w:keepLines w:val="0"/>
              <w:pageBreakBefore w:val="0"/>
              <w:widowControl w:val="0"/>
              <w:numPr>
                <w:ilvl w:val="0"/>
                <w:numId w:val="1"/>
              </w:numPr>
              <w:kinsoku/>
              <w:wordWrap/>
              <w:overflowPunct/>
              <w:topLinePunct w:val="0"/>
              <w:autoSpaceDE/>
              <w:autoSpaceDN/>
              <w:bidi w:val="0"/>
              <w:adjustRightInd/>
              <w:snapToGrid/>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产品配置参数：</w:t>
            </w:r>
          </w:p>
          <w:p w14:paraId="150C0486">
            <w:pPr>
              <w:pStyle w:val="2"/>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★1.交换容量≥670Gbps（以官网最小值为准），包转发率≥205Mpps（以官网最小值为准）</w:t>
            </w:r>
          </w:p>
          <w:p w14:paraId="091650FD">
            <w:pPr>
              <w:pStyle w:val="2"/>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★2.提供48个10/100/1000Base-T端口,4个1G Base-X SFP端口</w:t>
            </w:r>
          </w:p>
          <w:p w14:paraId="382DB840">
            <w:pPr>
              <w:pStyle w:val="2"/>
              <w:keepNext w:val="0"/>
              <w:keepLines w:val="0"/>
              <w:pageBreakBefore w:val="0"/>
              <w:widowControl w:val="0"/>
              <w:numPr>
                <w:ilvl w:val="0"/>
                <w:numId w:val="1"/>
              </w:numPr>
              <w:kinsoku/>
              <w:wordWrap/>
              <w:overflowPunct/>
              <w:topLinePunct w:val="0"/>
              <w:autoSpaceDE/>
              <w:autoSpaceDN/>
              <w:bidi w:val="0"/>
              <w:adjustRightInd/>
              <w:snapToGrid/>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功能指标：</w:t>
            </w:r>
          </w:p>
          <w:p w14:paraId="4D024DE2">
            <w:pPr>
              <w:pStyle w:val="2"/>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1.整机最大MAC地址表≥32K。</w:t>
            </w:r>
          </w:p>
          <w:p w14:paraId="6C72C0C0">
            <w:pPr>
              <w:pStyle w:val="2"/>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2.实配支持静态路由、RIP、OSPF。</w:t>
            </w:r>
          </w:p>
          <w:p w14:paraId="095963F0">
            <w:pPr>
              <w:pStyle w:val="2"/>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3.支持硬件BFD，最小检测间隔为3ms。</w:t>
            </w:r>
          </w:p>
          <w:p w14:paraId="455BAE1A">
            <w:pPr>
              <w:pStyle w:val="2"/>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4.支持802.1x认证，支持集中式MAC地址认证。</w:t>
            </w:r>
          </w:p>
          <w:p w14:paraId="6932F2F6">
            <w:pPr>
              <w:pStyle w:val="2"/>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5.实配支持SNMP V1/V2/V3、Telnet、RMON、SSHV2。</w:t>
            </w:r>
          </w:p>
        </w:tc>
        <w:tc>
          <w:tcPr>
            <w:tcW w:w="657" w:type="dxa"/>
            <w:tcBorders>
              <w:top w:val="single" w:color="000000" w:sz="4" w:space="0"/>
              <w:left w:val="nil"/>
              <w:bottom w:val="single" w:color="000000" w:sz="4" w:space="0"/>
              <w:right w:val="single" w:color="000000" w:sz="4" w:space="0"/>
            </w:tcBorders>
            <w:shd w:val="clear" w:color="auto" w:fill="auto"/>
            <w:vAlign w:val="center"/>
          </w:tcPr>
          <w:p w14:paraId="629FA733">
            <w:pPr>
              <w:jc w:val="left"/>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台</w:t>
            </w:r>
          </w:p>
        </w:tc>
        <w:tc>
          <w:tcPr>
            <w:tcW w:w="715" w:type="dxa"/>
            <w:tcBorders>
              <w:top w:val="single" w:color="000000" w:sz="4" w:space="0"/>
              <w:left w:val="nil"/>
              <w:bottom w:val="single" w:color="000000" w:sz="4" w:space="0"/>
            </w:tcBorders>
            <w:shd w:val="clear" w:color="auto" w:fill="auto"/>
            <w:vAlign w:val="center"/>
          </w:tcPr>
          <w:p w14:paraId="21DE3595">
            <w:pPr>
              <w:jc w:val="left"/>
              <w:rPr>
                <w:rFonts w:hint="eastAsia" w:ascii="宋体" w:hAnsi="宋体" w:eastAsia="宋体" w:cs="宋体"/>
                <w:color w:val="000000"/>
                <w:sz w:val="24"/>
                <w:szCs w:val="24"/>
                <w:highlight w:val="none"/>
                <w:lang w:bidi="ar"/>
              </w:rPr>
            </w:pPr>
            <w:r>
              <w:rPr>
                <w:rFonts w:hint="eastAsia" w:ascii="宋体" w:hAnsi="宋体" w:eastAsia="宋体" w:cs="宋体"/>
                <w:color w:val="000000"/>
                <w:sz w:val="24"/>
                <w:szCs w:val="24"/>
                <w:highlight w:val="none"/>
              </w:rPr>
              <w:t>2</w:t>
            </w:r>
          </w:p>
        </w:tc>
      </w:tr>
      <w:tr w14:paraId="62F16E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09" w:type="dxa"/>
            <w:tcBorders>
              <w:top w:val="single" w:color="000000" w:sz="4" w:space="0"/>
              <w:bottom w:val="single" w:color="000000" w:sz="4" w:space="0"/>
              <w:right w:val="single" w:color="000000" w:sz="4" w:space="0"/>
            </w:tcBorders>
            <w:shd w:val="clear" w:color="auto" w:fill="auto"/>
            <w:noWrap/>
            <w:vAlign w:val="center"/>
          </w:tcPr>
          <w:p w14:paraId="5BC4D9DB">
            <w:pP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3</w:t>
            </w:r>
          </w:p>
        </w:tc>
        <w:tc>
          <w:tcPr>
            <w:tcW w:w="951" w:type="dxa"/>
            <w:tcBorders>
              <w:top w:val="single" w:color="000000" w:sz="4" w:space="0"/>
              <w:left w:val="nil"/>
              <w:bottom w:val="single" w:color="000000" w:sz="4" w:space="0"/>
              <w:right w:val="single" w:color="000000" w:sz="4" w:space="0"/>
            </w:tcBorders>
            <w:shd w:val="clear" w:color="auto" w:fill="auto"/>
            <w:vAlign w:val="center"/>
          </w:tcPr>
          <w:p w14:paraId="29E68B7D">
            <w:pPr>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云终端一体机</w:t>
            </w:r>
          </w:p>
        </w:tc>
        <w:tc>
          <w:tcPr>
            <w:tcW w:w="5207" w:type="dxa"/>
            <w:tcBorders>
              <w:top w:val="single" w:color="000000" w:sz="4" w:space="0"/>
              <w:left w:val="nil"/>
              <w:bottom w:val="single" w:color="000000" w:sz="4" w:space="0"/>
              <w:right w:val="single" w:color="000000" w:sz="4" w:space="0"/>
            </w:tcBorders>
            <w:shd w:val="clear" w:color="auto" w:fill="auto"/>
            <w:noWrap/>
            <w:vAlign w:val="center"/>
          </w:tcPr>
          <w:p w14:paraId="0C820797">
            <w:pPr>
              <w:pStyle w:val="2"/>
              <w:keepNext w:val="0"/>
              <w:keepLines w:val="0"/>
              <w:pageBreakBefore w:val="0"/>
              <w:widowControl w:val="0"/>
              <w:numPr>
                <w:ilvl w:val="0"/>
                <w:numId w:val="2"/>
              </w:numPr>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产品配置参数：</w:t>
            </w:r>
          </w:p>
          <w:p w14:paraId="1834DDF9">
            <w:pPr>
              <w:pStyle w:val="2"/>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见附表；</w:t>
            </w:r>
          </w:p>
          <w:p w14:paraId="30A58911">
            <w:pPr>
              <w:pStyle w:val="2"/>
              <w:keepNext w:val="0"/>
              <w:keepLines w:val="0"/>
              <w:pageBreakBefore w:val="0"/>
              <w:widowControl w:val="0"/>
              <w:numPr>
                <w:ilvl w:val="0"/>
                <w:numId w:val="2"/>
              </w:numPr>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功能指标：</w:t>
            </w:r>
          </w:p>
          <w:p w14:paraId="59882877">
            <w:pPr>
              <w:pStyle w:val="2"/>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1.软硬件一体化设备，内置终端操作系统及对接云桌面控制器功能模块。</w:t>
            </w:r>
          </w:p>
          <w:p w14:paraId="57854E85">
            <w:pPr>
              <w:pStyle w:val="2"/>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2.支持新终端联网后自动发现管理平台（可在平台管控是否开启自动发现），不需要手动配置管理控制器IP地址，自动加入终端分组，继承分组特性，身份验证后即可登录云桌面。</w:t>
            </w:r>
          </w:p>
        </w:tc>
        <w:tc>
          <w:tcPr>
            <w:tcW w:w="657" w:type="dxa"/>
            <w:tcBorders>
              <w:top w:val="single" w:color="000000" w:sz="4" w:space="0"/>
              <w:left w:val="nil"/>
              <w:bottom w:val="single" w:color="000000" w:sz="4" w:space="0"/>
              <w:right w:val="single" w:color="000000" w:sz="4" w:space="0"/>
            </w:tcBorders>
            <w:shd w:val="clear" w:color="auto" w:fill="auto"/>
            <w:vAlign w:val="center"/>
          </w:tcPr>
          <w:p w14:paraId="302236BC">
            <w:pPr>
              <w:jc w:val="left"/>
              <w:rPr>
                <w:rFonts w:hint="eastAsia" w:ascii="宋体" w:hAnsi="宋体" w:eastAsia="宋体" w:cs="宋体"/>
                <w:sz w:val="24"/>
                <w:szCs w:val="24"/>
                <w:highlight w:val="none"/>
                <w:lang w:bidi="ar"/>
              </w:rPr>
            </w:pPr>
            <w:r>
              <w:rPr>
                <w:rFonts w:hint="eastAsia" w:ascii="宋体" w:hAnsi="宋体" w:eastAsia="宋体" w:cs="宋体"/>
                <w:sz w:val="24"/>
                <w:szCs w:val="24"/>
                <w:highlight w:val="none"/>
              </w:rPr>
              <w:t>台</w:t>
            </w:r>
          </w:p>
        </w:tc>
        <w:tc>
          <w:tcPr>
            <w:tcW w:w="715" w:type="dxa"/>
            <w:tcBorders>
              <w:top w:val="single" w:color="000000" w:sz="4" w:space="0"/>
              <w:left w:val="nil"/>
              <w:bottom w:val="single" w:color="000000" w:sz="4" w:space="0"/>
            </w:tcBorders>
            <w:shd w:val="clear" w:color="auto" w:fill="auto"/>
            <w:vAlign w:val="center"/>
          </w:tcPr>
          <w:p w14:paraId="2B9A8BC9">
            <w:pPr>
              <w:jc w:val="left"/>
              <w:rPr>
                <w:rFonts w:hint="eastAsia" w:ascii="宋体" w:hAnsi="宋体" w:eastAsia="宋体" w:cs="宋体"/>
                <w:color w:val="000000"/>
                <w:sz w:val="24"/>
                <w:szCs w:val="24"/>
                <w:highlight w:val="none"/>
                <w:lang w:bidi="ar"/>
              </w:rPr>
            </w:pPr>
            <w:r>
              <w:rPr>
                <w:rFonts w:hint="eastAsia" w:ascii="宋体" w:hAnsi="宋体" w:eastAsia="宋体" w:cs="宋体"/>
                <w:color w:val="000000"/>
                <w:sz w:val="24"/>
                <w:szCs w:val="24"/>
                <w:highlight w:val="none"/>
              </w:rPr>
              <w:t>61</w:t>
            </w:r>
          </w:p>
        </w:tc>
      </w:tr>
    </w:tbl>
    <w:p w14:paraId="6325D4E3">
      <w:pPr>
        <w:spacing w:line="560" w:lineRule="exact"/>
        <w:jc w:val="lef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附表：</w:t>
      </w:r>
    </w:p>
    <w:tbl>
      <w:tblPr>
        <w:tblStyle w:val="8"/>
        <w:tblW w:w="85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765"/>
        <w:gridCol w:w="825"/>
        <w:gridCol w:w="1350"/>
        <w:gridCol w:w="1155"/>
        <w:gridCol w:w="3690"/>
      </w:tblGrid>
      <w:tr w14:paraId="08F7B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D4D8">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序号</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2144A">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指标分类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80EF">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9DC5">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二级指标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CAC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是否可以作为评分因素</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C4BD3">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采购人技术要求</w:t>
            </w:r>
          </w:p>
        </w:tc>
      </w:tr>
      <w:tr w14:paraId="0B7B4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D8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CB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5F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CPU规格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0E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★CPU 信息</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BF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525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不低于6核12线程 主频≥2.9GHz，缓存≥12 MB，TDP功耗≥65W，内存速率不低于DDR4-2666，最大内存通道数≥2，最大内存带宽≥41GB/s</w:t>
            </w:r>
          </w:p>
        </w:tc>
      </w:tr>
      <w:tr w14:paraId="26A29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B75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3B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BB5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内存规格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C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★内存配置容量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B9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BB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≥16GB</w:t>
            </w:r>
          </w:p>
        </w:tc>
      </w:tr>
      <w:tr w14:paraId="142C8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CB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19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6C95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36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★内存类型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0D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98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 DDR4内存类型</w:t>
            </w:r>
          </w:p>
        </w:tc>
      </w:tr>
      <w:tr w14:paraId="6C152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6E6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61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77618">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96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★内存条配置数量（板载内存不涉及）</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94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0ACC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r>
      <w:tr w14:paraId="5FA59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84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7E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5877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主板规格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13E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★主板集成模块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08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A0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集成资源扩展模块、计算处理模块、音频扩展模块等，主板的互联拓扑可通过处理器或交换电路实现</w:t>
            </w:r>
          </w:p>
        </w:tc>
      </w:tr>
      <w:tr w14:paraId="28100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58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46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0337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90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★主板支持的 CPU 和内存情况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C73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43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主板支持一颗X86处理器，内存支持DDR4 2666,主板具备2个内存插槽</w:t>
            </w:r>
          </w:p>
        </w:tc>
      </w:tr>
      <w:tr w14:paraId="6663C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05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20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76243">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D0D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主板内置PCIe 插槽数量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31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21E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6670B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66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8F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699E6">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DC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特殊孔位及接口</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9E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A5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3AB9A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33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FD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78F1C">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53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★单内存插槽最大可支持容量（板载内存不涉及）</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80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C9E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≥8GB</w:t>
            </w:r>
          </w:p>
        </w:tc>
      </w:tr>
      <w:tr w14:paraId="2FE86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1D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5D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680B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AE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★内存插槽满配时提供的最高内存总容量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29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B93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≥16GB</w:t>
            </w:r>
          </w:p>
        </w:tc>
      </w:tr>
      <w:tr w14:paraId="5DD73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26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29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5B4E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存储设备规格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42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★固态盘数量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41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35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≥1个</w:t>
            </w:r>
          </w:p>
        </w:tc>
      </w:tr>
      <w:tr w14:paraId="595E0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3D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4F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0EBE8">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42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★固态存储容量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11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AC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≥512GB</w:t>
            </w:r>
          </w:p>
        </w:tc>
      </w:tr>
      <w:tr w14:paraId="71DA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09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50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78651">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35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机械硬盘数量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2F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59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75E0A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1E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0DB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A5678">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55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机械硬盘总容量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E6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1EF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07D5C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B0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00D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5F7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存储设备规格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60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机械硬盘转速</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5D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C93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75901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FD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9B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3FD7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28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机械硬盘接口协议</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45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ED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72DBE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78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CD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5F6D8">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67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机械硬盘形态</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F47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F9F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4E5CC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12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80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95F25">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87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固态存储接口协议</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5F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329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SATA/NVMe 等类型接口协议</w:t>
            </w:r>
          </w:p>
        </w:tc>
      </w:tr>
      <w:tr w14:paraId="19C08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3A0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EFC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4510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00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固态存储形态</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B08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C03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采用插卡或板载等形态，可选用M.2 或 mSATA 等标准的插卡形态</w:t>
            </w:r>
          </w:p>
        </w:tc>
      </w:tr>
      <w:tr w14:paraId="6E0CA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94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C0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BEFA9">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A15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★存储设备扩展盘位</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D7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AD2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r>
      <w:tr w14:paraId="7F0BB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C1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BE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3E289">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77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★存储设备其他参与要求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0D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F7D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a）固态盘应符合 SJ/T 11654 相关规定;b）机械硬盘准备时间应不大于30s；侧面固定螺丝孔数量可为 4孔或 6~孔；工作状态环境温度应满足 5℃ 55℃ , 其它参数应符合GB/T12628 的相关规定</w:t>
            </w:r>
          </w:p>
        </w:tc>
      </w:tr>
      <w:tr w14:paraId="5ADB8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75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09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92A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显卡规格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EF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★显卡类型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F8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208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集成显卡</w:t>
            </w:r>
          </w:p>
        </w:tc>
      </w:tr>
      <w:tr w14:paraId="78E5B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3C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C78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2D8BE">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C5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独立显卡显存类型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EF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28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1EF2B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AE2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EA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13F6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14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独立显卡显存位宽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85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4AC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41108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F0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31F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EBBC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9F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独立显卡显存容量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969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64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1A2A9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6DD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4A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E2F9B">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56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独立显卡接口协议</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07A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B8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25916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92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D2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508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显示设备规格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E5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★显示屏屏占比</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4D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596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≥80%</w:t>
            </w:r>
          </w:p>
        </w:tc>
      </w:tr>
      <w:tr w14:paraId="6F5A7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63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59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14BF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D1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★显示屏分辨率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62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6D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≥1920x1080</w:t>
            </w:r>
          </w:p>
        </w:tc>
      </w:tr>
      <w:tr w14:paraId="3F822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71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29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A3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E490C">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FD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显示屏像素密度</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61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73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≥85 像素/英寸</w:t>
            </w:r>
          </w:p>
        </w:tc>
      </w:tr>
      <w:tr w14:paraId="5A60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B7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C4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60930">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AA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显示屏可视角度</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1BD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8D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水平≥170 °</w:t>
            </w:r>
          </w:p>
        </w:tc>
      </w:tr>
      <w:tr w14:paraId="240E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22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8F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232D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02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★显示屏尺寸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51A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76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≥23.8 英寸</w:t>
            </w:r>
          </w:p>
        </w:tc>
      </w:tr>
      <w:tr w14:paraId="240F8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CF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BC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CC466">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BAF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★显示屏屏幕比例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61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D7E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16:9/3:2/21:9/16:10 等</w:t>
            </w:r>
          </w:p>
        </w:tc>
      </w:tr>
      <w:tr w14:paraId="643FF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A9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68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FAFC3">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29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★显示器边框颜色</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9E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DA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黑色/白色/银色等商务色系</w:t>
            </w:r>
          </w:p>
        </w:tc>
      </w:tr>
      <w:tr w14:paraId="144AE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61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26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7396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6E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★显示屏防蓝光</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6D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479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2C9A0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39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F4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92C10">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CE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★显示屏低频闪</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A3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ABE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26305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1F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B2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07461">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42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★显示屏防炫目</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1A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F7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23316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8A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F6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B7D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外设规格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AE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★传声器数量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13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A5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≥1个</w:t>
            </w:r>
          </w:p>
        </w:tc>
      </w:tr>
      <w:tr w14:paraId="61453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71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91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8CF0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C7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★扬声器数量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67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99F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≥1个</w:t>
            </w:r>
          </w:p>
        </w:tc>
      </w:tr>
      <w:tr w14:paraId="72A01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32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39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BD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B050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52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★鼠标数量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7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94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≥1个</w:t>
            </w:r>
          </w:p>
        </w:tc>
      </w:tr>
      <w:tr w14:paraId="331E7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C1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AA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DA3FA">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1B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1F0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594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≥1个</w:t>
            </w:r>
          </w:p>
        </w:tc>
      </w:tr>
      <w:tr w14:paraId="11B95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AA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FA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B0EAC">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5D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★摄像头数量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69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5E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7DA52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3E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CE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685B1">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16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光驱数量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EC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BB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 个</w:t>
            </w:r>
          </w:p>
        </w:tc>
      </w:tr>
      <w:tr w14:paraId="0D64A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4B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F2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C3FC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3F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★键盘按键数目</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B9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6D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61 键/86 键/101 键/104 键等</w:t>
            </w:r>
          </w:p>
        </w:tc>
      </w:tr>
      <w:tr w14:paraId="6B863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89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3F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587F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D9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★摄像头像素</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2A2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E08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76CD9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40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52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92829">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2E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★摄像头分辨率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22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8B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5151A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33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8F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2C6B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49C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★扬声器功率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A2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5C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 瓦/个</w:t>
            </w:r>
          </w:p>
        </w:tc>
      </w:tr>
      <w:tr w14:paraId="39C16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19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50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0FB2A">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11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★扬声器频率范围</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94D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9B5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100Hz-20kHz，其中 100Hz-200Hz：35dB 及以上；200Hz-12kHz：55dB及以上，12kHz-18kHz：35dB 及以上</w:t>
            </w:r>
          </w:p>
        </w:tc>
      </w:tr>
      <w:tr w14:paraId="00E94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BF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DC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0B106">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B9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扬声器总谐波失真</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80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9E9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总谐波失真在 300Hz-7kHz 频率范围内宜不高于5%</w:t>
            </w:r>
          </w:p>
        </w:tc>
      </w:tr>
      <w:tr w14:paraId="66E9B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BDC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49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13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EE55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FC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扬声器最大声压级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71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90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最大声压级在粉红噪声播放场景下，工作距离处声压级宜不低于70dB</w:t>
            </w:r>
          </w:p>
        </w:tc>
      </w:tr>
      <w:tr w14:paraId="1D7A8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7"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DC4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19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8AB8A">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7B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★键盘键程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404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F7A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2.3mm ~ 4.0mm</w:t>
            </w:r>
          </w:p>
        </w:tc>
      </w:tr>
      <w:tr w14:paraId="1D30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D1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18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963D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FF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★键盘按键压力</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6E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18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按键压力应在 0.54 N±0.14N</w:t>
            </w:r>
          </w:p>
        </w:tc>
      </w:tr>
      <w:tr w14:paraId="5D740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A5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5F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F8635">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2FC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★键盘颜色</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0A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0F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黑色/白色/银色等商务色系</w:t>
            </w:r>
          </w:p>
        </w:tc>
      </w:tr>
      <w:tr w14:paraId="18087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88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9E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9BA49">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87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★键盘连接方式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4D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89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有线或无线</w:t>
            </w:r>
          </w:p>
        </w:tc>
      </w:tr>
      <w:tr w14:paraId="0F7D4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C1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12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01133">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69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★有线键盘连接线</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6E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F2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 米</w:t>
            </w:r>
          </w:p>
        </w:tc>
      </w:tr>
      <w:tr w14:paraId="4F73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AC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60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959EA">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EF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★键盘其他要求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6E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44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键盘外观结构、连接方式、主要功能、安全、电磁兼容性、可靠性应符合 GB/T 14081 的相关规定</w:t>
            </w:r>
          </w:p>
        </w:tc>
      </w:tr>
      <w:tr w14:paraId="5AC3E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CA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C4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83B35">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56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★鼠标连接方式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A3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40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有线或无线</w:t>
            </w:r>
          </w:p>
        </w:tc>
      </w:tr>
      <w:tr w14:paraId="783F6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15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91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E2DC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78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★有线鼠标连接线</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87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CF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 米</w:t>
            </w:r>
          </w:p>
        </w:tc>
      </w:tr>
      <w:tr w14:paraId="6A4DE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46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77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ADCD8">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F67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★鼠标 DPI分辨率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AC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F5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800~1600</w:t>
            </w:r>
          </w:p>
        </w:tc>
      </w:tr>
      <w:tr w14:paraId="36AA8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AF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59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0A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55A4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F0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鼠标颜色</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7C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BD2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黑色/银色/白色等商务色系</w:t>
            </w:r>
          </w:p>
        </w:tc>
      </w:tr>
      <w:tr w14:paraId="41787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B0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AA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520AE">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87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★鼠标其他要求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E56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0F9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其它参数应符合GB/T 26245 的相关规定</w:t>
            </w:r>
          </w:p>
        </w:tc>
      </w:tr>
      <w:tr w14:paraId="10340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CC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8B9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25EC8">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39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内置光驱</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BC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8A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3A7C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D9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04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B5E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网络设备规格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65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★有线网卡数量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77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2F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≥1（内置接口）</w:t>
            </w:r>
          </w:p>
        </w:tc>
      </w:tr>
      <w:tr w14:paraId="78707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8D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05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6B11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DD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无线网卡及天线数量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E5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72D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r>
      <w:tr w14:paraId="37605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95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B2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87928">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8E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单无线网卡天线数量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FE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C9A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r>
      <w:tr w14:paraId="5A52B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02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58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39C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外部接口规格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02D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★USB 接口数量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8AE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E8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USB 接口数量应不少于 6个，至少包含4 个 USB3.0 及以上标准接口</w:t>
            </w:r>
          </w:p>
        </w:tc>
      </w:tr>
      <w:tr w14:paraId="754A7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A0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29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4BBE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8D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★视频接口数量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7C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60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≥1个HDMI接口</w:t>
            </w:r>
          </w:p>
        </w:tc>
      </w:tr>
      <w:tr w14:paraId="7B977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C1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E8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4D4F5">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29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★音频接口数量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9E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7B0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≥2对</w:t>
            </w:r>
          </w:p>
        </w:tc>
      </w:tr>
      <w:tr w14:paraId="0CED7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2A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4B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1868E">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610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存储卡接口数量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15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ED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r>
      <w:tr w14:paraId="49D4D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E2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69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CE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90C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整机基础规格</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EB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★整机外观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38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86F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 产品表面不应有凹痕、划伤、裂缝、变形和污染等。表面涂层均匀，不应起泡、龟裂、脱落和磨损，金属零部件无锈蚀及其它机械损伤； b) 产品表面说明功能的文字、符号、标志，应清晰、端正、牢固； c) 宜在产品显著位置提供运行状态指示功能，并由生产厂商提供详细参数</w:t>
            </w:r>
          </w:p>
        </w:tc>
      </w:tr>
      <w:tr w14:paraId="76E5B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63A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B8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B73A3">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A5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★整机结构</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FBC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296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a) 机箱应符合 GB/T 4208、GB/T 26246 的相关规定； b) 产品内部结构应符合通用部件的安装需要； c) 所有输入输出接口应符合相关国家或行业标准； d) 产品零部件应紧固无松动，可插拔部件应可靠连接，开关、按钮和其它控制部件应灵活可靠，布局应方便使用； e) 所有 I/O 连接器及需插接线缆的部位应预留用户操作空间，方便插拔解锁与插拔线缆； f) 可插拔板卡插槽部位应预留安装、拆卸或更换板卡空间； g) 拆装可能接触到的金属剪口或金属尖角部位应做防划伤处理，以保证安全； h) 整机内部走线应规整，固线结构和位置要合理可靠并做防割线处理，需便于理线和插拔操作，走线应不影响系统各主要部件组装和拆卸； i) 如需通过孔走线，过线孔应做防割线处理； j) 各插头位置和插拔方向应合理，应做到插拔无障碍设计，具备防呆设计，有效避免误操作； k) 各主要部件拆装无障碍，使用常规工具拆装，无特殊拆装工具需求； l) 各主要部件拆装步骤要少，各自拆装需避免相互干扰； m) 对于整机或零部件外表面为高亮面的，应粘贴保护膜，保护膜需粘贴牢固，运输、组装等过程不易脱落，撕下无残留； n) 其它要求应符合 GB/T 9813.1的相关规定</w:t>
            </w:r>
          </w:p>
        </w:tc>
      </w:tr>
      <w:tr w14:paraId="26410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B5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57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1415A">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07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★机箱防护要求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AD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54B7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机箱应符合 GB/T 4208 中 IP20 防护要求</w:t>
            </w:r>
          </w:p>
        </w:tc>
      </w:tr>
      <w:tr w14:paraId="443F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71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B8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6F2BE">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6C5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★整机噪音</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60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5DD8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产品工作在空闲状态下，产品的声功率级应不超过 4.5 Bel</w:t>
            </w:r>
          </w:p>
        </w:tc>
      </w:tr>
      <w:tr w14:paraId="6D800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48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54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B2BD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30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★整机散热</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74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FC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在环境温度为 25℃及处理器满载情况下，产品表面温度应符合如下要求： a) 可触及面温度范围内小于 45℃ ; b) 显示器表面温度：显示屏温度不高于38℃ , 显示屏上下灯带位置温度（如涉及）不高于40℃ , 出风口温度不高于 55℃</w:t>
            </w:r>
          </w:p>
        </w:tc>
      </w:tr>
      <w:tr w14:paraId="2EBFB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A2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FA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BFC23">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61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★整机能效限定值</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35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A45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产品能效限定值应达到 GB28380-2012标准中能效等级2 级及以上</w:t>
            </w:r>
          </w:p>
        </w:tc>
      </w:tr>
      <w:tr w14:paraId="355F0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974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37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18A2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61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机身材质</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86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08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塑料/金属等</w:t>
            </w:r>
          </w:p>
        </w:tc>
      </w:tr>
      <w:tr w14:paraId="16DC6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77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631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F9BB1">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A2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★机身颜色</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4F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EC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一般选用灰色/黑色等商务色系</w:t>
            </w:r>
          </w:p>
        </w:tc>
      </w:tr>
      <w:tr w14:paraId="4DA53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CA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7C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产品规格</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F7BC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E0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★机箱尺寸容量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A2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6C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供应商给出物理尺寸（长度、宽度和高度）信息</w:t>
            </w:r>
          </w:p>
        </w:tc>
      </w:tr>
      <w:tr w14:paraId="2590C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79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D1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29B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CPU性能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93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★CPU 物理核数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FE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EE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r>
      <w:tr w14:paraId="72553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F0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79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D4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3EC3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10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★CPU 主频</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75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FC6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≥2.9GHz</w:t>
            </w:r>
          </w:p>
        </w:tc>
      </w:tr>
      <w:tr w14:paraId="7ED67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08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AC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A5C9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1A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★CPU 末级缓存容量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2E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86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≥12MB</w:t>
            </w:r>
          </w:p>
        </w:tc>
      </w:tr>
      <w:tr w14:paraId="6D269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170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DE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29B8B">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9F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★CPU 支持的内存最高速率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8A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77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≥2666MT/s</w:t>
            </w:r>
          </w:p>
        </w:tc>
      </w:tr>
      <w:tr w14:paraId="4D409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E4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5C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05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内存性能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F9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★内存读写速率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7DD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268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≥2666MT/s</w:t>
            </w:r>
          </w:p>
        </w:tc>
      </w:tr>
      <w:tr w14:paraId="028F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8B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F2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DBD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显卡性能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8F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★显示分辨率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75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FFB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≥1920x1080</w:t>
            </w:r>
          </w:p>
        </w:tc>
      </w:tr>
      <w:tr w14:paraId="10008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CD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11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D789B">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CB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★显卡显示芯片核心频率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E5E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2B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≥350MHz</w:t>
            </w:r>
          </w:p>
        </w:tc>
      </w:tr>
      <w:tr w14:paraId="78912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0C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EC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0561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5FB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★显存等效频率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49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CF1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1F8D8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FB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F58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685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12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★显卡可同时支持多屏显示数量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44B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693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显卡应支持 2 块屏幕同时显示，分辨率应不低于 1920×1080</w:t>
            </w:r>
          </w:p>
        </w:tc>
      </w:tr>
      <w:tr w14:paraId="110BC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D3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34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1F6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显示设备性能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A77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★显示屏刷新率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48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DD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≥60Hz</w:t>
            </w:r>
          </w:p>
        </w:tc>
      </w:tr>
      <w:tr w14:paraId="2401F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6F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7D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4CA16">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D9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★显示屏位深</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FE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666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 位</w:t>
            </w:r>
          </w:p>
        </w:tc>
      </w:tr>
      <w:tr w14:paraId="4665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74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89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37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6E6D9">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BED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★显示屏色域</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A9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24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≥99% sRGB</w:t>
            </w:r>
          </w:p>
        </w:tc>
      </w:tr>
      <w:tr w14:paraId="0D9F5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DFB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B4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32751">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FC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★显示屏色准</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6D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02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△E ≤ 4</w:t>
            </w:r>
          </w:p>
        </w:tc>
      </w:tr>
      <w:tr w14:paraId="179D9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95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E5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1D2C0">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6EA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★显示屏响应时间</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AF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8563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≤22ms</w:t>
            </w:r>
          </w:p>
        </w:tc>
      </w:tr>
      <w:tr w14:paraId="23936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C4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48B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2E9E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9C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★显示屏亮度</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30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CDF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 尼特</w:t>
            </w:r>
          </w:p>
        </w:tc>
      </w:tr>
      <w:tr w14:paraId="2484E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B7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B2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D8B5E">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95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★显示屏亮度一致性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B33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3BE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w:t>
            </w:r>
          </w:p>
        </w:tc>
      </w:tr>
      <w:tr w14:paraId="3D260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DB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41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78B3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E8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★显示屏对比度</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5D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17F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≥1000：1</w:t>
            </w:r>
          </w:p>
        </w:tc>
      </w:tr>
      <w:tr w14:paraId="1ED6B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31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9A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2FC7B">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ED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★显示屏其他参数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533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B2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其它参数应符合SJ/T 11292 的相关规定</w:t>
            </w:r>
          </w:p>
        </w:tc>
      </w:tr>
      <w:tr w14:paraId="1C4CC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EE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DE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4E4C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网络设备性能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AB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★有线网卡速率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04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5FB9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最高速率宜不低于 1000Mbps，宜支持 10Mbps、100Mbps、1000Mbps 速率自适应</w:t>
            </w:r>
          </w:p>
        </w:tc>
      </w:tr>
      <w:tr w14:paraId="7DB04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E5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02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25425">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40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支持无线网络通信技术协议</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91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C83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支持WAP I 或 WiFi5.0 及以上协议</w:t>
            </w:r>
          </w:p>
        </w:tc>
      </w:tr>
      <w:tr w14:paraId="67EA3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E0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02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BA3B0">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3B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无线网卡频宽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07B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3A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≥20MHz</w:t>
            </w:r>
          </w:p>
        </w:tc>
      </w:tr>
      <w:tr w14:paraId="66C4E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118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99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93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性能要求</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35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电源适配器性能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46B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★电源适配器电源效率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FF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4C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在 20%/50%/100%负载下效率均应不低于87%</w:t>
            </w:r>
          </w:p>
        </w:tc>
      </w:tr>
      <w:tr w14:paraId="1B30D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B2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92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4BF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主板功能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0ED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★内存扩展接口(板载内存不涉及)</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10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A76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r>
      <w:tr w14:paraId="563A1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01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30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3DDE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BC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存储扩展接口(板载存储不涉及)</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22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0F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2997D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A1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DF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A3D4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5F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★主板 USB瞬间过流保护</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D7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7E3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支持瞬间过流保护功能</w:t>
            </w:r>
          </w:p>
        </w:tc>
      </w:tr>
      <w:tr w14:paraId="203E9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16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8A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804C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74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★主板防静电保护</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A42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27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支持防静电保护功能</w:t>
            </w:r>
          </w:p>
        </w:tc>
      </w:tr>
      <w:tr w14:paraId="53002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95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B2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D1F0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DD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★I/O 接口功能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4F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8B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内置或通过扩展坞支持数据传输接口、视频接口、音频接口、网络接口、电源接口等各类标准接口，应具备接入键盘、鼠标、写字板等外设的能力</w:t>
            </w:r>
          </w:p>
        </w:tc>
      </w:tr>
      <w:tr w14:paraId="77A9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F9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BC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190D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显卡功能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90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★显卡外接显示接口</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14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8F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显卡至少支持 VGA、HDMI、DVI、DP、Type-C 中 1 种显示接口</w:t>
            </w:r>
          </w:p>
        </w:tc>
      </w:tr>
      <w:tr w14:paraId="3F3C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D2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530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267E3">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264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独立显卡数量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A3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7F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29845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2D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BB3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3FD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显示设备功能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57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★显示器支架</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284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E7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提供显示器支架</w:t>
            </w:r>
          </w:p>
        </w:tc>
      </w:tr>
      <w:tr w14:paraId="24E4C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BC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7B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8B50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70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显示屏参数调节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BC5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5E5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支持色温、亮度、对比度等显示参数调节</w:t>
            </w:r>
          </w:p>
        </w:tc>
      </w:tr>
      <w:tr w14:paraId="50AD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25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109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4D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8AF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外设功能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947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摄像头物理隐私保护开关</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D43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DB9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04D6B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8CD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6C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23815">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2A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传声器降噪</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8A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EDF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支持降噪功能</w:t>
            </w:r>
          </w:p>
        </w:tc>
      </w:tr>
      <w:tr w14:paraId="257D1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2D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B0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6D9E0">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72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键盘背光</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90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54C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5A238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6E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FF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DF598">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A9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光驱功能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166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1B0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511DF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3D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5D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F5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EC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★存储功能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FF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A0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支持信息存储功能，包括支持易失性存储功能和非易失性存储功能。为提升存储性能和降低存储功耗，非易失性存储宜支持固态存储设备，如 SSD/UFS。产品应支持外出接口可以与独立的存储设备进行数据交互</w:t>
            </w:r>
          </w:p>
        </w:tc>
      </w:tr>
      <w:tr w14:paraId="19309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57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A3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F0C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网络设备功能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BC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★网络功能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418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70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a)支持网络连接、网络开启/关闭；b)支持访问网络和数据交换功能</w:t>
            </w:r>
          </w:p>
        </w:tc>
      </w:tr>
      <w:tr w14:paraId="1007A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C8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31C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F9369">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34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★无线网卡频段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DF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7A5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支持双频段</w:t>
            </w:r>
          </w:p>
        </w:tc>
      </w:tr>
      <w:tr w14:paraId="006D3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72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CF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A6D3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67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物理开关</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70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2A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152A4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8A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AD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C3A1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0A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★数据传输</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77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85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支持数据传输能力，并提供数据流量和异常日志记录功能</w:t>
            </w:r>
          </w:p>
        </w:tc>
      </w:tr>
      <w:tr w14:paraId="34504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4A5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349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97B16">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CD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蓝牙协议</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15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53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692ED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5E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119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1F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A865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5F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★有线网卡接口类型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C6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6AD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配备有线网络通信模块 ,宜支持RJ45 接口</w:t>
            </w:r>
          </w:p>
        </w:tc>
      </w:tr>
      <w:tr w14:paraId="4BE4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2B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5B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178D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8E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无线网卡标准</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2B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0A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若配备无线网卡，产品应符合 GB15629.11 所有部分</w:t>
            </w:r>
          </w:p>
        </w:tc>
      </w:tr>
      <w:tr w14:paraId="0C74A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55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5A44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E9998">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45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★网络设备拆装</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5F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A5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网络设备支持物理拆装，包括：无线网卡、蓝牙模块等</w:t>
            </w:r>
          </w:p>
        </w:tc>
      </w:tr>
      <w:tr w14:paraId="35580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81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C6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3A1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外部接口功能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50D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★音频接口类型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F0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4FE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不少于 1 个，宜支持 3.5mm 孔径的3 段式或 4 段式接口。若支持 4 段式接口，宜支持线序的自动识别及切换功能</w:t>
            </w:r>
          </w:p>
        </w:tc>
      </w:tr>
      <w:tr w14:paraId="24E0B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41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A7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81B8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0D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★视频接口类型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FB0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88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至少支持 VGA、HDMI、DVI、DP、Type-C 中 1 种显示接口</w:t>
            </w:r>
          </w:p>
        </w:tc>
      </w:tr>
      <w:tr w14:paraId="0EF99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24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F3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488D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9D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★HDMI、DP、Type-C 显示接口要求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3A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3AA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若提供 HDMI 或 DP 或 Type-C 接口应同时支持视频和音频输出</w:t>
            </w:r>
          </w:p>
        </w:tc>
      </w:tr>
      <w:tr w14:paraId="6E226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C4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585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244E5">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19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其他接口</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72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FC0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26B0C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F9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7D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50ED0">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EF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存储卡接口类型</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05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CA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45BFC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28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15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E9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电源功能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9F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★电源线适配能力</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D0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9D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 GB 15934-2008对于可拆线插头 GB15934 不做要求</w:t>
            </w:r>
          </w:p>
        </w:tc>
      </w:tr>
      <w:tr w14:paraId="3D413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93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A8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39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中文信息处理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67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★中文信息处理要求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13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A3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 GB 18030 的相关规定</w:t>
            </w:r>
          </w:p>
        </w:tc>
      </w:tr>
      <w:tr w14:paraId="03FFF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5D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129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A8D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AF21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操作系统及软件功能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20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★操作系统备份及还原功能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D6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A56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7045F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4CB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3D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93D2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90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★固件备份还原能力</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15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77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50BD0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D07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84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FE231">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C8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★操作系统及驱动升级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27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C2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15A0A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2D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BD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218C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2B6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固件升级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B1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C51A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149B3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7B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99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EA69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BE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★BIOS 支持关闭通讯接口</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07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EB8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支持BIOS 关闭以太网及 USB 接口</w:t>
            </w:r>
          </w:p>
        </w:tc>
      </w:tr>
      <w:tr w14:paraId="65D6D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935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FD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81F1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606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★固件查看信息</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5A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B0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支持查看固件版本、内存信息、主板信息、处理器信息和系统时间信息等功能</w:t>
            </w:r>
          </w:p>
        </w:tc>
      </w:tr>
      <w:tr w14:paraId="75494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C2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F1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00DD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E2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★固件设置启动顺序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EFB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B6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10BEA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B1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59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E1F8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BCC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★固件设置口令</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CE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64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05DDB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2F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6A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F44F0">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18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★固件设置网络引导</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25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EEB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07C11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49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F9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7A9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生物识别功能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4C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指纹识别</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A1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95E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6F59C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08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139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10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8D273">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E1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人脸识别</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44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A4A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10058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4C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92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CEF4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BF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静脉识别</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30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5F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79DA9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FF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F7B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4064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硬件加速功能</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7B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NPU/GPU 等A I加速模块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C1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3A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 NPU/GPU 等A I 加速模块</w:t>
            </w:r>
          </w:p>
        </w:tc>
      </w:tr>
      <w:tr w14:paraId="72BE8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7E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DA9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0E8B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61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视频编解码加速模块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8B6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D5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支持视频编解码加速模块</w:t>
            </w:r>
          </w:p>
        </w:tc>
      </w:tr>
      <w:tr w14:paraId="31F6F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CF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7C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功能要求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3AE6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D1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影像处理加速模块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A3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E0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支持影像处理加速模块</w:t>
            </w:r>
          </w:p>
        </w:tc>
      </w:tr>
      <w:tr w14:paraId="2EB7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00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2BD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171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存储设备可靠性</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E7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★固态存储寿命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D6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9A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TBW ≥ 80TB（条件：240GB 硬盘容量）</w:t>
            </w:r>
          </w:p>
        </w:tc>
      </w:tr>
      <w:tr w14:paraId="36587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73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EF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97048">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A4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★机械硬盘寿命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31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3F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3D1E8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93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AC7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42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显示设备可靠性</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39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★显示屏屏幕失效点</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CA7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A3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 GB/T 9813.2 的要求</w:t>
            </w:r>
          </w:p>
        </w:tc>
      </w:tr>
      <w:tr w14:paraId="07327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4C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7CA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084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外设可靠性</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D1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★键盘按键寿命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10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A2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≥1000 万次</w:t>
            </w:r>
          </w:p>
        </w:tc>
      </w:tr>
      <w:tr w14:paraId="119A4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0CC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9A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5612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E6C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★鼠标按键寿命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8E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4B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≥500 万次</w:t>
            </w:r>
          </w:p>
        </w:tc>
      </w:tr>
      <w:tr w14:paraId="385B1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AC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149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C1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FF90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7F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★键盘鼠标线材寿命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D8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E03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键盘鼠标所用线材经±60 °弯折不低于 3000 次，功能、外观完好</w:t>
            </w:r>
          </w:p>
        </w:tc>
      </w:tr>
      <w:tr w14:paraId="1C3E8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F9E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39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E3BDA">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D5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★风扇寿命</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A6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90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 万小时</w:t>
            </w:r>
          </w:p>
        </w:tc>
      </w:tr>
      <w:tr w14:paraId="40037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D3A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9BD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DCD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整机可靠性要求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4C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★电磁兼容性要求的抗扰度</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76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2C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 GB/T 9254.2 的规定</w:t>
            </w:r>
          </w:p>
        </w:tc>
      </w:tr>
      <w:tr w14:paraId="62487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5F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26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1C5CE">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C5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★环境条件要求的气候环境适应性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330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88F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 GB/T 9813.1 中规定</w:t>
            </w:r>
          </w:p>
        </w:tc>
      </w:tr>
      <w:tr w14:paraId="7DB05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37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2A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A4066">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4D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★环境条件要求的振动适应性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AB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5E6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 GB/T 9813.1 中规定</w:t>
            </w:r>
          </w:p>
        </w:tc>
      </w:tr>
      <w:tr w14:paraId="10A3E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1F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1A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B64A9">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1C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★环境条件要求的冲击适应性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6B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B19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 GB/T 9813.1 中规定</w:t>
            </w:r>
          </w:p>
        </w:tc>
      </w:tr>
      <w:tr w14:paraId="5D768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39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D5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B193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35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★环境条件要求的碰撞适应性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25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4DC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 GB/T 9813.1 中规定</w:t>
            </w:r>
          </w:p>
        </w:tc>
      </w:tr>
      <w:tr w14:paraId="34665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BD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19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69266">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F9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★环境条件要求的运输包装件跌落适应性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32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11B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 GB/T 9813.1 中规定</w:t>
            </w:r>
          </w:p>
        </w:tc>
      </w:tr>
      <w:tr w14:paraId="4AE46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24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AA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可靠性要求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E7AE3">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88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★MTBF 测试</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C5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2C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3D234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E18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1E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兼容要求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3B9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兼容要求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B8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★常用软件兼容</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946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1E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6363D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C6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159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1E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兼容要求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FCFCB">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4A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★数据库兼容</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7798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C2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4D130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93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260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兼容要求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28481">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4FA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★中间件兼容</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A5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89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4C7BF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18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9A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兼容要求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7DC16">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B3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★平台软件兼容</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ED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6FD9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17FC7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39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2D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包装及运输要求</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87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包装及运输要求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EC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★标志、包装、运输和贮存</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E4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DCF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符合GB/T 9813.1 和商品包装政府采购需求标准的相关规定</w:t>
            </w:r>
          </w:p>
        </w:tc>
      </w:tr>
      <w:tr w14:paraId="22675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DB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0B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5F0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EB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★配置检查工具</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D2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5F5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509C5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DB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0A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CCDF1">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4A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★服务响应</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A3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C6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a）提供产品3 年维保及上门服务（满足同城 4 小时、异地 12 小时响应要求）；b）提供政企专线 7*24 在线服务；c）现场保障技术服务团队员，国内上门服务地级市覆盖率达 100%</w:t>
            </w:r>
          </w:p>
        </w:tc>
      </w:tr>
      <w:tr w14:paraId="664AB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73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1E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6276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11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★服务周期</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51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78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支持产品延保≥3 年提供每年延保服务报价提供备件服务能力≥6 年（自购买之日起）</w:t>
            </w:r>
          </w:p>
        </w:tc>
      </w:tr>
      <w:tr w14:paraId="62D00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D5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CD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C2F0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DC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★预装操作系统</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8D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32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049BC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71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B3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0008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FA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★培训服务</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349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6BC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供应商提供培训材料、产品手册、培训视频等培训相关内容</w:t>
            </w:r>
          </w:p>
        </w:tc>
      </w:tr>
      <w:tr w14:paraId="5AD4C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EE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B7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003A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5B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★典型问题解决手册</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EF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2E22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供应商提供典型问题解决说明文档或视频</w:t>
            </w:r>
          </w:p>
        </w:tc>
      </w:tr>
      <w:tr w14:paraId="22970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C95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169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C9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FCEC6">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B1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★厂家升级软件与扩容服务</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E1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0F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供应商提供上门升级部件软件的增值服务</w:t>
            </w:r>
          </w:p>
        </w:tc>
      </w:tr>
      <w:tr w14:paraId="76FF3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50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4F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4BEE7">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9A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★整机质量服务要求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A6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51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免费服务周期（含换件和维修）应不小于 3 年</w:t>
            </w:r>
          </w:p>
        </w:tc>
      </w:tr>
      <w:tr w14:paraId="19C49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AC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B5D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9E61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2A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★合格证书要求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BA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533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供应商提供产品合格证</w:t>
            </w:r>
          </w:p>
        </w:tc>
      </w:tr>
      <w:tr w14:paraId="4FF62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8F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6B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F4A02">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07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★开箱组装/使用指导要求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19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266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供应商提供开箱组装/使用指导</w:t>
            </w:r>
          </w:p>
        </w:tc>
      </w:tr>
      <w:tr w14:paraId="30FDF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CF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E7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52CA0">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B1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★驱动下载服务要求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52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A3F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4C179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3C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8D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40D1F">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C0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★兼容适配软件下载服务要求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36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260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0AE40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8B5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406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442EB">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1E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跨架构平台应用兼容</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7F9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D2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2CFB3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44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B8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供应保障要求</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A0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供应链合规性</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85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★产品部件保障</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31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是</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4A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保障产品主要部件，应提供 6 年的备件服务能力（自购买之日起），或提供可兼容原设备的升级换代产品</w:t>
            </w:r>
          </w:p>
        </w:tc>
      </w:tr>
      <w:tr w14:paraId="6DC80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7"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84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C1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供应保障要求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651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供应链质量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C6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★抗干扰性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BE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B8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当产品部件出现供应风险时，供应商应通知客户并提供风险应对方案确保产品的服务保障，必要时应停止相关受影响产品的销售</w:t>
            </w:r>
          </w:p>
        </w:tc>
      </w:tr>
      <w:tr w14:paraId="0149E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30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B1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供应保障要求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136BD">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71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★供应能力证明</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93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66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提供供应链稳定承诺书，确保产品的部件在产品服务周期内稳定供货</w:t>
            </w:r>
          </w:p>
        </w:tc>
      </w:tr>
      <w:tr w14:paraId="54775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74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179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11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安全要求</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8EE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关键部件安全要求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97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★关键部件安全要求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63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12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240A2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89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89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安全要求</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7D2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整机安全性要求</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80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USB 端口管控</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40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691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 USB 端口管控</w:t>
            </w:r>
          </w:p>
        </w:tc>
      </w:tr>
      <w:tr w14:paraId="39B9B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B4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40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13B84">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top"/>
          </w:tcPr>
          <w:p w14:paraId="4B4EB4F0">
            <w:pPr>
              <w:keepNext w:val="0"/>
              <w:keepLines w:val="0"/>
              <w:widowControl/>
              <w:suppressLineNumbers w:val="0"/>
              <w:jc w:val="center"/>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★密码算法实现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27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73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5CDFF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C0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65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779D5">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CF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安全物理锁</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FE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2E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不涉及</w:t>
            </w:r>
          </w:p>
        </w:tc>
      </w:tr>
      <w:tr w14:paraId="7D41D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FB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42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66310">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74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★信息安全基础要求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3F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72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 应符合 GB/T 39276 的 5.2 的规定； b) 生产厂商应建立漏洞跟踪表，保证产品版本涉及到的漏洞(如驱动程序等)可查看； c) 不得包含已知的恶意代码或漏洞，不存在未声明的指令、功能、接口</w:t>
            </w:r>
          </w:p>
        </w:tc>
      </w:tr>
      <w:tr w14:paraId="59FFB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70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8D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7FA19">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A5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固件安全启动</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50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4CF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支持固件安全启动功能，固件启动过程中只有通过启动校验才能正常启动</w:t>
            </w:r>
          </w:p>
        </w:tc>
      </w:tr>
      <w:tr w14:paraId="23328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E5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185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B20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安全要求</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A42AB">
            <w:pPr>
              <w:jc w:val="center"/>
              <w:rPr>
                <w:rFonts w:hint="eastAsia" w:ascii="宋体" w:hAnsi="宋体" w:eastAsia="宋体" w:cs="宋体"/>
                <w:i w:val="0"/>
                <w:iCs w:val="0"/>
                <w:color w:val="auto"/>
                <w:sz w:val="18"/>
                <w:szCs w:val="18"/>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96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★限用物质的限量要求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4D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否</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71C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符合 GB/T 26572 中规定</w:t>
            </w:r>
          </w:p>
        </w:tc>
      </w:tr>
    </w:tbl>
    <w:p w14:paraId="3D64F663">
      <w:pPr>
        <w:spacing w:line="560" w:lineRule="exact"/>
        <w:ind w:firstLine="640" w:firstLineChars="200"/>
        <w:jc w:val="left"/>
        <w:rPr>
          <w:rFonts w:hint="eastAsia" w:ascii="仿宋" w:hAnsi="仿宋" w:eastAsia="仿宋"/>
          <w:color w:val="000000"/>
          <w:sz w:val="32"/>
          <w:szCs w:val="32"/>
          <w:highlight w:val="none"/>
        </w:rPr>
      </w:pPr>
      <w:r>
        <w:rPr>
          <w:rFonts w:hint="eastAsia" w:ascii="仿宋" w:hAnsi="仿宋" w:eastAsia="仿宋"/>
          <w:color w:val="000000"/>
          <w:sz w:val="32"/>
          <w:szCs w:val="32"/>
          <w:highlight w:val="none"/>
          <w:lang w:val="en-US" w:eastAsia="zh-CN"/>
        </w:rPr>
        <w:t>2、</w:t>
      </w:r>
      <w:r>
        <w:rPr>
          <w:rFonts w:hint="eastAsia" w:ascii="仿宋" w:hAnsi="仿宋" w:eastAsia="仿宋"/>
          <w:color w:val="000000"/>
          <w:sz w:val="32"/>
          <w:szCs w:val="32"/>
          <w:highlight w:val="none"/>
        </w:rPr>
        <w:t>商务要求</w:t>
      </w:r>
    </w:p>
    <w:p w14:paraId="654CF959">
      <w:pPr>
        <w:spacing w:line="560" w:lineRule="exact"/>
        <w:ind w:firstLine="640" w:firstLineChars="200"/>
        <w:jc w:val="left"/>
        <w:rPr>
          <w:rFonts w:hint="eastAsia" w:ascii="仿宋" w:hAnsi="仿宋" w:eastAsia="仿宋" w:cs="仿宋"/>
          <w:kern w:val="0"/>
          <w:sz w:val="32"/>
          <w:szCs w:val="32"/>
          <w:highlight w:val="none"/>
          <w:lang w:val="zh-CN"/>
        </w:rPr>
      </w:pPr>
      <w:r>
        <w:rPr>
          <w:rFonts w:hint="eastAsia" w:ascii="仿宋" w:hAnsi="仿宋" w:eastAsia="仿宋"/>
          <w:iCs/>
          <w:color w:val="000000"/>
          <w:sz w:val="32"/>
          <w:szCs w:val="32"/>
          <w:highlight w:val="none"/>
          <w:u w:val="single"/>
        </w:rPr>
        <w:t>①交货时间：</w:t>
      </w:r>
      <w:r>
        <w:rPr>
          <w:rFonts w:hint="eastAsia" w:ascii="仿宋" w:hAnsi="仿宋" w:eastAsia="仿宋" w:cs="仿宋"/>
          <w:kern w:val="0"/>
          <w:sz w:val="32"/>
          <w:szCs w:val="32"/>
          <w:highlight w:val="none"/>
          <w:lang w:val="zh-CN"/>
        </w:rPr>
        <w:t>合同签订之日起30个工作日内交付并安装调试合格。</w:t>
      </w:r>
    </w:p>
    <w:p w14:paraId="5506ACD0">
      <w:pPr>
        <w:autoSpaceDE w:val="0"/>
        <w:autoSpaceDN w:val="0"/>
        <w:spacing w:line="560" w:lineRule="exact"/>
        <w:ind w:firstLine="640" w:firstLineChars="200"/>
        <w:rPr>
          <w:rFonts w:hint="eastAsia" w:ascii="仿宋" w:hAnsi="仿宋" w:eastAsia="仿宋" w:cs="仿宋"/>
          <w:kern w:val="0"/>
          <w:sz w:val="32"/>
          <w:szCs w:val="32"/>
          <w:highlight w:val="none"/>
          <w:lang w:val="zh-CN"/>
        </w:rPr>
      </w:pPr>
      <w:r>
        <w:rPr>
          <w:rFonts w:hint="eastAsia" w:ascii="仿宋" w:hAnsi="仿宋" w:eastAsia="仿宋"/>
          <w:iCs/>
          <w:color w:val="000000"/>
          <w:sz w:val="32"/>
          <w:szCs w:val="32"/>
          <w:highlight w:val="none"/>
          <w:u w:val="single"/>
        </w:rPr>
        <w:t>②</w:t>
      </w:r>
      <w:r>
        <w:rPr>
          <w:rFonts w:hint="eastAsia" w:ascii="仿宋" w:hAnsi="仿宋" w:eastAsia="仿宋" w:cs="仿宋"/>
          <w:kern w:val="0"/>
          <w:sz w:val="32"/>
          <w:szCs w:val="32"/>
          <w:highlight w:val="none"/>
          <w:lang w:val="zh-CN"/>
        </w:rPr>
        <w:t>交货地点：天津体育学院内（具体以合同签订为准）。</w:t>
      </w:r>
    </w:p>
    <w:p w14:paraId="7C208D76">
      <w:pPr>
        <w:autoSpaceDE w:val="0"/>
        <w:autoSpaceDN w:val="0"/>
        <w:spacing w:line="560" w:lineRule="exact"/>
        <w:ind w:firstLine="640" w:firstLineChars="200"/>
        <w:rPr>
          <w:rFonts w:hint="eastAsia" w:ascii="仿宋" w:hAnsi="仿宋" w:eastAsia="仿宋" w:cs="仿宋"/>
          <w:kern w:val="0"/>
          <w:sz w:val="32"/>
          <w:szCs w:val="32"/>
          <w:highlight w:val="none"/>
          <w:lang w:val="zh-CN"/>
        </w:rPr>
      </w:pPr>
      <w:r>
        <w:rPr>
          <w:rFonts w:hint="eastAsia" w:ascii="仿宋" w:hAnsi="仿宋" w:eastAsia="仿宋"/>
          <w:iCs/>
          <w:color w:val="000000"/>
          <w:sz w:val="32"/>
          <w:szCs w:val="32"/>
          <w:highlight w:val="none"/>
          <w:u w:val="single"/>
        </w:rPr>
        <w:t>③</w:t>
      </w:r>
      <w:r>
        <w:rPr>
          <w:rFonts w:hint="eastAsia" w:ascii="仿宋" w:hAnsi="仿宋" w:eastAsia="仿宋" w:cs="仿宋"/>
          <w:kern w:val="0"/>
          <w:sz w:val="32"/>
          <w:szCs w:val="32"/>
          <w:highlight w:val="none"/>
          <w:lang w:val="zh-CN"/>
        </w:rPr>
        <w:t>交货范围：除主体设备外，还须包括提供生产厂家的完整的随机资料，包括完整的使用和维修手册、配套的辅助设备、技术资料（包括操作手册、使用指南、维修指南或服务手册等）、设备使用所必需的备品备件，负责运输、安装并提供相应的技术服务与质量保证。</w:t>
      </w:r>
    </w:p>
    <w:p w14:paraId="07DFE946">
      <w:pPr>
        <w:autoSpaceDE w:val="0"/>
        <w:autoSpaceDN w:val="0"/>
        <w:spacing w:line="560" w:lineRule="exact"/>
        <w:ind w:firstLine="640" w:firstLineChars="200"/>
        <w:rPr>
          <w:rFonts w:hint="eastAsia" w:ascii="仿宋" w:hAnsi="仿宋" w:eastAsia="仿宋" w:cs="仿宋"/>
          <w:kern w:val="0"/>
          <w:sz w:val="32"/>
          <w:szCs w:val="32"/>
          <w:highlight w:val="none"/>
          <w:lang w:val="zh-CN"/>
        </w:rPr>
      </w:pPr>
      <w:r>
        <w:rPr>
          <w:rFonts w:hint="eastAsia" w:ascii="仿宋" w:hAnsi="仿宋" w:eastAsia="仿宋"/>
          <w:iCs/>
          <w:color w:val="000000"/>
          <w:sz w:val="32"/>
          <w:szCs w:val="32"/>
          <w:highlight w:val="none"/>
          <w:u w:val="single"/>
        </w:rPr>
        <w:t>④</w:t>
      </w:r>
      <w:r>
        <w:rPr>
          <w:rFonts w:hint="eastAsia" w:ascii="仿宋" w:hAnsi="仿宋" w:eastAsia="仿宋" w:cs="仿宋"/>
          <w:kern w:val="0"/>
          <w:sz w:val="32"/>
          <w:szCs w:val="32"/>
          <w:highlight w:val="none"/>
        </w:rPr>
        <w:t>质保期：投标人提供自设备最终验收报告签署之日起36个月的质保服务，免费上门保修，终身维修。质保期内免费更换零配件，7×24小时技术响应，72小时内维修工程师到达维修现场。由投标人提供产品保修文件。</w:t>
      </w:r>
    </w:p>
    <w:p w14:paraId="3404CA38">
      <w:pPr>
        <w:autoSpaceDE w:val="0"/>
        <w:autoSpaceDN w:val="0"/>
        <w:spacing w:line="560" w:lineRule="exact"/>
        <w:ind w:firstLine="640" w:firstLineChars="200"/>
        <w:rPr>
          <w:rFonts w:hint="eastAsia" w:ascii="仿宋" w:hAnsi="仿宋" w:eastAsia="仿宋" w:cs="仿宋"/>
          <w:kern w:val="0"/>
          <w:sz w:val="32"/>
          <w:szCs w:val="32"/>
          <w:highlight w:val="none"/>
        </w:rPr>
      </w:pPr>
      <w:r>
        <w:rPr>
          <w:rFonts w:hint="eastAsia" w:ascii="仿宋" w:hAnsi="仿宋" w:eastAsia="仿宋"/>
          <w:iCs/>
          <w:color w:val="000000"/>
          <w:sz w:val="32"/>
          <w:szCs w:val="32"/>
          <w:highlight w:val="none"/>
          <w:u w:val="single"/>
        </w:rPr>
        <w:t>⑤</w:t>
      </w:r>
      <w:r>
        <w:rPr>
          <w:rFonts w:hint="eastAsia" w:ascii="仿宋" w:hAnsi="仿宋" w:eastAsia="仿宋" w:cs="仿宋"/>
          <w:kern w:val="0"/>
          <w:sz w:val="32"/>
          <w:szCs w:val="32"/>
          <w:highlight w:val="none"/>
        </w:rPr>
        <w:t>投标人须保证采购人在使用过程中免受知识产权、版权、专利权、商标权和工业设计权等起诉。</w:t>
      </w:r>
    </w:p>
    <w:p w14:paraId="36CE8B21">
      <w:pPr>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iCs/>
          <w:color w:val="000000"/>
          <w:sz w:val="32"/>
          <w:szCs w:val="32"/>
          <w:highlight w:val="none"/>
          <w:u w:val="single"/>
        </w:rPr>
        <w:t>⑥</w:t>
      </w:r>
      <w:r>
        <w:rPr>
          <w:rFonts w:hint="eastAsia" w:ascii="仿宋" w:hAnsi="仿宋" w:eastAsia="仿宋" w:cs="仿宋"/>
          <w:kern w:val="0"/>
          <w:sz w:val="32"/>
          <w:szCs w:val="32"/>
          <w:highlight w:val="none"/>
        </w:rPr>
        <w:t>付款方式：合同签订后10日内，供应商将合同金额 50% 的银行预付款保函（保函索赔条件为见索即付，保函索赔文件仅需索赔声明及保函正本原件）交到采购人，采购人在收到履约保证金和符合采购人要求的银行预付款保函后10日内将合同全款（100%）打入供应商银行账户。预付款保函有效期为自保函出具之日起，至本合同约定的标的执行完毕并验收合格之日止。如提交的预付款保函不符合采购人要求，采购人有权拒付合同款（特殊情况以合同为准）。中标供应商须根据付款数额向采购人开具符合国家法律法规和标准的正规增值税专用发票。</w:t>
      </w:r>
    </w:p>
    <w:p w14:paraId="2CBC4117">
      <w:pPr>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中标供应商须根据付款数额向采购人开具符合国家法律法规和标准的正规增值税专用发票。</w:t>
      </w:r>
    </w:p>
    <w:p w14:paraId="4D19C980">
      <w:pPr>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val="zh-CN"/>
        </w:rPr>
        <w:t>⑦</w:t>
      </w:r>
      <w:r>
        <w:rPr>
          <w:rFonts w:hint="eastAsia" w:ascii="仿宋" w:hAnsi="仿宋" w:eastAsia="仿宋" w:cs="仿宋"/>
          <w:kern w:val="0"/>
          <w:sz w:val="32"/>
          <w:szCs w:val="32"/>
          <w:highlight w:val="none"/>
        </w:rPr>
        <w:t>服务要求：投标人提供所投软硬件产品至少3年原厂硬件质保及软件升级服务，设备保修期内免费更换零配件，提供7×24小时技术响应，4小时内运维工程师到达现场，免费运维服务期自验收合格之日起计算。提供不少于5天不少于10人的工程师安装配置等实操培训课程，场地、交通等与培训相关的费用均由中标供应商承担。项目实施完成后，中标供应商应提供项目相关的文档资料，包括全套产品技术资料和项目验收文档等。中标供应商须负责所有服务项目与现有设备、系统的对接和数据迁移工作，如若涉及对接和迁移费用，由中标供应商负责。中标供应商的服务人员的上岗、调岗、离岗须得到采购人许可。</w:t>
      </w:r>
    </w:p>
    <w:p w14:paraId="71540B8A">
      <w:pPr>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人员方面，投标人须为本项目投入至少1名项目经理，负责项目整体统筹管理，具体职责包括项目全生命周期管控、服务体系建设、信息安全统筹、网络技术总把关及沟通与闭环管理；同时须配备不少于3名售后服务工程师（项目经理除外），响应日常技术保障、安全运维服务及设备运维保障工作</w:t>
      </w:r>
    </w:p>
    <w:p w14:paraId="404B9762">
      <w:pPr>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⑧</w:t>
      </w:r>
      <w:r>
        <w:rPr>
          <w:rFonts w:hint="eastAsia" w:ascii="仿宋" w:hAnsi="仿宋" w:eastAsia="仿宋" w:cs="仿宋"/>
          <w:kern w:val="0"/>
          <w:sz w:val="32"/>
          <w:szCs w:val="32"/>
          <w:highlight w:val="none"/>
          <w:lang w:val="zh-CN"/>
        </w:rPr>
        <w:t>履约保证金（根据项目情况，此项可选择填写）：收取履约保证金，保证金收取金额为中标金额的</w:t>
      </w:r>
      <w:r>
        <w:rPr>
          <w:rFonts w:hint="eastAsia" w:ascii="仿宋" w:hAnsi="仿宋" w:eastAsia="仿宋" w:cs="仿宋"/>
          <w:kern w:val="0"/>
          <w:sz w:val="32"/>
          <w:szCs w:val="32"/>
          <w:highlight w:val="none"/>
        </w:rPr>
        <w:t>10%，验收合格之日起一年后所有设备使用无质量问题后15日内无息退还履约保证金。</w:t>
      </w:r>
    </w:p>
    <w:p w14:paraId="2EFB53F5">
      <w:pPr>
        <w:spacing w:line="560" w:lineRule="exact"/>
        <w:rPr>
          <w:highlight w:val="none"/>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17352">
    <w:pPr>
      <w:pStyle w:val="5"/>
      <w:jc w:val="right"/>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6A8FF0">
                          <w:pPr>
                            <w:pStyle w:val="5"/>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6</w:t>
                          </w:r>
                          <w:r>
                            <w:rPr>
                              <w:rFonts w:ascii="宋体" w:hAnsi="宋体"/>
                              <w:sz w:val="28"/>
                              <w:szCs w:val="28"/>
                            </w:rPr>
                            <w:fldChar w:fldCharType="end"/>
                          </w:r>
                          <w:r>
                            <w:rPr>
                              <w:rFonts w:hint="eastAsia"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16A8FF0">
                    <w:pPr>
                      <w:pStyle w:val="5"/>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6</w:t>
                    </w:r>
                    <w:r>
                      <w:rPr>
                        <w:rFonts w:ascii="宋体" w:hAnsi="宋体"/>
                        <w:sz w:val="28"/>
                        <w:szCs w:val="28"/>
                      </w:rPr>
                      <w:fldChar w:fldCharType="end"/>
                    </w:r>
                    <w:r>
                      <w:rPr>
                        <w:rFonts w:hint="eastAsia" w:ascii="宋体" w:hAnsi="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EEA595"/>
    <w:multiLevelType w:val="singleLevel"/>
    <w:tmpl w:val="04EEA595"/>
    <w:lvl w:ilvl="0" w:tentative="0">
      <w:start w:val="1"/>
      <w:numFmt w:val="chineseCounting"/>
      <w:suff w:val="nothing"/>
      <w:lvlText w:val="%1、"/>
      <w:lvlJc w:val="left"/>
      <w:rPr>
        <w:rFonts w:hint="eastAsia"/>
      </w:rPr>
    </w:lvl>
  </w:abstractNum>
  <w:abstractNum w:abstractNumId="1">
    <w:nsid w:val="66D869F1"/>
    <w:multiLevelType w:val="singleLevel"/>
    <w:tmpl w:val="66D869F1"/>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ljNGI2ODk4YTFlNThjMzVkODdjYzkzNWU4Y2ViZmMifQ=="/>
  </w:docVars>
  <w:rsids>
    <w:rsidRoot w:val="00133229"/>
    <w:rsid w:val="000119E9"/>
    <w:rsid w:val="00020797"/>
    <w:rsid w:val="00076346"/>
    <w:rsid w:val="000A0701"/>
    <w:rsid w:val="000E013A"/>
    <w:rsid w:val="00105D02"/>
    <w:rsid w:val="001141DC"/>
    <w:rsid w:val="0013128A"/>
    <w:rsid w:val="00133229"/>
    <w:rsid w:val="0018666E"/>
    <w:rsid w:val="001C26E4"/>
    <w:rsid w:val="001D581F"/>
    <w:rsid w:val="001F5ED9"/>
    <w:rsid w:val="00202282"/>
    <w:rsid w:val="00233F9E"/>
    <w:rsid w:val="00284131"/>
    <w:rsid w:val="00335942"/>
    <w:rsid w:val="003A502F"/>
    <w:rsid w:val="003B314E"/>
    <w:rsid w:val="003B42E0"/>
    <w:rsid w:val="003D0B4F"/>
    <w:rsid w:val="003E4C11"/>
    <w:rsid w:val="003E53AE"/>
    <w:rsid w:val="0041620E"/>
    <w:rsid w:val="00424615"/>
    <w:rsid w:val="00477B89"/>
    <w:rsid w:val="005353C1"/>
    <w:rsid w:val="00544AD1"/>
    <w:rsid w:val="005A05F3"/>
    <w:rsid w:val="005A42F8"/>
    <w:rsid w:val="005F6899"/>
    <w:rsid w:val="00604D52"/>
    <w:rsid w:val="0063202E"/>
    <w:rsid w:val="006407E0"/>
    <w:rsid w:val="00643E35"/>
    <w:rsid w:val="00677666"/>
    <w:rsid w:val="006E2E74"/>
    <w:rsid w:val="007468F2"/>
    <w:rsid w:val="00774975"/>
    <w:rsid w:val="00787F1B"/>
    <w:rsid w:val="008131D5"/>
    <w:rsid w:val="0085312E"/>
    <w:rsid w:val="008535B7"/>
    <w:rsid w:val="00854B86"/>
    <w:rsid w:val="00891718"/>
    <w:rsid w:val="009D0E42"/>
    <w:rsid w:val="009F4E55"/>
    <w:rsid w:val="00AB5F73"/>
    <w:rsid w:val="00AF7C45"/>
    <w:rsid w:val="00B15C85"/>
    <w:rsid w:val="00B60B00"/>
    <w:rsid w:val="00BC3DDE"/>
    <w:rsid w:val="00BF7CC8"/>
    <w:rsid w:val="00C05C96"/>
    <w:rsid w:val="00C546F1"/>
    <w:rsid w:val="00C83DEC"/>
    <w:rsid w:val="00D24D83"/>
    <w:rsid w:val="00D32427"/>
    <w:rsid w:val="00D47EFD"/>
    <w:rsid w:val="00D550D9"/>
    <w:rsid w:val="00D55F6E"/>
    <w:rsid w:val="00D663E6"/>
    <w:rsid w:val="00DC2642"/>
    <w:rsid w:val="00DD2AD9"/>
    <w:rsid w:val="00DD4FF0"/>
    <w:rsid w:val="00E65EF5"/>
    <w:rsid w:val="00ED206B"/>
    <w:rsid w:val="00ED20F7"/>
    <w:rsid w:val="00EF5B69"/>
    <w:rsid w:val="00F615EC"/>
    <w:rsid w:val="00F72F75"/>
    <w:rsid w:val="00F81951"/>
    <w:rsid w:val="00F8794B"/>
    <w:rsid w:val="00FE5257"/>
    <w:rsid w:val="04A66BC6"/>
    <w:rsid w:val="05AE5239"/>
    <w:rsid w:val="06824DC3"/>
    <w:rsid w:val="08D00067"/>
    <w:rsid w:val="093D790D"/>
    <w:rsid w:val="0A763B13"/>
    <w:rsid w:val="0B6E3B68"/>
    <w:rsid w:val="0C383A47"/>
    <w:rsid w:val="0F024CF3"/>
    <w:rsid w:val="0F8C0A60"/>
    <w:rsid w:val="1997072D"/>
    <w:rsid w:val="1BA01B1B"/>
    <w:rsid w:val="1EC67912"/>
    <w:rsid w:val="1F50138D"/>
    <w:rsid w:val="20A742D4"/>
    <w:rsid w:val="21F32C98"/>
    <w:rsid w:val="22B34100"/>
    <w:rsid w:val="23386ADD"/>
    <w:rsid w:val="233F0982"/>
    <w:rsid w:val="2A290DCC"/>
    <w:rsid w:val="34E65C1C"/>
    <w:rsid w:val="38042FDA"/>
    <w:rsid w:val="4040084A"/>
    <w:rsid w:val="46462C0B"/>
    <w:rsid w:val="46C44049"/>
    <w:rsid w:val="4DA415B8"/>
    <w:rsid w:val="52410C5B"/>
    <w:rsid w:val="575050ED"/>
    <w:rsid w:val="58092A30"/>
    <w:rsid w:val="59404DD6"/>
    <w:rsid w:val="5943350B"/>
    <w:rsid w:val="5BAC6BEC"/>
    <w:rsid w:val="5D4628ED"/>
    <w:rsid w:val="5F2F5CD4"/>
    <w:rsid w:val="5F7819DD"/>
    <w:rsid w:val="620B49C4"/>
    <w:rsid w:val="63EB6C79"/>
    <w:rsid w:val="687F3E33"/>
    <w:rsid w:val="68D75A1D"/>
    <w:rsid w:val="77227E6E"/>
    <w:rsid w:val="7B95159A"/>
    <w:rsid w:val="7CEB187B"/>
    <w:rsid w:val="7DE40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cs="Arial"/>
    </w:rPr>
  </w:style>
  <w:style w:type="paragraph" w:styleId="3">
    <w:name w:val="annotation text"/>
    <w:basedOn w:val="1"/>
    <w:semiHidden/>
    <w:unhideWhenUsed/>
    <w:qFormat/>
    <w:uiPriority w:val="99"/>
    <w:pPr>
      <w:jc w:val="left"/>
    </w:pPr>
  </w:style>
  <w:style w:type="paragraph" w:styleId="4">
    <w:name w:val="Body Text"/>
    <w:basedOn w:val="1"/>
    <w:unhideWhenUsed/>
    <w:qFormat/>
    <w:uiPriority w:val="99"/>
    <w:pPr>
      <w:spacing w:after="120"/>
    </w:pPr>
    <w:rPr>
      <w:rFonts w:ascii="Calibri" w:hAnsi="Calibri"/>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semiHidden/>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字符"/>
    <w:basedOn w:val="10"/>
    <w:link w:val="6"/>
    <w:qFormat/>
    <w:uiPriority w:val="99"/>
    <w:rPr>
      <w:sz w:val="18"/>
      <w:szCs w:val="18"/>
    </w:rPr>
  </w:style>
  <w:style w:type="character" w:customStyle="1" w:styleId="15">
    <w:name w:val="页脚 字符"/>
    <w:basedOn w:val="10"/>
    <w:link w:val="5"/>
    <w:qFormat/>
    <w:uiPriority w:val="99"/>
    <w:rPr>
      <w:sz w:val="18"/>
      <w:szCs w:val="18"/>
    </w:rPr>
  </w:style>
  <w:style w:type="paragraph" w:styleId="16">
    <w:name w:val="List Paragraph"/>
    <w:basedOn w:val="1"/>
    <w:qFormat/>
    <w:uiPriority w:val="34"/>
    <w:pPr>
      <w:ind w:firstLine="420" w:firstLineChars="200"/>
    </w:pPr>
  </w:style>
  <w:style w:type="paragraph" w:customStyle="1" w:styleId="1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3"/>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84</Words>
  <Characters>88</Characters>
  <Lines>49</Lines>
  <Paragraphs>13</Paragraphs>
  <TotalTime>14</TotalTime>
  <ScaleCrop>false</ScaleCrop>
  <LinksUpToDate>false</LinksUpToDate>
  <CharactersWithSpaces>217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2026-11-03T10:39:00Z</dcterms:created>
  <dc:creator>Administrator</dc:creator>
  <cp:lastModifiedBy>片羽时光[咖啡]</cp:lastModifiedBy>
  <dcterms:modified xsi:type="dcterms:W3CDTF">2026-11-04T02:30:06Z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15819292EB294DBE86F02A9BEC932743_13</vt:lpwstr>
  </property>
  <property fmtid="{D5CDD505-2E9C-101B-9397-08002B2CF9AE}" pid="4" name="KSOTemplateDocerSaveRecord">
    <vt:lpwstr>eyJoZGlkIjoiMGRkMTBjYzYwOTM4M2JlZmIxMjRiNmI0YzNmOTJmZDAiLCJ1c2VySWQiOiI3NTk1MzM0MzEifQ==</vt:lpwstr>
  </property>
</Properties>
</file>