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A6FCD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ascii="楷体" w:hAnsi="楷体" w:eastAsia="楷体"/>
          <w:color w:val="000000"/>
          <w:sz w:val="32"/>
          <w:szCs w:val="32"/>
        </w:rPr>
      </w:pPr>
      <w:bookmarkStart w:id="0" w:name="_GoBack"/>
      <w:bookmarkEnd w:id="0"/>
      <w:r>
        <w:rPr>
          <w:rFonts w:hint="eastAsia" w:ascii="楷体" w:hAnsi="楷体" w:eastAsia="楷体"/>
          <w:color w:val="000000"/>
          <w:sz w:val="32"/>
          <w:szCs w:val="32"/>
        </w:rPr>
        <w:t>技术商务要求</w:t>
      </w:r>
    </w:p>
    <w:p w14:paraId="09E6EF5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楷体" w:hAnsi="楷体" w:eastAsia="仿宋"/>
          <w:color w:val="000000"/>
          <w:sz w:val="32"/>
          <w:szCs w:val="32"/>
          <w:lang w:eastAsia="zh-CN"/>
        </w:rPr>
      </w:pPr>
      <w:r>
        <w:rPr>
          <w:rFonts w:hint="eastAsia" w:ascii="仿宋" w:hAnsi="仿宋" w:eastAsia="仿宋"/>
          <w:color w:val="000000"/>
          <w:sz w:val="32"/>
          <w:szCs w:val="32"/>
        </w:rPr>
        <w:t>（1）技术要求</w:t>
      </w:r>
      <w:r>
        <w:rPr>
          <w:rFonts w:hint="eastAsia" w:ascii="仿宋" w:hAnsi="仿宋" w:eastAsia="仿宋"/>
          <w:color w:val="000000"/>
          <w:sz w:val="32"/>
          <w:szCs w:val="32"/>
          <w:lang w:eastAsia="zh-CN"/>
        </w:rPr>
        <w:t>（</w:t>
      </w:r>
      <w:r>
        <w:rPr>
          <w:rFonts w:hint="eastAsia" w:ascii="仿宋" w:hAnsi="仿宋" w:eastAsia="仿宋"/>
          <w:color w:val="000000"/>
          <w:sz w:val="32"/>
          <w:szCs w:val="32"/>
          <w:u w:val="single"/>
        </w:rPr>
        <w:t>加注“★”号条款为实质性条款，不得出现负偏离，发生负偏离即做无效标处理。加注“</w:t>
      </w:r>
      <w:r>
        <w:rPr>
          <w:rFonts w:hint="eastAsia" w:ascii="宋体" w:hAnsi="宋体" w:eastAsia="宋体" w:cs="宋体"/>
          <w:sz w:val="24"/>
          <w:szCs w:val="24"/>
        </w:rPr>
        <w:t>●</w:t>
      </w:r>
      <w:r>
        <w:rPr>
          <w:rFonts w:hint="eastAsia" w:ascii="仿宋" w:hAnsi="仿宋" w:eastAsia="仿宋"/>
          <w:color w:val="000000"/>
          <w:sz w:val="32"/>
          <w:szCs w:val="32"/>
          <w:u w:val="single"/>
        </w:rPr>
        <w:t>”号的为</w:t>
      </w:r>
      <w:r>
        <w:rPr>
          <w:rFonts w:hint="eastAsia" w:ascii="仿宋" w:hAnsi="仿宋" w:eastAsia="仿宋"/>
          <w:color w:val="000000"/>
          <w:sz w:val="32"/>
          <w:szCs w:val="32"/>
          <w:u w:val="single"/>
          <w:lang w:eastAsia="zh-CN"/>
        </w:rPr>
        <w:t>重要参数</w:t>
      </w:r>
      <w:r>
        <w:rPr>
          <w:rFonts w:hint="eastAsia" w:ascii="仿宋" w:hAnsi="仿宋" w:eastAsia="仿宋"/>
          <w:color w:val="000000"/>
          <w:sz w:val="32"/>
          <w:szCs w:val="32"/>
          <w:u w:val="single"/>
        </w:rPr>
        <w:t>。</w:t>
      </w:r>
      <w:r>
        <w:rPr>
          <w:rFonts w:hint="eastAsia" w:ascii="仿宋" w:hAnsi="仿宋" w:eastAsia="仿宋"/>
          <w:color w:val="000000"/>
          <w:sz w:val="32"/>
          <w:szCs w:val="32"/>
          <w:u w:val="single"/>
          <w:lang w:val="en-US" w:eastAsia="zh-CN"/>
        </w:rPr>
        <w:t>加注“</w:t>
      </w:r>
      <w:r>
        <w:rPr>
          <w:rFonts w:hint="eastAsia" w:ascii="仿宋" w:hAnsi="仿宋" w:eastAsia="仿宋"/>
          <w:color w:val="000000"/>
          <w:sz w:val="32"/>
          <w:szCs w:val="32"/>
          <w:u w:val="single"/>
        </w:rPr>
        <w:t>▲</w:t>
      </w:r>
      <w:r>
        <w:rPr>
          <w:rFonts w:hint="eastAsia" w:ascii="仿宋" w:hAnsi="仿宋" w:eastAsia="仿宋"/>
          <w:color w:val="000000"/>
          <w:sz w:val="32"/>
          <w:szCs w:val="32"/>
          <w:u w:val="single"/>
          <w:lang w:eastAsia="zh-CN"/>
        </w:rPr>
        <w:t>”</w:t>
      </w:r>
      <w:r>
        <w:rPr>
          <w:rFonts w:hint="eastAsia" w:ascii="仿宋" w:hAnsi="仿宋" w:eastAsia="仿宋"/>
          <w:color w:val="000000"/>
          <w:sz w:val="32"/>
          <w:szCs w:val="32"/>
          <w:u w:val="single"/>
          <w:lang w:val="en-US" w:eastAsia="zh-CN"/>
        </w:rPr>
        <w:t>的为核心产品。</w:t>
      </w:r>
      <w:r>
        <w:rPr>
          <w:rFonts w:hint="eastAsia" w:ascii="仿宋" w:hAnsi="仿宋" w:eastAsia="仿宋"/>
          <w:color w:val="000000"/>
          <w:sz w:val="32"/>
          <w:szCs w:val="32"/>
          <w:u w:val="single"/>
          <w:lang w:eastAsia="zh-CN"/>
        </w:rPr>
        <w:t>）</w:t>
      </w:r>
    </w:p>
    <w:tbl>
      <w:tblPr>
        <w:tblStyle w:val="6"/>
        <w:tblW w:w="9090" w:type="dxa"/>
        <w:tblInd w:w="-5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515"/>
        <w:gridCol w:w="5175"/>
        <w:gridCol w:w="825"/>
        <w:gridCol w:w="810"/>
      </w:tblGrid>
      <w:tr w14:paraId="713AB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14:paraId="3A5C8D9E">
            <w:pPr>
              <w:spacing w:before="156" w:beforeLines="50" w:after="156" w:afterLines="50" w:line="36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序号</w:t>
            </w:r>
          </w:p>
        </w:tc>
        <w:tc>
          <w:tcPr>
            <w:tcW w:w="1515" w:type="dxa"/>
            <w:vAlign w:val="center"/>
          </w:tcPr>
          <w:p w14:paraId="20F7E2BF">
            <w:pPr>
              <w:spacing w:before="156" w:beforeLines="50" w:after="156" w:afterLines="50" w:line="36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标的名称</w:t>
            </w:r>
          </w:p>
        </w:tc>
        <w:tc>
          <w:tcPr>
            <w:tcW w:w="5175" w:type="dxa"/>
            <w:vAlign w:val="center"/>
          </w:tcPr>
          <w:p w14:paraId="4E74BBBF">
            <w:pPr>
              <w:spacing w:before="156" w:beforeLines="50" w:after="156" w:afterLines="50" w:line="36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技术要求</w:t>
            </w:r>
          </w:p>
        </w:tc>
        <w:tc>
          <w:tcPr>
            <w:tcW w:w="825" w:type="dxa"/>
            <w:vAlign w:val="center"/>
          </w:tcPr>
          <w:p w14:paraId="492841AD">
            <w:pPr>
              <w:spacing w:before="156" w:beforeLines="50" w:after="156" w:afterLines="50" w:line="36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单位</w:t>
            </w:r>
          </w:p>
        </w:tc>
        <w:tc>
          <w:tcPr>
            <w:tcW w:w="810" w:type="dxa"/>
            <w:vAlign w:val="center"/>
          </w:tcPr>
          <w:p w14:paraId="791E37CF">
            <w:pPr>
              <w:spacing w:before="156" w:beforeLines="50" w:after="156" w:afterLines="50" w:line="36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数量</w:t>
            </w:r>
          </w:p>
        </w:tc>
      </w:tr>
      <w:tr w14:paraId="3F35C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14:paraId="7CCA3769">
            <w:pPr>
              <w:spacing w:before="156" w:beforeLines="50" w:after="156" w:afterLines="50" w:line="36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p>
        </w:tc>
        <w:tc>
          <w:tcPr>
            <w:tcW w:w="1515" w:type="dxa"/>
            <w:vAlign w:val="center"/>
          </w:tcPr>
          <w:p w14:paraId="5750C40F">
            <w:pPr>
              <w:spacing w:before="156" w:beforeLines="50" w:after="156" w:afterLines="50" w:line="360" w:lineRule="auto"/>
              <w:jc w:val="center"/>
              <w:rPr>
                <w:rFonts w:ascii="宋体" w:hAnsi="宋体" w:eastAsia="宋体" w:cs="宋体"/>
                <w:color w:val="000000"/>
                <w:sz w:val="24"/>
                <w:szCs w:val="24"/>
                <w:highlight w:val="none"/>
              </w:rPr>
            </w:pPr>
            <w:r>
              <w:rPr>
                <w:rFonts w:hint="eastAsia" w:ascii="宋体" w:hAnsi="宋体" w:eastAsia="宋体" w:cs="宋体"/>
                <w:sz w:val="24"/>
                <w:szCs w:val="24"/>
                <w:highlight w:val="none"/>
              </w:rPr>
              <w:t>▲</w:t>
            </w:r>
            <w:r>
              <w:rPr>
                <w:rFonts w:hint="eastAsia" w:ascii="宋体" w:hAnsi="宋体" w:eastAsia="宋体" w:cs="宋体"/>
                <w:color w:val="000000"/>
                <w:sz w:val="24"/>
                <w:szCs w:val="24"/>
                <w:highlight w:val="none"/>
              </w:rPr>
              <w:t>数字化智慧评估与训练系统</w:t>
            </w:r>
          </w:p>
        </w:tc>
        <w:tc>
          <w:tcPr>
            <w:tcW w:w="5175" w:type="dxa"/>
            <w:vAlign w:val="center"/>
          </w:tcPr>
          <w:p w14:paraId="049FEFAB">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1.项目管理模块</w:t>
            </w:r>
          </w:p>
          <w:p w14:paraId="41B974F3">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1.1.须支持创建多个项目组和项目，项目组信息包括项目组名称、负责人、项目成员、实验大纲，管理员账号须支持为每个项目组指定项目负责人，通过导入txt文件自动生成项目组实验大纲，项目可添加信息对项目详情进行描述；项目负责人须支持导出项目组信息、查看实验大纲、编辑项目成员；</w:t>
            </w:r>
          </w:p>
          <w:p w14:paraId="06BA1C43">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1.2.●管理员账号须支持对项目组成员权限进行管理，可创建项目组、导出项目组信息、查看实验大纲、编辑项目、删除项目组，可给不同的项目组分配项目成员，项目成员只能查看自己的项目，无法查看其它项目；（须提供软件功能演示视频佐证材料）</w:t>
            </w:r>
          </w:p>
          <w:p w14:paraId="2CDADF1A">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1.3.须支持编辑并展示项目名称、创建人、创建时间、最后更新时间等关键信息;</w:t>
            </w:r>
          </w:p>
          <w:p w14:paraId="63ADBB17">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1.4.●须支持以甘特图的形式展示项目组实验情况，项目甘特图可展示项目创建日期、更新日期、创建人、每天该项目总实验录制时长和录制的被试人数；还须支持展示每天的录制情况，包括被试名称、记录名称、采集时间、采集时长、采集设备类型；（须提供软件功能演示视频佐证材料）</w:t>
            </w:r>
          </w:p>
          <w:p w14:paraId="1AEF489C">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1.5.●须支持配置并保存实验材料模板，模板内容须包含任务定义、行为定义、刺激物等，便于快速复用；（须提供软件功能演示视频佐证材料或软件功能截图佐证材料）</w:t>
            </w:r>
          </w:p>
          <w:p w14:paraId="68C147AF">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1.6.须支持项目的批量删除与批量导出操作，导出时可自定义导出的内容范围；</w:t>
            </w:r>
          </w:p>
          <w:p w14:paraId="59E7FB8F">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2.被试管理模块</w:t>
            </w:r>
          </w:p>
          <w:p w14:paraId="33AA87DF">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2.1.●须支持新增被试人员信息，信息存储于本地；被试信息须包括年龄、性别、籍贯、民族、职业等基础字段，可根据不同场景或者不同研究需要进行自定义扩展，扩展数量大于20个；（须提供软件功能截图佐证材料）</w:t>
            </w:r>
          </w:p>
          <w:p w14:paraId="302B5792">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2.2.须支持基于字段属性进行筛选，包括参与项目组、出生日期（时间范围）、性别、籍贯、民族、职业等</w:t>
            </w:r>
          </w:p>
          <w:p w14:paraId="09CB428D">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2.3.●须支持联动被试参与的各类测量记录，并展示在被试列表，提供查看被试测量记录查看入口，支持查看问卷、量表测量记录的名称和作答时间，支持查看反应时测试记录的测试类型、所属被试组名称；（须提供软件功能演示视频佐证材料或软件功能截图佐证材料）</w:t>
            </w:r>
          </w:p>
          <w:p w14:paraId="55C4CBC6">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2.4.●须支持统计并显示每位被试参与过的项目数量；（须提供软件功能截图佐证材料）</w:t>
            </w:r>
          </w:p>
          <w:p w14:paraId="79CA5FBD">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2.5.须支持对被试姓名、字段值等内容进行关键字快速过滤查询，可对被试人员信息批量删除；</w:t>
            </w:r>
          </w:p>
          <w:p w14:paraId="63C7DCAE">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2.6.●被试信息除支持导出为.xlsx、.csv格式文件外，还须支持导出成html格式文件，满足不同平台使用需求；（须提供软件功能截图佐证材料）</w:t>
            </w:r>
          </w:p>
          <w:p w14:paraId="0569E558">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3.数据记录模块</w:t>
            </w:r>
          </w:p>
          <w:p w14:paraId="4A90042F">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3.1.★须支持≥10类不同种类信号数据的同步接入采集，包括认知神经信号数据、运动生物力信号数据、生理信号数据、视频数据等，数据同步时间精度≤100ns；可在采集过程中同时分析其他模态数据，达到实时处理能力；</w:t>
            </w:r>
          </w:p>
          <w:p w14:paraId="11FD6727">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3.2.●采集预览及录制过程中须支持采集数据的实时可视化展示，便于观察数据质量与实验状态，须提供多种通用数据可视化图表，除折线图、饼图、柱状图、散点图、点线图、雷达图、列表，还须提供G值图、姿态图、时频图、频谱图，可添加任意设备数据到同一个图表中；（须提供软件功能截图佐证材料）</w:t>
            </w:r>
          </w:p>
          <w:p w14:paraId="416B021C">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3.3.通用折线图及脑电图须支持实时显示事件标记及在回放、分析模块中显示事件标记；须支持修改折线图、柱状图、饼图、散点图、点线图的图表颜色、窗口名称；</w:t>
            </w:r>
          </w:p>
          <w:p w14:paraId="413CB5D4">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3.4.折线图、散点图和点线图X轴须支持时间范围设置，Y轴支持叠置式和层叠式类型切换；条形图、雷达图和饼图须支持时间设置间隔(毫秒)，时间轴须支持任务段色块和事件显示，可支持鼠标悬浮显示详细事件名称以及事件出现时刻，精准定位实验任务内容和产生的事件；</w:t>
            </w:r>
          </w:p>
          <w:p w14:paraId="51184EB2">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3.5.★每个图表窗口的数据展示时长须支持自定义设置，事件触发时须支持弹窗提示效果，增强交互反馈，每个图表须支持显示一个或多个数据源，须支持多个同类型数据叠加在一个通用图表中回放，图表窗口支持灵活配置布局、悬浮或停靠，须支持同时打开可视化窗口数量 ≥20 个；</w:t>
            </w:r>
          </w:p>
          <w:p w14:paraId="2C8FE3D9">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3.6.●窗口须支持任意拖动形成不同布局，并将布局保存为模板，布局模板中窗口数量≥20个；（须提供软件功能演示视频佐证材料或软件功能截图佐证材料）</w:t>
            </w:r>
          </w:p>
          <w:p w14:paraId="2724C5DD">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4.数据回放模块</w:t>
            </w:r>
          </w:p>
          <w:p w14:paraId="48C77472">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4.1.★所有采集数据须共用统一播放轴，在同一界面同步呈现多模态数据，保证各类测量数据时间对齐，支持倍速快放、慢放、逐帧播放、全部循环、片段循环、前一秒/后一秒跳转，满足细节分析与片段复查，提供自定义帧间隔跳转设置，实现精准定位与快速回看；</w:t>
            </w:r>
          </w:p>
          <w:p w14:paraId="26CB05FE">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4.2.●回放界面须支持任意拖动形成不同布局，并将布局保存为模板，布局模板中支持窗口数量≥20个；（须提供软件功能演示视频佐证材料或软件功能截图佐证材料）</w:t>
            </w:r>
          </w:p>
          <w:p w14:paraId="55B1AD2D">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4.3.须支持包含生物力学数据、环境数据等外部数据的导入，并支持导入后的外部数据进行同步回放及分析，后导入数据支持插入到已有录制数据中，也支持作为新录制段独立创建，灵活支持追加实验、补录实验、多阶段实验场景；</w:t>
            </w:r>
          </w:p>
          <w:p w14:paraId="1C4D7144">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4.4.须支持专有设备和通用设备两种导入数据类型，专有设备导入无需模板配置，简化操作流程；通用设备导入提供数据导入标准模板，以匹配各类数据标准。须支持通过有固定频率与无固定频率的数据导入方式，适配非标准采样率设备或其他平台的测量数据，可手动调整后导入数据的频率，系统自动对齐并处理数据内容；</w:t>
            </w:r>
          </w:p>
          <w:p w14:paraId="61FEEFFA">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4.5.须支持通过 Marker 对齐、时间戳对齐、开始对齐和结束对齐等方式实现后导入数据与原始数据的对齐同步，后导入的视频按照首帧进行对齐，尾部自动进行切割；支持生理/ 眼动等设备的离线采集数据，在分析页面中完成数据下载与导入，解决实验环境不支持在线采集的限制，适用于野外、飞行、封闭实验场景；</w:t>
            </w:r>
          </w:p>
          <w:p w14:paraId="0C494575">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4.6.须支持导入ASCII格式、纵向排列、带时间参考的连续数据：须支持导入 .csv、.txt 格式数据；须支持 .avi、.mp4 等视频文件及.mp3、.wav 等主流音频格式后导入并与原有数据同步；</w:t>
            </w:r>
          </w:p>
          <w:p w14:paraId="71FA41BD">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4.7.回放界面须支持将所有采集的数据进行个性化导出，原始数据可导出 .txt  和.csv 格式，还须支持导出.mat、.npz、.pkl、.CNT、.edf、.SNIRF、.fbx、.bvh和.c3d等专用数据格式，须支持原始数据与marker数据合并导出，可将不同设备数据合并导出至一个文件，或分别导出至多个文件；</w:t>
            </w:r>
          </w:p>
          <w:p w14:paraId="28B8DE42">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4.8.数据导出须支持按全频率、1ms 间隔、或自定义固定频率导出，可按单独任务段或合并任务段导出数据，便于阶段性实验比较、任务效果追踪或个体差异分析；须可单独导出录制过程中的音频与视频文件；</w:t>
            </w:r>
          </w:p>
          <w:p w14:paraId="57334159">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5.数据管理模块</w:t>
            </w:r>
          </w:p>
          <w:p w14:paraId="645ED616">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5.1.具备离线储存功能，须支持在无网络环境中进行本地数据采集与存储，包含但不限于被试数据、实验项目、录制数据、刺激物、分析模板、编码定义等；须支持用户自定义数据本地存储路径；</w:t>
            </w:r>
          </w:p>
          <w:p w14:paraId="2547F345">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5.2.数据查阅调用须支持用户以项目→被试→录制数据的层级结构查看和使用数据文件进行回放；须支持对录制数据源文件进行分析，并支持数据分段，分段方式包含但不限于基于刺激物分段、基于任务段分段和基于事件分段；分段数据支持逐条生成和合并生成；</w:t>
            </w:r>
          </w:p>
          <w:p w14:paraId="544C5969">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5.3.支持以txt、csv等格式导出原始数据；</w:t>
            </w:r>
          </w:p>
          <w:p w14:paraId="100EE598">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5.4.使用权限须支持加密狗+用户名密码双重校验；服务器和局域网内部各软件终端数据传输须使用AES加密；须支持周期性自动缓存数据备份；</w:t>
            </w:r>
          </w:p>
          <w:p w14:paraId="268AA088">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5.5.★在创建项目或首次采集数据时，须支持自动生成本地结构化数据库，数据库须存储项目信息、被试信息、实验录制记录、刺激物元数据；数据库须与对应的.binarydata原始数据文件通过唯一标识关联，确保数据完整性与一致性；</w:t>
            </w:r>
          </w:p>
          <w:p w14:paraId="2F3D509B">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5.6.须支持数据库内建项目→被试→录制数据的层级索引及外键约束，须支持用户按树形结构快速检索、筛选和调用数据文件，提升数据查阅与回放效；</w:t>
            </w:r>
          </w:p>
          <w:p w14:paraId="5E4A23EC">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6. 用户权限管理模块</w:t>
            </w:r>
          </w:p>
          <w:p w14:paraId="5D50F7DD">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6.1.★系统须区分管理员、项目负责人、普通成员、被试账号等角色，具备不同级别权限控制范围，管理员账号须支持创建与删除项目组，新增、编辑、删除和查询项目组成员账号</w:t>
            </w:r>
          </w:p>
          <w:p w14:paraId="0641BF0B">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6.2.★管理员须拥有最高权限，支持创建任意数目的成员账号，并为各成员分配项目权限；须支持指定项目组负责人账号，项目负责人账号可管理项目成员；项目组成员权限须相互独立，无法查看其它项目数据，保证数据隔离和安全性；</w:t>
            </w:r>
          </w:p>
          <w:p w14:paraId="234AAFBC">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6.3.★管理员须具备系统级权限且只有管理员创建的成员账号才可登录软件，软件须使用账号登录并经过验证才可使用；须支持执行创建与删除项目组、编辑项目基本信息与项目组成员、查看所有实验大纲内容、执行项目组信息导出等操作，可基于角色对项目、成员、实验大纲、导出功能等操作权限进行精细控制，保障信息安全与职责分明；</w:t>
            </w:r>
          </w:p>
          <w:p w14:paraId="0344959E">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7.软件管理模块</w:t>
            </w:r>
          </w:p>
          <w:p w14:paraId="792C8B76">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7.1.系统界面须支持在中英文版本间一键切换，适配多语言用户需求；</w:t>
            </w:r>
          </w:p>
          <w:p w14:paraId="3CEF2F7F">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7.2.系统须支持联动控制部分外部软件程序，如第三方数据采集端，支持对轨迹图、眼动视点、手指轨迹图等可视化窗口进行统一配置，可设置眼动追踪算法开关、设备连接状态检测、播放轴设置等系统级参数；</w:t>
            </w:r>
          </w:p>
          <w:p w14:paraId="3EFDEED5">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7.3.系统修支持服务器地址及接口参数配置；须具备完整的用户权限管理功能，包括账号新增、编辑、删除、密码修改；须支持项目组的创建、编辑、删除及成员与项目的关联管理；</w:t>
            </w:r>
          </w:p>
          <w:p w14:paraId="2EC03719">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7.4.●须支持自定义内部操作快捷键；系统须支持快捷键一键锁定界面，防止误操作，并可输入密码解锁</w:t>
            </w:r>
          </w:p>
          <w:p w14:paraId="1F0E8C21">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7.5.须支持导入/导出项目工程文件、分析模板、报告模板、行为模版库等核心资源（须提供软件功能截图佐证材料）；</w:t>
            </w:r>
          </w:p>
          <w:p w14:paraId="0C22A3DC">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7.6.★须支持二次开发，除兼容C#、C++、matlab、python、c、java、开发工具外，还须兼容labview；</w:t>
            </w:r>
          </w:p>
          <w:p w14:paraId="27F4E88B">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8.耗材管理模块</w:t>
            </w:r>
          </w:p>
          <w:p w14:paraId="7989EA1E">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8.1.●须显示所有耗材的名称、类型、状态、当前库存数量、现有数量、存放位置等信息，便于统一查看与管理；（须提供软件功能演示视频佐证材料）</w:t>
            </w:r>
          </w:p>
          <w:p w14:paraId="3AE787FF">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8.2.须支持按耗材名称、类型、状态、库存数量、存放位置等条件进行筛选与快速查询；</w:t>
            </w:r>
          </w:p>
          <w:p w14:paraId="5F59084B">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8.3. 须支持新增、编辑、删除、领用耗材，可用于日常库存维护与更新；</w:t>
            </w:r>
          </w:p>
          <w:p w14:paraId="75A00A19">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8.4. 须支持为耗材设定数量阈值，系统可自动提示库存不足，提醒用户及时补充；</w:t>
            </w:r>
          </w:p>
          <w:p w14:paraId="17B04DA8">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8.5.耗材清单及相关信息须可一键导出为 .csv格式，便于归档或外部使用；</w:t>
            </w:r>
          </w:p>
          <w:p w14:paraId="619FE126">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9.文档管理模块</w:t>
            </w:r>
          </w:p>
          <w:p w14:paraId="4D8D54B5">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9.1.须支持展示所有文档的基本信息，包括标题、存储路径、数量等内容；</w:t>
            </w:r>
          </w:p>
          <w:p w14:paraId="41F77ECB">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9.2.须支持新增、编辑、删除文档；通过超链接形式打开文档进行浏览；</w:t>
            </w:r>
          </w:p>
          <w:p w14:paraId="4EC7FFD2">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9.3.●须支持通过标题或关键词进行文档检索，快速定位目标文档（须提供软件功能演示视频佐证材料）；</w:t>
            </w:r>
          </w:p>
          <w:p w14:paraId="69ADFF77">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9.4.须支持将文档信息导出为.csv文件，便于备份与共享使用；</w:t>
            </w:r>
          </w:p>
          <w:p w14:paraId="532E72D0">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10.多模态架构模块</w:t>
            </w:r>
          </w:p>
          <w:p w14:paraId="37F775B2">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10.1.须支持所有采集数据共用统一播放轴，在同一界面同步呈现多模态数据，保证各类测量数据时间对齐；</w:t>
            </w:r>
          </w:p>
          <w:p w14:paraId="2B6B093A">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10.2.须支持在采集过程中同时分析其他模态数据，达到实时处理能力；</w:t>
            </w:r>
          </w:p>
          <w:p w14:paraId="444DCE90">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10.3.须支持所有模态数据与事件的时间对齐与同步融合；</w:t>
            </w:r>
          </w:p>
          <w:p w14:paraId="77FA31A4">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11.事件管理模块</w:t>
            </w:r>
          </w:p>
          <w:p w14:paraId="544F5DC8">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11.1.★须支持构建多种来源与方式的事件编码机制，实现对实验过程中关键事件的精准标注、同步控制与后续分析使用。须支持通过直接创建或导入本地事件定义文件的方式生成事件编码，事件定义包含但不限于自定义事件名称、标记颜色、事件来源方式等。</w:t>
            </w:r>
          </w:p>
          <w:p w14:paraId="03CDAF94">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11.2.须支持多种事件编码方式，包含但不限于鼠标点击生成事件、键盘按键生成事件、API 接口编码、通过 LSL / TCP / CAN / 串口等数据协议实时生成编码、通过刺激物呈现时间点自动生成事件；</w:t>
            </w:r>
          </w:p>
          <w:p w14:paraId="04D58627">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11.3.●须支持通过录制数据设备数据达到设定阈值自动触发事件；（须提供软件功能演示视频佐证材料）</w:t>
            </w:r>
          </w:p>
          <w:p w14:paraId="0E88414A">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11.4.须支持后导入 Event 文件进行事件补录，通过手动点击或快捷键方式实时添加事件；</w:t>
            </w:r>
          </w:p>
          <w:p w14:paraId="1C3D736D">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11.5.须支持将事件数据转换为行为数据、任务段数据，用于多模态实验数据的统一结构化处理；</w:t>
            </w:r>
          </w:p>
          <w:p w14:paraId="7C81D145">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11.6.事件信息须支持通过列表形式或时间轴方式进行可视化展示，并支持在播放时间轴与通用图表中同步显示，确保用户可在多界面中实时追踪与核对事件定位；</w:t>
            </w:r>
          </w:p>
          <w:p w14:paraId="1B463882">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11.7.事件定义须可导出为.csv文件，便于跨项目使用与标准模板共享；</w:t>
            </w:r>
          </w:p>
          <w:p w14:paraId="6FF29131">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11.8.须支持事件与其他模态数据（如生理信号、眼动、语音、视频等）进行多源同步对齐分析；</w:t>
            </w:r>
          </w:p>
          <w:p w14:paraId="47B8E6F5">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11.9.事件编码结果须可直接显示在数据回放时间轴中，形成清晰的时序标记，用于实验回顾等过程；</w:t>
            </w:r>
          </w:p>
          <w:p w14:paraId="1B811D0C">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12.任务管理模块</w:t>
            </w:r>
          </w:p>
          <w:p w14:paraId="4344193F">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12.1.须提供完整的任务片段标记与管理能力，支持实验任务的标准化定义、灵活配置与跨项目复用，适用于多模态实验过程中的阶段性任务划分与行为数据切割。</w:t>
            </w:r>
          </w:p>
          <w:p w14:paraId="26894F18">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12.2.须支持三种方式创建任务，软件内直接创建、本地任务定义文件导入、从预设好的任务模板库导入；</w:t>
            </w:r>
          </w:p>
          <w:p w14:paraId="7CAC10F3">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12.3.须支持在非项目状态下进行任务预设，后续项目中可直接复用，提升实验准备效率；</w:t>
            </w:r>
          </w:p>
          <w:p w14:paraId="7013342F">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12.4.须内置任务定义库，支持标准任务集的创建、管理与调用；用户须可从数据库中选取任务定义进行个性化修改，用于快速构建实验任务定义；每个任务定义须支持设定任务名称、任务子集、编码颜色等参数信息；</w:t>
            </w:r>
          </w:p>
          <w:p w14:paraId="2BC5DD4C">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12.5.系统须支持结构化树状视图与表格视图等任务条目浏览模式，便于任务的快速定位、层级管理；</w:t>
            </w:r>
          </w:p>
          <w:p w14:paraId="60C76794">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12.6.任务定义库须支持导入与导出，便于在多人协作团队中共享统一任务定义标准，并可被多个项目复用，支持跨项目的一致性标注；</w:t>
            </w:r>
          </w:p>
          <w:p w14:paraId="5CDD70BB">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12.7.★任务段须支持自定义名称、颜色，编码方式除鼠标、键盘、API 接口编码等方式外，还须支持录制数据设置阈值后生成，且支持通过LSL/TCP/CAN/串口等方式生成任务段编码，适应多种实验控制与数据联动场景；</w:t>
            </w:r>
          </w:p>
          <w:p w14:paraId="363A9937">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12.8.系统须支持对被试任务执行时间段进行实时标记或回放式标记，并支持任务嵌套，嵌套层级不少于四级，满足复杂实验结构（如主任务-子任务-阶段任务）标注需求；</w:t>
            </w:r>
          </w:p>
          <w:p w14:paraId="0114A050">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12.9.须支持将任务段转换为事件数据与行为编码数据，可与其他分析模块联动，可根据任务段切割数据用于独立分析流程，并可设置任务起止时间自动生成事件；</w:t>
            </w:r>
          </w:p>
          <w:p w14:paraId="0F56BB90">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12.10.任务段结果须可通过时间轴窗口与列表窗口进行展示与编辑，可根据任务名称关键词进行模糊搜索，并可将任务时间轴导出为图像、任务列表导出为.csv格式，支持归档或批量共享；</w:t>
            </w:r>
          </w:p>
          <w:p w14:paraId="0D663405">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12.11.须支持设置第一帧为任务默认起始点，用于视频类或传感类数据精准起始编码场景；</w:t>
            </w:r>
          </w:p>
          <w:p w14:paraId="24E66558">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12.12.任务编码过程须支持与音频、视频、生理信号、眼动等多种数据同步进行，也须支持与后导入的数据文件同步，确保任务片段的可追溯性与一致性；</w:t>
            </w:r>
          </w:p>
          <w:p w14:paraId="35CAA1AC">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12.13.任务编码结果须可直接显示于数据回放时间轴中，形成可视化的分段标记，便于后续分析回顾、行为重建、或数据分段导出；</w:t>
            </w:r>
          </w:p>
          <w:p w14:paraId="39A90443">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13.外部数据模块</w:t>
            </w:r>
          </w:p>
          <w:p w14:paraId="24154620">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13.1.系统须支持TCP、UDP、串口、LSL通讯数据输入功能：</w:t>
            </w:r>
          </w:p>
          <w:p w14:paraId="5F2FED8C">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13.1.1.TCP通讯数据输入功能须支持创建多个TCP连接，可配置TCP连接数据流的数据分隔符；支持添加、编辑、删除TCP传输数据通道；</w:t>
            </w:r>
          </w:p>
          <w:p w14:paraId="4CB90F57">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13.1.2.●TCP通讯模板须可导入、导出tcpConfig格式文件；（须提供软件功能截图佐证材料）</w:t>
            </w:r>
          </w:p>
          <w:p w14:paraId="728E63A1">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13.1.3.UDP通讯数据输入功能须支持建立多个UDP连接，可配置数据包内的数据分隔符；</w:t>
            </w:r>
          </w:p>
          <w:p w14:paraId="5B910E53">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13.1.4.●UDP通讯模板须可导入、导出udpConfig格式文件；（须提供软件功能截图佐证材料）</w:t>
            </w:r>
          </w:p>
          <w:p w14:paraId="66DF6349">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13.1.5.串口通讯数据输入功能须支持创建多个串口通讯，可配置串口数据流的数据分割符，置串口连接参数，可导入导出串口通讯配置文件；</w:t>
            </w:r>
          </w:p>
          <w:p w14:paraId="22F0DF42">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13.1.6.LSL通讯数据输入功能须支持自动刷出检索到的LSL数据流；</w:t>
            </w:r>
          </w:p>
          <w:p w14:paraId="0DB1A47F">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13.2.须支持TCP、UDP、串口通讯数据输出功能：</w:t>
            </w:r>
          </w:p>
          <w:p w14:paraId="7300547B">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13.2.1.TCP通讯数据输出功能须可设置TCP连接为服务端或客户端，可配置数据流数据分隔符，可配置发送格式如ASCII等和发送频率，可从软件内选择设备数据作为数据源对外发送；</w:t>
            </w:r>
          </w:p>
          <w:p w14:paraId="6EB5E34C">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13.2.2.UDP通讯数据输出功能须可设置数据流数据分隔符，可配置发送格式如ASCII等和发送频率，可从软件内选择设备数据作为数据源对外发送；</w:t>
            </w:r>
          </w:p>
          <w:p w14:paraId="27F0B8B7">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13.2.3.串口通讯数据输出功能须可设置串口通讯参数，可设置输出数据流分隔符，可设置发送格式和发送频率，可从软件内选择设备数据作为数据源对外发送；</w:t>
            </w:r>
          </w:p>
          <w:p w14:paraId="01F91B4E">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14.后台服务支撑模块</w:t>
            </w:r>
          </w:p>
          <w:p w14:paraId="74A478EF">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14.1.分布式数据存储服务能力：</w:t>
            </w:r>
          </w:p>
          <w:p w14:paraId="03BD1EF8">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14.1.1.软件配套内置持久化存储服务引擎，支持多块大容量存储介质冗余备份机制，介质间自动数据镜像防护，单存储介质故障不丢失项目、被试、多模态原始实验数据、事件/任务标记文件、模板资源；</w:t>
            </w:r>
          </w:p>
          <w:p w14:paraId="32BD356A">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14.1.2.支持超大容量多模态原始数据长期本地持久存储，兼容</w:t>
            </w:r>
            <w:r>
              <w:rPr>
                <w:rFonts w:ascii="宋体" w:hAnsi="宋体" w:eastAsia="宋体" w:cs="宋体"/>
                <w:sz w:val="24"/>
                <w:szCs w:val="24"/>
                <w:highlight w:val="none"/>
              </w:rPr>
              <w:t>神经信号数据、运动生物力信号数据、生理信号数据、视频数据等</w:t>
            </w:r>
            <w:r>
              <w:rPr>
                <w:rFonts w:hint="eastAsia" w:ascii="宋体" w:hAnsi="宋体" w:eastAsia="宋体" w:cs="宋体"/>
                <w:sz w:val="24"/>
                <w:szCs w:val="24"/>
                <w:highlight w:val="none"/>
              </w:rPr>
              <w:t>GB级连续采集文件，支持海量二进制.binarydata原始数据文件统一托管；</w:t>
            </w:r>
          </w:p>
          <w:p w14:paraId="2DEE1104">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14.1.3.支持用户自定义分层存储路径，区分项目工程文件、被试基础信息、实时采集缓存、备份归档数据，软件自动完成数据分类索引；</w:t>
            </w:r>
          </w:p>
          <w:p w14:paraId="4D38902D">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14.1.4.内置周期性自动备份服务，可自定义备份周期、备份存储目录，支持增量备份、全量备份两种模式，备份文件与主数据实时同步校验，保障数据完整性。</w:t>
            </w:r>
          </w:p>
          <w:p w14:paraId="69746549">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14.2.高性能计算调度服务能力</w:t>
            </w:r>
          </w:p>
          <w:p w14:paraId="0ABFF2D3">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14.2.1配套服务单元具备多核并行计算调度能力，支撑≥10类多模态数据同步实时解析、实时可视化渲染、在线信号预处理，同步采集时并行处理多路生理、运动、视频数据流无卡顿；</w:t>
            </w:r>
          </w:p>
          <w:p w14:paraId="3830CB59">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14.2.2支持≥20个可视化图表窗口同时加载、多回放轨道同步解码、大文件离线批量分析，多任务并行调度不降低采集同步精度（同步精度≤100ns）；</w:t>
            </w:r>
          </w:p>
          <w:p w14:paraId="68A5984E">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14.2.3内置数据库运算加速服务，依托层级化树形索引（项目→被试→录制数据），实现百万级实验记录秒级筛选、检索、调取回放，优化多条件联合查询效率；</w:t>
            </w:r>
          </w:p>
          <w:p w14:paraId="16D6C23D">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14.2.4支持二次开发接口并发调度，兼容C#/C++/Python/LabVIEW等多语言并发数据读写、算法运算，第三方分析脚本可依托后台服务并行运行。</w:t>
            </w:r>
          </w:p>
          <w:p w14:paraId="770653A8">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14.3.多终端局域网传输与加密服务能力</w:t>
            </w:r>
          </w:p>
          <w:p w14:paraId="125DEBA5">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14.3.1</w:t>
            </w:r>
            <w:r>
              <w:rPr>
                <w:rFonts w:ascii="宋体" w:hAnsi="宋体" w:eastAsia="宋体" w:cs="宋体"/>
                <w:sz w:val="24"/>
                <w:szCs w:val="24"/>
                <w:highlight w:val="none"/>
              </w:rPr>
              <w:t>软件配套局域网数据中转服务，支持多台采集终端、操作终端内网互联，终端间项目、被试、录制数据高速互通传输；</w:t>
            </w:r>
          </w:p>
          <w:p w14:paraId="1D38EB83">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14.3.2</w:t>
            </w:r>
            <w:r>
              <w:rPr>
                <w:rFonts w:ascii="宋体" w:hAnsi="宋体" w:eastAsia="宋体" w:cs="宋体"/>
                <w:sz w:val="24"/>
                <w:szCs w:val="24"/>
                <w:highlight w:val="none"/>
              </w:rPr>
              <w:t>内网传输全程采用AES加密协议，所有跨终端交互的实验数据、账号权限信息、事件标记文件加密传输，杜绝内网数据泄露；</w:t>
            </w:r>
          </w:p>
          <w:p w14:paraId="2E6B8D9C">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14.3.3</w:t>
            </w:r>
            <w:r>
              <w:rPr>
                <w:rFonts w:ascii="宋体" w:hAnsi="宋体" w:eastAsia="宋体" w:cs="宋体"/>
                <w:sz w:val="24"/>
                <w:szCs w:val="24"/>
                <w:highlight w:val="none"/>
              </w:rPr>
              <w:t>服务单元统一管理全系统账号权限校验逻辑，对接加密狗+账号密码双重身份校验机制，所有终端登录、数据读取、导出操作均由后台服务统一鉴权；</w:t>
            </w:r>
          </w:p>
          <w:p w14:paraId="0F0885D4">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14.3.4</w:t>
            </w:r>
            <w:r>
              <w:rPr>
                <w:rFonts w:ascii="宋体" w:hAnsi="宋体" w:eastAsia="宋体" w:cs="宋体"/>
                <w:sz w:val="24"/>
                <w:szCs w:val="24"/>
                <w:highlight w:val="none"/>
              </w:rPr>
              <w:t>支持多账号、多项目组数据物理隔离存储，后台服务自动做数据分区隔离，不同项目组数据相互不可访问，满足科研数据保密要求。</w:t>
            </w:r>
          </w:p>
          <w:p w14:paraId="6A6AA783">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14.4.内置数据库托管服务能力</w:t>
            </w:r>
          </w:p>
          <w:p w14:paraId="3A907C30">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14.4.1软件配套自动化结构化数据库服务，首次创建项目/启动采集时自动初始化本地数据库，统一存储项目信息、被试档案、实验大纲、录制元数据、刺激物、事件/任务定义模板；</w:t>
            </w:r>
          </w:p>
          <w:p w14:paraId="48CF5D2B">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14.4.2数据库与.binarydata原始数据文件通过全局唯一ID自动关联，后台服务实时校验关联关系，防止元数据与原始信号文件脱节、丢失；</w:t>
            </w:r>
          </w:p>
          <w:p w14:paraId="638D4C89">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14.4.3.数据库自带外键约束、分层索引、自动修复机制，异常断电、软件崩溃后启动自动校验数据库完整性，自动修复损坏索引与关联记录；</w:t>
            </w:r>
          </w:p>
          <w:p w14:paraId="073603BC">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14.4.4.支持海量被试自定义扩展字段（≥20个自定义字段）、百万条测量记录稳定存储，多条件筛选、统计查询由后台服务批量运算，前端无加载延迟。</w:t>
            </w:r>
          </w:p>
          <w:p w14:paraId="3178CDB1">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14.5.多协议通讯转发后台服务</w:t>
            </w:r>
          </w:p>
          <w:p w14:paraId="7D27253B">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14.5.</w:t>
            </w:r>
            <w:r>
              <w:rPr>
                <w:rFonts w:ascii="宋体" w:hAnsi="宋体" w:eastAsia="宋体" w:cs="宋体"/>
                <w:sz w:val="24"/>
                <w:szCs w:val="24"/>
                <w:highlight w:val="none"/>
              </w:rPr>
              <w:t>1.内置统一通讯转发服务，统一管理TCP/UDP/串口/LSL/CAN等多通道输入输出数据流，支持多路并发通讯通道同时运行；</w:t>
            </w:r>
          </w:p>
          <w:p w14:paraId="6E1A6FE5">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14.5.</w:t>
            </w:r>
            <w:r>
              <w:rPr>
                <w:rFonts w:ascii="宋体" w:hAnsi="宋体" w:eastAsia="宋体" w:cs="宋体"/>
                <w:sz w:val="24"/>
                <w:szCs w:val="24"/>
                <w:highlight w:val="none"/>
              </w:rPr>
              <w:t>2.通讯配置文件（tcpConfig/udpConfig/串口配置）统一托管于后台服务，全终端共享通讯模板，支持批量导入导出、统一下发至各采集终端；</w:t>
            </w:r>
          </w:p>
          <w:p w14:paraId="3C3DC0BF">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14.5.</w:t>
            </w:r>
            <w:r>
              <w:rPr>
                <w:rFonts w:ascii="宋体" w:hAnsi="宋体" w:eastAsia="宋体" w:cs="宋体"/>
                <w:sz w:val="24"/>
                <w:szCs w:val="24"/>
                <w:highlight w:val="none"/>
              </w:rPr>
              <w:t>3.服务端支持数据流转发、格式转换、频率校准，外部设备采集数据经后台统一时间戳对齐后分发至软件采集、回放模块，保障多模态同步精度；</w:t>
            </w:r>
          </w:p>
          <w:p w14:paraId="554D8551">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14.5.</w:t>
            </w:r>
            <w:r>
              <w:rPr>
                <w:rFonts w:ascii="宋体" w:hAnsi="宋体" w:eastAsia="宋体" w:cs="宋体"/>
                <w:sz w:val="24"/>
                <w:szCs w:val="24"/>
                <w:highlight w:val="none"/>
              </w:rPr>
              <w:t>4.支持自定义数据发送频率、分隔符、收发格式，后台服务独立调度通讯任务，不占用前端可视化、采集运算资源。</w:t>
            </w:r>
          </w:p>
          <w:p w14:paraId="3327B268">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14.6.离线缓存与断网续存服务</w:t>
            </w:r>
          </w:p>
          <w:p w14:paraId="583229BE">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14.6.</w:t>
            </w:r>
            <w:r>
              <w:rPr>
                <w:rFonts w:ascii="宋体" w:hAnsi="宋体" w:eastAsia="宋体" w:cs="宋体"/>
                <w:sz w:val="24"/>
                <w:szCs w:val="24"/>
                <w:highlight w:val="none"/>
              </w:rPr>
              <w:t>1.后台服务内置离线缓存引擎，无网络环境下自动接管本地采集、存储、编辑操作，所有项目、被试、录制数据、模板、事件标记本地完整保存；</w:t>
            </w:r>
          </w:p>
          <w:p w14:paraId="26E5F768">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14.6.</w:t>
            </w:r>
            <w:r>
              <w:rPr>
                <w:rFonts w:ascii="宋体" w:hAnsi="宋体" w:eastAsia="宋体" w:cs="宋体"/>
                <w:sz w:val="24"/>
                <w:szCs w:val="24"/>
                <w:highlight w:val="none"/>
              </w:rPr>
              <w:t>2.网络恢复后自动同步离线操作数据至服务单元统一归档，支持断点续传、增量同步，无需重复录制实验数据；</w:t>
            </w:r>
          </w:p>
          <w:p w14:paraId="6FF40F15">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14.6.</w:t>
            </w:r>
            <w:r>
              <w:rPr>
                <w:rFonts w:ascii="宋体" w:hAnsi="宋体" w:eastAsia="宋体" w:cs="宋体"/>
                <w:sz w:val="24"/>
                <w:szCs w:val="24"/>
                <w:highlight w:val="none"/>
              </w:rPr>
              <w:t>3.采集过程突发断网、终端离线时，后台缓存服务持续写入原始多模态数据，不会出现采集中断、数据截断丢失问题。</w:t>
            </w:r>
          </w:p>
          <w:p w14:paraId="6F2006E4">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14.7.多资源统一管理服务</w:t>
            </w:r>
          </w:p>
          <w:p w14:paraId="6CD89803">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14.7.</w:t>
            </w:r>
            <w:r>
              <w:rPr>
                <w:rFonts w:ascii="宋体" w:hAnsi="宋体" w:eastAsia="宋体" w:cs="宋体"/>
                <w:sz w:val="24"/>
                <w:szCs w:val="24"/>
                <w:highlight w:val="none"/>
              </w:rPr>
              <w:t>1.后台统一托管全平台模板资源：实验材料模板、任务模板、事件编码模板、可视化布局模板、导出报告模板、耗材档案、文档资料；</w:t>
            </w:r>
          </w:p>
          <w:p w14:paraId="4A8BB11A">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14.7.</w:t>
            </w:r>
            <w:r>
              <w:rPr>
                <w:rFonts w:ascii="宋体" w:hAnsi="宋体" w:eastAsia="宋体" w:cs="宋体"/>
                <w:sz w:val="24"/>
                <w:szCs w:val="24"/>
                <w:highlight w:val="none"/>
              </w:rPr>
              <w:t>2.支持模板跨终端、跨项目组共享分发，服务单元统一版本管理，多人协作时自动同步最新模板，避免版本混乱；</w:t>
            </w:r>
          </w:p>
          <w:p w14:paraId="5752B02F">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14.7.</w:t>
            </w:r>
            <w:r>
              <w:rPr>
                <w:rFonts w:ascii="宋体" w:hAnsi="宋体" w:eastAsia="宋体" w:cs="宋体"/>
                <w:sz w:val="24"/>
                <w:szCs w:val="24"/>
                <w:highlight w:val="none"/>
              </w:rPr>
              <w:t>3.耗材、实验文档全量元数据统一入库管理，支持批量筛选、导出、归档，后台服务批量处理大文件导出、批量删除操作，提升执行效率。</w:t>
            </w:r>
          </w:p>
        </w:tc>
        <w:tc>
          <w:tcPr>
            <w:tcW w:w="825" w:type="dxa"/>
            <w:vAlign w:val="center"/>
          </w:tcPr>
          <w:p w14:paraId="69C1AA29">
            <w:pPr>
              <w:spacing w:before="156" w:beforeLines="50" w:after="156" w:afterLines="50" w:line="36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p>
        </w:tc>
        <w:tc>
          <w:tcPr>
            <w:tcW w:w="810" w:type="dxa"/>
            <w:vAlign w:val="center"/>
          </w:tcPr>
          <w:p w14:paraId="31F8D1E3">
            <w:pPr>
              <w:spacing w:before="156" w:beforeLines="50" w:after="156" w:afterLines="50" w:line="36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套</w:t>
            </w:r>
          </w:p>
        </w:tc>
      </w:tr>
      <w:tr w14:paraId="157D4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14:paraId="22F80748">
            <w:pPr>
              <w:spacing w:before="156" w:beforeLines="50" w:after="156" w:afterLines="50" w:line="36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w:t>
            </w:r>
          </w:p>
        </w:tc>
        <w:tc>
          <w:tcPr>
            <w:tcW w:w="1515" w:type="dxa"/>
            <w:vAlign w:val="center"/>
          </w:tcPr>
          <w:p w14:paraId="7376BF6C">
            <w:pPr>
              <w:spacing w:before="156" w:beforeLines="50" w:after="156" w:afterLines="50" w:line="36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可视化信息显示器</w:t>
            </w:r>
          </w:p>
        </w:tc>
        <w:tc>
          <w:tcPr>
            <w:tcW w:w="5175" w:type="dxa"/>
            <w:vAlign w:val="center"/>
          </w:tcPr>
          <w:p w14:paraId="0B70CA5B">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1．●像素点间距≤2.0mm，像素密度≥250000点/㎡，LED屏体显示尺寸≥ 15㎡；</w:t>
            </w:r>
          </w:p>
          <w:p w14:paraId="56C44444">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2．像素构成：SMD，1R1G1B三合一表贴灯珠；</w:t>
            </w:r>
          </w:p>
          <w:p w14:paraId="2A1B1412">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3．●亮度≥600nits，支持通过配套软件 0-100%(手动/自动)，无级调节或 256 级调整；LED 显示模组亮度均匀性≥99.2%（校正后）；</w:t>
            </w:r>
          </w:p>
          <w:p w14:paraId="16959678">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4．●峰值功率：≤395W/㎡，≤20.25W/单模组；</w:t>
            </w:r>
          </w:p>
          <w:p w14:paraId="03CB391B">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5．对比度≥6500:1，刷新率3840Hz，视角（水平/垂直）：160°/140°；</w:t>
            </w:r>
          </w:p>
          <w:p w14:paraId="4376044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6．●支持 EPWM 灰阶控制技术提升低灰视觉效果，低亮高灰支持软件实现不同亮度情况下，灰度8-18bit设置，100%亮度时，灰度等级 18bit；75%亮度时，灰度等级 18bit，50%亮度时，灰度等级16bit；20%亮度时，灰度等级 16bit；</w:t>
            </w:r>
          </w:p>
          <w:p w14:paraId="130E4EBE">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7．色温（K）：3000—9300K 可调，调节步长100K，色温为 6500K 时，100%、75%、50%、25%四档电平白场调节色温误差≤±200K；色温为8500K 时，100%、75%、50%、25%四档电平白场调节色温误差≤±100K；</w:t>
            </w:r>
          </w:p>
          <w:p w14:paraId="60BEE63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8．符合 CQC13-471301-2018 节能要求，采用抗消隐设计，无“毛毛虫”“鬼影”跟随现象，模组与HUB 板采用排线连接，无级联，可直接插拔和插拔；</w:t>
            </w:r>
          </w:p>
          <w:p w14:paraId="0EA15F6E">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9．模组可满足前、后维护要求，可通过磁铁磁吸安装，也可通过螺丝固装来安装；终端LED显示单元屏应支持模组、电源，系统卡屏体前方和后方热插拔快速更换；</w:t>
            </w:r>
          </w:p>
          <w:p w14:paraId="0D78B43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10．显示符合广电级显示效果，高色域重合度，色域重合度≥99%；色域覆盖率：NTSC 色域覆盖率≥120%；</w:t>
            </w:r>
          </w:p>
          <w:p w14:paraId="5079E493">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11．厂家选配供电开关电源采用无风扇设计，低噪音，带主动 PFC 功能的高效率电源，常温下转换效率≥90%；支持欠压、过流、过载、短路保护、过温等功能；</w:t>
            </w:r>
          </w:p>
          <w:p w14:paraId="3D9A694B">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12．厂家选配品牌电源支持精准的控制工作电压 4.5V，降低发热量，降低功耗及 LED 故障率，提高寿命；</w:t>
            </w:r>
          </w:p>
          <w:p w14:paraId="10FE542F">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13．平整度等级（符合SJ/T11141-2025的最高级别 C级要求），平整度等级，P≤0.03mm；</w:t>
            </w:r>
          </w:p>
          <w:p w14:paraId="04B2AB7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14．所投产品符合长时间未使用屏体，可通过控制系统实现除湿模式，使屏幕从 10％到100％亮度逐步显示，达到排除 LED 内部湿气效果已经保护LED的目的；</w:t>
            </w:r>
          </w:p>
          <w:p w14:paraId="1967DBA3">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15．●LED显示屏可实时监控显示屏工作状态，具有故障自动告警功能;LED显示屏具有多点测温系统，均衡散热，防止局部温度过高造成色彩漂移，并提高显示屏寿命;LED显示屏具有LED显示屏温度控制系统，提供LED显示屏实时温度监控，超出设定温度自动报警，防止过温失效；</w:t>
            </w:r>
          </w:p>
          <w:p w14:paraId="328440F4">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16．低蓝光测试：显示屏经蓝光危害检测结果为无危害；</w:t>
            </w:r>
          </w:p>
          <w:p w14:paraId="34975EFB">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17．支持 7*24 小时不间断工作，平均无故障工作时间≥10万小时；</w:t>
            </w:r>
          </w:p>
          <w:p w14:paraId="37FBF40A">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18．所投产品具备中国CCC认证；</w:t>
            </w:r>
          </w:p>
        </w:tc>
        <w:tc>
          <w:tcPr>
            <w:tcW w:w="825" w:type="dxa"/>
            <w:vAlign w:val="center"/>
          </w:tcPr>
          <w:p w14:paraId="59BD1F91">
            <w:pPr>
              <w:spacing w:before="156" w:beforeLines="50" w:after="156" w:afterLines="50" w:line="36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p>
        </w:tc>
        <w:tc>
          <w:tcPr>
            <w:tcW w:w="810" w:type="dxa"/>
            <w:vAlign w:val="center"/>
          </w:tcPr>
          <w:p w14:paraId="04A6D9CD">
            <w:pPr>
              <w:spacing w:before="156" w:beforeLines="50" w:after="156" w:afterLines="50" w:line="36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套</w:t>
            </w:r>
          </w:p>
        </w:tc>
      </w:tr>
      <w:tr w14:paraId="43537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14:paraId="0015A180">
            <w:pPr>
              <w:spacing w:before="156" w:beforeLines="50" w:after="156" w:afterLines="50" w:line="36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w:t>
            </w:r>
          </w:p>
        </w:tc>
        <w:tc>
          <w:tcPr>
            <w:tcW w:w="1515" w:type="dxa"/>
            <w:vAlign w:val="center"/>
          </w:tcPr>
          <w:p w14:paraId="4480009C">
            <w:pPr>
              <w:spacing w:before="156" w:beforeLines="50" w:after="156" w:afterLines="50" w:line="360" w:lineRule="auto"/>
              <w:jc w:val="center"/>
              <w:rPr>
                <w:rFonts w:ascii="宋体" w:hAnsi="宋体" w:eastAsia="宋体" w:cs="宋体"/>
                <w:color w:val="000000"/>
                <w:sz w:val="24"/>
                <w:szCs w:val="24"/>
                <w:highlight w:val="none"/>
              </w:rPr>
            </w:pPr>
            <w:r>
              <w:rPr>
                <w:rFonts w:hint="eastAsia" w:ascii="宋体" w:hAnsi="宋体" w:eastAsia="宋体" w:cs="宋体"/>
                <w:sz w:val="24"/>
                <w:szCs w:val="24"/>
                <w:highlight w:val="none"/>
              </w:rPr>
              <w:t>平台控制终端节点</w:t>
            </w:r>
          </w:p>
        </w:tc>
        <w:tc>
          <w:tcPr>
            <w:tcW w:w="5175" w:type="dxa"/>
          </w:tcPr>
          <w:p w14:paraId="5664BE91">
            <w:pPr>
              <w:keepNext w:val="0"/>
              <w:keepLines w:val="0"/>
              <w:pageBreakBefore w:val="0"/>
              <w:widowControl w:val="0"/>
              <w:numPr>
                <w:ilvl w:val="0"/>
                <w:numId w:val="2"/>
              </w:numPr>
              <w:kinsoku/>
              <w:wordWrap/>
              <w:overflowPunct/>
              <w:topLinePunct w:val="0"/>
              <w:autoSpaceDE/>
              <w:autoSpaceDN/>
              <w:bidi w:val="0"/>
              <w:adjustRightInd/>
              <w:snapToGrid/>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平台控制处理终端采用核心线程≥20核28线程，基础主频≥2.4GHz，智能睿频≥5.4GHz，三级高速缓存≥33MB，搭配高端商用芯片组主板，满足大型办公、图形设计、高清渲染、多程序并发运行的高性能算力需求，运行稳定无卡顿。</w:t>
            </w:r>
          </w:p>
          <w:p w14:paraId="2285FEC1">
            <w:pPr>
              <w:keepNext w:val="0"/>
              <w:keepLines w:val="0"/>
              <w:pageBreakBefore w:val="0"/>
              <w:widowControl w:val="0"/>
              <w:numPr>
                <w:ilvl w:val="0"/>
                <w:numId w:val="2"/>
              </w:numPr>
              <w:kinsoku/>
              <w:wordWrap/>
              <w:overflowPunct/>
              <w:topLinePunct w:val="0"/>
              <w:autoSpaceDE/>
              <w:autoSpaceDN/>
              <w:bidi w:val="0"/>
              <w:adjustRightInd/>
              <w:snapToGrid/>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采用PCIe4.0×16高速传输接口，原生支持CUDA运算、实时光线追踪、AI智能加速技术，具备专业ISV软件适配认证，可流畅支撑三维建模、影视后期渲染、工业设计、仿真运算等专业场景算力需求。</w:t>
            </w:r>
          </w:p>
          <w:p w14:paraId="12199C6B">
            <w:pPr>
              <w:keepNext w:val="0"/>
              <w:keepLines w:val="0"/>
              <w:pageBreakBefore w:val="0"/>
              <w:widowControl w:val="0"/>
              <w:numPr>
                <w:ilvl w:val="0"/>
                <w:numId w:val="2"/>
              </w:numPr>
              <w:kinsoku/>
              <w:wordWrap/>
              <w:overflowPunct/>
              <w:topLinePunct w:val="0"/>
              <w:autoSpaceDE/>
              <w:autoSpaceDN/>
              <w:bidi w:val="0"/>
              <w:adjustRightInd/>
              <w:snapToGrid/>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机载嵌入式大容量固态存储阵列，物理可用存储容量≥32GB，满足多软件并行、大型文件处理、专业设计软件运行的大内存需求。</w:t>
            </w:r>
          </w:p>
          <w:p w14:paraId="03E06E74">
            <w:pPr>
              <w:keepNext w:val="0"/>
              <w:keepLines w:val="0"/>
              <w:pageBreakBefore w:val="0"/>
              <w:widowControl w:val="0"/>
              <w:numPr>
                <w:ilvl w:val="0"/>
                <w:numId w:val="2"/>
              </w:numPr>
              <w:kinsoku/>
              <w:wordWrap/>
              <w:overflowPunct/>
              <w:topLinePunct w:val="0"/>
              <w:autoSpaceDE/>
              <w:autoSpaceDN/>
              <w:bidi w:val="0"/>
              <w:adjustRightInd/>
              <w:snapToGrid/>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嵌入式大容量数据仓储模组，额定寻址容量≥1TB NVMe PCIe4.0协议M.2高速固态硬盘，读写速度快、响应延迟低，主板预留多个硬盘扩展位，支持后续大容量存储扩容，充分满足海量素材、工程文件、系统软件的存储与快速读写需求。</w:t>
            </w:r>
          </w:p>
          <w:p w14:paraId="3FE00A10">
            <w:pPr>
              <w:keepNext w:val="0"/>
              <w:keepLines w:val="0"/>
              <w:pageBreakBefore w:val="0"/>
              <w:widowControl w:val="0"/>
              <w:numPr>
                <w:ilvl w:val="0"/>
                <w:numId w:val="2"/>
              </w:numPr>
              <w:kinsoku/>
              <w:wordWrap/>
              <w:overflowPunct/>
              <w:topLinePunct w:val="0"/>
              <w:autoSpaceDE/>
              <w:autoSpaceDN/>
              <w:bidi w:val="0"/>
              <w:adjustRightInd/>
              <w:snapToGrid/>
              <w:spacing w:line="400" w:lineRule="exact"/>
              <w:textAlignment w:val="auto"/>
              <w:rPr>
                <w:rFonts w:ascii="宋体" w:hAnsi="宋体" w:eastAsia="宋体" w:cs="宋体"/>
                <w:sz w:val="24"/>
                <w:szCs w:val="24"/>
                <w:highlight w:val="none"/>
              </w:rPr>
            </w:pPr>
            <w:r>
              <w:rPr>
                <w:rFonts w:hint="eastAsia" w:ascii="宋体" w:hAnsi="宋体" w:eastAsia="宋体" w:cs="宋体"/>
                <w:sz w:val="24"/>
                <w:szCs w:val="24"/>
                <w:highlight w:val="none"/>
              </w:rPr>
              <w:t>配备额定≥750W功率电源，全电压自适应设计，足额稳定供电，可支撑高端显卡、处理器满负载长时间连续运行，无死机、断电、重启故障，保障设备全天候稳定工作。</w:t>
            </w:r>
          </w:p>
        </w:tc>
        <w:tc>
          <w:tcPr>
            <w:tcW w:w="825" w:type="dxa"/>
            <w:vAlign w:val="center"/>
          </w:tcPr>
          <w:p w14:paraId="19DACA3A">
            <w:pPr>
              <w:spacing w:before="156" w:beforeLines="50" w:after="156" w:afterLines="50" w:line="36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p>
        </w:tc>
        <w:tc>
          <w:tcPr>
            <w:tcW w:w="810" w:type="dxa"/>
            <w:vAlign w:val="center"/>
          </w:tcPr>
          <w:p w14:paraId="3D4D6C96">
            <w:pPr>
              <w:spacing w:before="156" w:beforeLines="50" w:after="156" w:afterLines="50" w:line="36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台</w:t>
            </w:r>
          </w:p>
        </w:tc>
      </w:tr>
      <w:tr w14:paraId="5A6FC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14:paraId="3CEF2D63">
            <w:pPr>
              <w:spacing w:before="156" w:beforeLines="50" w:after="156" w:afterLines="50" w:line="36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w:t>
            </w:r>
          </w:p>
        </w:tc>
        <w:tc>
          <w:tcPr>
            <w:tcW w:w="1515" w:type="dxa"/>
            <w:vAlign w:val="center"/>
          </w:tcPr>
          <w:p w14:paraId="00DBE1E8">
            <w:pPr>
              <w:widowControl/>
              <w:spacing w:before="156" w:beforeLines="50" w:after="156" w:afterLines="50" w:line="360" w:lineRule="auto"/>
              <w:jc w:val="left"/>
              <w:textAlignment w:val="center"/>
              <w:rPr>
                <w:rFonts w:ascii="宋体" w:hAnsi="宋体" w:eastAsia="宋体" w:cs="宋体"/>
                <w:sz w:val="24"/>
                <w:szCs w:val="24"/>
                <w:highlight w:val="none"/>
              </w:rPr>
            </w:pPr>
            <w:r>
              <w:rPr>
                <w:rFonts w:hint="eastAsia" w:ascii="宋体" w:hAnsi="宋体" w:eastAsia="宋体" w:cs="宋体"/>
                <w:color w:val="000000"/>
                <w:kern w:val="0"/>
                <w:sz w:val="24"/>
                <w:szCs w:val="24"/>
                <w:highlight w:val="none"/>
                <w:lang w:bidi="ar"/>
              </w:rPr>
              <w:t>无线控制器</w:t>
            </w:r>
          </w:p>
        </w:tc>
        <w:tc>
          <w:tcPr>
            <w:tcW w:w="5175" w:type="dxa"/>
            <w:vAlign w:val="center"/>
          </w:tcPr>
          <w:p w14:paraId="4D78921B">
            <w:pPr>
              <w:keepNext w:val="0"/>
              <w:keepLines w:val="0"/>
              <w:pageBreakBefore w:val="0"/>
              <w:widowControl/>
              <w:numPr>
                <w:ilvl w:val="0"/>
                <w:numId w:val="3"/>
              </w:numPr>
              <w:kinsoku/>
              <w:wordWrap/>
              <w:overflowPunct/>
              <w:topLinePunct w:val="0"/>
              <w:autoSpaceDE/>
              <w:autoSpaceDN/>
              <w:bidi w:val="0"/>
              <w:adjustRightInd/>
              <w:snapToGrid/>
              <w:spacing w:line="400" w:lineRule="exact"/>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CPU国产自主可控</w:t>
            </w:r>
          </w:p>
          <w:p w14:paraId="640CE7B2">
            <w:pPr>
              <w:keepNext w:val="0"/>
              <w:keepLines w:val="0"/>
              <w:pageBreakBefore w:val="0"/>
              <w:widowControl/>
              <w:numPr>
                <w:ilvl w:val="0"/>
                <w:numId w:val="3"/>
              </w:numPr>
              <w:kinsoku/>
              <w:wordWrap/>
              <w:overflowPunct/>
              <w:topLinePunct w:val="0"/>
              <w:autoSpaceDE/>
              <w:autoSpaceDN/>
              <w:bidi w:val="0"/>
              <w:adjustRightInd/>
              <w:snapToGrid/>
              <w:spacing w:line="400" w:lineRule="exact"/>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★支持802.11ax标准；</w:t>
            </w:r>
          </w:p>
          <w:p w14:paraId="3856CAC7">
            <w:pPr>
              <w:keepNext w:val="0"/>
              <w:keepLines w:val="0"/>
              <w:pageBreakBefore w:val="0"/>
              <w:widowControl/>
              <w:numPr>
                <w:ilvl w:val="0"/>
                <w:numId w:val="3"/>
              </w:numPr>
              <w:kinsoku/>
              <w:wordWrap/>
              <w:overflowPunct/>
              <w:topLinePunct w:val="0"/>
              <w:autoSpaceDE/>
              <w:autoSpaceDN/>
              <w:bidi w:val="0"/>
              <w:adjustRightInd/>
              <w:snapToGrid/>
              <w:spacing w:line="400" w:lineRule="exact"/>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★2.4GHz和5GHz双频段MU-MIMO；</w:t>
            </w:r>
          </w:p>
          <w:p w14:paraId="0A010C73">
            <w:pPr>
              <w:keepNext w:val="0"/>
              <w:keepLines w:val="0"/>
              <w:pageBreakBefore w:val="0"/>
              <w:widowControl/>
              <w:numPr>
                <w:ilvl w:val="0"/>
                <w:numId w:val="3"/>
              </w:numPr>
              <w:kinsoku/>
              <w:wordWrap/>
              <w:overflowPunct/>
              <w:topLinePunct w:val="0"/>
              <w:autoSpaceDE/>
              <w:autoSpaceDN/>
              <w:bidi w:val="0"/>
              <w:adjustRightInd/>
              <w:snapToGrid/>
              <w:spacing w:line="400" w:lineRule="exact"/>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★整机速率≥2.975Gbps；</w:t>
            </w:r>
          </w:p>
          <w:p w14:paraId="129E9B61">
            <w:pPr>
              <w:keepNext w:val="0"/>
              <w:keepLines w:val="0"/>
              <w:pageBreakBefore w:val="0"/>
              <w:widowControl/>
              <w:numPr>
                <w:ilvl w:val="0"/>
                <w:numId w:val="3"/>
              </w:numPr>
              <w:kinsoku/>
              <w:wordWrap/>
              <w:overflowPunct/>
              <w:topLinePunct w:val="0"/>
              <w:autoSpaceDE/>
              <w:autoSpaceDN/>
              <w:bidi w:val="0"/>
              <w:adjustRightInd/>
              <w:snapToGrid/>
              <w:spacing w:line="400" w:lineRule="exact"/>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支持总空间流数≥4；</w:t>
            </w:r>
          </w:p>
          <w:p w14:paraId="0F284738">
            <w:pPr>
              <w:keepNext w:val="0"/>
              <w:keepLines w:val="0"/>
              <w:pageBreakBefore w:val="0"/>
              <w:widowControl/>
              <w:numPr>
                <w:ilvl w:val="0"/>
                <w:numId w:val="3"/>
              </w:numPr>
              <w:kinsoku/>
              <w:wordWrap/>
              <w:overflowPunct/>
              <w:topLinePunct w:val="0"/>
              <w:autoSpaceDE/>
              <w:autoSpaceDN/>
              <w:bidi w:val="0"/>
              <w:adjustRightInd/>
              <w:snapToGrid/>
              <w:spacing w:line="400" w:lineRule="exact"/>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支持WPA3加密；</w:t>
            </w:r>
          </w:p>
          <w:p w14:paraId="179A82A4">
            <w:pPr>
              <w:keepNext w:val="0"/>
              <w:keepLines w:val="0"/>
              <w:pageBreakBefore w:val="0"/>
              <w:widowControl/>
              <w:numPr>
                <w:ilvl w:val="0"/>
                <w:numId w:val="3"/>
              </w:numPr>
              <w:kinsoku/>
              <w:wordWrap/>
              <w:overflowPunct/>
              <w:topLinePunct w:val="0"/>
              <w:autoSpaceDE/>
              <w:autoSpaceDN/>
              <w:bidi w:val="0"/>
              <w:adjustRightInd/>
              <w:snapToGrid/>
              <w:spacing w:line="400" w:lineRule="exact"/>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支持DTLS加密；</w:t>
            </w:r>
          </w:p>
          <w:p w14:paraId="1796E000">
            <w:pPr>
              <w:keepNext w:val="0"/>
              <w:keepLines w:val="0"/>
              <w:pageBreakBefore w:val="0"/>
              <w:widowControl/>
              <w:numPr>
                <w:ilvl w:val="0"/>
                <w:numId w:val="3"/>
              </w:numPr>
              <w:kinsoku/>
              <w:wordWrap/>
              <w:overflowPunct/>
              <w:topLinePunct w:val="0"/>
              <w:autoSpaceDE/>
              <w:autoSpaceDN/>
              <w:bidi w:val="0"/>
              <w:adjustRightInd/>
              <w:snapToGrid/>
              <w:spacing w:line="400" w:lineRule="exact"/>
              <w:jc w:val="left"/>
              <w:textAlignment w:val="center"/>
              <w:rPr>
                <w:rFonts w:ascii="宋体" w:hAnsi="宋体" w:eastAsia="宋体" w:cs="宋体"/>
                <w:sz w:val="24"/>
                <w:szCs w:val="24"/>
                <w:highlight w:val="none"/>
              </w:rPr>
            </w:pPr>
            <w:r>
              <w:rPr>
                <w:rFonts w:hint="eastAsia" w:ascii="宋体" w:hAnsi="宋体" w:eastAsia="宋体" w:cs="宋体"/>
                <w:color w:val="000000"/>
                <w:kern w:val="0"/>
                <w:sz w:val="24"/>
                <w:szCs w:val="24"/>
                <w:highlight w:val="none"/>
                <w:lang w:bidi="ar"/>
              </w:rPr>
              <w:t>内置智能天线；</w:t>
            </w:r>
          </w:p>
          <w:p w14:paraId="033A9E58">
            <w:pPr>
              <w:keepNext w:val="0"/>
              <w:keepLines w:val="0"/>
              <w:pageBreakBefore w:val="0"/>
              <w:widowControl/>
              <w:numPr>
                <w:ilvl w:val="0"/>
                <w:numId w:val="3"/>
              </w:numPr>
              <w:kinsoku/>
              <w:wordWrap/>
              <w:overflowPunct/>
              <w:topLinePunct w:val="0"/>
              <w:autoSpaceDE/>
              <w:autoSpaceDN/>
              <w:bidi w:val="0"/>
              <w:adjustRightInd/>
              <w:snapToGrid/>
              <w:spacing w:line="400" w:lineRule="exact"/>
              <w:jc w:val="left"/>
              <w:textAlignment w:val="center"/>
              <w:rPr>
                <w:rFonts w:ascii="宋体" w:hAnsi="宋体" w:eastAsia="宋体" w:cs="宋体"/>
                <w:sz w:val="24"/>
                <w:szCs w:val="24"/>
                <w:highlight w:val="none"/>
              </w:rPr>
            </w:pPr>
            <w:r>
              <w:rPr>
                <w:rFonts w:hint="eastAsia" w:ascii="宋体" w:hAnsi="宋体" w:eastAsia="宋体" w:cs="宋体"/>
                <w:color w:val="000000"/>
                <w:kern w:val="0"/>
                <w:sz w:val="24"/>
                <w:szCs w:val="24"/>
                <w:highlight w:val="none"/>
                <w:lang w:bidi="ar"/>
              </w:rPr>
              <w:t>最大功耗≤9.4W</w:t>
            </w:r>
          </w:p>
        </w:tc>
        <w:tc>
          <w:tcPr>
            <w:tcW w:w="825" w:type="dxa"/>
            <w:vAlign w:val="center"/>
          </w:tcPr>
          <w:p w14:paraId="752109F8">
            <w:pPr>
              <w:widowControl/>
              <w:spacing w:before="156" w:beforeLines="50" w:after="156" w:afterLines="50" w:line="360" w:lineRule="auto"/>
              <w:jc w:val="center"/>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w:t>
            </w:r>
          </w:p>
        </w:tc>
        <w:tc>
          <w:tcPr>
            <w:tcW w:w="810" w:type="dxa"/>
            <w:vAlign w:val="center"/>
          </w:tcPr>
          <w:p w14:paraId="39E44F45">
            <w:pPr>
              <w:spacing w:before="156" w:beforeLines="50" w:after="156" w:afterLines="50" w:line="36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台</w:t>
            </w:r>
          </w:p>
        </w:tc>
      </w:tr>
      <w:tr w14:paraId="3443B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14:paraId="32DCAE56">
            <w:pPr>
              <w:spacing w:before="156" w:beforeLines="50" w:after="156" w:afterLines="50" w:line="36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5</w:t>
            </w:r>
          </w:p>
        </w:tc>
        <w:tc>
          <w:tcPr>
            <w:tcW w:w="1515" w:type="dxa"/>
            <w:vAlign w:val="center"/>
          </w:tcPr>
          <w:p w14:paraId="4CB6FB7A">
            <w:pPr>
              <w:widowControl/>
              <w:spacing w:before="156" w:beforeLines="50" w:after="156" w:afterLines="50" w:line="360" w:lineRule="auto"/>
              <w:jc w:val="left"/>
              <w:textAlignment w:val="center"/>
              <w:rPr>
                <w:rFonts w:ascii="宋体" w:hAnsi="宋体" w:eastAsia="宋体" w:cs="宋体"/>
                <w:sz w:val="24"/>
                <w:szCs w:val="24"/>
                <w:highlight w:val="none"/>
              </w:rPr>
            </w:pPr>
            <w:r>
              <w:rPr>
                <w:rStyle w:val="11"/>
                <w:rFonts w:hint="default"/>
                <w:sz w:val="24"/>
                <w:szCs w:val="24"/>
                <w:highlight w:val="none"/>
                <w:lang w:bidi="ar"/>
              </w:rPr>
              <w:t>无线</w:t>
            </w:r>
            <w:r>
              <w:rPr>
                <w:rStyle w:val="12"/>
                <w:rFonts w:hint="eastAsia" w:ascii="宋体" w:hAnsi="宋体" w:eastAsia="宋体" w:cs="宋体"/>
                <w:sz w:val="24"/>
                <w:szCs w:val="24"/>
                <w:highlight w:val="none"/>
                <w:lang w:bidi="ar"/>
              </w:rPr>
              <w:t>AP</w:t>
            </w:r>
          </w:p>
        </w:tc>
        <w:tc>
          <w:tcPr>
            <w:tcW w:w="5175" w:type="dxa"/>
            <w:vAlign w:val="center"/>
          </w:tcPr>
          <w:p w14:paraId="1CFA2349">
            <w:pPr>
              <w:keepNext w:val="0"/>
              <w:keepLines w:val="0"/>
              <w:pageBreakBefore w:val="0"/>
              <w:widowControl/>
              <w:numPr>
                <w:ilvl w:val="0"/>
                <w:numId w:val="4"/>
              </w:numPr>
              <w:kinsoku/>
              <w:wordWrap/>
              <w:overflowPunct/>
              <w:topLinePunct w:val="0"/>
              <w:autoSpaceDE/>
              <w:autoSpaceDN/>
              <w:bidi w:val="0"/>
              <w:adjustRightInd/>
              <w:snapToGrid/>
              <w:spacing w:line="400" w:lineRule="exact"/>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CPU国产自主可控</w:t>
            </w:r>
          </w:p>
          <w:p w14:paraId="19433FEE">
            <w:pPr>
              <w:keepNext w:val="0"/>
              <w:keepLines w:val="0"/>
              <w:pageBreakBefore w:val="0"/>
              <w:widowControl/>
              <w:numPr>
                <w:ilvl w:val="0"/>
                <w:numId w:val="4"/>
              </w:numPr>
              <w:kinsoku/>
              <w:wordWrap/>
              <w:overflowPunct/>
              <w:topLinePunct w:val="0"/>
              <w:autoSpaceDE/>
              <w:autoSpaceDN/>
              <w:bidi w:val="0"/>
              <w:adjustRightInd/>
              <w:snapToGrid/>
              <w:spacing w:line="400" w:lineRule="exact"/>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★支持802.11ax标准；</w:t>
            </w:r>
          </w:p>
          <w:p w14:paraId="1097C1F0">
            <w:pPr>
              <w:keepNext w:val="0"/>
              <w:keepLines w:val="0"/>
              <w:pageBreakBefore w:val="0"/>
              <w:widowControl/>
              <w:numPr>
                <w:ilvl w:val="0"/>
                <w:numId w:val="4"/>
              </w:numPr>
              <w:kinsoku/>
              <w:wordWrap/>
              <w:overflowPunct/>
              <w:topLinePunct w:val="0"/>
              <w:autoSpaceDE/>
              <w:autoSpaceDN/>
              <w:bidi w:val="0"/>
              <w:adjustRightInd/>
              <w:snapToGrid/>
              <w:spacing w:line="400" w:lineRule="exact"/>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★2.4GHz和5GHz双频段MU-MIMO；</w:t>
            </w:r>
          </w:p>
          <w:p w14:paraId="496C5EC5">
            <w:pPr>
              <w:keepNext w:val="0"/>
              <w:keepLines w:val="0"/>
              <w:pageBreakBefore w:val="0"/>
              <w:widowControl/>
              <w:numPr>
                <w:ilvl w:val="0"/>
                <w:numId w:val="4"/>
              </w:numPr>
              <w:kinsoku/>
              <w:wordWrap/>
              <w:overflowPunct/>
              <w:topLinePunct w:val="0"/>
              <w:autoSpaceDE/>
              <w:autoSpaceDN/>
              <w:bidi w:val="0"/>
              <w:adjustRightInd/>
              <w:snapToGrid/>
              <w:spacing w:line="400" w:lineRule="exact"/>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★整机速率≥2.975Gbps；</w:t>
            </w:r>
          </w:p>
          <w:p w14:paraId="3FB01408">
            <w:pPr>
              <w:keepNext w:val="0"/>
              <w:keepLines w:val="0"/>
              <w:pageBreakBefore w:val="0"/>
              <w:widowControl/>
              <w:numPr>
                <w:ilvl w:val="0"/>
                <w:numId w:val="4"/>
              </w:numPr>
              <w:kinsoku/>
              <w:wordWrap/>
              <w:overflowPunct/>
              <w:topLinePunct w:val="0"/>
              <w:autoSpaceDE/>
              <w:autoSpaceDN/>
              <w:bidi w:val="0"/>
              <w:adjustRightInd/>
              <w:snapToGrid/>
              <w:spacing w:line="400" w:lineRule="exact"/>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支持总空间流数≥4；</w:t>
            </w:r>
          </w:p>
          <w:p w14:paraId="7EA6F22B">
            <w:pPr>
              <w:keepNext w:val="0"/>
              <w:keepLines w:val="0"/>
              <w:pageBreakBefore w:val="0"/>
              <w:widowControl/>
              <w:numPr>
                <w:ilvl w:val="0"/>
                <w:numId w:val="4"/>
              </w:numPr>
              <w:kinsoku/>
              <w:wordWrap/>
              <w:overflowPunct/>
              <w:topLinePunct w:val="0"/>
              <w:autoSpaceDE/>
              <w:autoSpaceDN/>
              <w:bidi w:val="0"/>
              <w:adjustRightInd/>
              <w:snapToGrid/>
              <w:spacing w:line="400" w:lineRule="exact"/>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支持WPA3加密；</w:t>
            </w:r>
          </w:p>
          <w:p w14:paraId="48F83BAA">
            <w:pPr>
              <w:keepNext w:val="0"/>
              <w:keepLines w:val="0"/>
              <w:pageBreakBefore w:val="0"/>
              <w:widowControl/>
              <w:numPr>
                <w:ilvl w:val="0"/>
                <w:numId w:val="4"/>
              </w:numPr>
              <w:kinsoku/>
              <w:wordWrap/>
              <w:overflowPunct/>
              <w:topLinePunct w:val="0"/>
              <w:autoSpaceDE/>
              <w:autoSpaceDN/>
              <w:bidi w:val="0"/>
              <w:adjustRightInd/>
              <w:snapToGrid/>
              <w:spacing w:line="400" w:lineRule="exact"/>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支持DTLS加密；</w:t>
            </w:r>
          </w:p>
          <w:p w14:paraId="3BDF9FB7">
            <w:pPr>
              <w:keepNext w:val="0"/>
              <w:keepLines w:val="0"/>
              <w:pageBreakBefore w:val="0"/>
              <w:widowControl/>
              <w:numPr>
                <w:ilvl w:val="0"/>
                <w:numId w:val="4"/>
              </w:numPr>
              <w:kinsoku/>
              <w:wordWrap/>
              <w:overflowPunct/>
              <w:topLinePunct w:val="0"/>
              <w:autoSpaceDE/>
              <w:autoSpaceDN/>
              <w:bidi w:val="0"/>
              <w:adjustRightInd/>
              <w:snapToGrid/>
              <w:spacing w:line="400" w:lineRule="exact"/>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内置智能天线；</w:t>
            </w:r>
          </w:p>
          <w:p w14:paraId="6ED2CE76">
            <w:pPr>
              <w:keepNext w:val="0"/>
              <w:keepLines w:val="0"/>
              <w:pageBreakBefore w:val="0"/>
              <w:widowControl/>
              <w:numPr>
                <w:ilvl w:val="0"/>
                <w:numId w:val="4"/>
              </w:numPr>
              <w:kinsoku/>
              <w:wordWrap/>
              <w:overflowPunct/>
              <w:topLinePunct w:val="0"/>
              <w:autoSpaceDE/>
              <w:autoSpaceDN/>
              <w:bidi w:val="0"/>
              <w:adjustRightInd/>
              <w:snapToGrid/>
              <w:spacing w:line="400" w:lineRule="exact"/>
              <w:jc w:val="left"/>
              <w:textAlignment w:val="center"/>
              <w:rPr>
                <w:rFonts w:ascii="宋体" w:hAnsi="宋体" w:eastAsia="宋体" w:cs="宋体"/>
                <w:sz w:val="24"/>
                <w:szCs w:val="24"/>
                <w:highlight w:val="none"/>
              </w:rPr>
            </w:pPr>
            <w:r>
              <w:rPr>
                <w:rFonts w:hint="eastAsia" w:ascii="宋体" w:hAnsi="宋体" w:eastAsia="宋体" w:cs="宋体"/>
                <w:color w:val="000000"/>
                <w:kern w:val="0"/>
                <w:sz w:val="24"/>
                <w:szCs w:val="24"/>
                <w:highlight w:val="none"/>
                <w:lang w:bidi="ar"/>
              </w:rPr>
              <w:t>最大功耗≤9.4W</w:t>
            </w:r>
          </w:p>
        </w:tc>
        <w:tc>
          <w:tcPr>
            <w:tcW w:w="825" w:type="dxa"/>
            <w:vAlign w:val="center"/>
          </w:tcPr>
          <w:p w14:paraId="7014F66D">
            <w:pPr>
              <w:widowControl/>
              <w:spacing w:before="156" w:beforeLines="50" w:after="156" w:afterLines="50" w:line="360" w:lineRule="auto"/>
              <w:jc w:val="center"/>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5</w:t>
            </w:r>
          </w:p>
        </w:tc>
        <w:tc>
          <w:tcPr>
            <w:tcW w:w="810" w:type="dxa"/>
            <w:vAlign w:val="center"/>
          </w:tcPr>
          <w:p w14:paraId="4F811C6F">
            <w:pPr>
              <w:spacing w:before="156" w:beforeLines="50" w:after="156" w:afterLines="50" w:line="36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台</w:t>
            </w:r>
          </w:p>
        </w:tc>
      </w:tr>
      <w:tr w14:paraId="2028A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14:paraId="1AB17DA2">
            <w:pPr>
              <w:spacing w:before="156" w:beforeLines="50" w:after="156" w:afterLines="50" w:line="36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6</w:t>
            </w:r>
          </w:p>
        </w:tc>
        <w:tc>
          <w:tcPr>
            <w:tcW w:w="1515" w:type="dxa"/>
            <w:vAlign w:val="center"/>
          </w:tcPr>
          <w:p w14:paraId="655E4EB0">
            <w:pPr>
              <w:widowControl/>
              <w:spacing w:before="156" w:beforeLines="50" w:after="156" w:afterLines="50" w:line="360" w:lineRule="auto"/>
              <w:jc w:val="left"/>
              <w:textAlignment w:val="center"/>
              <w:rPr>
                <w:rFonts w:ascii="宋体" w:hAnsi="宋体" w:eastAsia="宋体" w:cs="宋体"/>
                <w:sz w:val="24"/>
                <w:szCs w:val="24"/>
                <w:highlight w:val="none"/>
              </w:rPr>
            </w:pPr>
            <w:r>
              <w:rPr>
                <w:rStyle w:val="12"/>
                <w:rFonts w:hint="eastAsia" w:ascii="宋体" w:hAnsi="宋体" w:eastAsia="宋体" w:cs="宋体"/>
                <w:sz w:val="24"/>
                <w:szCs w:val="24"/>
                <w:highlight w:val="none"/>
                <w:lang w:bidi="ar"/>
              </w:rPr>
              <w:t>8</w:t>
            </w:r>
            <w:r>
              <w:rPr>
                <w:rStyle w:val="11"/>
                <w:rFonts w:hint="default"/>
                <w:sz w:val="24"/>
                <w:szCs w:val="24"/>
                <w:highlight w:val="none"/>
                <w:lang w:bidi="ar"/>
              </w:rPr>
              <w:t>口</w:t>
            </w:r>
            <w:r>
              <w:rPr>
                <w:rStyle w:val="12"/>
                <w:rFonts w:hint="eastAsia" w:ascii="宋体" w:hAnsi="宋体" w:eastAsia="宋体" w:cs="宋体"/>
                <w:sz w:val="24"/>
                <w:szCs w:val="24"/>
                <w:highlight w:val="none"/>
                <w:lang w:bidi="ar"/>
              </w:rPr>
              <w:t>POE</w:t>
            </w:r>
            <w:r>
              <w:rPr>
                <w:rStyle w:val="11"/>
                <w:rFonts w:hint="default"/>
                <w:sz w:val="24"/>
                <w:szCs w:val="24"/>
                <w:highlight w:val="none"/>
                <w:lang w:bidi="ar"/>
              </w:rPr>
              <w:t>交换机</w:t>
            </w:r>
          </w:p>
        </w:tc>
        <w:tc>
          <w:tcPr>
            <w:tcW w:w="5175" w:type="dxa"/>
            <w:vAlign w:val="center"/>
          </w:tcPr>
          <w:p w14:paraId="455788FB">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1、CPU国产自主可控</w:t>
            </w:r>
          </w:p>
          <w:p w14:paraId="45E61948">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★2、交换容量≥396Gbps，包转发率≥56Mpps</w:t>
            </w:r>
          </w:p>
          <w:p w14:paraId="75534943">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★3、8个千兆电口，2个2.5GE光口，支持PoE+，PoE功率≥128W</w:t>
            </w:r>
          </w:p>
          <w:p w14:paraId="11C49CBC">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4、支持MAC地址最大8K，支持32 VLAN</w:t>
            </w:r>
          </w:p>
          <w:p w14:paraId="42149C5F">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5、MTBF（平均无故障时间）超过80年</w:t>
            </w:r>
          </w:p>
          <w:p w14:paraId="197307E2">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6、支持SNMP，支持ERPS，STP/RSTP</w:t>
            </w:r>
          </w:p>
          <w:p w14:paraId="5779E9D8">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7、支持链路聚合</w:t>
            </w:r>
          </w:p>
          <w:p w14:paraId="42E40D87">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8、支持MacSec，支持Dos类防攻击，用户类防攻击</w:t>
            </w:r>
          </w:p>
          <w:p w14:paraId="260B144A">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9、可用度满足99.999%的电信级可靠性要求</w:t>
            </w:r>
          </w:p>
          <w:p w14:paraId="7C5E01DA">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10、电源口防雷可达4KV</w:t>
            </w:r>
          </w:p>
          <w:p w14:paraId="42F98D70">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宋体" w:hAnsi="宋体" w:eastAsia="宋体" w:cs="宋体"/>
                <w:sz w:val="24"/>
                <w:szCs w:val="24"/>
                <w:highlight w:val="none"/>
              </w:rPr>
            </w:pPr>
            <w:r>
              <w:rPr>
                <w:rFonts w:hint="eastAsia" w:ascii="宋体" w:hAnsi="宋体" w:eastAsia="宋体" w:cs="宋体"/>
                <w:color w:val="000000"/>
                <w:kern w:val="0"/>
                <w:sz w:val="24"/>
                <w:szCs w:val="24"/>
                <w:highlight w:val="none"/>
                <w:lang w:bidi="ar"/>
              </w:rPr>
              <w:t>11、长期工作环境相对湿度为5%~95%，非凝露</w:t>
            </w:r>
          </w:p>
        </w:tc>
        <w:tc>
          <w:tcPr>
            <w:tcW w:w="825" w:type="dxa"/>
            <w:vAlign w:val="center"/>
          </w:tcPr>
          <w:p w14:paraId="0F1E1384">
            <w:pPr>
              <w:widowControl/>
              <w:spacing w:before="156" w:beforeLines="50" w:after="156" w:afterLines="50" w:line="360" w:lineRule="auto"/>
              <w:jc w:val="center"/>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w:t>
            </w:r>
          </w:p>
        </w:tc>
        <w:tc>
          <w:tcPr>
            <w:tcW w:w="810" w:type="dxa"/>
            <w:vAlign w:val="center"/>
          </w:tcPr>
          <w:p w14:paraId="6E187A9B">
            <w:pPr>
              <w:spacing w:before="156" w:beforeLines="50" w:after="156" w:afterLines="50" w:line="36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台</w:t>
            </w:r>
          </w:p>
        </w:tc>
      </w:tr>
      <w:tr w14:paraId="0DBE0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14:paraId="6E25CF4A">
            <w:pPr>
              <w:spacing w:before="156" w:beforeLines="50" w:after="156" w:afterLines="50" w:line="36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7</w:t>
            </w:r>
          </w:p>
        </w:tc>
        <w:tc>
          <w:tcPr>
            <w:tcW w:w="1515" w:type="dxa"/>
            <w:vAlign w:val="center"/>
          </w:tcPr>
          <w:p w14:paraId="0571F495">
            <w:pPr>
              <w:widowControl/>
              <w:spacing w:before="156" w:beforeLines="50" w:after="156" w:afterLines="50" w:line="360" w:lineRule="auto"/>
              <w:jc w:val="left"/>
              <w:textAlignment w:val="center"/>
              <w:rPr>
                <w:rFonts w:ascii="宋体" w:hAnsi="宋体" w:eastAsia="宋体" w:cs="宋体"/>
                <w:sz w:val="24"/>
                <w:szCs w:val="24"/>
                <w:highlight w:val="none"/>
              </w:rPr>
            </w:pPr>
            <w:r>
              <w:rPr>
                <w:rStyle w:val="12"/>
                <w:rFonts w:hint="eastAsia" w:ascii="宋体" w:hAnsi="宋体" w:eastAsia="宋体" w:cs="宋体"/>
                <w:sz w:val="24"/>
                <w:szCs w:val="24"/>
                <w:highlight w:val="none"/>
                <w:lang w:bidi="ar"/>
              </w:rPr>
              <w:t>8</w:t>
            </w:r>
            <w:r>
              <w:rPr>
                <w:rStyle w:val="11"/>
                <w:rFonts w:hint="default"/>
                <w:sz w:val="24"/>
                <w:szCs w:val="24"/>
                <w:highlight w:val="none"/>
                <w:lang w:bidi="ar"/>
              </w:rPr>
              <w:t>口接入交换机</w:t>
            </w:r>
          </w:p>
        </w:tc>
        <w:tc>
          <w:tcPr>
            <w:tcW w:w="5175" w:type="dxa"/>
            <w:vAlign w:val="center"/>
          </w:tcPr>
          <w:p w14:paraId="3D8FD907">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1、CPU国产自主可控</w:t>
            </w:r>
          </w:p>
          <w:p w14:paraId="1F291262">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★2、交换容量≥396Gbps，包转发率≥56Mpps</w:t>
            </w:r>
          </w:p>
          <w:p w14:paraId="08ABD7DD">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★3、8个千兆电口，2个2.5GE光口</w:t>
            </w:r>
          </w:p>
          <w:p w14:paraId="089090A5">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4、支持MAC地址最大8K，支持32 VLAN</w:t>
            </w:r>
          </w:p>
          <w:p w14:paraId="029DBFFC">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5、MTBF（平均无故障时间）超过100年</w:t>
            </w:r>
          </w:p>
          <w:p w14:paraId="68B146E7">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6、支持SNMP，支持ERPS，STP/RSTP</w:t>
            </w:r>
          </w:p>
          <w:p w14:paraId="52D16FD9">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7、支持链路聚合</w:t>
            </w:r>
          </w:p>
          <w:p w14:paraId="01F29B1E">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8、支持MacSec，支持Dos类防攻击，用户类防攻击</w:t>
            </w:r>
          </w:p>
          <w:p w14:paraId="45E67A34">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9、可用度满足99.999%的电信级可靠性要求</w:t>
            </w:r>
          </w:p>
          <w:p w14:paraId="48F8EB4B">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10、电源口防雷可达6KV</w:t>
            </w:r>
          </w:p>
          <w:p w14:paraId="68826F8B">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宋体" w:hAnsi="宋体" w:eastAsia="宋体" w:cs="宋体"/>
                <w:sz w:val="24"/>
                <w:szCs w:val="24"/>
                <w:highlight w:val="none"/>
              </w:rPr>
            </w:pPr>
            <w:r>
              <w:rPr>
                <w:rFonts w:hint="eastAsia" w:ascii="宋体" w:hAnsi="宋体" w:eastAsia="宋体" w:cs="宋体"/>
                <w:color w:val="000000"/>
                <w:kern w:val="0"/>
                <w:sz w:val="24"/>
                <w:szCs w:val="24"/>
                <w:highlight w:val="none"/>
                <w:lang w:bidi="ar"/>
              </w:rPr>
              <w:t>11、长期工作环境相对湿度为5%~95%，非凝露</w:t>
            </w:r>
          </w:p>
        </w:tc>
        <w:tc>
          <w:tcPr>
            <w:tcW w:w="825" w:type="dxa"/>
            <w:vAlign w:val="center"/>
          </w:tcPr>
          <w:p w14:paraId="3A80D03E">
            <w:pPr>
              <w:widowControl/>
              <w:spacing w:before="156" w:beforeLines="50" w:after="156" w:afterLines="50" w:line="360" w:lineRule="auto"/>
              <w:jc w:val="center"/>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4</w:t>
            </w:r>
          </w:p>
        </w:tc>
        <w:tc>
          <w:tcPr>
            <w:tcW w:w="810" w:type="dxa"/>
            <w:vAlign w:val="center"/>
          </w:tcPr>
          <w:p w14:paraId="389279B2">
            <w:pPr>
              <w:spacing w:before="156" w:beforeLines="50" w:after="156" w:afterLines="50" w:line="36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台</w:t>
            </w:r>
          </w:p>
        </w:tc>
      </w:tr>
      <w:tr w14:paraId="5CBF1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14:paraId="225E93FF">
            <w:pPr>
              <w:spacing w:before="156" w:beforeLines="50" w:after="156" w:afterLines="50" w:line="36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8</w:t>
            </w:r>
          </w:p>
        </w:tc>
        <w:tc>
          <w:tcPr>
            <w:tcW w:w="1515" w:type="dxa"/>
            <w:vAlign w:val="center"/>
          </w:tcPr>
          <w:p w14:paraId="10F22263">
            <w:pPr>
              <w:widowControl/>
              <w:spacing w:before="156" w:beforeLines="50" w:after="156" w:afterLines="50" w:line="360" w:lineRule="auto"/>
              <w:jc w:val="left"/>
              <w:textAlignment w:val="center"/>
              <w:rPr>
                <w:rFonts w:ascii="宋体" w:hAnsi="宋体" w:eastAsia="宋体" w:cs="宋体"/>
                <w:sz w:val="24"/>
                <w:szCs w:val="24"/>
                <w:highlight w:val="none"/>
              </w:rPr>
            </w:pPr>
            <w:r>
              <w:rPr>
                <w:rStyle w:val="12"/>
                <w:rFonts w:hint="eastAsia" w:ascii="宋体" w:hAnsi="宋体" w:eastAsia="宋体" w:cs="宋体"/>
                <w:sz w:val="24"/>
                <w:szCs w:val="24"/>
                <w:highlight w:val="none"/>
                <w:lang w:bidi="ar"/>
              </w:rPr>
              <w:t>24</w:t>
            </w:r>
            <w:r>
              <w:rPr>
                <w:rStyle w:val="11"/>
                <w:rFonts w:hint="default"/>
                <w:sz w:val="24"/>
                <w:szCs w:val="24"/>
                <w:highlight w:val="none"/>
                <w:lang w:bidi="ar"/>
              </w:rPr>
              <w:t>口接入交换机</w:t>
            </w:r>
          </w:p>
        </w:tc>
        <w:tc>
          <w:tcPr>
            <w:tcW w:w="5175" w:type="dxa"/>
            <w:vAlign w:val="center"/>
          </w:tcPr>
          <w:p w14:paraId="7DE6ADA2">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1、CPU国产自主可控</w:t>
            </w:r>
          </w:p>
          <w:p w14:paraId="2EEC69FB">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★2、交换容量≥396Gbps，包转发率≥92Mpps</w:t>
            </w:r>
          </w:p>
          <w:p w14:paraId="6AD511ED">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★3、24个千兆电口，2个2.5GE光口</w:t>
            </w:r>
          </w:p>
          <w:p w14:paraId="5E385572">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4、支持MAC地址最大8K，支持32 VLAN</w:t>
            </w:r>
          </w:p>
          <w:p w14:paraId="2F9C4698">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5、MTBF（平均无故障时间）超过50年</w:t>
            </w:r>
          </w:p>
          <w:p w14:paraId="30C63C8A">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6、支持SNMP，支持ERPS，STP/RSTP</w:t>
            </w:r>
          </w:p>
          <w:p w14:paraId="19ECCD9B">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7、支持链路聚合</w:t>
            </w:r>
          </w:p>
          <w:p w14:paraId="59577718">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8、支持MacSec，支持Dos类防攻击，用户类防攻击</w:t>
            </w:r>
          </w:p>
          <w:p w14:paraId="4AEBB99D">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9、可用度满足99.999%的电信级可靠性要求</w:t>
            </w:r>
          </w:p>
          <w:p w14:paraId="3FB5F1CD">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10、电源口防雷可达6KV</w:t>
            </w:r>
          </w:p>
          <w:p w14:paraId="196B7BB9">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宋体" w:hAnsi="宋体" w:eastAsia="宋体" w:cs="宋体"/>
                <w:sz w:val="24"/>
                <w:szCs w:val="24"/>
                <w:highlight w:val="none"/>
              </w:rPr>
            </w:pPr>
            <w:r>
              <w:rPr>
                <w:rFonts w:hint="eastAsia" w:ascii="宋体" w:hAnsi="宋体" w:eastAsia="宋体" w:cs="宋体"/>
                <w:color w:val="000000"/>
                <w:kern w:val="0"/>
                <w:sz w:val="24"/>
                <w:szCs w:val="24"/>
                <w:highlight w:val="none"/>
                <w:lang w:bidi="ar"/>
              </w:rPr>
              <w:t>11、长期工作环境相对湿度为5%~95%，非凝露</w:t>
            </w:r>
          </w:p>
        </w:tc>
        <w:tc>
          <w:tcPr>
            <w:tcW w:w="825" w:type="dxa"/>
            <w:vAlign w:val="center"/>
          </w:tcPr>
          <w:p w14:paraId="3622A5C8">
            <w:pPr>
              <w:widowControl/>
              <w:spacing w:before="156" w:beforeLines="50" w:after="156" w:afterLines="50" w:line="360" w:lineRule="auto"/>
              <w:jc w:val="center"/>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w:t>
            </w:r>
          </w:p>
        </w:tc>
        <w:tc>
          <w:tcPr>
            <w:tcW w:w="810" w:type="dxa"/>
            <w:vAlign w:val="center"/>
          </w:tcPr>
          <w:p w14:paraId="3FA27BC0">
            <w:pPr>
              <w:spacing w:before="156" w:beforeLines="50" w:after="156" w:afterLines="50" w:line="36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台</w:t>
            </w:r>
          </w:p>
        </w:tc>
      </w:tr>
    </w:tbl>
    <w:p w14:paraId="2C297858">
      <w:pPr>
        <w:keepNext w:val="0"/>
        <w:keepLines w:val="0"/>
        <w:pageBreakBefore w:val="0"/>
        <w:widowControl w:val="0"/>
        <w:numPr>
          <w:ilvl w:val="0"/>
          <w:numId w:val="5"/>
        </w:numPr>
        <w:kinsoku/>
        <w:wordWrap/>
        <w:overflowPunct/>
        <w:topLinePunct w:val="0"/>
        <w:autoSpaceDE/>
        <w:autoSpaceDN/>
        <w:bidi w:val="0"/>
        <w:adjustRightInd/>
        <w:snapToGrid/>
        <w:spacing w:line="560" w:lineRule="atLeast"/>
        <w:ind w:firstLine="640" w:firstLineChars="200"/>
        <w:jc w:val="left"/>
        <w:textAlignment w:val="auto"/>
        <w:rPr>
          <w:rFonts w:ascii="仿宋" w:hAnsi="仿宋" w:eastAsia="仿宋"/>
          <w:color w:val="000000"/>
          <w:sz w:val="32"/>
          <w:szCs w:val="32"/>
        </w:rPr>
      </w:pPr>
      <w:r>
        <w:rPr>
          <w:rFonts w:hint="eastAsia" w:ascii="仿宋" w:hAnsi="仿宋" w:eastAsia="仿宋"/>
          <w:color w:val="000000"/>
          <w:sz w:val="32"/>
          <w:szCs w:val="32"/>
        </w:rPr>
        <w:t>商务要求</w:t>
      </w:r>
    </w:p>
    <w:p w14:paraId="6CB853FE">
      <w:pPr>
        <w:keepNext w:val="0"/>
        <w:keepLines w:val="0"/>
        <w:pageBreakBefore w:val="0"/>
        <w:widowControl w:val="0"/>
        <w:kinsoku/>
        <w:wordWrap/>
        <w:overflowPunct/>
        <w:topLinePunct w:val="0"/>
        <w:bidi w:val="0"/>
        <w:adjustRightInd/>
        <w:snapToGrid/>
        <w:spacing w:line="560" w:lineRule="atLeast"/>
        <w:ind w:firstLine="640" w:firstLineChars="200"/>
        <w:jc w:val="left"/>
        <w:textAlignment w:val="auto"/>
        <w:rPr>
          <w:rFonts w:ascii="仿宋" w:hAnsi="仿宋" w:eastAsia="仿宋" w:cs="仿宋"/>
          <w:kern w:val="0"/>
          <w:sz w:val="32"/>
          <w:szCs w:val="32"/>
          <w:lang w:val="zh-CN"/>
        </w:rPr>
      </w:pPr>
      <w:r>
        <w:rPr>
          <w:rFonts w:hint="eastAsia" w:ascii="仿宋" w:hAnsi="仿宋" w:eastAsia="仿宋"/>
          <w:iCs/>
          <w:sz w:val="32"/>
          <w:szCs w:val="32"/>
          <w:u w:val="single"/>
        </w:rPr>
        <w:t>①交货时间：</w:t>
      </w:r>
      <w:r>
        <w:rPr>
          <w:rFonts w:hint="eastAsia" w:ascii="仿宋" w:hAnsi="仿宋" w:eastAsia="仿宋" w:cs="仿宋"/>
          <w:kern w:val="0"/>
          <w:sz w:val="32"/>
          <w:szCs w:val="32"/>
          <w:lang w:val="zh-CN"/>
        </w:rPr>
        <w:t>合同签订之日起</w:t>
      </w:r>
      <w:r>
        <w:rPr>
          <w:rFonts w:hint="eastAsia" w:ascii="仿宋" w:hAnsi="仿宋" w:eastAsia="仿宋" w:cs="仿宋"/>
          <w:kern w:val="0"/>
          <w:sz w:val="32"/>
          <w:szCs w:val="32"/>
        </w:rPr>
        <w:t>90</w:t>
      </w:r>
      <w:r>
        <w:rPr>
          <w:rFonts w:hint="eastAsia" w:ascii="仿宋" w:hAnsi="仿宋" w:eastAsia="仿宋" w:cs="仿宋"/>
          <w:kern w:val="0"/>
          <w:sz w:val="32"/>
          <w:szCs w:val="32"/>
          <w:lang w:val="zh-CN"/>
        </w:rPr>
        <w:t>日内交付并安装调试合格。</w:t>
      </w:r>
    </w:p>
    <w:p w14:paraId="767B2424">
      <w:pPr>
        <w:keepNext w:val="0"/>
        <w:keepLines w:val="0"/>
        <w:pageBreakBefore w:val="0"/>
        <w:widowControl w:val="0"/>
        <w:kinsoku/>
        <w:wordWrap/>
        <w:overflowPunct/>
        <w:topLinePunct w:val="0"/>
        <w:autoSpaceDE w:val="0"/>
        <w:autoSpaceDN w:val="0"/>
        <w:bidi w:val="0"/>
        <w:adjustRightInd/>
        <w:snapToGrid/>
        <w:spacing w:line="560" w:lineRule="atLeast"/>
        <w:ind w:firstLine="640" w:firstLineChars="200"/>
        <w:textAlignment w:val="auto"/>
        <w:rPr>
          <w:rFonts w:ascii="仿宋" w:hAnsi="仿宋" w:eastAsia="仿宋" w:cs="仿宋"/>
          <w:kern w:val="0"/>
          <w:sz w:val="32"/>
          <w:szCs w:val="32"/>
          <w:lang w:val="zh-CN"/>
        </w:rPr>
      </w:pPr>
      <w:r>
        <w:rPr>
          <w:rFonts w:hint="eastAsia" w:ascii="仿宋" w:hAnsi="仿宋" w:eastAsia="仿宋"/>
          <w:iCs/>
          <w:sz w:val="32"/>
          <w:szCs w:val="32"/>
          <w:u w:val="single"/>
        </w:rPr>
        <w:t>②</w:t>
      </w:r>
      <w:r>
        <w:rPr>
          <w:rFonts w:hint="eastAsia" w:ascii="仿宋" w:hAnsi="仿宋" w:eastAsia="仿宋" w:cs="仿宋"/>
          <w:kern w:val="0"/>
          <w:sz w:val="32"/>
          <w:szCs w:val="32"/>
          <w:lang w:val="zh-CN"/>
        </w:rPr>
        <w:t>交货地点：天津体育学院内（具体以合同签订为准）。</w:t>
      </w:r>
    </w:p>
    <w:p w14:paraId="6D26766E">
      <w:pPr>
        <w:keepNext w:val="0"/>
        <w:keepLines w:val="0"/>
        <w:pageBreakBefore w:val="0"/>
        <w:widowControl w:val="0"/>
        <w:kinsoku/>
        <w:wordWrap/>
        <w:overflowPunct/>
        <w:topLinePunct w:val="0"/>
        <w:autoSpaceDE w:val="0"/>
        <w:autoSpaceDN w:val="0"/>
        <w:bidi w:val="0"/>
        <w:adjustRightInd/>
        <w:snapToGrid/>
        <w:spacing w:line="560" w:lineRule="atLeast"/>
        <w:ind w:firstLine="640" w:firstLineChars="200"/>
        <w:textAlignment w:val="auto"/>
        <w:rPr>
          <w:rFonts w:ascii="仿宋" w:hAnsi="仿宋" w:eastAsia="仿宋" w:cs="仿宋"/>
          <w:kern w:val="0"/>
          <w:sz w:val="32"/>
          <w:szCs w:val="32"/>
          <w:lang w:val="zh-CN"/>
        </w:rPr>
      </w:pPr>
      <w:r>
        <w:rPr>
          <w:rFonts w:hint="eastAsia" w:ascii="仿宋" w:hAnsi="仿宋" w:eastAsia="仿宋"/>
          <w:iCs/>
          <w:sz w:val="32"/>
          <w:szCs w:val="32"/>
          <w:u w:val="single"/>
        </w:rPr>
        <w:t>③</w:t>
      </w:r>
      <w:r>
        <w:rPr>
          <w:rFonts w:hint="eastAsia" w:ascii="仿宋" w:hAnsi="仿宋" w:eastAsia="仿宋" w:cs="仿宋"/>
          <w:kern w:val="0"/>
          <w:sz w:val="32"/>
          <w:szCs w:val="32"/>
          <w:lang w:val="zh-CN"/>
        </w:rPr>
        <w:t>交货范围：除主体设备外，还须包括提供生产厂家的完整的随机资料（使用指南）、设备使用所必需的备品备件，负责运输、安装并提供相应的技术服务与质量保证。</w:t>
      </w:r>
    </w:p>
    <w:p w14:paraId="779A55D0">
      <w:pPr>
        <w:keepNext w:val="0"/>
        <w:keepLines w:val="0"/>
        <w:pageBreakBefore w:val="0"/>
        <w:widowControl w:val="0"/>
        <w:kinsoku/>
        <w:wordWrap/>
        <w:overflowPunct/>
        <w:topLinePunct w:val="0"/>
        <w:bidi w:val="0"/>
        <w:adjustRightInd/>
        <w:snapToGrid/>
        <w:spacing w:line="560" w:lineRule="atLeast"/>
        <w:ind w:firstLine="640" w:firstLineChars="200"/>
        <w:textAlignment w:val="auto"/>
        <w:rPr>
          <w:rFonts w:ascii="仿宋" w:hAnsi="仿宋" w:eastAsia="仿宋"/>
          <w:sz w:val="32"/>
          <w:szCs w:val="32"/>
        </w:rPr>
      </w:pPr>
      <w:r>
        <w:rPr>
          <w:rFonts w:hint="eastAsia" w:ascii="仿宋" w:hAnsi="仿宋" w:eastAsia="仿宋"/>
          <w:iCs/>
          <w:sz w:val="32"/>
          <w:szCs w:val="32"/>
          <w:u w:val="single"/>
        </w:rPr>
        <w:t>④</w:t>
      </w:r>
      <w:r>
        <w:rPr>
          <w:rFonts w:hint="eastAsia" w:ascii="仿宋" w:hAnsi="仿宋" w:eastAsia="仿宋" w:cs="仿宋"/>
          <w:kern w:val="0"/>
          <w:sz w:val="32"/>
          <w:szCs w:val="32"/>
        </w:rPr>
        <w:t>质保期：</w:t>
      </w:r>
      <w:r>
        <w:rPr>
          <w:rFonts w:hint="eastAsia" w:ascii="仿宋" w:hAnsi="仿宋" w:eastAsia="仿宋" w:cs="Times New Roman"/>
          <w:iCs/>
          <w:color w:val="000000"/>
          <w:sz w:val="32"/>
          <w:szCs w:val="32"/>
        </w:rPr>
        <w:t>投标人提供自设备最终验收报告签署之日起12个月的质保服务，免费上门保修。质保期内上门保修，更换零配件，7×24小时技术响应，72小时内维修工程师到达维修现场并维修完毕。若维修时间超出72小时的，质保期延长超出的时间（不足24小时的，按1天计算）。所涉及的所有费用均由投标人承担。质保期外，提供7×24小时技术响应，72小时内维修工程师到达维修现场，更换零配件只收取成本费，如涉及人工及差旅费用，由投标人自理。投标人提供设备终身维修服务，无论质保期内、质保期外软件提供版本内免费升级，由投标人提供产品保修文件。</w:t>
      </w:r>
    </w:p>
    <w:p w14:paraId="76DB1681">
      <w:pPr>
        <w:keepNext w:val="0"/>
        <w:keepLines w:val="0"/>
        <w:pageBreakBefore w:val="0"/>
        <w:widowControl w:val="0"/>
        <w:kinsoku/>
        <w:wordWrap/>
        <w:overflowPunct/>
        <w:topLinePunct w:val="0"/>
        <w:autoSpaceDE w:val="0"/>
        <w:autoSpaceDN w:val="0"/>
        <w:bidi w:val="0"/>
        <w:adjustRightInd/>
        <w:snapToGrid/>
        <w:spacing w:line="560" w:lineRule="atLeast"/>
        <w:ind w:firstLine="640" w:firstLineChars="200"/>
        <w:textAlignment w:val="auto"/>
        <w:rPr>
          <w:rFonts w:ascii="仿宋" w:hAnsi="仿宋" w:eastAsia="仿宋" w:cs="仿宋"/>
          <w:kern w:val="0"/>
          <w:sz w:val="32"/>
          <w:szCs w:val="32"/>
        </w:rPr>
      </w:pPr>
      <w:r>
        <w:rPr>
          <w:rFonts w:hint="eastAsia" w:ascii="仿宋" w:hAnsi="仿宋" w:eastAsia="仿宋"/>
          <w:iCs/>
          <w:sz w:val="32"/>
          <w:szCs w:val="32"/>
          <w:u w:val="single"/>
        </w:rPr>
        <w:t>⑤</w:t>
      </w:r>
      <w:r>
        <w:rPr>
          <w:rFonts w:hint="eastAsia" w:ascii="仿宋" w:hAnsi="仿宋" w:eastAsia="仿宋" w:cs="仿宋"/>
          <w:kern w:val="0"/>
          <w:sz w:val="32"/>
          <w:szCs w:val="32"/>
        </w:rPr>
        <w:t>投标人须保证采购人在使用过程中免受知识产权、版权、专利权、商标权和工业设计权等起诉。</w:t>
      </w:r>
    </w:p>
    <w:p w14:paraId="650E3BB2">
      <w:pPr>
        <w:keepNext w:val="0"/>
        <w:keepLines w:val="0"/>
        <w:pageBreakBefore w:val="0"/>
        <w:widowControl w:val="0"/>
        <w:kinsoku/>
        <w:wordWrap/>
        <w:overflowPunct/>
        <w:topLinePunct w:val="0"/>
        <w:bidi w:val="0"/>
        <w:adjustRightInd/>
        <w:snapToGrid/>
        <w:spacing w:line="560" w:lineRule="atLeast"/>
        <w:ind w:firstLine="640" w:firstLineChars="200"/>
        <w:jc w:val="left"/>
        <w:textAlignment w:val="auto"/>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iCs/>
          <w:sz w:val="32"/>
          <w:szCs w:val="32"/>
          <w:u w:val="single"/>
        </w:rPr>
        <w:t>⑥</w:t>
      </w:r>
      <w:r>
        <w:rPr>
          <w:rFonts w:hint="eastAsia" w:ascii="仿宋" w:hAnsi="仿宋" w:eastAsia="仿宋" w:cs="仿宋"/>
          <w:kern w:val="0"/>
          <w:sz w:val="32"/>
          <w:szCs w:val="32"/>
        </w:rPr>
        <w:t>付款方式：</w:t>
      </w:r>
      <w:r>
        <w:rPr>
          <w:rFonts w:hint="eastAsia" w:ascii="仿宋" w:hAnsi="仿宋" w:eastAsia="仿宋" w:cs="仿宋"/>
          <w:color w:val="000000" w:themeColor="text1"/>
          <w:kern w:val="0"/>
          <w:sz w:val="32"/>
          <w:szCs w:val="32"/>
          <w14:textFill>
            <w14:solidFill>
              <w14:schemeClr w14:val="tx1"/>
            </w14:solidFill>
          </w14:textFill>
        </w:rPr>
        <w:t>自签订合同签订之日起15日内支付合同总额的30%，货到现场安装、调试完毕，所有设备使用无质量问题，验收合格后15日内，采购人支付合同总额的70%。（特殊情况以合同为准）。</w:t>
      </w:r>
    </w:p>
    <w:p w14:paraId="6BB22B3F">
      <w:pPr>
        <w:keepNext w:val="0"/>
        <w:keepLines w:val="0"/>
        <w:pageBreakBefore w:val="0"/>
        <w:widowControl w:val="0"/>
        <w:kinsoku/>
        <w:wordWrap/>
        <w:overflowPunct/>
        <w:topLinePunct w:val="0"/>
        <w:bidi w:val="0"/>
        <w:adjustRightInd/>
        <w:snapToGrid/>
        <w:spacing w:line="560" w:lineRule="atLeast"/>
        <w:ind w:firstLine="640" w:firstLineChars="200"/>
        <w:jc w:val="left"/>
        <w:textAlignment w:val="auto"/>
        <w:rPr>
          <w:rFonts w:ascii="仿宋" w:hAnsi="仿宋" w:eastAsia="仿宋" w:cs="仿宋"/>
          <w:kern w:val="0"/>
          <w:sz w:val="32"/>
          <w:szCs w:val="32"/>
        </w:rPr>
      </w:pPr>
      <w:r>
        <w:rPr>
          <w:rFonts w:hint="eastAsia" w:ascii="仿宋" w:hAnsi="仿宋" w:eastAsia="仿宋" w:cs="仿宋"/>
          <w:kern w:val="0"/>
          <w:sz w:val="32"/>
          <w:szCs w:val="32"/>
        </w:rPr>
        <w:t>中标供应商须根据付款数额向采购人开具符合国家法律法规和标准的正规增值税专用发票。</w:t>
      </w:r>
    </w:p>
    <w:p w14:paraId="00DB4B24">
      <w:pPr>
        <w:spacing w:before="156" w:beforeLines="50" w:after="156" w:afterLines="50" w:line="360" w:lineRule="auto"/>
        <w:ind w:left="-840" w:leftChars="-400" w:right="-321" w:rightChars="-153"/>
        <w:jc w:val="left"/>
        <w:rPr>
          <w:rFonts w:ascii="仿宋" w:hAnsi="仿宋" w:eastAsia="仿宋" w:cs="仿宋"/>
          <w:b/>
          <w:bCs/>
          <w:kern w:val="0"/>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1" w:fontKey="{04A24439-8EB6-4518-B1A8-9ADE922A70A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2" w:fontKey="{FFF94468-604A-4B9F-859D-F38A40B0E230}"/>
  </w:font>
  <w:font w:name="Segoe UI Emoji">
    <w:panose1 w:val="020B0502040204020203"/>
    <w:charset w:val="00"/>
    <w:family w:val="swiss"/>
    <w:pitch w:val="default"/>
    <w:sig w:usb0="00000001" w:usb1="02000000" w:usb2="00000000" w:usb3="00000000" w:csb0="00000001" w:csb1="00000000"/>
    <w:embedRegular r:id="rId3" w:fontKey="{009C5507-2EDB-48C6-9D29-69F6AAD9961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1D6C4">
    <w:pPr>
      <w:pStyle w:val="3"/>
      <w:jc w:val="right"/>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6</w:t>
    </w:r>
    <w:r>
      <w:rPr>
        <w:rFonts w:ascii="宋体" w:hAnsi="宋体"/>
        <w:sz w:val="28"/>
        <w:szCs w:val="28"/>
      </w:rPr>
      <w:fldChar w:fldCharType="end"/>
    </w:r>
    <w:r>
      <w:rPr>
        <w:rFonts w:hint="eastAsia" w:ascii="宋体" w:hAnsi="宋体"/>
        <w:sz w:val="28"/>
        <w:szCs w:val="28"/>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48B8CF"/>
    <w:multiLevelType w:val="singleLevel"/>
    <w:tmpl w:val="8948B8CF"/>
    <w:lvl w:ilvl="0" w:tentative="0">
      <w:start w:val="1"/>
      <w:numFmt w:val="decimal"/>
      <w:suff w:val="nothing"/>
      <w:lvlText w:val="%1、"/>
      <w:lvlJc w:val="left"/>
    </w:lvl>
  </w:abstractNum>
  <w:abstractNum w:abstractNumId="1">
    <w:nsid w:val="0DFAC45C"/>
    <w:multiLevelType w:val="singleLevel"/>
    <w:tmpl w:val="0DFAC45C"/>
    <w:lvl w:ilvl="0" w:tentative="0">
      <w:start w:val="2"/>
      <w:numFmt w:val="decimal"/>
      <w:suff w:val="nothing"/>
      <w:lvlText w:val="（%1）"/>
      <w:lvlJc w:val="left"/>
    </w:lvl>
  </w:abstractNum>
  <w:abstractNum w:abstractNumId="2">
    <w:nsid w:val="13789085"/>
    <w:multiLevelType w:val="singleLevel"/>
    <w:tmpl w:val="13789085"/>
    <w:lvl w:ilvl="0" w:tentative="0">
      <w:start w:val="1"/>
      <w:numFmt w:val="decimal"/>
      <w:suff w:val="nothing"/>
      <w:lvlText w:val="%1、"/>
      <w:lvlJc w:val="left"/>
    </w:lvl>
  </w:abstractNum>
  <w:abstractNum w:abstractNumId="3">
    <w:nsid w:val="47B9A40A"/>
    <w:multiLevelType w:val="singleLevel"/>
    <w:tmpl w:val="47B9A40A"/>
    <w:lvl w:ilvl="0" w:tentative="0">
      <w:start w:val="2"/>
      <w:numFmt w:val="chineseCounting"/>
      <w:suff w:val="nothing"/>
      <w:lvlText w:val="（%1）"/>
      <w:lvlJc w:val="left"/>
      <w:rPr>
        <w:rFonts w:hint="eastAsia"/>
      </w:rPr>
    </w:lvl>
  </w:abstractNum>
  <w:abstractNum w:abstractNumId="4">
    <w:nsid w:val="6D2CCF19"/>
    <w:multiLevelType w:val="singleLevel"/>
    <w:tmpl w:val="6D2CCF19"/>
    <w:lvl w:ilvl="0" w:tentative="0">
      <w:start w:val="1"/>
      <w:numFmt w:val="decimal"/>
      <w:suff w:val="nothing"/>
      <w:lvlText w:val="%1、"/>
      <w:lvlJc w:val="left"/>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3ODk1ODg1NjliNjNiYzNmYzQyMTVlYmUyYjI4MTcifQ=="/>
  </w:docVars>
  <w:rsids>
    <w:rsidRoot w:val="00133229"/>
    <w:rsid w:val="00003BDB"/>
    <w:rsid w:val="00010D48"/>
    <w:rsid w:val="00044D73"/>
    <w:rsid w:val="000731AD"/>
    <w:rsid w:val="000F3FBF"/>
    <w:rsid w:val="00133229"/>
    <w:rsid w:val="001455D2"/>
    <w:rsid w:val="001A22CA"/>
    <w:rsid w:val="002B22C7"/>
    <w:rsid w:val="00335942"/>
    <w:rsid w:val="003D4A64"/>
    <w:rsid w:val="0041620E"/>
    <w:rsid w:val="004764A6"/>
    <w:rsid w:val="00500F08"/>
    <w:rsid w:val="005A42F8"/>
    <w:rsid w:val="0063202E"/>
    <w:rsid w:val="00666AC1"/>
    <w:rsid w:val="007926F0"/>
    <w:rsid w:val="007D6FCB"/>
    <w:rsid w:val="0085193A"/>
    <w:rsid w:val="0085312E"/>
    <w:rsid w:val="009138A4"/>
    <w:rsid w:val="00A1781B"/>
    <w:rsid w:val="00A7246C"/>
    <w:rsid w:val="00B24CBE"/>
    <w:rsid w:val="00C83DEC"/>
    <w:rsid w:val="00D260D9"/>
    <w:rsid w:val="00E44F43"/>
    <w:rsid w:val="00E65EF5"/>
    <w:rsid w:val="00ED20F7"/>
    <w:rsid w:val="00FE5EA9"/>
    <w:rsid w:val="04DD2E91"/>
    <w:rsid w:val="079E54F3"/>
    <w:rsid w:val="0F4F0F32"/>
    <w:rsid w:val="1289075F"/>
    <w:rsid w:val="14416504"/>
    <w:rsid w:val="15537A32"/>
    <w:rsid w:val="16B2390C"/>
    <w:rsid w:val="237D1588"/>
    <w:rsid w:val="24A97B4C"/>
    <w:rsid w:val="28141445"/>
    <w:rsid w:val="299376B7"/>
    <w:rsid w:val="2A855E1D"/>
    <w:rsid w:val="2CDB111D"/>
    <w:rsid w:val="2CEE12C9"/>
    <w:rsid w:val="2FB4208D"/>
    <w:rsid w:val="36D8545E"/>
    <w:rsid w:val="39624B88"/>
    <w:rsid w:val="3AAE2A2E"/>
    <w:rsid w:val="415D2765"/>
    <w:rsid w:val="41AD7ADB"/>
    <w:rsid w:val="429D7F5F"/>
    <w:rsid w:val="433E04C2"/>
    <w:rsid w:val="46390B44"/>
    <w:rsid w:val="4CC97616"/>
    <w:rsid w:val="551F7C68"/>
    <w:rsid w:val="56862083"/>
    <w:rsid w:val="594A52E6"/>
    <w:rsid w:val="659506B8"/>
    <w:rsid w:val="65C60E87"/>
    <w:rsid w:val="72B33E15"/>
    <w:rsid w:val="77F22BC3"/>
    <w:rsid w:val="7A10221B"/>
    <w:rsid w:val="7DE40CAD"/>
    <w:rsid w:val="7F5D22D9"/>
    <w:rsid w:val="7FB576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annotation reference"/>
    <w:basedOn w:val="7"/>
    <w:semiHidden/>
    <w:unhideWhenUsed/>
    <w:qFormat/>
    <w:uiPriority w:val="99"/>
    <w:rPr>
      <w:sz w:val="21"/>
      <w:szCs w:val="21"/>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character" w:customStyle="1" w:styleId="11">
    <w:name w:val="font11"/>
    <w:basedOn w:val="7"/>
    <w:qFormat/>
    <w:uiPriority w:val="0"/>
    <w:rPr>
      <w:rFonts w:hint="eastAsia" w:ascii="宋体" w:hAnsi="宋体" w:eastAsia="宋体" w:cs="宋体"/>
      <w:color w:val="000000"/>
      <w:sz w:val="18"/>
      <w:szCs w:val="18"/>
      <w:u w:val="none"/>
    </w:rPr>
  </w:style>
  <w:style w:type="character" w:customStyle="1" w:styleId="12">
    <w:name w:val="font21"/>
    <w:basedOn w:val="7"/>
    <w:qFormat/>
    <w:uiPriority w:val="0"/>
    <w:rPr>
      <w:rFonts w:hint="default" w:ascii="Arial" w:hAnsi="Arial" w:cs="Arial"/>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4189B-23B8-4EBC-9627-63BB057FE386}">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19</Pages>
  <Words>12145</Words>
  <Characters>13362</Characters>
  <Lines>116</Lines>
  <Paragraphs>32</Paragraphs>
  <TotalTime>3</TotalTime>
  <ScaleCrop>false</ScaleCrop>
  <LinksUpToDate>false</LinksUpToDate>
  <CharactersWithSpaces>13625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2022-10-25T07:52:00Z</dcterms:created>
  <dc:creator>苏晓刚</dc:creator>
  <cp:lastModifiedBy>Lin</cp:lastModifiedBy>
  <dcterms:modified xsi:type="dcterms:W3CDTF">2026-07-17T01:13:48Z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1D9A292C350B448D9E9CECC8B644D657_13</vt:lpwstr>
  </property>
  <property fmtid="{D5CDD505-2E9C-101B-9397-08002B2CF9AE}" pid="4" name="KSOTemplateDocerSaveRecord">
    <vt:lpwstr>eyJoZGlkIjoiNzJiNWQ2NDYxNjMyZjMyNjg5NzU4Mzk3MzM0YTk1ODQiLCJ1c2VySWQiOiI2NzI5MTcyNDcifQ==</vt:lpwstr>
  </property>
</Properties>
</file>