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482" w:firstLineChars="200"/>
        <w:rPr>
          <w:rFonts w:hint="eastAsia" w:ascii="宋体" w:hAnsi="宋体"/>
          <w:b/>
          <w:sz w:val="24"/>
        </w:rPr>
        <w:sectPr>
          <w:footerReference r:id="rId3" w:type="default"/>
          <w:pgSz w:w="11906" w:h="16838"/>
          <w:pgMar w:top="1440" w:right="1800" w:bottom="1440" w:left="1800" w:header="851" w:footer="992" w:gutter="0"/>
          <w:cols w:space="425" w:num="1"/>
          <w:docGrid w:type="lines" w:linePitch="312" w:charSpace="0"/>
        </w:sectPr>
      </w:pPr>
      <w:bookmarkStart w:id="1" w:name="_GoBack"/>
      <w:bookmarkEnd w:id="1"/>
    </w:p>
    <w:p>
      <w:pPr>
        <w:spacing w:line="560" w:lineRule="exact"/>
        <w:ind w:firstLine="640" w:firstLineChars="200"/>
        <w:jc w:val="left"/>
        <w:outlineLvl w:val="3"/>
        <w:rPr>
          <w:rFonts w:hint="eastAsia" w:ascii="宋体" w:hAnsi="宋体" w:eastAsia="宋体"/>
          <w:sz w:val="32"/>
          <w:szCs w:val="32"/>
          <w:lang w:eastAsia="zh-CN"/>
        </w:rPr>
      </w:pPr>
      <w:r>
        <w:rPr>
          <w:rFonts w:hint="eastAsia" w:ascii="宋体" w:hAnsi="宋体"/>
          <w:sz w:val="32"/>
          <w:szCs w:val="32"/>
        </w:rPr>
        <w:t>（</w:t>
      </w:r>
      <w:r>
        <w:rPr>
          <w:rFonts w:hint="eastAsia" w:ascii="宋体" w:hAnsi="宋体"/>
          <w:sz w:val="32"/>
          <w:szCs w:val="32"/>
          <w:lang w:eastAsia="zh-CN"/>
        </w:rPr>
        <w:t>五</w:t>
      </w:r>
      <w:r>
        <w:rPr>
          <w:rFonts w:hint="eastAsia" w:ascii="宋体" w:hAnsi="宋体"/>
          <w:sz w:val="32"/>
          <w:szCs w:val="32"/>
        </w:rPr>
        <w:t>）</w:t>
      </w:r>
      <w:r>
        <w:rPr>
          <w:rFonts w:hint="eastAsia" w:ascii="宋体" w:hAnsi="宋体"/>
          <w:sz w:val="32"/>
          <w:szCs w:val="32"/>
          <w:lang w:eastAsia="zh-CN"/>
        </w:rPr>
        <w:t>技术要求</w:t>
      </w:r>
    </w:p>
    <w:tbl>
      <w:tblPr>
        <w:tblStyle w:val="10"/>
        <w:tblpPr w:leftFromText="180" w:rightFromText="180" w:vertAnchor="text" w:horzAnchor="page" w:tblpX="928" w:tblpY="694"/>
        <w:tblOverlap w:val="never"/>
        <w:tblW w:w="152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9"/>
        <w:gridCol w:w="1325"/>
        <w:gridCol w:w="8491"/>
        <w:gridCol w:w="739"/>
        <w:gridCol w:w="721"/>
        <w:gridCol w:w="1988"/>
        <w:gridCol w:w="12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shd w:val="clear" w:color="auto" w:fill="auto"/>
            <w:vAlign w:val="center"/>
          </w:tcPr>
          <w:p>
            <w:pPr>
              <w:jc w:val="center"/>
              <w:rPr>
                <w:szCs w:val="21"/>
              </w:rPr>
            </w:pPr>
            <w:r>
              <w:rPr>
                <w:szCs w:val="21"/>
              </w:rPr>
              <w:t>序号</w:t>
            </w:r>
          </w:p>
        </w:tc>
        <w:tc>
          <w:tcPr>
            <w:tcW w:w="1325" w:type="dxa"/>
            <w:shd w:val="clear" w:color="auto" w:fill="auto"/>
            <w:vAlign w:val="center"/>
          </w:tcPr>
          <w:p>
            <w:pPr>
              <w:jc w:val="center"/>
              <w:rPr>
                <w:szCs w:val="21"/>
              </w:rPr>
            </w:pPr>
            <w:r>
              <w:rPr>
                <w:rFonts w:hint="eastAsia"/>
                <w:szCs w:val="21"/>
              </w:rPr>
              <w:t>标的</w:t>
            </w:r>
            <w:r>
              <w:rPr>
                <w:szCs w:val="21"/>
              </w:rPr>
              <w:t>名称</w:t>
            </w:r>
          </w:p>
        </w:tc>
        <w:tc>
          <w:tcPr>
            <w:tcW w:w="8491" w:type="dxa"/>
            <w:shd w:val="clear" w:color="auto" w:fill="auto"/>
            <w:vAlign w:val="center"/>
          </w:tcPr>
          <w:p>
            <w:pPr>
              <w:jc w:val="center"/>
              <w:rPr>
                <w:szCs w:val="21"/>
              </w:rPr>
            </w:pPr>
            <w:r>
              <w:rPr>
                <w:szCs w:val="21"/>
              </w:rPr>
              <w:t>技术要求</w:t>
            </w:r>
          </w:p>
        </w:tc>
        <w:tc>
          <w:tcPr>
            <w:tcW w:w="739" w:type="dxa"/>
            <w:shd w:val="clear" w:color="auto" w:fill="auto"/>
            <w:vAlign w:val="center"/>
          </w:tcPr>
          <w:p>
            <w:pPr>
              <w:jc w:val="center"/>
              <w:rPr>
                <w:szCs w:val="21"/>
              </w:rPr>
            </w:pPr>
            <w:r>
              <w:rPr>
                <w:szCs w:val="21"/>
              </w:rPr>
              <w:t>单位</w:t>
            </w:r>
          </w:p>
        </w:tc>
        <w:tc>
          <w:tcPr>
            <w:tcW w:w="721" w:type="dxa"/>
            <w:shd w:val="clear" w:color="auto" w:fill="auto"/>
            <w:vAlign w:val="center"/>
          </w:tcPr>
          <w:p>
            <w:pPr>
              <w:jc w:val="center"/>
              <w:rPr>
                <w:szCs w:val="21"/>
              </w:rPr>
            </w:pPr>
            <w:r>
              <w:rPr>
                <w:szCs w:val="21"/>
              </w:rPr>
              <w:t>数量</w:t>
            </w:r>
          </w:p>
        </w:tc>
        <w:tc>
          <w:tcPr>
            <w:tcW w:w="1988" w:type="dxa"/>
            <w:vAlign w:val="center"/>
          </w:tcPr>
          <w:p>
            <w:pPr>
              <w:jc w:val="center"/>
              <w:rPr>
                <w:szCs w:val="21"/>
              </w:rPr>
            </w:pPr>
            <w:r>
              <w:rPr>
                <w:szCs w:val="21"/>
              </w:rPr>
              <w:t>是否属于现行节能产品政府采购清单强制采购范围</w:t>
            </w:r>
          </w:p>
        </w:tc>
        <w:tc>
          <w:tcPr>
            <w:tcW w:w="1224" w:type="dxa"/>
            <w:vAlign w:val="center"/>
          </w:tcPr>
          <w:p>
            <w:pPr>
              <w:jc w:val="center"/>
              <w:rPr>
                <w:szCs w:val="21"/>
              </w:rPr>
            </w:pPr>
            <w:r>
              <w:rPr>
                <w:szCs w:val="21"/>
              </w:rPr>
              <w:t>是否属于集采目录内产品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shd w:val="clear" w:color="auto" w:fill="auto"/>
            <w:vAlign w:val="center"/>
          </w:tcPr>
          <w:p>
            <w:pPr>
              <w:jc w:val="center"/>
              <w:rPr>
                <w:szCs w:val="21"/>
              </w:rPr>
            </w:pPr>
            <w:r>
              <w:rPr>
                <w:szCs w:val="21"/>
              </w:rPr>
              <w:t>1</w:t>
            </w:r>
          </w:p>
        </w:tc>
        <w:tc>
          <w:tcPr>
            <w:tcW w:w="1325" w:type="dxa"/>
            <w:shd w:val="clear" w:color="auto" w:fill="auto"/>
            <w:vAlign w:val="center"/>
          </w:tcPr>
          <w:p>
            <w:pPr>
              <w:spacing w:line="360" w:lineRule="auto"/>
              <w:jc w:val="center"/>
              <w:rPr>
                <w:rFonts w:ascii="宋体" w:hAnsi="宋体" w:cs="宋体"/>
                <w:szCs w:val="21"/>
              </w:rPr>
            </w:pPr>
            <w:r>
              <w:rPr>
                <w:rFonts w:hint="eastAsia" w:ascii="宋体" w:hAnsi="宋体" w:cs="宋体"/>
                <w:szCs w:val="21"/>
              </w:rPr>
              <w:t>总体要求</w:t>
            </w:r>
          </w:p>
        </w:tc>
        <w:tc>
          <w:tcPr>
            <w:tcW w:w="8491" w:type="dxa"/>
            <w:shd w:val="clear" w:color="auto" w:fill="auto"/>
            <w:vAlign w:val="center"/>
          </w:tcPr>
          <w:p>
            <w:pPr>
              <w:tabs>
                <w:tab w:val="left" w:pos="780"/>
              </w:tabs>
              <w:adjustRightInd w:val="0"/>
              <w:snapToGrid w:val="0"/>
              <w:rPr>
                <w:rFonts w:ascii="宋体" w:hAnsi="宋体" w:cs="宋体"/>
                <w:b/>
                <w:bCs/>
                <w:szCs w:val="21"/>
              </w:rPr>
            </w:pPr>
            <w:r>
              <w:rPr>
                <w:rFonts w:hint="eastAsia" w:ascii="宋体" w:hAnsi="宋体" w:cs="宋体"/>
                <w:b/>
                <w:bCs/>
                <w:szCs w:val="21"/>
              </w:rPr>
              <w:t>采购人提供承诺函，承诺</w:t>
            </w:r>
          </w:p>
          <w:p>
            <w:pPr>
              <w:rPr>
                <w:rFonts w:ascii="宋体" w:hAnsi="宋体" w:cs="宋体"/>
                <w:b/>
                <w:bCs/>
                <w:szCs w:val="21"/>
              </w:rPr>
            </w:pPr>
            <w:r>
              <w:rPr>
                <w:rFonts w:hint="eastAsia" w:ascii="宋体" w:hAnsi="宋体" w:cs="宋体"/>
                <w:b/>
                <w:bCs/>
                <w:szCs w:val="21"/>
              </w:rPr>
              <w:t>1、所投仪器设备需有详实的技术资料（如技术指标等，须加盖公章）；</w:t>
            </w:r>
          </w:p>
          <w:p>
            <w:pPr>
              <w:jc w:val="left"/>
              <w:rPr>
                <w:rFonts w:hint="eastAsia" w:ascii="宋体" w:hAnsi="宋体" w:eastAsia="宋体" w:cs="宋体"/>
                <w:szCs w:val="21"/>
                <w:lang w:eastAsia="zh-CN"/>
              </w:rPr>
            </w:pPr>
            <w:r>
              <w:rPr>
                <w:rFonts w:hint="eastAsia" w:ascii="宋体" w:hAnsi="宋体" w:cs="宋体"/>
                <w:b/>
                <w:bCs/>
                <w:szCs w:val="21"/>
              </w:rPr>
              <w:t>2、免费提供所投仪器设备的中安装使用说明书（含软件说明书）、软件和维修</w:t>
            </w:r>
            <w:r>
              <w:rPr>
                <w:rFonts w:hint="eastAsia" w:ascii="宋体" w:hAnsi="宋体" w:cs="宋体"/>
                <w:b/>
                <w:bCs/>
                <w:szCs w:val="21"/>
                <w:lang w:eastAsia="zh-CN"/>
              </w:rPr>
              <w:t>手册；</w:t>
            </w:r>
          </w:p>
        </w:tc>
        <w:tc>
          <w:tcPr>
            <w:tcW w:w="739" w:type="dxa"/>
            <w:shd w:val="clear" w:color="auto" w:fill="auto"/>
            <w:vAlign w:val="center"/>
          </w:tcPr>
          <w:p>
            <w:pPr>
              <w:jc w:val="center"/>
              <w:rPr>
                <w:szCs w:val="21"/>
              </w:rPr>
            </w:pPr>
            <w:r>
              <w:rPr>
                <w:rFonts w:hint="eastAsia"/>
                <w:szCs w:val="21"/>
              </w:rPr>
              <w:t>-</w:t>
            </w:r>
          </w:p>
        </w:tc>
        <w:tc>
          <w:tcPr>
            <w:tcW w:w="721" w:type="dxa"/>
            <w:shd w:val="clear" w:color="auto" w:fill="auto"/>
            <w:vAlign w:val="center"/>
          </w:tcPr>
          <w:p>
            <w:pPr>
              <w:jc w:val="center"/>
              <w:rPr>
                <w:szCs w:val="21"/>
              </w:rPr>
            </w:pPr>
            <w:r>
              <w:rPr>
                <w:rFonts w:hint="eastAsia"/>
                <w:szCs w:val="21"/>
              </w:rPr>
              <w:t>-</w:t>
            </w:r>
          </w:p>
        </w:tc>
        <w:tc>
          <w:tcPr>
            <w:tcW w:w="1988" w:type="dxa"/>
            <w:vAlign w:val="center"/>
          </w:tcPr>
          <w:p>
            <w:pPr>
              <w:jc w:val="center"/>
              <w:rPr>
                <w:szCs w:val="21"/>
              </w:rPr>
            </w:pPr>
            <w:r>
              <w:rPr>
                <w:rFonts w:hint="eastAsia"/>
                <w:szCs w:val="21"/>
              </w:rPr>
              <w:t>-</w:t>
            </w:r>
          </w:p>
        </w:tc>
        <w:tc>
          <w:tcPr>
            <w:tcW w:w="1224" w:type="dxa"/>
            <w:vAlign w:val="center"/>
          </w:tcPr>
          <w:p>
            <w:pPr>
              <w:jc w:val="center"/>
              <w:rPr>
                <w:szCs w:val="21"/>
              </w:rPr>
            </w:pP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trPr>
        <w:tc>
          <w:tcPr>
            <w:tcW w:w="769" w:type="dxa"/>
            <w:shd w:val="clear" w:color="auto" w:fill="auto"/>
            <w:vAlign w:val="center"/>
          </w:tcPr>
          <w:p>
            <w:pPr>
              <w:jc w:val="center"/>
              <w:rPr>
                <w:szCs w:val="21"/>
              </w:rPr>
            </w:pPr>
            <w:r>
              <w:rPr>
                <w:szCs w:val="21"/>
              </w:rPr>
              <w:t>2</w:t>
            </w:r>
          </w:p>
        </w:tc>
        <w:tc>
          <w:tcPr>
            <w:tcW w:w="1325" w:type="dxa"/>
            <w:shd w:val="clear" w:color="auto" w:fill="auto"/>
            <w:vAlign w:val="center"/>
          </w:tcPr>
          <w:p>
            <w:pPr>
              <w:widowControl/>
              <w:jc w:val="left"/>
              <w:rPr>
                <w:kern w:val="0"/>
                <w:szCs w:val="21"/>
              </w:rPr>
            </w:pPr>
            <w:r>
              <w:rPr>
                <w:rFonts w:hint="eastAsia" w:asciiTheme="minorEastAsia" w:hAnsiTheme="minorEastAsia" w:cstheme="minorEastAsia"/>
                <w:szCs w:val="22"/>
              </w:rPr>
              <w:t>环境空气颗粒物（PM</w:t>
            </w:r>
            <w:r>
              <w:rPr>
                <w:rFonts w:hint="eastAsia" w:asciiTheme="minorEastAsia" w:hAnsiTheme="minorEastAsia" w:cstheme="minorEastAsia"/>
                <w:szCs w:val="22"/>
                <w:vertAlign w:val="subscript"/>
              </w:rPr>
              <w:t>2.5</w:t>
            </w:r>
            <w:r>
              <w:rPr>
                <w:rFonts w:hint="eastAsia" w:asciiTheme="minorEastAsia" w:hAnsiTheme="minorEastAsia" w:cstheme="minorEastAsia"/>
                <w:szCs w:val="22"/>
              </w:rPr>
              <w:t>)有机碳元素碳连续自动监测系统（OC/EC)</w:t>
            </w:r>
          </w:p>
        </w:tc>
        <w:tc>
          <w:tcPr>
            <w:tcW w:w="8491" w:type="dxa"/>
            <w:shd w:val="clear" w:color="auto" w:fill="auto"/>
            <w:vAlign w:val="center"/>
          </w:tcPr>
          <w:p>
            <w:pPr>
              <w:rPr>
                <w:b/>
                <w:bCs/>
              </w:rPr>
            </w:pPr>
            <w:r>
              <w:rPr>
                <w:rFonts w:hint="eastAsia" w:ascii="宋体" w:hAnsi="宋体" w:cs="宋体"/>
                <w:b/>
                <w:bCs/>
                <w:sz w:val="24"/>
              </w:rPr>
              <w:t>★</w:t>
            </w:r>
            <w:r>
              <w:rPr>
                <w:rFonts w:hint="eastAsia"/>
                <w:b/>
                <w:bCs/>
              </w:rPr>
              <w:t>设备在中国环境监测总站《环境空气颗粒物（PM2.5</w:t>
            </w:r>
            <w:r>
              <w:rPr>
                <w:b/>
                <w:bCs/>
              </w:rPr>
              <w:t>）</w:t>
            </w:r>
            <w:r>
              <w:rPr>
                <w:rFonts w:hint="eastAsia"/>
                <w:b/>
                <w:bCs/>
              </w:rPr>
              <w:t>有机碳元素碳连续自动监测系统适用性检测合格名录》中（以最新名录为准）</w:t>
            </w:r>
          </w:p>
          <w:p>
            <w:pPr>
              <w:numPr>
                <w:ilvl w:val="0"/>
                <w:numId w:val="1"/>
              </w:numPr>
            </w:pPr>
            <w:r>
              <w:rPr>
                <w:rFonts w:hint="eastAsia"/>
              </w:rPr>
              <w:t>总体要求：</w:t>
            </w:r>
          </w:p>
          <w:p>
            <w:r>
              <w:rPr>
                <w:rFonts w:hint="eastAsia"/>
              </w:rPr>
              <w:t>1)要求可在线、实时测量颗粒物样品中的有机碳（OC）、元素碳（EC）的含量，数据可用于含碳颗粒物来源分析研究。</w:t>
            </w:r>
          </w:p>
          <w:p>
            <w:r>
              <w:rPr>
                <w:rFonts w:hint="eastAsia"/>
              </w:rPr>
              <w:t>2)要求基于热光法在线监测大气中的OC/EC，实现大气颗粒物中OC和EC的精确分割和定量。</w:t>
            </w:r>
          </w:p>
          <w:p>
            <w:r>
              <w:rPr>
                <w:rFonts w:hint="eastAsia"/>
              </w:rPr>
              <w:t>3)要求通过集成一体化工控机实现仪器的自动化控制，。</w:t>
            </w:r>
          </w:p>
          <w:p>
            <w:r>
              <w:rPr>
                <w:rFonts w:hint="eastAsia"/>
              </w:rPr>
              <w:t>4)要求可用于居民区、工业区、路边站等场所颗粒物中OCEC的在线监测，可安装在固定站房，也可以车载安装。</w:t>
            </w:r>
          </w:p>
          <w:p>
            <w:r>
              <w:rPr>
                <w:rFonts w:hint="eastAsia"/>
              </w:rPr>
              <w:t>5)要求监测过程无需人员值守。</w:t>
            </w:r>
          </w:p>
          <w:p>
            <w:r>
              <w:rPr>
                <w:rFonts w:hint="eastAsia"/>
              </w:rPr>
              <w:t>2. 仪器性能要求：</w:t>
            </w:r>
          </w:p>
          <w:p>
            <w:r>
              <w:rPr>
                <w:rFonts w:hint="eastAsia"/>
              </w:rPr>
              <w:t>1)测量方法：热光法（热光透射法TOT&amp;热光反射法TOR）</w:t>
            </w:r>
          </w:p>
          <w:p>
            <w:r>
              <w:rPr>
                <w:rFonts w:hint="eastAsia"/>
              </w:rPr>
              <w:t>2)检测方式：CO2、NDIR</w:t>
            </w:r>
          </w:p>
          <w:p>
            <w:r>
              <w:rPr>
                <w:rFonts w:hint="eastAsia"/>
              </w:rPr>
              <w:t>3)测量范围：</w:t>
            </w:r>
            <w:r>
              <w:t>0</w:t>
            </w:r>
            <w:r>
              <w:rPr>
                <w:rFonts w:hint="eastAsia"/>
              </w:rPr>
              <w:t>～</w:t>
            </w:r>
            <w:r>
              <w:t>1000</w:t>
            </w:r>
            <w:r>
              <w:rPr>
                <w:rFonts w:hint="eastAsia"/>
              </w:rPr>
              <w:t>μ</w:t>
            </w:r>
            <w:r>
              <w:t>g/ m3</w:t>
            </w:r>
            <w:r>
              <w:rPr>
                <w:rFonts w:hint="eastAsia"/>
              </w:rPr>
              <w:t>，</w:t>
            </w:r>
            <w:r>
              <w:t xml:space="preserve"> </w:t>
            </w:r>
          </w:p>
          <w:p>
            <w:r>
              <w:rPr>
                <w:rFonts w:hint="eastAsia"/>
              </w:rPr>
              <w:t>4)最低检出限：≤0.2 ugC</w:t>
            </w:r>
          </w:p>
          <w:p>
            <w:r>
              <w:rPr>
                <w:rFonts w:hint="eastAsia"/>
              </w:rPr>
              <w:t>5)24h零点漂移：±1μgC，</w:t>
            </w:r>
            <w:r>
              <w:rPr>
                <w:rFonts w:hint="eastAsia"/>
                <w:szCs w:val="21"/>
              </w:rPr>
              <w:t>需提供有资质的检测机构出具的证明材料</w:t>
            </w:r>
          </w:p>
          <w:p>
            <w:r>
              <w:rPr>
                <w:rFonts w:hint="eastAsia"/>
              </w:rPr>
              <w:t>6)重复性(RSD)：＜5%</w:t>
            </w:r>
          </w:p>
          <w:p>
            <w:r>
              <w:rPr>
                <w:rFonts w:hint="eastAsia"/>
              </w:rPr>
              <w:t>7)滤膜种类：石英滤膜</w:t>
            </w:r>
          </w:p>
          <w:p>
            <w:r>
              <w:rPr>
                <w:rFonts w:hint="eastAsia"/>
              </w:rPr>
              <w:t xml:space="preserve">8)采样流速：8L/min </w:t>
            </w:r>
          </w:p>
          <w:p>
            <w:r>
              <w:rPr>
                <w:rFonts w:hint="eastAsia"/>
              </w:rPr>
              <w:t>9)采样流量误差：±2%F•S</w:t>
            </w:r>
          </w:p>
          <w:p>
            <w:r>
              <w:rPr>
                <w:rFonts w:hint="eastAsia"/>
              </w:rPr>
              <w:t>3. 校准：</w:t>
            </w:r>
          </w:p>
          <w:p>
            <w:r>
              <w:rPr>
                <w:rFonts w:hint="eastAsia"/>
              </w:rPr>
              <w:t>1)内标：在每个样品分析结束时系统自动注入标气，以标气对分析结果进行校正。通过定量环进行标气定量，保证每次测量的重复性。同时，一旦出现数据异常，仪器自动检查并报警。</w:t>
            </w:r>
          </w:p>
          <w:p>
            <w:r>
              <w:rPr>
                <w:rFonts w:hint="eastAsia"/>
              </w:rPr>
              <w:t>2)可使用注射器加入液态标准溶液进行校准。</w:t>
            </w:r>
          </w:p>
          <w:p>
            <w:r>
              <w:rPr>
                <w:rFonts w:hint="eastAsia"/>
              </w:rPr>
              <w:t>3)温度设定：在250℃或更高时，升温程序温度控制在1%或5℃之内。</w:t>
            </w:r>
          </w:p>
          <w:p>
            <w:r>
              <w:rPr>
                <w:rFonts w:hint="eastAsia"/>
              </w:rPr>
              <w:t>4)</w:t>
            </w:r>
          </w:p>
          <w:p>
            <w:r>
              <w:rPr>
                <w:rFonts w:hint="eastAsia"/>
              </w:rPr>
              <w:t>5)一体化工控机设计。</w:t>
            </w:r>
          </w:p>
          <w:p>
            <w:r>
              <w:rPr>
                <w:rFonts w:hint="eastAsia"/>
              </w:rPr>
              <w:t xml:space="preserve">6)采样时间：(0～300)min </w:t>
            </w:r>
          </w:p>
          <w:p>
            <w:r>
              <w:rPr>
                <w:rFonts w:hint="eastAsia"/>
              </w:rPr>
              <w:t xml:space="preserve">7)样品分析时间：（6~20）min </w:t>
            </w:r>
          </w:p>
          <w:p>
            <w:r>
              <w:rPr>
                <w:rFonts w:hint="eastAsia"/>
              </w:rPr>
              <w:t>8)通信接口：RS232、以太网</w:t>
            </w:r>
          </w:p>
          <w:p>
            <w:r>
              <w:rPr>
                <w:rFonts w:hint="eastAsia"/>
              </w:rPr>
              <w:t xml:space="preserve">9)具有中文触摸式彩屏。 </w:t>
            </w:r>
          </w:p>
          <w:p>
            <w:r>
              <w:rPr>
                <w:rFonts w:hint="eastAsia"/>
              </w:rPr>
              <w:t>4. 数据处理软件功能要求</w:t>
            </w:r>
          </w:p>
          <w:p>
            <w:r>
              <w:rPr>
                <w:rFonts w:hint="eastAsia"/>
              </w:rPr>
              <w:t>1)软件中预存的“分析方法”必须是可以修改的格式，以便操作人员可以根据具体需求改进方法。</w:t>
            </w:r>
          </w:p>
          <w:p>
            <w:r>
              <w:rPr>
                <w:rFonts w:hint="eastAsia"/>
              </w:rPr>
              <w:t>2)实时记录仪器工作时升温曲线，并显示OCEC分割点、CO2实时浓度曲线、激光信号变化曲线等信息；实时采集流量数据、流量时间等信息并计算出采样累积流量。</w:t>
            </w:r>
          </w:p>
          <w:p>
            <w:r>
              <w:rPr>
                <w:rFonts w:hint="eastAsia"/>
              </w:rPr>
              <w:t>3)能够控制仪器硬件的运行；对形成的数据信息进行储存，可使用EXCEL等格式输出实验结果；可实现在线数据直接输出到所在站点的数据集成工控机上。</w:t>
            </w:r>
          </w:p>
          <w:p>
            <w:r>
              <w:rPr>
                <w:rFonts w:hint="eastAsia"/>
              </w:rPr>
              <w:t>4)软件可根据用户要求，在监测结果的计算运用、图形表达和数据管理等方面进行定制更新。</w:t>
            </w:r>
          </w:p>
        </w:tc>
        <w:tc>
          <w:tcPr>
            <w:tcW w:w="739" w:type="dxa"/>
            <w:shd w:val="clear" w:color="auto" w:fill="auto"/>
            <w:vAlign w:val="center"/>
          </w:tcPr>
          <w:p>
            <w:pPr>
              <w:jc w:val="center"/>
              <w:rPr>
                <w:szCs w:val="21"/>
              </w:rPr>
            </w:pPr>
            <w:r>
              <w:rPr>
                <w:rFonts w:hint="eastAsia"/>
                <w:szCs w:val="21"/>
              </w:rPr>
              <w:t>套</w:t>
            </w:r>
          </w:p>
        </w:tc>
        <w:tc>
          <w:tcPr>
            <w:tcW w:w="721" w:type="dxa"/>
            <w:shd w:val="clear" w:color="auto" w:fill="auto"/>
            <w:vAlign w:val="center"/>
          </w:tcPr>
          <w:p>
            <w:pPr>
              <w:jc w:val="center"/>
              <w:rPr>
                <w:szCs w:val="21"/>
              </w:rPr>
            </w:pPr>
            <w:r>
              <w:rPr>
                <w:rFonts w:hint="eastAsia" w:ascii="宋体" w:hAnsi="宋体" w:cs="宋体"/>
                <w:szCs w:val="21"/>
              </w:rPr>
              <w:t>1</w:t>
            </w:r>
          </w:p>
        </w:tc>
        <w:tc>
          <w:tcPr>
            <w:tcW w:w="1988" w:type="dxa"/>
            <w:shd w:val="clear" w:color="auto" w:fill="auto"/>
            <w:vAlign w:val="center"/>
          </w:tcPr>
          <w:p>
            <w:pPr>
              <w:jc w:val="center"/>
              <w:rPr>
                <w:szCs w:val="21"/>
              </w:rPr>
            </w:pPr>
            <w:r>
              <w:rPr>
                <w:rFonts w:hint="eastAsia"/>
                <w:szCs w:val="21"/>
              </w:rPr>
              <w:t>否</w:t>
            </w:r>
          </w:p>
        </w:tc>
        <w:tc>
          <w:tcPr>
            <w:tcW w:w="1224" w:type="dxa"/>
            <w:shd w:val="clear" w:color="auto" w:fill="auto"/>
            <w:vAlign w:val="center"/>
          </w:tcPr>
          <w:p>
            <w:pPr>
              <w:jc w:val="center"/>
              <w:rPr>
                <w:szCs w:val="21"/>
              </w:rPr>
            </w:pPr>
            <w:r>
              <w:rPr>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trPr>
        <w:tc>
          <w:tcPr>
            <w:tcW w:w="769" w:type="dxa"/>
            <w:shd w:val="clear" w:color="auto" w:fill="auto"/>
            <w:vAlign w:val="center"/>
          </w:tcPr>
          <w:p>
            <w:pPr>
              <w:jc w:val="center"/>
              <w:rPr>
                <w:szCs w:val="21"/>
              </w:rPr>
            </w:pPr>
            <w:r>
              <w:rPr>
                <w:rFonts w:hint="eastAsia"/>
                <w:szCs w:val="21"/>
              </w:rPr>
              <w:t>3</w:t>
            </w:r>
          </w:p>
        </w:tc>
        <w:tc>
          <w:tcPr>
            <w:tcW w:w="1325" w:type="dxa"/>
            <w:shd w:val="clear" w:color="auto" w:fill="auto"/>
            <w:vAlign w:val="center"/>
          </w:tcPr>
          <w:p>
            <w:pPr>
              <w:widowControl/>
              <w:rPr>
                <w:kern w:val="0"/>
                <w:szCs w:val="21"/>
              </w:rPr>
            </w:pPr>
            <w:r>
              <w:rPr>
                <w:rFonts w:hint="eastAsia" w:ascii="宋体" w:hAnsi="宋体"/>
                <w:szCs w:val="21"/>
              </w:rPr>
              <w:t>环境空气非甲烷总烃连续自动监测系统</w:t>
            </w:r>
          </w:p>
        </w:tc>
        <w:tc>
          <w:tcPr>
            <w:tcW w:w="8491" w:type="dxa"/>
            <w:shd w:val="clear" w:color="auto" w:fill="auto"/>
            <w:vAlign w:val="center"/>
          </w:tcPr>
          <w:p>
            <w:pPr>
              <w:rPr>
                <w:b/>
                <w:bCs/>
              </w:rPr>
            </w:pPr>
            <w:r>
              <w:rPr>
                <w:rFonts w:hint="eastAsia" w:ascii="宋体" w:hAnsi="宋体" w:cs="宋体"/>
                <w:b/>
                <w:bCs/>
                <w:sz w:val="24"/>
              </w:rPr>
              <w:t>★</w:t>
            </w:r>
            <w:r>
              <w:rPr>
                <w:rFonts w:hint="eastAsia"/>
                <w:b/>
                <w:bCs/>
              </w:rPr>
              <w:t>中国环境监测总站《环境空气非甲烷总烃连续自动监测系统适用性检测合格名录》中所列产品（以最新名录为准）</w:t>
            </w:r>
          </w:p>
          <w:p>
            <w:r>
              <w:t>1</w:t>
            </w:r>
            <w:r>
              <w:rPr>
                <w:rFonts w:hint="eastAsia"/>
              </w:rPr>
              <w:t>.</w:t>
            </w:r>
            <w:r>
              <w:t>设备用途：用于在线监测环境大气中的甲烷、非甲烷总烃的质量浓度；</w:t>
            </w:r>
          </w:p>
          <w:p>
            <w:r>
              <w:t>2</w:t>
            </w:r>
            <w:r>
              <w:rPr>
                <w:rFonts w:hint="eastAsia"/>
              </w:rPr>
              <w:t>.</w:t>
            </w:r>
            <w:r>
              <w:t>监测方法：</w:t>
            </w:r>
            <w:r>
              <w:rPr>
                <w:rFonts w:hint="eastAsia"/>
              </w:rPr>
              <w:t>直接法</w:t>
            </w:r>
            <w:r>
              <w:t>。</w:t>
            </w:r>
          </w:p>
          <w:p>
            <w:r>
              <w:t>3</w:t>
            </w:r>
            <w:r>
              <w:rPr>
                <w:rFonts w:hint="eastAsia"/>
              </w:rPr>
              <w:t>.</w:t>
            </w:r>
            <w:r>
              <w:t>非甲烷总烃测量范围：0～5000ppb；</w:t>
            </w:r>
          </w:p>
          <w:p>
            <w:r>
              <w:rPr>
                <w:rFonts w:hint="eastAsia"/>
              </w:rPr>
              <w:t>4.</w:t>
            </w:r>
            <w:r>
              <w:t>分析周期：≤15min；</w:t>
            </w:r>
          </w:p>
          <w:p>
            <w:r>
              <w:t>5</w:t>
            </w:r>
            <w:r>
              <w:rPr>
                <w:rFonts w:hint="eastAsia"/>
              </w:rPr>
              <w:t>.</w:t>
            </w:r>
            <w:r>
              <w:t>富集温度最低设置≤-40℃；</w:t>
            </w:r>
          </w:p>
          <w:p>
            <w:r>
              <w:t>6</w:t>
            </w:r>
            <w:r>
              <w:rPr>
                <w:rFonts w:hint="eastAsia"/>
              </w:rPr>
              <w:t>.</w:t>
            </w:r>
            <w:r>
              <w:t>解析温度最高设置≥300℃以上；</w:t>
            </w:r>
          </w:p>
          <w:p>
            <w:r>
              <w:t>7</w:t>
            </w:r>
            <w:r>
              <w:rPr>
                <w:rFonts w:hint="eastAsia"/>
              </w:rPr>
              <w:t>. 实际样品富集温度不高于1</w:t>
            </w:r>
            <w:r>
              <w:t>0</w:t>
            </w:r>
            <w:r>
              <w:rPr>
                <w:rFonts w:hint="eastAsia"/>
              </w:rPr>
              <w:t>℃，解析温度不低于</w:t>
            </w:r>
            <w:r>
              <w:t>150</w:t>
            </w:r>
            <w:r>
              <w:rPr>
                <w:rFonts w:hint="eastAsia"/>
              </w:rPr>
              <w:t>℃，最大热解吸速度可达3</w:t>
            </w:r>
            <w:r>
              <w:t>0</w:t>
            </w:r>
            <w:r>
              <w:rPr>
                <w:rFonts w:hint="eastAsia"/>
              </w:rPr>
              <w:t>℃</w:t>
            </w:r>
            <w:r>
              <w:t>/</w:t>
            </w:r>
            <w:r>
              <w:rPr>
                <w:rFonts w:hint="eastAsia"/>
              </w:rPr>
              <w:t>s；</w:t>
            </w:r>
          </w:p>
          <w:p>
            <w:r>
              <w:t>8</w:t>
            </w:r>
            <w:r>
              <w:rPr>
                <w:rFonts w:hint="eastAsia"/>
              </w:rPr>
              <w:t>.</w:t>
            </w:r>
            <w:r>
              <w:t>方法检出限：非甲烷总烃检出限≤5ppbC；</w:t>
            </w:r>
          </w:p>
          <w:p>
            <w:r>
              <w:t>9</w:t>
            </w:r>
            <w:r>
              <w:rPr>
                <w:rFonts w:hint="eastAsia"/>
              </w:rPr>
              <w:t>.</w:t>
            </w:r>
            <w:r>
              <w:t>系统空白：空白样品甲烷浓度≤5ppb、非甲烷总烃浓度≤5ppbC；</w:t>
            </w:r>
          </w:p>
          <w:p>
            <w:r>
              <w:t>10</w:t>
            </w:r>
            <w:r>
              <w:rPr>
                <w:rFonts w:hint="eastAsia"/>
              </w:rPr>
              <w:t>.</w:t>
            </w:r>
            <w:r>
              <w:t>校准曲线：非甲烷总烃校准曲线的相关系数R2≥0.9995；</w:t>
            </w:r>
          </w:p>
          <w:p>
            <w:r>
              <w:t>11</w:t>
            </w:r>
            <w:r>
              <w:rPr>
                <w:rFonts w:hint="eastAsia"/>
              </w:rPr>
              <w:t>.</w:t>
            </w:r>
            <w:r>
              <w:t>湿度影响：非甲烷总烃的湿度影响≤±2%F.S.；</w:t>
            </w:r>
          </w:p>
          <w:p>
            <w:r>
              <w:t>12</w:t>
            </w:r>
            <w:r>
              <w:rPr>
                <w:rFonts w:hint="eastAsia"/>
              </w:rPr>
              <w:t>.进样流量变化影响：非甲烷总烃≤</w:t>
            </w:r>
            <w:r>
              <w:t xml:space="preserve">±2%F.S </w:t>
            </w:r>
          </w:p>
          <w:p>
            <w:r>
              <w:t>13</w:t>
            </w:r>
            <w:r>
              <w:rPr>
                <w:rFonts w:hint="eastAsia"/>
              </w:rPr>
              <w:t>.响应因子</w:t>
            </w:r>
            <w:r>
              <w:t>：</w:t>
            </w:r>
            <w:r>
              <w:rPr>
                <w:rFonts w:hint="eastAsia"/>
              </w:rPr>
              <w:t>乙酸乙酯≥0.65，甲苯</w:t>
            </w:r>
            <w:r>
              <w:t xml:space="preserve"> </w:t>
            </w:r>
            <w:r>
              <w:rPr>
                <w:rFonts w:hint="eastAsia"/>
              </w:rPr>
              <w:t>0.90~1.05，三氯乙烯 0.95~1.10</w:t>
            </w:r>
            <w:r>
              <w:t>；</w:t>
            </w:r>
          </w:p>
          <w:p>
            <w:r>
              <w:t>14</w:t>
            </w:r>
            <w:r>
              <w:rPr>
                <w:rFonts w:hint="eastAsia"/>
              </w:rPr>
              <w:t>.高浓度残留</w:t>
            </w:r>
            <w:r>
              <w:t>：</w:t>
            </w:r>
            <w:r>
              <w:rPr>
                <w:rFonts w:hint="eastAsia"/>
              </w:rPr>
              <w:t>≤1</w:t>
            </w:r>
            <w:r>
              <w:t>0</w:t>
            </w:r>
            <w:r>
              <w:rPr>
                <w:rFonts w:hint="eastAsia"/>
              </w:rPr>
              <w:t>ppbC，使用1</w:t>
            </w:r>
            <w:r>
              <w:t>600</w:t>
            </w:r>
            <w:r>
              <w:rPr>
                <w:rFonts w:hint="eastAsia"/>
              </w:rPr>
              <w:t>ppb</w:t>
            </w:r>
            <w:r>
              <w:t>C</w:t>
            </w:r>
            <w:r>
              <w:rPr>
                <w:rFonts w:hint="eastAsia"/>
              </w:rPr>
              <w:t>的丙烷标气</w:t>
            </w:r>
            <w:r>
              <w:t>；</w:t>
            </w:r>
          </w:p>
          <w:p>
            <w:r>
              <w:t>15</w:t>
            </w:r>
            <w:r>
              <w:rPr>
                <w:rFonts w:hint="eastAsia"/>
              </w:rPr>
              <w:t>.</w:t>
            </w:r>
            <w:r>
              <w:t>24h 20%量程漂移和80%量程漂移：≤0.5%F.S.；</w:t>
            </w:r>
          </w:p>
          <w:p>
            <w:r>
              <w:t>16</w:t>
            </w:r>
            <w:r>
              <w:rPr>
                <w:rFonts w:hint="eastAsia"/>
              </w:rPr>
              <w:t>.全样气流路无冷点惰性化设计，无残留，无吸附</w:t>
            </w:r>
            <w:r>
              <w:t>：</w:t>
            </w:r>
          </w:p>
          <w:p>
            <w:r>
              <w:t>17</w:t>
            </w:r>
            <w:r>
              <w:rPr>
                <w:rFonts w:hint="eastAsia"/>
              </w:rPr>
              <w:t>.</w:t>
            </w:r>
            <w:r>
              <w:t>色谱柱温控系统：温度范围20℃～280℃，控制精度0.1℃；</w:t>
            </w:r>
          </w:p>
          <w:p>
            <w:r>
              <w:t>18</w:t>
            </w:r>
            <w:r>
              <w:rPr>
                <w:rFonts w:hint="eastAsia"/>
              </w:rPr>
              <w:t>.高精度负反馈流量控制系统设计，系统稳定性高</w:t>
            </w:r>
          </w:p>
          <w:p>
            <w:r>
              <w:t>19.</w:t>
            </w:r>
            <w:r>
              <w:rPr>
                <w:rFonts w:hint="eastAsia"/>
              </w:rPr>
              <w:t>采样流量控制：采样流量</w:t>
            </w:r>
            <w:r>
              <w:t>0-250ml/min</w:t>
            </w:r>
            <w:r>
              <w:rPr>
                <w:rFonts w:hint="eastAsia"/>
              </w:rPr>
              <w:t>，采用低维护隔膜泵配合EFC和定量环进行定体积采样，气路压力设定精度0.01psi</w:t>
            </w:r>
          </w:p>
          <w:p>
            <w:r>
              <w:t>20.</w:t>
            </w:r>
            <w:r>
              <w:rPr>
                <w:rFonts w:hint="eastAsia"/>
              </w:rPr>
              <w:t>检测器动态线性范围：10</w:t>
            </w:r>
            <w:r>
              <w:rPr>
                <w:rFonts w:hint="eastAsia"/>
                <w:vertAlign w:val="superscript"/>
              </w:rPr>
              <w:t>7</w:t>
            </w:r>
            <w:r>
              <w:rPr>
                <w:rFonts w:hint="eastAsia"/>
              </w:rPr>
              <w:t>；</w:t>
            </w:r>
          </w:p>
          <w:p>
            <w:r>
              <w:t>21</w:t>
            </w:r>
            <w:r>
              <w:rPr>
                <w:rFonts w:hint="eastAsia"/>
              </w:rPr>
              <w:t>.</w:t>
            </w:r>
            <w:r>
              <w:t>检测器保护：自动点火，灭火自动切断气体和报警功能；</w:t>
            </w:r>
          </w:p>
          <w:p>
            <w:r>
              <w:t>22</w:t>
            </w:r>
            <w:r>
              <w:rPr>
                <w:rFonts w:hint="eastAsia"/>
              </w:rPr>
              <w:t>.</w:t>
            </w:r>
            <w:r>
              <w:t>为确保设备可靠储运和运行，仪器具有高低温适应性试验项目的测试报告；</w:t>
            </w:r>
          </w:p>
          <w:p>
            <w:r>
              <w:t>24</w:t>
            </w:r>
            <w:r>
              <w:rPr>
                <w:rFonts w:hint="eastAsia"/>
              </w:rPr>
              <w:t>.</w:t>
            </w:r>
            <w:r>
              <w:t>分析软件采用全中文操作，能进行所有维护诊断功能操作，能监控并记录仪器的阀箱温度、柱箱温度、载气压力、柱前压力等各项运行参数，可设置自动控制仪器的运行参数，自动进行数据处理，实现对外通讯；软件终生提供免费升级服务</w:t>
            </w:r>
            <w:r>
              <w:rPr>
                <w:rFonts w:hint="eastAsia"/>
              </w:rPr>
              <w:t>（提供生产制造商盖章的承诺书）</w:t>
            </w:r>
            <w:r>
              <w:t>；</w:t>
            </w:r>
          </w:p>
          <w:p>
            <w:r>
              <w:t>25</w:t>
            </w:r>
            <w:r>
              <w:rPr>
                <w:rFonts w:hint="eastAsia"/>
              </w:rPr>
              <w:t>.</w:t>
            </w:r>
            <w:r>
              <w:t>安全要求：</w:t>
            </w:r>
          </w:p>
          <w:p>
            <w:pPr>
              <w:ind w:firstLine="630" w:firstLineChars="300"/>
            </w:pPr>
            <w:r>
              <w:t>绝缘电阻：在工作环境中，监测系统电源端子对地或机壳的绝缘电阻≥20MΩ。</w:t>
            </w:r>
          </w:p>
          <w:p>
            <w:pPr>
              <w:ind w:firstLine="630" w:firstLineChars="300"/>
            </w:pPr>
            <w:r>
              <w:t>绝缘强度：在工作环境中，监测系统在1500V（有效值）、50Hz正弦波实验电压下持续1分钟，不应出现击穿或飞弧现象。</w:t>
            </w:r>
          </w:p>
          <w:p>
            <w:pPr>
              <w:ind w:firstLine="630" w:firstLineChars="300"/>
            </w:pPr>
            <w:r>
              <w:t>电源要求：监测系统应配有稳压电源，以确保供电符合（220×1±10%）VAC/50Hz的要求。</w:t>
            </w:r>
          </w:p>
          <w:p>
            <w:pPr>
              <w:ind w:firstLine="630" w:firstLineChars="300"/>
            </w:pPr>
            <w:r>
              <w:t>其他要求：有易燃气体、有毒气体存在的单元和管路的气密性应满足GB/T30431，即0.3MPa压强下，30分钟压降≤0.01MPa，确保其不会泄露。仪器的高温加热区应设有防烫伤标识。</w:t>
            </w:r>
          </w:p>
          <w:p>
            <w:pPr>
              <w:tabs>
                <w:tab w:val="left" w:pos="315"/>
                <w:tab w:val="left" w:pos="495"/>
                <w:tab w:val="left" w:pos="679"/>
              </w:tabs>
              <w:adjustRightInd w:val="0"/>
              <w:snapToGrid w:val="0"/>
              <w:rPr>
                <w:szCs w:val="21"/>
              </w:rPr>
            </w:pPr>
          </w:p>
          <w:p>
            <w:pPr>
              <w:tabs>
                <w:tab w:val="left" w:pos="315"/>
                <w:tab w:val="left" w:pos="495"/>
                <w:tab w:val="left" w:pos="679"/>
              </w:tabs>
              <w:adjustRightInd w:val="0"/>
              <w:snapToGrid w:val="0"/>
              <w:rPr>
                <w:szCs w:val="21"/>
              </w:rPr>
            </w:pPr>
            <w:r>
              <w:rPr>
                <w:rFonts w:hint="eastAsia"/>
                <w:szCs w:val="21"/>
              </w:rPr>
              <w:t>标气和辅助气：120ppm/10ppm甲烷/丙烷标准气体、99.999%</w:t>
            </w:r>
          </w:p>
          <w:p>
            <w:pPr>
              <w:tabs>
                <w:tab w:val="left" w:pos="315"/>
                <w:tab w:val="left" w:pos="495"/>
                <w:tab w:val="left" w:pos="679"/>
              </w:tabs>
              <w:adjustRightInd w:val="0"/>
              <w:snapToGrid w:val="0"/>
              <w:rPr>
                <w:szCs w:val="21"/>
              </w:rPr>
            </w:pPr>
          </w:p>
          <w:p>
            <w:pPr>
              <w:tabs>
                <w:tab w:val="left" w:pos="315"/>
                <w:tab w:val="left" w:pos="495"/>
                <w:tab w:val="left" w:pos="679"/>
              </w:tabs>
              <w:adjustRightInd w:val="0"/>
              <w:snapToGrid w:val="0"/>
              <w:rPr>
                <w:szCs w:val="21"/>
              </w:rPr>
            </w:pPr>
            <w:r>
              <w:rPr>
                <w:rFonts w:hint="eastAsia"/>
                <w:szCs w:val="21"/>
              </w:rPr>
              <w:t>工作站软件要求：</w:t>
            </w:r>
          </w:p>
          <w:p>
            <w:pPr>
              <w:pStyle w:val="18"/>
              <w:numPr>
                <w:ilvl w:val="0"/>
                <w:numId w:val="2"/>
              </w:numPr>
              <w:adjustRightInd w:val="0"/>
              <w:snapToGrid w:val="0"/>
              <w:rPr>
                <w:szCs w:val="21"/>
              </w:rPr>
            </w:pPr>
            <w:r>
              <w:rPr>
                <w:rFonts w:hint="eastAsia"/>
                <w:szCs w:val="21"/>
              </w:rPr>
              <w:t>工作站具备自主知识产权的远程控制软件，无需第三方软件，保障数据信息安全</w:t>
            </w:r>
          </w:p>
          <w:p>
            <w:pPr>
              <w:pStyle w:val="18"/>
              <w:numPr>
                <w:ilvl w:val="0"/>
                <w:numId w:val="2"/>
              </w:numPr>
              <w:tabs>
                <w:tab w:val="left" w:pos="315"/>
                <w:tab w:val="left" w:pos="495"/>
                <w:tab w:val="left" w:pos="679"/>
              </w:tabs>
              <w:adjustRightInd w:val="0"/>
              <w:snapToGrid w:val="0"/>
              <w:rPr>
                <w:szCs w:val="21"/>
              </w:rPr>
            </w:pPr>
            <w:r>
              <w:rPr>
                <w:rFonts w:hint="eastAsia"/>
              </w:rPr>
              <w:t>工作站具备实时获取色谱、校准系统的运行状态参数，并实现秒级自动上传至数据采集与传输软件的功能</w:t>
            </w:r>
          </w:p>
          <w:p>
            <w:pPr>
              <w:pStyle w:val="18"/>
              <w:numPr>
                <w:ilvl w:val="0"/>
                <w:numId w:val="2"/>
              </w:numPr>
              <w:rPr>
                <w:szCs w:val="21"/>
              </w:rPr>
            </w:pPr>
            <w:r>
              <w:rPr>
                <w:rFonts w:hint="eastAsia"/>
                <w:szCs w:val="21"/>
              </w:rPr>
              <w:t>工作站具备主动上传校准曲线、质控、空白等质控参数的功能；</w:t>
            </w:r>
          </w:p>
          <w:p>
            <w:pPr>
              <w:pStyle w:val="18"/>
              <w:numPr>
                <w:ilvl w:val="0"/>
                <w:numId w:val="2"/>
              </w:numPr>
              <w:rPr>
                <w:szCs w:val="21"/>
              </w:rPr>
            </w:pPr>
            <w:r>
              <w:rPr>
                <w:rFonts w:hint="eastAsia"/>
                <w:szCs w:val="21"/>
              </w:rPr>
              <w:t>工作站具备数据标识位自动生成功能，防止数据标识错乱影响数据分析；</w:t>
            </w:r>
          </w:p>
          <w:p>
            <w:pPr>
              <w:rPr>
                <w:b/>
                <w:bCs/>
              </w:rPr>
            </w:pPr>
            <w:r>
              <w:rPr>
                <w:rFonts w:hint="eastAsia"/>
                <w:szCs w:val="21"/>
              </w:rPr>
              <w:t>数据处理软件具备色谱峰主动识别、积分异常判断、保留时间漂移纠正等功能。</w:t>
            </w:r>
          </w:p>
        </w:tc>
        <w:tc>
          <w:tcPr>
            <w:tcW w:w="739" w:type="dxa"/>
            <w:shd w:val="clear" w:color="auto" w:fill="auto"/>
            <w:vAlign w:val="center"/>
          </w:tcPr>
          <w:p>
            <w:pPr>
              <w:jc w:val="center"/>
              <w:rPr>
                <w:szCs w:val="21"/>
              </w:rPr>
            </w:pPr>
            <w:r>
              <w:rPr>
                <w:rFonts w:hint="eastAsia"/>
                <w:szCs w:val="21"/>
              </w:rPr>
              <w:t>套</w:t>
            </w:r>
          </w:p>
        </w:tc>
        <w:tc>
          <w:tcPr>
            <w:tcW w:w="721" w:type="dxa"/>
            <w:shd w:val="clear" w:color="auto" w:fill="auto"/>
            <w:vAlign w:val="center"/>
          </w:tcPr>
          <w:p>
            <w:pPr>
              <w:jc w:val="center"/>
              <w:rPr>
                <w:szCs w:val="21"/>
              </w:rPr>
            </w:pPr>
            <w:r>
              <w:rPr>
                <w:rFonts w:hint="eastAsia"/>
                <w:szCs w:val="21"/>
              </w:rPr>
              <w:t>1</w:t>
            </w:r>
          </w:p>
        </w:tc>
        <w:tc>
          <w:tcPr>
            <w:tcW w:w="1988" w:type="dxa"/>
            <w:shd w:val="clear" w:color="auto" w:fill="auto"/>
            <w:vAlign w:val="center"/>
          </w:tcPr>
          <w:p>
            <w:pPr>
              <w:jc w:val="center"/>
              <w:rPr>
                <w:szCs w:val="21"/>
              </w:rPr>
            </w:pPr>
            <w:r>
              <w:rPr>
                <w:rFonts w:hint="eastAsia"/>
                <w:szCs w:val="21"/>
              </w:rPr>
              <w:t>否</w:t>
            </w:r>
          </w:p>
        </w:tc>
        <w:tc>
          <w:tcPr>
            <w:tcW w:w="1224" w:type="dxa"/>
            <w:shd w:val="clear" w:color="auto" w:fill="auto"/>
            <w:vAlign w:val="center"/>
          </w:tcPr>
          <w:p>
            <w:pPr>
              <w:jc w:val="center"/>
              <w:rPr>
                <w:szCs w:val="21"/>
              </w:rPr>
            </w:pPr>
            <w:r>
              <w:rPr>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trPr>
        <w:tc>
          <w:tcPr>
            <w:tcW w:w="769" w:type="dxa"/>
            <w:shd w:val="clear" w:color="auto" w:fill="auto"/>
            <w:vAlign w:val="center"/>
          </w:tcPr>
          <w:p>
            <w:pPr>
              <w:jc w:val="center"/>
              <w:rPr>
                <w:szCs w:val="21"/>
              </w:rPr>
            </w:pPr>
            <w:r>
              <w:rPr>
                <w:rFonts w:hint="eastAsia"/>
                <w:szCs w:val="21"/>
              </w:rPr>
              <w:t>4</w:t>
            </w:r>
          </w:p>
        </w:tc>
        <w:tc>
          <w:tcPr>
            <w:tcW w:w="1325" w:type="dxa"/>
            <w:shd w:val="clear" w:color="auto" w:fill="auto"/>
            <w:vAlign w:val="center"/>
          </w:tcPr>
          <w:p>
            <w:pPr>
              <w:widowControl/>
              <w:rPr>
                <w:kern w:val="0"/>
                <w:szCs w:val="21"/>
              </w:rPr>
            </w:pPr>
            <w:r>
              <w:rPr>
                <w:rFonts w:hint="eastAsia" w:ascii="宋体" w:hAnsi="宋体"/>
                <w:szCs w:val="21"/>
              </w:rPr>
              <w:t>二氧化碳分析仪</w:t>
            </w:r>
          </w:p>
        </w:tc>
        <w:tc>
          <w:tcPr>
            <w:tcW w:w="8491" w:type="dxa"/>
            <w:shd w:val="clear" w:color="auto" w:fill="auto"/>
            <w:vAlign w:val="center"/>
          </w:tcPr>
          <w:p>
            <w:pPr>
              <w:pStyle w:val="18"/>
              <w:ind w:left="0"/>
            </w:pPr>
            <w:r>
              <w:rPr>
                <w:rFonts w:hint="eastAsia"/>
              </w:rPr>
              <w:t>1.分析方法：非色散红外光谱技术（NDIR）。</w:t>
            </w:r>
          </w:p>
          <w:p>
            <w:pPr>
              <w:pStyle w:val="18"/>
              <w:ind w:left="0"/>
            </w:pPr>
            <w:r>
              <w:rPr>
                <w:rFonts w:hint="eastAsia"/>
              </w:rPr>
              <w:t>2.量程：0-200，500，1000，2000，5000，1,0000 ppm。</w:t>
            </w:r>
          </w:p>
          <w:p>
            <w:pPr>
              <w:pStyle w:val="18"/>
              <w:ind w:left="0"/>
            </w:pPr>
            <w:r>
              <w:rPr>
                <w:rFonts w:hint="eastAsia"/>
              </w:rPr>
              <w:t>3.零点噪音：0.1ppm。</w:t>
            </w:r>
          </w:p>
          <w:p>
            <w:pPr>
              <w:pStyle w:val="18"/>
              <w:ind w:left="0"/>
            </w:pPr>
            <w:r>
              <w:rPr>
                <w:rFonts w:hint="eastAsia"/>
              </w:rPr>
              <w:t>4.最低检出限：0.2ppm。</w:t>
            </w:r>
          </w:p>
          <w:p>
            <w:pPr>
              <w:pStyle w:val="18"/>
              <w:ind w:left="0"/>
            </w:pPr>
            <w:r>
              <w:rPr>
                <w:rFonts w:hint="eastAsia"/>
              </w:rPr>
              <w:t>5.零点漂移（24h）：±1.0ppm。</w:t>
            </w:r>
          </w:p>
          <w:p>
            <w:pPr>
              <w:pStyle w:val="18"/>
              <w:ind w:left="0"/>
            </w:pPr>
            <w:r>
              <w:rPr>
                <w:rFonts w:hint="eastAsia"/>
              </w:rPr>
              <w:t>6.跨度漂移（24h）：＜0.5%读数。</w:t>
            </w:r>
          </w:p>
          <w:p>
            <w:pPr>
              <w:pStyle w:val="18"/>
              <w:ind w:left="0"/>
            </w:pPr>
            <w:r>
              <w:rPr>
                <w:rFonts w:hint="eastAsia"/>
              </w:rPr>
              <w:t>7.响应时间（90%满量程）：90秒。</w:t>
            </w:r>
          </w:p>
          <w:p>
            <w:pPr>
              <w:pStyle w:val="18"/>
              <w:ind w:left="0"/>
            </w:pPr>
            <w:r>
              <w:rPr>
                <w:rFonts w:hint="eastAsia"/>
              </w:rPr>
              <w:t>8.精度：1%读数。</w:t>
            </w:r>
          </w:p>
          <w:p>
            <w:pPr>
              <w:pStyle w:val="18"/>
              <w:ind w:left="0"/>
            </w:pPr>
            <w:r>
              <w:rPr>
                <w:rFonts w:hint="eastAsia"/>
              </w:rPr>
              <w:t>9.线性：±1.5% 满量程。</w:t>
            </w:r>
          </w:p>
          <w:p>
            <w:pPr>
              <w:pStyle w:val="18"/>
              <w:ind w:left="0"/>
            </w:pPr>
            <w:r>
              <w:rPr>
                <w:rFonts w:hint="eastAsia"/>
              </w:rPr>
              <w:t>10.采样流量：1.0升/分钟。</w:t>
            </w:r>
          </w:p>
          <w:p>
            <w:pPr>
              <w:pStyle w:val="18"/>
              <w:ind w:left="0"/>
            </w:pPr>
            <w:r>
              <w:rPr>
                <w:rFonts w:hint="eastAsia"/>
              </w:rPr>
              <w:t>11.控制方式：具有远程操作软件，可进行远程查看、操作、诊断和设置。</w:t>
            </w:r>
          </w:p>
          <w:p>
            <w:pPr>
              <w:pStyle w:val="18"/>
              <w:ind w:left="0"/>
            </w:pPr>
            <w:r>
              <w:rPr>
                <w:rFonts w:hint="eastAsia"/>
              </w:rPr>
              <w:t>12.电源要求：220±10%VAC，50Hz。</w:t>
            </w:r>
          </w:p>
          <w:p>
            <w:pPr>
              <w:pStyle w:val="18"/>
              <w:ind w:left="0"/>
            </w:pPr>
            <w:r>
              <w:rPr>
                <w:rFonts w:hint="eastAsia"/>
              </w:rPr>
              <w:t>13.信号输出：RS232/485，0-100mV，0-1V，0-5V，0-10V，0-20mA、4-20mA。</w:t>
            </w:r>
          </w:p>
          <w:p>
            <w:pPr>
              <w:pStyle w:val="18"/>
              <w:ind w:left="0"/>
            </w:pPr>
            <w:r>
              <w:rPr>
                <w:rFonts w:hint="eastAsia"/>
              </w:rPr>
              <w:t>14.通讯协议：C-Link，Modbus，TCP/IP。</w:t>
            </w:r>
          </w:p>
          <w:p>
            <w:pPr>
              <w:rPr>
                <w:b/>
                <w:bCs/>
              </w:rPr>
            </w:pPr>
            <w:r>
              <w:rPr>
                <w:rFonts w:hint="eastAsia"/>
              </w:rPr>
              <w:t>15.数据存储功能：数据存储时间不低于6个月。</w:t>
            </w:r>
          </w:p>
        </w:tc>
        <w:tc>
          <w:tcPr>
            <w:tcW w:w="739" w:type="dxa"/>
            <w:shd w:val="clear" w:color="auto" w:fill="auto"/>
            <w:vAlign w:val="center"/>
          </w:tcPr>
          <w:p>
            <w:pPr>
              <w:jc w:val="center"/>
              <w:rPr>
                <w:szCs w:val="21"/>
              </w:rPr>
            </w:pPr>
            <w:r>
              <w:rPr>
                <w:rFonts w:hint="eastAsia"/>
                <w:szCs w:val="21"/>
              </w:rPr>
              <w:t>台</w:t>
            </w:r>
          </w:p>
        </w:tc>
        <w:tc>
          <w:tcPr>
            <w:tcW w:w="721" w:type="dxa"/>
            <w:shd w:val="clear" w:color="auto" w:fill="auto"/>
            <w:vAlign w:val="center"/>
          </w:tcPr>
          <w:p>
            <w:pPr>
              <w:jc w:val="center"/>
              <w:rPr>
                <w:szCs w:val="21"/>
              </w:rPr>
            </w:pPr>
            <w:r>
              <w:rPr>
                <w:rFonts w:hint="eastAsia"/>
                <w:szCs w:val="21"/>
              </w:rPr>
              <w:t>1</w:t>
            </w:r>
          </w:p>
        </w:tc>
        <w:tc>
          <w:tcPr>
            <w:tcW w:w="1988" w:type="dxa"/>
            <w:shd w:val="clear" w:color="auto" w:fill="auto"/>
            <w:vAlign w:val="center"/>
          </w:tcPr>
          <w:p>
            <w:pPr>
              <w:jc w:val="center"/>
              <w:rPr>
                <w:szCs w:val="21"/>
              </w:rPr>
            </w:pPr>
            <w:r>
              <w:rPr>
                <w:rFonts w:hint="eastAsia"/>
                <w:szCs w:val="21"/>
              </w:rPr>
              <w:t>否</w:t>
            </w:r>
          </w:p>
        </w:tc>
        <w:tc>
          <w:tcPr>
            <w:tcW w:w="1224" w:type="dxa"/>
            <w:shd w:val="clear" w:color="auto" w:fill="auto"/>
            <w:vAlign w:val="center"/>
          </w:tcPr>
          <w:p>
            <w:pPr>
              <w:jc w:val="center"/>
              <w:rPr>
                <w:szCs w:val="21"/>
              </w:rPr>
            </w:pPr>
            <w:r>
              <w:rPr>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trPr>
        <w:tc>
          <w:tcPr>
            <w:tcW w:w="769" w:type="dxa"/>
            <w:shd w:val="clear" w:color="auto" w:fill="auto"/>
            <w:vAlign w:val="center"/>
          </w:tcPr>
          <w:p>
            <w:pPr>
              <w:jc w:val="center"/>
              <w:rPr>
                <w:szCs w:val="21"/>
              </w:rPr>
            </w:pPr>
            <w:r>
              <w:rPr>
                <w:rFonts w:hint="eastAsia"/>
                <w:szCs w:val="21"/>
              </w:rPr>
              <w:t>5</w:t>
            </w:r>
          </w:p>
        </w:tc>
        <w:tc>
          <w:tcPr>
            <w:tcW w:w="1325" w:type="dxa"/>
            <w:shd w:val="clear" w:color="auto" w:fill="auto"/>
            <w:vAlign w:val="center"/>
          </w:tcPr>
          <w:p>
            <w:pPr>
              <w:widowControl/>
              <w:rPr>
                <w:kern w:val="0"/>
                <w:szCs w:val="21"/>
              </w:rPr>
            </w:pPr>
            <w:r>
              <w:rPr>
                <w:rFonts w:hint="eastAsia"/>
                <w:sz w:val="24"/>
              </w:rPr>
              <w:t>▲</w:t>
            </w:r>
            <w:r>
              <w:rPr>
                <w:rFonts w:hint="eastAsia" w:ascii="宋体" w:hAnsi="宋体"/>
                <w:szCs w:val="21"/>
              </w:rPr>
              <w:t>环境空气气溶胶及气体组分在线离子色谱监测系统</w:t>
            </w:r>
          </w:p>
        </w:tc>
        <w:tc>
          <w:tcPr>
            <w:tcW w:w="8491" w:type="dxa"/>
            <w:shd w:val="clear" w:color="auto" w:fill="auto"/>
            <w:vAlign w:val="center"/>
          </w:tcPr>
          <w:p>
            <w:pPr>
              <w:rPr>
                <w:b/>
                <w:bCs/>
              </w:rPr>
            </w:pPr>
            <w:r>
              <w:rPr>
                <w:rFonts w:hint="eastAsia" w:ascii="宋体" w:hAnsi="宋体" w:cs="宋体"/>
                <w:b/>
                <w:bCs/>
                <w:sz w:val="24"/>
              </w:rPr>
              <w:t>★</w:t>
            </w:r>
            <w:r>
              <w:rPr>
                <w:rFonts w:hint="eastAsia"/>
                <w:b/>
                <w:bCs/>
              </w:rPr>
              <w:t>采样系统：采样系统管路需满足“HJT 193-2013环境空气质量自动监测技术规范”要求——采用直线设计，无弯管，避免颗粒物沉积。</w:t>
            </w:r>
          </w:p>
          <w:p>
            <w:pPr>
              <w:rPr>
                <w:b/>
                <w:bCs/>
              </w:rPr>
            </w:pPr>
            <w:r>
              <w:rPr>
                <w:rFonts w:hint="eastAsia"/>
                <w:b/>
                <w:bCs/>
              </w:rPr>
              <w:t>★气体吸收液通道和颗粒物通道应</w:t>
            </w:r>
            <w:r>
              <w:rPr>
                <w:rFonts w:hint="eastAsia"/>
                <w:b/>
                <w:bCs/>
                <w:lang w:eastAsia="zh-CN"/>
              </w:rPr>
              <w:t>相互独</w:t>
            </w:r>
            <w:r>
              <w:rPr>
                <w:rFonts w:hint="eastAsia"/>
                <w:b/>
                <w:bCs/>
              </w:rPr>
              <w:t>立，避免气体吸收液对颗粒物污染物的吸收。</w:t>
            </w:r>
          </w:p>
          <w:p>
            <w:pPr>
              <w:pStyle w:val="18"/>
              <w:ind w:left="440"/>
              <w:rPr>
                <w:rFonts w:ascii="宋体" w:hAnsi="宋体" w:cs="宋体"/>
                <w:szCs w:val="21"/>
              </w:rPr>
            </w:pPr>
            <w:r>
              <w:rPr>
                <w:rFonts w:hint="eastAsia" w:ascii="宋体" w:hAnsi="宋体" w:cs="宋体"/>
                <w:szCs w:val="21"/>
              </w:rPr>
              <w:t>一、气体和气溶胶在线采集部分</w:t>
            </w:r>
          </w:p>
          <w:p>
            <w:pPr>
              <w:pStyle w:val="18"/>
              <w:ind w:left="440"/>
              <w:rPr>
                <w:rFonts w:ascii="宋体" w:hAnsi="宋体" w:cs="宋体"/>
                <w:szCs w:val="21"/>
              </w:rPr>
            </w:pPr>
            <w:r>
              <w:rPr>
                <w:rFonts w:hint="eastAsia" w:ascii="宋体" w:hAnsi="宋体" w:cs="宋体"/>
                <w:szCs w:val="21"/>
              </w:rPr>
              <w:t>1. 数量：1台</w:t>
            </w:r>
          </w:p>
          <w:p>
            <w:pPr>
              <w:pStyle w:val="18"/>
              <w:ind w:left="440"/>
              <w:rPr>
                <w:rFonts w:ascii="宋体" w:hAnsi="宋体" w:cs="宋体"/>
                <w:szCs w:val="21"/>
              </w:rPr>
            </w:pPr>
            <w:r>
              <w:rPr>
                <w:rFonts w:hint="eastAsia" w:ascii="宋体" w:hAnsi="宋体" w:cs="宋体"/>
                <w:szCs w:val="21"/>
              </w:rPr>
              <w:t>2. 应用范围：适用于空气中气体和气溶胶中可溶性成分（阴、阳离子，有机酸、有机胺）的在线采集。</w:t>
            </w:r>
          </w:p>
          <w:p>
            <w:pPr>
              <w:pStyle w:val="18"/>
              <w:tabs>
                <w:tab w:val="left" w:pos="6346"/>
              </w:tabs>
              <w:ind w:left="440"/>
              <w:rPr>
                <w:rFonts w:ascii="宋体" w:hAnsi="宋体" w:cs="宋体"/>
                <w:szCs w:val="21"/>
              </w:rPr>
            </w:pPr>
            <w:r>
              <w:rPr>
                <w:rFonts w:hint="eastAsia" w:ascii="宋体" w:hAnsi="宋体" w:cs="宋体"/>
                <w:szCs w:val="21"/>
              </w:rPr>
              <w:t>3. 技术要求</w:t>
            </w:r>
            <w:r>
              <w:rPr>
                <w:rFonts w:hint="eastAsia" w:ascii="宋体" w:hAnsi="宋体" w:cs="宋体"/>
                <w:szCs w:val="21"/>
              </w:rPr>
              <w:tab/>
            </w:r>
          </w:p>
          <w:p>
            <w:pPr>
              <w:pStyle w:val="18"/>
              <w:ind w:left="440"/>
              <w:rPr>
                <w:rFonts w:ascii="宋体" w:hAnsi="宋体" w:cs="宋体"/>
                <w:szCs w:val="21"/>
              </w:rPr>
            </w:pPr>
            <w:r>
              <w:rPr>
                <w:rFonts w:hint="eastAsia" w:ascii="宋体" w:hAnsi="宋体" w:cs="宋体"/>
                <w:szCs w:val="21"/>
              </w:rPr>
              <w:t>3.1 在线采样部分</w:t>
            </w:r>
          </w:p>
          <w:p>
            <w:pPr>
              <w:pStyle w:val="18"/>
              <w:ind w:left="440"/>
              <w:rPr>
                <w:rFonts w:ascii="宋体" w:hAnsi="宋体" w:cs="宋体"/>
                <w:szCs w:val="21"/>
              </w:rPr>
            </w:pPr>
            <w:r>
              <w:rPr>
                <w:rFonts w:hint="eastAsia" w:ascii="宋体" w:hAnsi="宋体" w:cs="宋体"/>
                <w:szCs w:val="21"/>
              </w:rPr>
              <w:t>3.1.1切割粒径：常规PM2.5，可切换为PM1或 PM10。</w:t>
            </w:r>
          </w:p>
          <w:p>
            <w:pPr>
              <w:pStyle w:val="18"/>
              <w:ind w:left="440"/>
              <w:rPr>
                <w:rFonts w:ascii="宋体" w:hAnsi="宋体" w:cs="宋体"/>
                <w:szCs w:val="21"/>
              </w:rPr>
            </w:pPr>
            <w:r>
              <w:rPr>
                <w:rFonts w:hint="eastAsia" w:ascii="宋体" w:hAnsi="宋体" w:cs="宋体"/>
                <w:szCs w:val="21"/>
              </w:rPr>
              <w:t>3.1.2采样流量：外部采样流量为16.7L/min，可根据不同切割头对流量的要求灵活配置，并可实现校准。</w:t>
            </w:r>
          </w:p>
          <w:p>
            <w:pPr>
              <w:pStyle w:val="18"/>
              <w:ind w:left="440"/>
              <w:rPr>
                <w:rFonts w:ascii="宋体" w:hAnsi="宋体" w:cs="宋体"/>
                <w:szCs w:val="21"/>
              </w:rPr>
            </w:pPr>
            <w:r>
              <w:rPr>
                <w:rFonts w:hint="eastAsia" w:ascii="宋体" w:hAnsi="宋体" w:cs="宋体"/>
                <w:szCs w:val="21"/>
              </w:rPr>
              <w:t>3.1.3 取样速度：1.0 m3/h，符合中华人民共和国环境保护行业标准要求。</w:t>
            </w:r>
          </w:p>
          <w:p>
            <w:pPr>
              <w:pStyle w:val="18"/>
              <w:ind w:left="440"/>
              <w:rPr>
                <w:rFonts w:ascii="宋体" w:hAnsi="宋体" w:cs="宋体"/>
                <w:szCs w:val="21"/>
              </w:rPr>
            </w:pPr>
            <w:r>
              <w:rPr>
                <w:rFonts w:hint="eastAsia" w:ascii="宋体" w:hAnsi="宋体" w:cs="宋体"/>
                <w:szCs w:val="21"/>
              </w:rPr>
              <w:t>3.1.4 气体流速控制系统可通过室内外温度和压力对气体流速进行自动校正。</w:t>
            </w:r>
          </w:p>
          <w:p>
            <w:pPr>
              <w:pStyle w:val="18"/>
              <w:tabs>
                <w:tab w:val="left" w:pos="312"/>
              </w:tabs>
              <w:ind w:left="0"/>
              <w:rPr>
                <w:rFonts w:ascii="宋体" w:hAnsi="宋体" w:cs="宋体"/>
                <w:szCs w:val="21"/>
              </w:rPr>
            </w:pPr>
            <w:r>
              <w:rPr>
                <w:rFonts w:hint="eastAsia" w:ascii="宋体" w:hAnsi="宋体" w:cs="宋体"/>
                <w:szCs w:val="21"/>
              </w:rPr>
              <w:t>3.1.5 气体收集技术：</w:t>
            </w:r>
          </w:p>
          <w:p>
            <w:pPr>
              <w:pStyle w:val="18"/>
              <w:tabs>
                <w:tab w:val="left" w:pos="312"/>
              </w:tabs>
              <w:ind w:left="0"/>
              <w:rPr>
                <w:rFonts w:ascii="宋体" w:hAnsi="宋体" w:cs="宋体"/>
                <w:szCs w:val="21"/>
              </w:rPr>
            </w:pPr>
            <w:r>
              <w:rPr>
                <w:rFonts w:hint="eastAsia"/>
                <w:sz w:val="24"/>
              </w:rPr>
              <w:t>■</w:t>
            </w:r>
            <w:r>
              <w:rPr>
                <w:rFonts w:hint="eastAsia" w:ascii="宋体" w:hAnsi="宋体" w:cs="宋体"/>
                <w:szCs w:val="21"/>
              </w:rPr>
              <w:t>3.1.5.1四个样品独立采集通道：同时且独立采集气体中的阴、阳离子和气溶胶中的阴、阳离子，可有效避免阴阳离子系统淋洗液导致的交叉污染。（需提供仪器采样部分和进样部分照片及流路图）</w:t>
            </w:r>
          </w:p>
          <w:p>
            <w:pPr>
              <w:pStyle w:val="18"/>
              <w:tabs>
                <w:tab w:val="left" w:pos="312"/>
              </w:tabs>
              <w:ind w:left="0"/>
              <w:rPr>
                <w:rFonts w:ascii="宋体" w:hAnsi="宋体" w:cs="宋体"/>
                <w:szCs w:val="21"/>
              </w:rPr>
            </w:pPr>
            <w:r>
              <w:rPr>
                <w:rFonts w:hint="eastAsia"/>
                <w:sz w:val="24"/>
              </w:rPr>
              <w:t>■</w:t>
            </w:r>
            <w:r>
              <w:rPr>
                <w:rFonts w:hint="eastAsia" w:ascii="宋体" w:hAnsi="宋体" w:cs="宋体"/>
                <w:szCs w:val="21"/>
              </w:rPr>
              <w:t>3.1.5.2采样时间：采样周期必须满足15min，30min和60min等三种选项，用户可根据自身需要灵活选择数据点周期（需提供证明材料）。</w:t>
            </w:r>
          </w:p>
          <w:p>
            <w:pPr>
              <w:pStyle w:val="18"/>
              <w:tabs>
                <w:tab w:val="left" w:pos="312"/>
              </w:tabs>
              <w:ind w:left="0"/>
              <w:rPr>
                <w:rFonts w:ascii="宋体" w:hAnsi="宋体" w:cs="宋体"/>
                <w:szCs w:val="21"/>
              </w:rPr>
            </w:pPr>
            <w:r>
              <w:rPr>
                <w:rFonts w:hint="eastAsia" w:ascii="宋体" w:hAnsi="宋体" w:cs="宋体"/>
                <w:szCs w:val="21"/>
              </w:rPr>
              <w:t>3.1.5.3运行软件：统一软件控制，软件完全兼容采样和分析模块；具备一键向导快速开始功能。</w:t>
            </w:r>
          </w:p>
          <w:p>
            <w:pPr>
              <w:rPr>
                <w:rFonts w:ascii="宋体" w:hAnsi="宋体" w:cs="宋体"/>
                <w:szCs w:val="21"/>
              </w:rPr>
            </w:pPr>
            <w:r>
              <w:rPr>
                <w:rFonts w:hint="eastAsia"/>
                <w:sz w:val="24"/>
              </w:rPr>
              <w:t>■</w:t>
            </w:r>
            <w:r>
              <w:rPr>
                <w:rFonts w:hint="eastAsia" w:ascii="宋体" w:hAnsi="宋体" w:cs="宋体"/>
                <w:szCs w:val="21"/>
              </w:rPr>
              <w:t>3.1.5.4高性能</w:t>
            </w:r>
            <w:r>
              <w:rPr>
                <w:rFonts w:ascii="宋体" w:hAnsi="宋体" w:cs="宋体"/>
                <w:szCs w:val="21"/>
              </w:rPr>
              <w:t>/</w:t>
            </w:r>
            <w:r>
              <w:rPr>
                <w:rFonts w:hint="eastAsia" w:ascii="宋体" w:hAnsi="宋体" w:cs="宋体"/>
                <w:szCs w:val="21"/>
              </w:rPr>
              <w:t>低脉冲高压双柱塞泵，泵所有部件含泵外壳、单向阀外壳、单向阀阀芯、管路等均需</w:t>
            </w:r>
            <w:r>
              <w:rPr>
                <w:rFonts w:ascii="宋体" w:hAnsi="宋体" w:cs="宋体"/>
                <w:szCs w:val="21"/>
              </w:rPr>
              <w:t>PEEK</w:t>
            </w:r>
            <w:r>
              <w:rPr>
                <w:rFonts w:hint="eastAsia" w:ascii="宋体" w:hAnsi="宋体" w:cs="宋体"/>
                <w:szCs w:val="21"/>
              </w:rPr>
              <w:t>非金属材质，适合于</w:t>
            </w:r>
            <w:r>
              <w:rPr>
                <w:rFonts w:ascii="宋体" w:hAnsi="宋体" w:cs="宋体"/>
                <w:szCs w:val="21"/>
              </w:rPr>
              <w:t>pH</w:t>
            </w:r>
            <w:r>
              <w:rPr>
                <w:rFonts w:hint="eastAsia" w:ascii="宋体" w:hAnsi="宋体" w:cs="宋体"/>
                <w:szCs w:val="21"/>
              </w:rPr>
              <w:t>为</w:t>
            </w:r>
            <w:r>
              <w:rPr>
                <w:rFonts w:ascii="宋体" w:hAnsi="宋体" w:cs="宋体"/>
                <w:szCs w:val="21"/>
              </w:rPr>
              <w:t>0</w:t>
            </w:r>
            <w:r>
              <w:rPr>
                <w:rFonts w:hint="eastAsia" w:ascii="宋体" w:hAnsi="宋体" w:cs="宋体"/>
                <w:szCs w:val="21"/>
              </w:rPr>
              <w:t>～</w:t>
            </w:r>
            <w:r>
              <w:rPr>
                <w:rFonts w:ascii="宋体" w:hAnsi="宋体" w:cs="宋体"/>
                <w:szCs w:val="21"/>
              </w:rPr>
              <w:t>14</w:t>
            </w:r>
            <w:r>
              <w:rPr>
                <w:rFonts w:hint="eastAsia" w:ascii="宋体" w:hAnsi="宋体" w:cs="宋体"/>
                <w:szCs w:val="21"/>
              </w:rPr>
              <w:t>的淋洗液及反相有机溶剂（需提供证明材料）。</w:t>
            </w:r>
          </w:p>
          <w:p>
            <w:pPr>
              <w:pStyle w:val="18"/>
              <w:ind w:left="440"/>
              <w:rPr>
                <w:rFonts w:ascii="宋体" w:hAnsi="宋体" w:cs="宋体"/>
                <w:szCs w:val="21"/>
              </w:rPr>
            </w:pPr>
            <w:r>
              <w:rPr>
                <w:rFonts w:hint="eastAsia" w:ascii="宋体" w:hAnsi="宋体" w:cs="宋体"/>
                <w:szCs w:val="21"/>
              </w:rPr>
              <w:t>3.1.5.5 气体选择透过性膜技术；</w:t>
            </w:r>
          </w:p>
          <w:p>
            <w:pPr>
              <w:pStyle w:val="18"/>
              <w:ind w:left="440"/>
            </w:pPr>
            <w:r>
              <w:rPr>
                <w:rFonts w:hint="eastAsia" w:ascii="宋体" w:hAnsi="宋体" w:cs="宋体"/>
                <w:szCs w:val="21"/>
              </w:rPr>
              <w:t>3.1.5.6 对SO2吸收效率(浓度≤0.5ppm) ≥ 99.7%（需提供加盖制造商公章的技术说明文件或测试报告）；</w:t>
            </w:r>
          </w:p>
          <w:p>
            <w:pPr>
              <w:pStyle w:val="18"/>
              <w:ind w:left="440"/>
              <w:rPr>
                <w:rFonts w:ascii="宋体" w:hAnsi="宋体" w:cs="宋体"/>
                <w:szCs w:val="21"/>
              </w:rPr>
            </w:pPr>
            <w:r>
              <w:rPr>
                <w:rFonts w:hint="eastAsia" w:ascii="宋体" w:hAnsi="宋体" w:cs="宋体"/>
                <w:szCs w:val="21"/>
              </w:rPr>
              <w:t>3.1.5.7 气体吸收液产生量≤10ml/h；</w:t>
            </w:r>
          </w:p>
          <w:p>
            <w:pPr>
              <w:pStyle w:val="18"/>
              <w:ind w:left="440"/>
              <w:rPr>
                <w:rFonts w:ascii="宋体" w:hAnsi="宋体" w:cs="宋体"/>
                <w:szCs w:val="21"/>
              </w:rPr>
            </w:pPr>
            <w:r>
              <w:rPr>
                <w:rFonts w:hint="eastAsia" w:ascii="宋体" w:hAnsi="宋体" w:cs="宋体"/>
                <w:szCs w:val="21"/>
              </w:rPr>
              <w:t>3.1.6 颗粒物采集技术：</w:t>
            </w:r>
          </w:p>
          <w:p>
            <w:pPr>
              <w:pStyle w:val="18"/>
              <w:ind w:left="440"/>
              <w:rPr>
                <w:rFonts w:ascii="宋体" w:hAnsi="宋体" w:cs="宋体"/>
                <w:szCs w:val="21"/>
              </w:rPr>
            </w:pPr>
            <w:r>
              <w:rPr>
                <w:rFonts w:hint="eastAsia" w:ascii="宋体" w:hAnsi="宋体" w:cs="宋体"/>
                <w:szCs w:val="21"/>
              </w:rPr>
              <w:t>3.1.6.1 过饱和水蒸气喷射气溶胶采集技术，颗粒物捕集效率≥99%；</w:t>
            </w:r>
          </w:p>
          <w:p>
            <w:pPr>
              <w:pStyle w:val="18"/>
              <w:ind w:left="440"/>
              <w:rPr>
                <w:rFonts w:ascii="宋体" w:hAnsi="宋体" w:cs="宋体"/>
                <w:szCs w:val="21"/>
              </w:rPr>
            </w:pPr>
            <w:r>
              <w:rPr>
                <w:rFonts w:hint="eastAsia" w:ascii="宋体" w:hAnsi="宋体" w:cs="宋体"/>
                <w:szCs w:val="21"/>
              </w:rPr>
              <w:t>3.1.6.2 过饱和水蒸气由超纯水加热产生，不得采用双氧水或其他试剂水；</w:t>
            </w:r>
          </w:p>
          <w:p>
            <w:pPr>
              <w:pStyle w:val="18"/>
              <w:ind w:left="440"/>
              <w:rPr>
                <w:rFonts w:ascii="宋体" w:hAnsi="宋体" w:cs="宋体"/>
                <w:szCs w:val="21"/>
              </w:rPr>
            </w:pPr>
            <w:r>
              <w:rPr>
                <w:rFonts w:hint="eastAsia" w:ascii="宋体" w:hAnsi="宋体" w:cs="宋体"/>
                <w:szCs w:val="21"/>
              </w:rPr>
              <w:t>3.1.6.3 超纯水源由精密注射泵恒定流速供给；</w:t>
            </w:r>
          </w:p>
          <w:p>
            <w:pPr>
              <w:pStyle w:val="18"/>
              <w:ind w:left="440"/>
              <w:rPr>
                <w:rFonts w:ascii="宋体" w:hAnsi="宋体" w:cs="宋体"/>
                <w:szCs w:val="21"/>
              </w:rPr>
            </w:pPr>
            <w:r>
              <w:rPr>
                <w:rFonts w:hint="eastAsia" w:ascii="宋体" w:hAnsi="宋体" w:cs="宋体"/>
                <w:szCs w:val="21"/>
              </w:rPr>
              <w:t>3.1.6.4 颗粒物吸收液产生量≤10 mL/h</w:t>
            </w:r>
          </w:p>
          <w:p>
            <w:pPr>
              <w:pStyle w:val="18"/>
              <w:ind w:left="440"/>
              <w:rPr>
                <w:rFonts w:ascii="宋体" w:hAnsi="宋体" w:cs="宋体"/>
                <w:szCs w:val="21"/>
              </w:rPr>
            </w:pPr>
            <w:r>
              <w:rPr>
                <w:rFonts w:hint="eastAsia" w:ascii="宋体" w:hAnsi="宋体" w:cs="宋体"/>
                <w:szCs w:val="21"/>
              </w:rPr>
              <w:t>3.1.7 最低检测限：0.005 μg/m3  (采样60 min，以颗粒物中NO3-计)。</w:t>
            </w:r>
          </w:p>
          <w:p>
            <w:pPr>
              <w:pStyle w:val="18"/>
              <w:ind w:left="440"/>
              <w:rPr>
                <w:rFonts w:ascii="宋体" w:hAnsi="宋体" w:cs="宋体"/>
                <w:szCs w:val="21"/>
              </w:rPr>
            </w:pPr>
            <w:r>
              <w:rPr>
                <w:rFonts w:hint="eastAsia" w:ascii="宋体" w:hAnsi="宋体" w:cs="宋体"/>
                <w:szCs w:val="21"/>
              </w:rPr>
              <w:t>3.1.8 数据校准方式：外标校准或内标校准，用户可自行选择。</w:t>
            </w:r>
          </w:p>
          <w:p>
            <w:pPr>
              <w:pStyle w:val="18"/>
              <w:ind w:left="440"/>
              <w:rPr>
                <w:rFonts w:ascii="宋体" w:hAnsi="宋体" w:cs="宋体"/>
                <w:szCs w:val="21"/>
              </w:rPr>
            </w:pPr>
            <w:r>
              <w:rPr>
                <w:rFonts w:hint="eastAsia" w:ascii="宋体" w:hAnsi="宋体" w:cs="宋体"/>
                <w:szCs w:val="21"/>
              </w:rPr>
              <w:t>3.2 仪器工作环境</w:t>
            </w:r>
          </w:p>
          <w:p>
            <w:pPr>
              <w:pStyle w:val="18"/>
              <w:ind w:left="440"/>
              <w:rPr>
                <w:rFonts w:ascii="宋体" w:hAnsi="宋体" w:cs="宋体"/>
                <w:szCs w:val="21"/>
              </w:rPr>
            </w:pPr>
            <w:r>
              <w:rPr>
                <w:rFonts w:hint="eastAsia" w:ascii="宋体" w:hAnsi="宋体" w:cs="宋体"/>
                <w:szCs w:val="21"/>
              </w:rPr>
              <w:t>3.2.1 电源：220VAC， 50-60Hz， 20Amps。</w:t>
            </w:r>
          </w:p>
          <w:p>
            <w:pPr>
              <w:pStyle w:val="18"/>
              <w:ind w:left="440"/>
              <w:rPr>
                <w:rFonts w:ascii="宋体" w:hAnsi="宋体" w:cs="宋体"/>
                <w:szCs w:val="21"/>
              </w:rPr>
            </w:pPr>
            <w:r>
              <w:rPr>
                <w:rFonts w:hint="eastAsia" w:ascii="宋体" w:hAnsi="宋体" w:cs="宋体"/>
                <w:szCs w:val="21"/>
              </w:rPr>
              <w:t>3.2.2 工作温度：25+/-5℃。</w:t>
            </w:r>
          </w:p>
          <w:p>
            <w:pPr>
              <w:pStyle w:val="18"/>
              <w:ind w:left="440"/>
              <w:rPr>
                <w:rFonts w:ascii="宋体" w:hAnsi="宋体" w:cs="宋体"/>
                <w:szCs w:val="21"/>
              </w:rPr>
            </w:pPr>
            <w:r>
              <w:rPr>
                <w:rFonts w:hint="eastAsia" w:ascii="宋体" w:hAnsi="宋体" w:cs="宋体"/>
                <w:szCs w:val="21"/>
              </w:rPr>
              <w:t>3.2.3 室外环境温度-30~45℃。</w:t>
            </w:r>
          </w:p>
          <w:p>
            <w:pPr>
              <w:pStyle w:val="18"/>
              <w:ind w:left="440"/>
              <w:rPr>
                <w:rFonts w:ascii="宋体" w:hAnsi="宋体" w:cs="宋体"/>
                <w:szCs w:val="21"/>
              </w:rPr>
            </w:pPr>
            <w:r>
              <w:rPr>
                <w:rFonts w:hint="eastAsia" w:ascii="宋体" w:hAnsi="宋体" w:cs="宋体"/>
                <w:szCs w:val="21"/>
              </w:rPr>
              <w:t>3.2.4 环境湿度：0-100%。</w:t>
            </w:r>
          </w:p>
          <w:p>
            <w:pPr>
              <w:pStyle w:val="18"/>
              <w:ind w:left="440"/>
              <w:rPr>
                <w:rFonts w:ascii="宋体" w:hAnsi="宋体" w:cs="宋体"/>
                <w:szCs w:val="21"/>
              </w:rPr>
            </w:pPr>
            <w:r>
              <w:rPr>
                <w:rFonts w:hint="eastAsia" w:ascii="宋体" w:hAnsi="宋体" w:cs="宋体"/>
                <w:szCs w:val="21"/>
              </w:rPr>
              <w:t>二、离子色谱部分</w:t>
            </w:r>
          </w:p>
          <w:p>
            <w:pPr>
              <w:pStyle w:val="18"/>
              <w:ind w:left="440"/>
              <w:rPr>
                <w:rFonts w:ascii="宋体" w:hAnsi="宋体" w:cs="宋体"/>
                <w:szCs w:val="21"/>
              </w:rPr>
            </w:pPr>
            <w:r>
              <w:rPr>
                <w:rFonts w:hint="eastAsia" w:ascii="宋体" w:hAnsi="宋体" w:cs="宋体"/>
                <w:szCs w:val="21"/>
              </w:rPr>
              <w:t>1 数量：2台</w:t>
            </w:r>
          </w:p>
          <w:p>
            <w:pPr>
              <w:pStyle w:val="18"/>
              <w:ind w:left="440"/>
              <w:rPr>
                <w:rFonts w:ascii="宋体" w:hAnsi="宋体" w:cs="宋体"/>
                <w:szCs w:val="21"/>
              </w:rPr>
            </w:pPr>
            <w:r>
              <w:rPr>
                <w:rFonts w:hint="eastAsia" w:ascii="宋体" w:hAnsi="宋体" w:cs="宋体"/>
                <w:szCs w:val="21"/>
              </w:rPr>
              <w:t>2 应用范围：适用于气体中NH3、HNO2、HNO3、HCl、SO2等，气溶胶中F-、Cl-、NO2-、NO3-、PO43-、SO42-、Li+、NH4+、Na+、K+、Ca2+、Mg2+、有机酸及有机胺等组分的分离分析。</w:t>
            </w:r>
          </w:p>
          <w:p>
            <w:pPr>
              <w:pStyle w:val="18"/>
              <w:ind w:left="440"/>
              <w:rPr>
                <w:rFonts w:ascii="宋体" w:hAnsi="宋体" w:cs="宋体"/>
                <w:szCs w:val="21"/>
              </w:rPr>
            </w:pPr>
            <w:r>
              <w:rPr>
                <w:rFonts w:hint="eastAsia" w:ascii="宋体" w:hAnsi="宋体" w:cs="宋体"/>
                <w:szCs w:val="21"/>
              </w:rPr>
              <w:t>3 技术要求</w:t>
            </w:r>
          </w:p>
          <w:p>
            <w:pPr>
              <w:pStyle w:val="18"/>
              <w:ind w:left="440"/>
              <w:rPr>
                <w:rFonts w:ascii="宋体" w:hAnsi="宋体" w:cs="宋体"/>
                <w:szCs w:val="21"/>
              </w:rPr>
            </w:pPr>
            <w:r>
              <w:rPr>
                <w:rFonts w:hint="eastAsia" w:ascii="宋体" w:hAnsi="宋体" w:cs="宋体"/>
                <w:szCs w:val="21"/>
              </w:rPr>
              <w:t>3.1 离子色谱系统，包括高压PEEK泵，内置电动六通阀，保护柱，分析柱，阴阳离子抑制器和电导检测器，整个系统兼容拧自紧式接头及管线。 标配漏液传感器，实时监控泵、色谱柱、六通阀、电导检测器及管路的连接状态。</w:t>
            </w:r>
          </w:p>
          <w:p>
            <w:pPr>
              <w:pStyle w:val="18"/>
              <w:ind w:left="440"/>
              <w:rPr>
                <w:rFonts w:ascii="宋体" w:hAnsi="宋体" w:cs="宋体"/>
                <w:szCs w:val="21"/>
              </w:rPr>
            </w:pPr>
            <w:r>
              <w:rPr>
                <w:rFonts w:hint="eastAsia" w:ascii="宋体" w:hAnsi="宋体" w:cs="宋体"/>
                <w:szCs w:val="21"/>
              </w:rPr>
              <w:t>3.1.1 主机内部预留额外的阀位，适用于大气中常量阴、阳离子和微量有机酸、有机胺的不同进样体积的自动切换。需提供加盖仪器制造商公章的技术证明材料或仪器制造商官方网站可供下载的相关证明文件截图。</w:t>
            </w:r>
          </w:p>
          <w:p>
            <w:pPr>
              <w:pStyle w:val="18"/>
              <w:ind w:left="440"/>
              <w:rPr>
                <w:rFonts w:ascii="宋体" w:hAnsi="宋体" w:cs="宋体"/>
                <w:szCs w:val="21"/>
              </w:rPr>
            </w:pPr>
            <w:r>
              <w:rPr>
                <w:rFonts w:hint="eastAsia" w:ascii="宋体" w:hAnsi="宋体" w:cs="宋体"/>
                <w:szCs w:val="21"/>
              </w:rPr>
              <w:t>3.1.2主机内置数字式气压调节器，提高输气精度，且软件可记录。</w:t>
            </w:r>
          </w:p>
          <w:p>
            <w:pPr>
              <w:pStyle w:val="18"/>
              <w:ind w:left="440"/>
              <w:rPr>
                <w:rFonts w:ascii="宋体" w:hAnsi="宋体" w:cs="宋体"/>
                <w:szCs w:val="21"/>
              </w:rPr>
            </w:pPr>
            <w:r>
              <w:rPr>
                <w:rFonts w:hint="eastAsia" w:ascii="宋体" w:hAnsi="宋体" w:cs="宋体"/>
                <w:szCs w:val="21"/>
              </w:rPr>
              <w:t>3.1.3兼容手拧自紧式接头及管线。</w:t>
            </w:r>
          </w:p>
          <w:p>
            <w:pPr>
              <w:pStyle w:val="18"/>
              <w:ind w:left="440"/>
              <w:rPr>
                <w:rFonts w:ascii="宋体" w:hAnsi="宋体" w:cs="宋体"/>
                <w:szCs w:val="21"/>
              </w:rPr>
            </w:pPr>
            <w:r>
              <w:rPr>
                <w:rFonts w:hint="eastAsia" w:ascii="宋体" w:hAnsi="宋体" w:cs="宋体"/>
                <w:szCs w:val="21"/>
              </w:rPr>
              <w:t>3.1.4 淋洗液监视器：根据淋洗液使用情况，自动实时发出红色警报。</w:t>
            </w:r>
          </w:p>
          <w:p>
            <w:pPr>
              <w:pStyle w:val="18"/>
              <w:ind w:left="440"/>
              <w:rPr>
                <w:rFonts w:ascii="宋体" w:hAnsi="宋体" w:cs="宋体"/>
                <w:szCs w:val="21"/>
              </w:rPr>
            </w:pPr>
            <w:r>
              <w:rPr>
                <w:rFonts w:ascii="宋体" w:hAnsi="宋体" w:cs="宋体"/>
                <w:szCs w:val="21"/>
              </w:rPr>
              <w:t xml:space="preserve">3.1.5 </w:t>
            </w:r>
            <w:r>
              <w:rPr>
                <w:rFonts w:hint="eastAsia" w:ascii="宋体" w:hAnsi="宋体" w:cs="宋体"/>
                <w:szCs w:val="21"/>
              </w:rPr>
              <w:t>质保期内每</w:t>
            </w:r>
            <w:r>
              <w:rPr>
                <w:rFonts w:ascii="宋体" w:hAnsi="宋体" w:cs="宋体"/>
                <w:szCs w:val="21"/>
              </w:rPr>
              <w:t>6个月提供</w:t>
            </w:r>
            <w:r>
              <w:rPr>
                <w:rFonts w:hint="eastAsia" w:ascii="宋体" w:hAnsi="宋体" w:cs="宋体"/>
                <w:szCs w:val="21"/>
              </w:rPr>
              <w:t>一套阴阳离子分析柱、保护柱，其余备件按需提供。</w:t>
            </w:r>
          </w:p>
          <w:p>
            <w:pPr>
              <w:pStyle w:val="18"/>
              <w:ind w:left="440"/>
              <w:rPr>
                <w:rFonts w:ascii="宋体" w:hAnsi="宋体" w:cs="宋体"/>
                <w:szCs w:val="21"/>
              </w:rPr>
            </w:pPr>
            <w:r>
              <w:rPr>
                <w:rFonts w:hint="eastAsia" w:ascii="宋体" w:hAnsi="宋体" w:cs="宋体"/>
                <w:szCs w:val="21"/>
              </w:rPr>
              <w:t>3.2 泵</w:t>
            </w:r>
          </w:p>
          <w:p>
            <w:pPr>
              <w:pStyle w:val="18"/>
              <w:ind w:left="440"/>
              <w:rPr>
                <w:rFonts w:ascii="宋体" w:hAnsi="宋体" w:cs="宋体"/>
                <w:szCs w:val="21"/>
              </w:rPr>
            </w:pPr>
            <w:r>
              <w:rPr>
                <w:rFonts w:hint="eastAsia" w:ascii="宋体" w:hAnsi="宋体" w:cs="宋体"/>
                <w:szCs w:val="21"/>
              </w:rPr>
              <w:t>3.2.1 流速范围：0.00-5.00 mL/min</w:t>
            </w:r>
          </w:p>
          <w:p>
            <w:pPr>
              <w:pStyle w:val="18"/>
              <w:ind w:left="440"/>
              <w:rPr>
                <w:rFonts w:ascii="宋体" w:hAnsi="宋体" w:cs="宋体"/>
                <w:szCs w:val="21"/>
              </w:rPr>
            </w:pPr>
            <w:r>
              <w:rPr>
                <w:rFonts w:hint="eastAsia" w:ascii="宋体" w:hAnsi="宋体" w:cs="宋体"/>
                <w:szCs w:val="21"/>
              </w:rPr>
              <w:t>3.2.2 最大耐压：≥35MPa（5000psi）</w:t>
            </w:r>
          </w:p>
          <w:p>
            <w:pPr>
              <w:pStyle w:val="18"/>
              <w:ind w:left="440"/>
              <w:rPr>
                <w:rFonts w:ascii="宋体" w:hAnsi="宋体" w:cs="宋体"/>
                <w:szCs w:val="21"/>
              </w:rPr>
            </w:pPr>
            <w:r>
              <w:rPr>
                <w:rFonts w:hint="eastAsia" w:ascii="宋体" w:hAnsi="宋体" w:cs="宋体"/>
                <w:szCs w:val="21"/>
              </w:rPr>
              <w:t>3.2.3 压力脉冲：&lt;1.0%</w:t>
            </w:r>
          </w:p>
          <w:p>
            <w:pPr>
              <w:pStyle w:val="18"/>
              <w:ind w:left="440"/>
              <w:rPr>
                <w:rFonts w:ascii="宋体" w:hAnsi="宋体" w:cs="宋体"/>
                <w:szCs w:val="21"/>
              </w:rPr>
            </w:pPr>
            <w:r>
              <w:rPr>
                <w:rFonts w:hint="eastAsia" w:ascii="宋体" w:hAnsi="宋体" w:cs="宋体"/>
                <w:szCs w:val="21"/>
              </w:rPr>
              <w:t>3.2.4 标配泵前真空脱气。</w:t>
            </w:r>
          </w:p>
          <w:p>
            <w:pPr>
              <w:pStyle w:val="18"/>
              <w:ind w:left="440"/>
              <w:rPr>
                <w:rFonts w:ascii="宋体" w:hAnsi="宋体" w:cs="宋体"/>
                <w:szCs w:val="21"/>
              </w:rPr>
            </w:pPr>
            <w:r>
              <w:rPr>
                <w:rFonts w:hint="eastAsia" w:ascii="宋体" w:hAnsi="宋体" w:cs="宋体"/>
                <w:szCs w:val="21"/>
              </w:rPr>
              <w:t>3.2.5 流量设定值误差：&lt;0.1%。</w:t>
            </w:r>
          </w:p>
          <w:p>
            <w:pPr>
              <w:pStyle w:val="18"/>
              <w:ind w:left="440"/>
              <w:rPr>
                <w:rFonts w:ascii="宋体" w:hAnsi="宋体" w:cs="宋体"/>
                <w:szCs w:val="21"/>
              </w:rPr>
            </w:pPr>
            <w:r>
              <w:rPr>
                <w:rFonts w:hint="eastAsia" w:ascii="宋体" w:hAnsi="宋体" w:cs="宋体"/>
                <w:szCs w:val="21"/>
              </w:rPr>
              <w:t>3.2.6 流量稳定性：&lt;0.1%。</w:t>
            </w:r>
          </w:p>
          <w:p>
            <w:pPr>
              <w:pStyle w:val="18"/>
              <w:ind w:left="440"/>
              <w:rPr>
                <w:rFonts w:ascii="宋体" w:hAnsi="宋体" w:cs="宋体"/>
                <w:szCs w:val="21"/>
              </w:rPr>
            </w:pPr>
            <w:r>
              <w:rPr>
                <w:rFonts w:hint="eastAsia" w:ascii="宋体" w:hAnsi="宋体" w:cs="宋体"/>
                <w:szCs w:val="21"/>
              </w:rPr>
              <w:t>3.2.7 淋洗液选择阀，用于长期使用中对仪器的定时无人值守自动清洗。需提供加盖仪器制造商公章的技术证明材料或仪器制造商官方网站可供下载的相关证明文件截图。。</w:t>
            </w:r>
          </w:p>
          <w:p>
            <w:pPr>
              <w:pStyle w:val="18"/>
              <w:ind w:left="440"/>
              <w:rPr>
                <w:rFonts w:ascii="宋体" w:hAnsi="宋体" w:cs="宋体"/>
                <w:szCs w:val="21"/>
              </w:rPr>
            </w:pPr>
            <w:r>
              <w:rPr>
                <w:rFonts w:hint="eastAsia" w:ascii="宋体" w:hAnsi="宋体" w:cs="宋体"/>
                <w:szCs w:val="21"/>
              </w:rPr>
              <w:t>3.2.8 配密封圈清洗：独立的在线密封圈清洗室，减少长期连续不间断使用中密封圈的磨损，减少运行故障，延长泵的维护周期。或采用在线电解淋洗液发生器，在线高压电解产生淋洗液，避免配制的碱或盐淋洗液流经泵头密封圈，减少运行故障，延长泵的维护周期。</w:t>
            </w:r>
          </w:p>
          <w:p>
            <w:pPr>
              <w:pStyle w:val="18"/>
              <w:ind w:left="440"/>
              <w:rPr>
                <w:rFonts w:ascii="宋体" w:hAnsi="宋体" w:cs="宋体"/>
                <w:szCs w:val="21"/>
              </w:rPr>
            </w:pPr>
            <w:r>
              <w:rPr>
                <w:rFonts w:hint="eastAsia" w:ascii="宋体" w:hAnsi="宋体" w:cs="宋体"/>
                <w:szCs w:val="21"/>
              </w:rPr>
              <w:t>3.3 色谱分析柱</w:t>
            </w:r>
          </w:p>
          <w:p>
            <w:pPr>
              <w:pStyle w:val="18"/>
              <w:ind w:left="440"/>
              <w:rPr>
                <w:rFonts w:ascii="宋体" w:hAnsi="宋体" w:cs="宋体"/>
                <w:szCs w:val="21"/>
              </w:rPr>
            </w:pPr>
            <w:r>
              <w:rPr>
                <w:rFonts w:hint="eastAsia" w:ascii="宋体" w:hAnsi="宋体" w:cs="宋体"/>
                <w:szCs w:val="21"/>
              </w:rPr>
              <w:t>3.3.1与主机同品牌的高效高容量阴离子分离柱及保护柱 1套，塑料非金属外壳。以下参数均需提供加盖仪器制造商公章的技术证明材料或仪器制造商官方网站可供下载的相关证明文件截图。</w:t>
            </w:r>
          </w:p>
          <w:p>
            <w:pPr>
              <w:pStyle w:val="18"/>
              <w:ind w:left="440"/>
              <w:rPr>
                <w:rFonts w:ascii="宋体" w:hAnsi="宋体" w:cs="宋体"/>
                <w:szCs w:val="21"/>
              </w:rPr>
            </w:pPr>
            <w:r>
              <w:rPr>
                <w:rFonts w:hint="eastAsia" w:ascii="宋体" w:hAnsi="宋体" w:cs="宋体"/>
                <w:szCs w:val="21"/>
              </w:rPr>
              <w:t>3.3.1.1乙基乙烯基苯/二乙烯基苯聚合物填料，键和烷醇季铵基官能团。</w:t>
            </w:r>
          </w:p>
          <w:p>
            <w:pPr>
              <w:pStyle w:val="18"/>
              <w:ind w:left="440"/>
              <w:rPr>
                <w:rFonts w:ascii="宋体" w:hAnsi="宋体" w:cs="宋体"/>
                <w:szCs w:val="21"/>
              </w:rPr>
            </w:pPr>
            <w:r>
              <w:rPr>
                <w:rFonts w:hint="eastAsia" w:ascii="宋体" w:hAnsi="宋体" w:cs="宋体"/>
                <w:szCs w:val="21"/>
              </w:rPr>
              <w:t>3.3.1.2 兼容氢氧根淋洗液梯度洗脱。</w:t>
            </w:r>
          </w:p>
          <w:p>
            <w:pPr>
              <w:pStyle w:val="18"/>
              <w:ind w:left="440"/>
              <w:rPr>
                <w:rFonts w:ascii="宋体" w:hAnsi="宋体" w:cs="宋体"/>
                <w:szCs w:val="21"/>
              </w:rPr>
            </w:pPr>
            <w:r>
              <w:rPr>
                <w:rFonts w:hint="eastAsia" w:ascii="宋体" w:hAnsi="宋体" w:cs="宋体"/>
                <w:szCs w:val="21"/>
              </w:rPr>
              <w:t>3.3.1.3耐受0-14的pH工作范围。</w:t>
            </w:r>
          </w:p>
          <w:p>
            <w:pPr>
              <w:pStyle w:val="18"/>
              <w:ind w:left="440"/>
              <w:rPr>
                <w:rFonts w:ascii="宋体" w:hAnsi="宋体" w:cs="宋体"/>
                <w:szCs w:val="21"/>
              </w:rPr>
            </w:pPr>
            <w:r>
              <w:rPr>
                <w:rFonts w:hint="eastAsia" w:ascii="宋体" w:hAnsi="宋体" w:cs="宋体"/>
                <w:szCs w:val="21"/>
              </w:rPr>
              <w:t>3.3.1.4最大耐压不小于3000psi。</w:t>
            </w:r>
          </w:p>
          <w:p>
            <w:pPr>
              <w:pStyle w:val="18"/>
              <w:ind w:left="440"/>
              <w:rPr>
                <w:rFonts w:ascii="宋体" w:hAnsi="宋体" w:cs="宋体"/>
                <w:szCs w:val="21"/>
              </w:rPr>
            </w:pPr>
            <w:r>
              <w:rPr>
                <w:rFonts w:hint="eastAsia" w:ascii="宋体" w:hAnsi="宋体" w:cs="宋体"/>
                <w:szCs w:val="21"/>
              </w:rPr>
              <w:t>3.3.1.5耐受1.5mL/min及以上的流速。</w:t>
            </w:r>
          </w:p>
          <w:p>
            <w:pPr>
              <w:pStyle w:val="18"/>
              <w:ind w:left="440"/>
              <w:rPr>
                <w:rFonts w:ascii="宋体" w:hAnsi="宋体" w:cs="宋体"/>
                <w:szCs w:val="21"/>
              </w:rPr>
            </w:pPr>
            <w:r>
              <w:rPr>
                <w:rFonts w:hint="eastAsia" w:ascii="宋体" w:hAnsi="宋体" w:cs="宋体"/>
                <w:szCs w:val="21"/>
              </w:rPr>
              <w:t xml:space="preserve">3.3.1.6柱容量不小于200μeq/根。 </w:t>
            </w:r>
          </w:p>
          <w:p>
            <w:pPr>
              <w:pStyle w:val="18"/>
              <w:ind w:left="440"/>
              <w:rPr>
                <w:rFonts w:ascii="宋体" w:hAnsi="宋体" w:cs="宋体"/>
                <w:szCs w:val="21"/>
              </w:rPr>
            </w:pPr>
            <w:r>
              <w:rPr>
                <w:rFonts w:hint="eastAsia" w:ascii="宋体" w:hAnsi="宋体" w:cs="宋体"/>
                <w:szCs w:val="21"/>
              </w:rPr>
              <w:t>3.3.1.7 耐受0-14的pH工作范围，且最大耐压不小于3000psi，且耐受2.0mL/min及以上的流速，并且柱容量不小于200μeq/根。</w:t>
            </w:r>
          </w:p>
          <w:p>
            <w:pPr>
              <w:pStyle w:val="18"/>
              <w:ind w:left="440"/>
              <w:rPr>
                <w:rFonts w:ascii="宋体" w:hAnsi="宋体" w:cs="宋体"/>
                <w:szCs w:val="21"/>
              </w:rPr>
            </w:pPr>
            <w:r>
              <w:rPr>
                <w:rFonts w:hint="eastAsia" w:ascii="宋体" w:hAnsi="宋体" w:cs="宋体"/>
                <w:szCs w:val="21"/>
              </w:rPr>
              <w:t>3.3.1.8 Cl-：NO2-的分离能力可达到10000:1，适用于盐酸雾环境中高氯背景下的阴离子检测分析。</w:t>
            </w:r>
          </w:p>
          <w:p>
            <w:pPr>
              <w:pStyle w:val="18"/>
              <w:ind w:left="440"/>
              <w:rPr>
                <w:rFonts w:ascii="宋体" w:hAnsi="宋体" w:cs="宋体"/>
                <w:szCs w:val="21"/>
              </w:rPr>
            </w:pPr>
            <w:r>
              <w:rPr>
                <w:rFonts w:hint="eastAsia" w:ascii="宋体" w:hAnsi="宋体" w:cs="宋体"/>
                <w:szCs w:val="21"/>
              </w:rPr>
              <w:t>3.3.2高效高容量阳离子分离柱及保护柱 1套，塑料非金属外壳。以下参数均需提供加盖仪器制造商公章的技术证明材料或仪器制造商官方网站可供下载的相关证明文件截图。。</w:t>
            </w:r>
          </w:p>
          <w:p>
            <w:pPr>
              <w:pStyle w:val="18"/>
              <w:ind w:left="440"/>
              <w:rPr>
                <w:rFonts w:ascii="宋体" w:hAnsi="宋体" w:cs="宋体"/>
                <w:szCs w:val="21"/>
              </w:rPr>
            </w:pPr>
            <w:r>
              <w:rPr>
                <w:rFonts w:hint="eastAsia" w:ascii="宋体" w:hAnsi="宋体" w:cs="宋体"/>
                <w:szCs w:val="21"/>
              </w:rPr>
              <w:t>3.3.2.1乙基乙烯基苯/二乙烯基苯聚合物填料，键和羧酸基或磷酸基官能团。</w:t>
            </w:r>
          </w:p>
          <w:p>
            <w:pPr>
              <w:pStyle w:val="18"/>
              <w:ind w:left="440"/>
              <w:rPr>
                <w:rFonts w:ascii="宋体" w:hAnsi="宋体" w:cs="宋体"/>
                <w:szCs w:val="21"/>
              </w:rPr>
            </w:pPr>
            <w:r>
              <w:rPr>
                <w:rFonts w:hint="eastAsia" w:ascii="宋体" w:hAnsi="宋体" w:cs="宋体"/>
                <w:szCs w:val="21"/>
              </w:rPr>
              <w:t>3.3.2.2兼容甲基磺酸淋洗液梯度洗脱。</w:t>
            </w:r>
          </w:p>
          <w:p>
            <w:pPr>
              <w:pStyle w:val="18"/>
              <w:ind w:left="440"/>
              <w:rPr>
                <w:rFonts w:ascii="宋体" w:hAnsi="宋体" w:cs="宋体"/>
                <w:szCs w:val="21"/>
              </w:rPr>
            </w:pPr>
            <w:r>
              <w:rPr>
                <w:rFonts w:hint="eastAsia" w:ascii="宋体" w:hAnsi="宋体" w:cs="宋体"/>
                <w:szCs w:val="21"/>
              </w:rPr>
              <w:t>3.3.2.3最大耐压不小于3000psi。</w:t>
            </w:r>
          </w:p>
          <w:p>
            <w:pPr>
              <w:pStyle w:val="18"/>
              <w:ind w:left="440"/>
              <w:rPr>
                <w:rFonts w:ascii="宋体" w:hAnsi="宋体" w:cs="宋体"/>
                <w:szCs w:val="21"/>
              </w:rPr>
            </w:pPr>
            <w:r>
              <w:rPr>
                <w:rFonts w:hint="eastAsia" w:ascii="宋体" w:hAnsi="宋体" w:cs="宋体"/>
                <w:szCs w:val="21"/>
              </w:rPr>
              <w:t>3.3.2.4耐受1.5 mL/min及以上的流速。</w:t>
            </w:r>
          </w:p>
          <w:p>
            <w:pPr>
              <w:pStyle w:val="18"/>
              <w:ind w:left="440"/>
              <w:rPr>
                <w:rFonts w:ascii="宋体" w:hAnsi="宋体" w:cs="宋体"/>
                <w:szCs w:val="21"/>
              </w:rPr>
            </w:pPr>
            <w:r>
              <w:rPr>
                <w:rFonts w:hint="eastAsia" w:ascii="宋体" w:hAnsi="宋体" w:cs="宋体"/>
                <w:szCs w:val="21"/>
              </w:rPr>
              <w:t>3.3.2.5柱体材料为PEEK，柱容量不小于1000μeq/根。若柱容量小于50μeq/根，需提供至少5根色谱柱以达到容量的匹配。</w:t>
            </w:r>
          </w:p>
          <w:p>
            <w:pPr>
              <w:pStyle w:val="18"/>
              <w:ind w:left="440"/>
              <w:rPr>
                <w:rFonts w:ascii="宋体" w:hAnsi="宋体" w:cs="宋体"/>
                <w:szCs w:val="21"/>
              </w:rPr>
            </w:pPr>
            <w:r>
              <w:rPr>
                <w:rFonts w:hint="eastAsia" w:ascii="宋体" w:hAnsi="宋体" w:cs="宋体"/>
                <w:szCs w:val="21"/>
              </w:rPr>
              <w:t>3.3.2.6最大耐压不小于3000psi，且耐受1.5 mL/min及以上的流速，且柱容量不小于1000μeq/根。</w:t>
            </w:r>
          </w:p>
          <w:p>
            <w:pPr>
              <w:pStyle w:val="18"/>
              <w:ind w:left="440"/>
              <w:rPr>
                <w:rFonts w:ascii="宋体" w:hAnsi="宋体" w:cs="宋体"/>
                <w:szCs w:val="21"/>
              </w:rPr>
            </w:pPr>
            <w:r>
              <w:rPr>
                <w:rFonts w:hint="eastAsia" w:ascii="宋体" w:hAnsi="宋体" w:cs="宋体"/>
                <w:szCs w:val="21"/>
              </w:rPr>
              <w:t>3.3.2.7 Na+：NH4+的分离能力可达到1：10000，适用于高氨环境中样品中阳离子的分析。</w:t>
            </w:r>
          </w:p>
          <w:p>
            <w:pPr>
              <w:pStyle w:val="18"/>
              <w:ind w:left="440"/>
              <w:rPr>
                <w:rFonts w:ascii="宋体" w:hAnsi="宋体" w:cs="宋体"/>
                <w:szCs w:val="21"/>
              </w:rPr>
            </w:pPr>
            <w:r>
              <w:rPr>
                <w:rFonts w:hint="eastAsia" w:ascii="宋体" w:hAnsi="宋体" w:cs="宋体"/>
                <w:szCs w:val="21"/>
              </w:rPr>
              <w:t>3.4 柱温箱</w:t>
            </w:r>
          </w:p>
          <w:p>
            <w:pPr>
              <w:pStyle w:val="18"/>
              <w:ind w:left="440"/>
              <w:rPr>
                <w:rFonts w:ascii="宋体" w:hAnsi="宋体" w:cs="宋体"/>
                <w:szCs w:val="21"/>
              </w:rPr>
            </w:pPr>
            <w:r>
              <w:rPr>
                <w:rFonts w:hint="eastAsia" w:ascii="宋体" w:hAnsi="宋体" w:cs="宋体"/>
                <w:szCs w:val="21"/>
              </w:rPr>
              <w:t>3.4.1 设置范围：10℃ - 60℃。（最低为环境+5℃）</w:t>
            </w:r>
          </w:p>
          <w:p>
            <w:pPr>
              <w:pStyle w:val="18"/>
              <w:ind w:left="440"/>
              <w:rPr>
                <w:rFonts w:ascii="宋体" w:hAnsi="宋体" w:cs="宋体"/>
                <w:szCs w:val="21"/>
              </w:rPr>
            </w:pPr>
            <w:r>
              <w:rPr>
                <w:rFonts w:hint="eastAsia" w:ascii="宋体" w:hAnsi="宋体" w:cs="宋体"/>
                <w:szCs w:val="21"/>
              </w:rPr>
              <w:t>3.4.2 种类：原装内置柱温控模块。</w:t>
            </w:r>
          </w:p>
          <w:p>
            <w:pPr>
              <w:pStyle w:val="18"/>
              <w:ind w:left="440"/>
              <w:rPr>
                <w:rFonts w:ascii="宋体" w:hAnsi="宋体" w:cs="宋体"/>
                <w:szCs w:val="21"/>
              </w:rPr>
            </w:pPr>
            <w:r>
              <w:rPr>
                <w:rFonts w:hint="eastAsia" w:ascii="宋体" w:hAnsi="宋体" w:cs="宋体"/>
                <w:szCs w:val="21"/>
              </w:rPr>
              <w:t>3.4.3 具有样品和淋洗液预加热功能。</w:t>
            </w:r>
          </w:p>
          <w:p>
            <w:pPr>
              <w:pStyle w:val="18"/>
              <w:ind w:left="440"/>
              <w:rPr>
                <w:rFonts w:ascii="宋体" w:hAnsi="宋体" w:cs="宋体"/>
                <w:szCs w:val="21"/>
              </w:rPr>
            </w:pPr>
            <w:r>
              <w:rPr>
                <w:rFonts w:hint="eastAsia" w:ascii="宋体" w:hAnsi="宋体" w:cs="宋体"/>
                <w:szCs w:val="21"/>
              </w:rPr>
              <w:t>3.5 抑制器</w:t>
            </w:r>
          </w:p>
          <w:p>
            <w:pPr>
              <w:pStyle w:val="18"/>
              <w:ind w:left="440"/>
              <w:rPr>
                <w:rFonts w:ascii="宋体" w:hAnsi="宋体" w:cs="宋体"/>
                <w:szCs w:val="21"/>
              </w:rPr>
            </w:pPr>
            <w:r>
              <w:rPr>
                <w:rFonts w:hint="eastAsia" w:ascii="宋体" w:hAnsi="宋体" w:cs="宋体"/>
                <w:szCs w:val="21"/>
              </w:rPr>
              <w:t>3.5.1 阴离子电解抑制器1 套。</w:t>
            </w:r>
          </w:p>
          <w:p>
            <w:pPr>
              <w:pStyle w:val="18"/>
              <w:ind w:left="440"/>
              <w:rPr>
                <w:rFonts w:ascii="宋体" w:hAnsi="宋体" w:cs="宋体"/>
                <w:szCs w:val="21"/>
              </w:rPr>
            </w:pPr>
            <w:r>
              <w:rPr>
                <w:rFonts w:hint="eastAsia" w:ascii="宋体" w:hAnsi="宋体" w:cs="宋体"/>
                <w:szCs w:val="21"/>
              </w:rPr>
              <w:t>3.5.1.1 抑制后淋洗液pH为中性且抑制背景总电导小于5.0μS。</w:t>
            </w:r>
          </w:p>
          <w:p>
            <w:pPr>
              <w:pStyle w:val="18"/>
              <w:ind w:left="440"/>
              <w:rPr>
                <w:rFonts w:ascii="宋体" w:hAnsi="宋体" w:cs="宋体"/>
                <w:szCs w:val="21"/>
              </w:rPr>
            </w:pPr>
            <w:r>
              <w:rPr>
                <w:rFonts w:hint="eastAsia" w:ascii="宋体" w:hAnsi="宋体" w:cs="宋体"/>
                <w:szCs w:val="21"/>
              </w:rPr>
              <w:t>3.5.1.2 自动电解连续再生微膜抑制器。</w:t>
            </w:r>
          </w:p>
          <w:p>
            <w:pPr>
              <w:pStyle w:val="18"/>
              <w:ind w:left="440"/>
              <w:rPr>
                <w:rFonts w:ascii="宋体" w:hAnsi="宋体" w:cs="宋体"/>
                <w:szCs w:val="21"/>
              </w:rPr>
            </w:pPr>
            <w:r>
              <w:rPr>
                <w:rFonts w:hint="eastAsia" w:ascii="宋体" w:hAnsi="宋体" w:cs="宋体"/>
                <w:szCs w:val="21"/>
              </w:rPr>
              <w:t>3.5.1.3 无需外加酸（包括但不限于硫酸、硝酸、盐酸、甲基磺酸等）进行化学再生。</w:t>
            </w:r>
          </w:p>
          <w:p>
            <w:pPr>
              <w:pStyle w:val="18"/>
              <w:ind w:left="440"/>
              <w:rPr>
                <w:rFonts w:ascii="宋体" w:hAnsi="宋体" w:cs="宋体"/>
                <w:szCs w:val="21"/>
              </w:rPr>
            </w:pPr>
            <w:r>
              <w:rPr>
                <w:rFonts w:hint="eastAsia" w:ascii="宋体" w:hAnsi="宋体" w:cs="宋体"/>
                <w:szCs w:val="21"/>
              </w:rPr>
              <w:t>3.5.1.4 无需使用蠕动泵或其他任何加液装置进行清洗和再生</w:t>
            </w:r>
          </w:p>
          <w:p>
            <w:pPr>
              <w:pStyle w:val="18"/>
              <w:ind w:left="440"/>
              <w:rPr>
                <w:rFonts w:ascii="宋体" w:hAnsi="宋体" w:cs="宋体"/>
                <w:szCs w:val="21"/>
              </w:rPr>
            </w:pPr>
            <w:r>
              <w:rPr>
                <w:rFonts w:hint="eastAsia" w:ascii="宋体" w:hAnsi="宋体" w:cs="宋体"/>
                <w:szCs w:val="21"/>
              </w:rPr>
              <w:t>3.5.1.5 抑制器容量 200mM氢氧化钠或氢氧化钾，1.0mL/min流速，至少持续30min。</w:t>
            </w:r>
          </w:p>
          <w:p>
            <w:pPr>
              <w:pStyle w:val="18"/>
              <w:ind w:left="440"/>
              <w:rPr>
                <w:rFonts w:ascii="宋体" w:hAnsi="宋体" w:cs="宋体"/>
                <w:szCs w:val="21"/>
              </w:rPr>
            </w:pPr>
            <w:r>
              <w:rPr>
                <w:rFonts w:hint="eastAsia" w:ascii="宋体" w:hAnsi="宋体" w:cs="宋体"/>
                <w:szCs w:val="21"/>
              </w:rPr>
              <w:t>3.5.2 阳离子电解抑制器 1 套。</w:t>
            </w:r>
          </w:p>
          <w:p>
            <w:pPr>
              <w:pStyle w:val="18"/>
              <w:ind w:left="440"/>
              <w:rPr>
                <w:rFonts w:ascii="宋体" w:hAnsi="宋体" w:cs="宋体"/>
                <w:szCs w:val="21"/>
              </w:rPr>
            </w:pPr>
            <w:r>
              <w:rPr>
                <w:rFonts w:hint="eastAsia" w:ascii="宋体" w:hAnsi="宋体" w:cs="宋体"/>
                <w:szCs w:val="21"/>
              </w:rPr>
              <w:t>3.5.2.1 抑制后淋洗液pH为中性且抑制背景总电导小于5.0μS。</w:t>
            </w:r>
          </w:p>
          <w:p>
            <w:pPr>
              <w:pStyle w:val="18"/>
              <w:ind w:left="440"/>
              <w:rPr>
                <w:rFonts w:ascii="宋体" w:hAnsi="宋体" w:cs="宋体"/>
                <w:szCs w:val="21"/>
              </w:rPr>
            </w:pPr>
            <w:r>
              <w:rPr>
                <w:rFonts w:hint="eastAsia" w:ascii="宋体" w:hAnsi="宋体" w:cs="宋体"/>
                <w:szCs w:val="21"/>
              </w:rPr>
              <w:t>3.5.2.3 自动电解连续再生微膜抑制器。</w:t>
            </w:r>
          </w:p>
          <w:p>
            <w:pPr>
              <w:pStyle w:val="18"/>
              <w:ind w:left="440"/>
              <w:rPr>
                <w:rFonts w:ascii="宋体" w:hAnsi="宋体" w:cs="宋体"/>
                <w:szCs w:val="21"/>
              </w:rPr>
            </w:pPr>
            <w:r>
              <w:rPr>
                <w:rFonts w:hint="eastAsia" w:ascii="宋体" w:hAnsi="宋体" w:cs="宋体"/>
                <w:szCs w:val="21"/>
              </w:rPr>
              <w:t>3.5.2.4 无需外加再生液（碳酸钠/碳酸氢钠）进行化学再生。</w:t>
            </w:r>
          </w:p>
          <w:p>
            <w:pPr>
              <w:pStyle w:val="18"/>
              <w:ind w:left="440"/>
              <w:rPr>
                <w:rFonts w:ascii="宋体" w:hAnsi="宋体" w:cs="宋体"/>
                <w:szCs w:val="21"/>
              </w:rPr>
            </w:pPr>
            <w:r>
              <w:rPr>
                <w:rFonts w:hint="eastAsia" w:ascii="宋体" w:hAnsi="宋体" w:cs="宋体"/>
                <w:szCs w:val="21"/>
              </w:rPr>
              <w:t>3.5.2.5 无需使用蠕动泵或其他任何加液装置进行清洗和再生</w:t>
            </w:r>
          </w:p>
          <w:p>
            <w:pPr>
              <w:pStyle w:val="18"/>
              <w:ind w:left="440"/>
              <w:rPr>
                <w:rFonts w:ascii="宋体" w:hAnsi="宋体" w:cs="宋体"/>
                <w:szCs w:val="21"/>
              </w:rPr>
            </w:pPr>
            <w:r>
              <w:rPr>
                <w:rFonts w:hint="eastAsia" w:ascii="宋体" w:hAnsi="宋体" w:cs="宋体"/>
                <w:szCs w:val="21"/>
              </w:rPr>
              <w:t>3.5.2.6 抑制器容量 100mM甲基磺酸，1.0mL/min流速，至少持续30min。</w:t>
            </w:r>
          </w:p>
          <w:p>
            <w:pPr>
              <w:pStyle w:val="18"/>
              <w:ind w:left="440"/>
              <w:rPr>
                <w:rFonts w:ascii="宋体" w:hAnsi="宋体" w:cs="宋体"/>
                <w:szCs w:val="21"/>
              </w:rPr>
            </w:pPr>
            <w:r>
              <w:rPr>
                <w:rFonts w:hint="eastAsia" w:ascii="宋体" w:hAnsi="宋体" w:cs="宋体"/>
                <w:szCs w:val="21"/>
              </w:rPr>
              <w:t>3.6 电导检测器</w:t>
            </w:r>
          </w:p>
          <w:p>
            <w:pPr>
              <w:pStyle w:val="18"/>
              <w:ind w:left="440"/>
              <w:rPr>
                <w:rFonts w:ascii="宋体" w:hAnsi="宋体" w:cs="宋体"/>
                <w:szCs w:val="21"/>
              </w:rPr>
            </w:pPr>
            <w:r>
              <w:rPr>
                <w:rFonts w:hint="eastAsia" w:ascii="宋体" w:hAnsi="宋体" w:cs="宋体"/>
                <w:szCs w:val="21"/>
              </w:rPr>
              <w:t>3.6.1 类型：数字信号控制处理器，当检测μg/L级到g/L级不同浓度的离子时，输出信号可直接数字拓展，无需调整量程，输出值应为直接的电导信号，提供具有电导输出的色谱图。</w:t>
            </w:r>
          </w:p>
          <w:p>
            <w:pPr>
              <w:pStyle w:val="18"/>
              <w:ind w:left="440"/>
              <w:rPr>
                <w:rFonts w:ascii="宋体" w:hAnsi="宋体" w:cs="宋体"/>
                <w:szCs w:val="21"/>
              </w:rPr>
            </w:pPr>
            <w:r>
              <w:rPr>
                <w:rFonts w:hint="eastAsia" w:ascii="宋体" w:hAnsi="宋体" w:cs="宋体"/>
                <w:szCs w:val="21"/>
              </w:rPr>
              <w:t>3.6.2 全程信号输出范围：0-16000 μS/cm。</w:t>
            </w:r>
          </w:p>
          <w:p>
            <w:pPr>
              <w:pStyle w:val="18"/>
              <w:ind w:left="440"/>
              <w:rPr>
                <w:rFonts w:ascii="宋体" w:hAnsi="宋体" w:cs="宋体"/>
                <w:szCs w:val="21"/>
              </w:rPr>
            </w:pPr>
            <w:r>
              <w:rPr>
                <w:rFonts w:hint="eastAsia" w:ascii="宋体" w:hAnsi="宋体" w:cs="宋体"/>
                <w:szCs w:val="21"/>
              </w:rPr>
              <w:t>3.6.3 电导池控温范围： 15℃ - 60℃。（最低为环境+7℃）。</w:t>
            </w:r>
          </w:p>
          <w:p>
            <w:pPr>
              <w:pStyle w:val="18"/>
              <w:ind w:left="440"/>
              <w:rPr>
                <w:rFonts w:ascii="宋体" w:hAnsi="宋体" w:cs="宋体"/>
                <w:szCs w:val="21"/>
              </w:rPr>
            </w:pPr>
            <w:r>
              <w:rPr>
                <w:rFonts w:hint="eastAsia" w:ascii="宋体" w:hAnsi="宋体" w:cs="宋体"/>
                <w:szCs w:val="21"/>
              </w:rPr>
              <w:t>3.6.4 电导池电极材料：钝化316不锈钢。</w:t>
            </w:r>
          </w:p>
          <w:p>
            <w:pPr>
              <w:pStyle w:val="18"/>
              <w:ind w:left="440"/>
              <w:rPr>
                <w:rFonts w:ascii="宋体" w:hAnsi="宋体" w:cs="宋体"/>
                <w:szCs w:val="21"/>
              </w:rPr>
            </w:pPr>
            <w:r>
              <w:rPr>
                <w:rFonts w:hint="eastAsia" w:ascii="宋体" w:hAnsi="宋体" w:cs="宋体"/>
                <w:szCs w:val="21"/>
              </w:rPr>
              <w:t>3.6.5 电导池体材料：化学惰性聚合材料。</w:t>
            </w:r>
          </w:p>
          <w:p>
            <w:pPr>
              <w:pStyle w:val="18"/>
              <w:ind w:left="440"/>
              <w:rPr>
                <w:rFonts w:ascii="宋体" w:hAnsi="宋体" w:cs="宋体"/>
                <w:szCs w:val="21"/>
              </w:rPr>
            </w:pPr>
            <w:r>
              <w:rPr>
                <w:rFonts w:hint="eastAsia" w:ascii="宋体" w:hAnsi="宋体" w:cs="宋体"/>
                <w:szCs w:val="21"/>
              </w:rPr>
              <w:t>3.6.6 检测器分辨率：≤0.004nS/cm。需提供加盖仪器制造商公章的技术证明材料或仪器制造商官方网站可供下载的相关证明文件截图。</w:t>
            </w:r>
          </w:p>
          <w:p>
            <w:pPr>
              <w:pStyle w:val="18"/>
              <w:ind w:left="440"/>
              <w:rPr>
                <w:rFonts w:ascii="宋体" w:hAnsi="宋体" w:cs="宋体"/>
                <w:szCs w:val="21"/>
              </w:rPr>
            </w:pPr>
            <w:r>
              <w:rPr>
                <w:rFonts w:hint="eastAsia" w:ascii="宋体" w:hAnsi="宋体" w:cs="宋体"/>
                <w:szCs w:val="21"/>
              </w:rPr>
              <w:t>3.6.7检测器耐受最大压力：≥8MPa。需提供加盖仪器制造商公章的技术证明材料或仪器制造商官方网站可供下载的相关证明文件截图。</w:t>
            </w:r>
          </w:p>
          <w:p>
            <w:pPr>
              <w:pStyle w:val="18"/>
              <w:ind w:left="440"/>
              <w:rPr>
                <w:rFonts w:ascii="宋体" w:hAnsi="宋体" w:cs="宋体"/>
                <w:szCs w:val="21"/>
              </w:rPr>
            </w:pPr>
            <w:r>
              <w:rPr>
                <w:rFonts w:hint="eastAsia" w:ascii="宋体" w:hAnsi="宋体" w:cs="宋体"/>
                <w:szCs w:val="21"/>
              </w:rPr>
              <w:t>3.6.8 信号采集频率：不低于40Hz，色谱图上显示的采集点数每秒不小于90个。需提供加盖仪器制造商公章的技术证明材料或仪器制造商官方网站可供下载的相关证明文件截图。。</w:t>
            </w:r>
          </w:p>
          <w:p>
            <w:pPr>
              <w:pStyle w:val="18"/>
              <w:ind w:left="440"/>
              <w:rPr>
                <w:rFonts w:ascii="宋体" w:hAnsi="宋体" w:cs="宋体"/>
                <w:szCs w:val="21"/>
              </w:rPr>
            </w:pPr>
            <w:r>
              <w:rPr>
                <w:rFonts w:hint="eastAsia" w:ascii="宋体" w:hAnsi="宋体" w:cs="宋体"/>
                <w:szCs w:val="21"/>
              </w:rPr>
              <w:t>3.7 在线电解淋洗液发生器</w:t>
            </w:r>
          </w:p>
          <w:p>
            <w:pPr>
              <w:pStyle w:val="18"/>
              <w:ind w:left="440"/>
              <w:rPr>
                <w:rFonts w:ascii="宋体" w:hAnsi="宋体" w:cs="宋体"/>
                <w:szCs w:val="21"/>
              </w:rPr>
            </w:pPr>
            <w:r>
              <w:rPr>
                <w:rFonts w:hint="eastAsia" w:ascii="宋体" w:hAnsi="宋体" w:cs="宋体"/>
                <w:szCs w:val="21"/>
              </w:rPr>
              <w:t>3.7.1 洗液发生罐耐压5000 psi，兼容高压色谱柱。</w:t>
            </w:r>
          </w:p>
          <w:p>
            <w:pPr>
              <w:pStyle w:val="18"/>
              <w:ind w:left="440"/>
              <w:rPr>
                <w:rFonts w:ascii="宋体" w:hAnsi="宋体" w:cs="宋体"/>
                <w:szCs w:val="21"/>
              </w:rPr>
            </w:pPr>
            <w:r>
              <w:rPr>
                <w:rFonts w:hint="eastAsia" w:ascii="宋体" w:hAnsi="宋体" w:cs="宋体"/>
                <w:szCs w:val="21"/>
              </w:rPr>
              <w:t>3.7.2梯度产生曲率：1-9，任意数值可选。需提供加盖仪器制造商公章的技术证明材料或仪器制造商官方网站可供下载的相关证明文件截图。</w:t>
            </w:r>
          </w:p>
          <w:p>
            <w:pPr>
              <w:pStyle w:val="18"/>
              <w:ind w:left="440"/>
              <w:rPr>
                <w:rFonts w:ascii="宋体" w:hAnsi="宋体" w:cs="宋体"/>
                <w:szCs w:val="21"/>
              </w:rPr>
            </w:pPr>
            <w:r>
              <w:rPr>
                <w:rFonts w:hint="eastAsia" w:ascii="宋体" w:hAnsi="宋体" w:cs="宋体"/>
                <w:szCs w:val="21"/>
              </w:rPr>
              <w:t>3.7.3梯度产生：高压梯度，梯度产生在泵后高压区，梯度延迟体积小，梯度延迟时间短。</w:t>
            </w:r>
          </w:p>
          <w:p>
            <w:pPr>
              <w:pStyle w:val="18"/>
              <w:ind w:left="440"/>
              <w:rPr>
                <w:rFonts w:ascii="宋体" w:hAnsi="宋体" w:cs="宋体"/>
                <w:szCs w:val="21"/>
              </w:rPr>
            </w:pPr>
            <w:r>
              <w:rPr>
                <w:rFonts w:hint="eastAsia" w:ascii="宋体" w:hAnsi="宋体" w:cs="宋体"/>
                <w:szCs w:val="21"/>
              </w:rPr>
              <w:t>3.7.4梯度精度：≤0.2%，需提供0.1-100mmol/L KOH缓慢变化的梯度色谱图及6针重复性谱图。</w:t>
            </w:r>
          </w:p>
          <w:p>
            <w:pPr>
              <w:pStyle w:val="18"/>
              <w:ind w:left="440"/>
              <w:rPr>
                <w:rFonts w:ascii="宋体" w:hAnsi="宋体" w:cs="宋体"/>
                <w:szCs w:val="21"/>
              </w:rPr>
            </w:pPr>
            <w:r>
              <w:rPr>
                <w:rFonts w:hint="eastAsia" w:ascii="宋体" w:hAnsi="宋体" w:cs="宋体"/>
                <w:szCs w:val="21"/>
              </w:rPr>
              <w:t>3.7.5梯度准确度：≤0.2%。</w:t>
            </w:r>
          </w:p>
          <w:p>
            <w:pPr>
              <w:pStyle w:val="18"/>
              <w:ind w:left="440"/>
              <w:rPr>
                <w:rFonts w:ascii="宋体" w:hAnsi="宋体" w:cs="宋体"/>
                <w:szCs w:val="21"/>
              </w:rPr>
            </w:pPr>
            <w:r>
              <w:rPr>
                <w:rFonts w:hint="eastAsia" w:ascii="宋体" w:hAnsi="宋体" w:cs="宋体"/>
                <w:szCs w:val="21"/>
              </w:rPr>
              <w:t>3.7.6产生方式：利用电解产生的H+或OH-在线生成酸性或碱性淋洗液，而非通过加液单元进行不同溶液间的在线混合或稀释产生。</w:t>
            </w:r>
          </w:p>
          <w:p>
            <w:pPr>
              <w:pStyle w:val="18"/>
              <w:ind w:left="440"/>
              <w:rPr>
                <w:szCs w:val="21"/>
              </w:rPr>
            </w:pPr>
            <w:r>
              <w:rPr>
                <w:rFonts w:hint="eastAsia" w:ascii="宋体" w:hAnsi="宋体" w:cs="宋体"/>
                <w:szCs w:val="21"/>
              </w:rPr>
              <w:t>3.7.7软件控制：在软件中直接输入所需淋洗液浓度，而非编写其他非浓度参数做换算。需提供软件控制截图。</w:t>
            </w:r>
          </w:p>
        </w:tc>
        <w:tc>
          <w:tcPr>
            <w:tcW w:w="739" w:type="dxa"/>
            <w:shd w:val="clear" w:color="auto" w:fill="auto"/>
            <w:vAlign w:val="center"/>
          </w:tcPr>
          <w:p>
            <w:pPr>
              <w:jc w:val="center"/>
              <w:rPr>
                <w:szCs w:val="21"/>
              </w:rPr>
            </w:pPr>
            <w:r>
              <w:rPr>
                <w:rFonts w:hint="eastAsia"/>
                <w:szCs w:val="21"/>
              </w:rPr>
              <w:t>套</w:t>
            </w:r>
          </w:p>
        </w:tc>
        <w:tc>
          <w:tcPr>
            <w:tcW w:w="721" w:type="dxa"/>
            <w:shd w:val="clear" w:color="auto" w:fill="auto"/>
            <w:vAlign w:val="center"/>
          </w:tcPr>
          <w:p>
            <w:pPr>
              <w:jc w:val="center"/>
              <w:rPr>
                <w:szCs w:val="21"/>
              </w:rPr>
            </w:pPr>
            <w:r>
              <w:rPr>
                <w:rFonts w:hint="eastAsia"/>
                <w:szCs w:val="21"/>
              </w:rPr>
              <w:t>1</w:t>
            </w:r>
          </w:p>
        </w:tc>
        <w:tc>
          <w:tcPr>
            <w:tcW w:w="1988" w:type="dxa"/>
            <w:shd w:val="clear" w:color="auto" w:fill="auto"/>
            <w:vAlign w:val="center"/>
          </w:tcPr>
          <w:p>
            <w:pPr>
              <w:jc w:val="center"/>
              <w:rPr>
                <w:szCs w:val="21"/>
              </w:rPr>
            </w:pPr>
            <w:r>
              <w:rPr>
                <w:rFonts w:hint="eastAsia"/>
                <w:szCs w:val="21"/>
              </w:rPr>
              <w:t>否</w:t>
            </w:r>
          </w:p>
        </w:tc>
        <w:tc>
          <w:tcPr>
            <w:tcW w:w="1224" w:type="dxa"/>
            <w:shd w:val="clear" w:color="auto" w:fill="auto"/>
            <w:vAlign w:val="center"/>
          </w:tcPr>
          <w:p>
            <w:pPr>
              <w:jc w:val="center"/>
              <w:rPr>
                <w:szCs w:val="21"/>
              </w:rPr>
            </w:pPr>
            <w:r>
              <w:rPr>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trPr>
        <w:tc>
          <w:tcPr>
            <w:tcW w:w="769" w:type="dxa"/>
            <w:shd w:val="clear" w:color="auto" w:fill="auto"/>
            <w:vAlign w:val="center"/>
          </w:tcPr>
          <w:p>
            <w:pPr>
              <w:jc w:val="center"/>
              <w:rPr>
                <w:szCs w:val="21"/>
              </w:rPr>
            </w:pPr>
            <w:r>
              <w:rPr>
                <w:rFonts w:hint="eastAsia"/>
                <w:szCs w:val="21"/>
              </w:rPr>
              <w:t>6</w:t>
            </w:r>
          </w:p>
        </w:tc>
        <w:tc>
          <w:tcPr>
            <w:tcW w:w="1325" w:type="dxa"/>
            <w:shd w:val="clear" w:color="auto" w:fill="auto"/>
            <w:vAlign w:val="center"/>
          </w:tcPr>
          <w:p>
            <w:pPr>
              <w:widowControl/>
              <w:rPr>
                <w:kern w:val="0"/>
                <w:szCs w:val="21"/>
              </w:rPr>
            </w:pPr>
            <w:r>
              <w:rPr>
                <w:rFonts w:hint="eastAsia" w:ascii="宋体" w:hAnsi="宋体"/>
                <w:szCs w:val="21"/>
              </w:rPr>
              <w:t>甲醛分析仪</w:t>
            </w:r>
          </w:p>
        </w:tc>
        <w:tc>
          <w:tcPr>
            <w:tcW w:w="8491" w:type="dxa"/>
            <w:shd w:val="clear" w:color="auto" w:fill="auto"/>
            <w:vAlign w:val="center"/>
          </w:tcPr>
          <w:p>
            <w:pPr>
              <w:numPr>
                <w:ilvl w:val="0"/>
                <w:numId w:val="3"/>
              </w:numPr>
              <w:tabs>
                <w:tab w:val="left" w:pos="315"/>
                <w:tab w:val="left" w:pos="495"/>
                <w:tab w:val="left" w:pos="679"/>
              </w:tabs>
              <w:adjustRightInd w:val="0"/>
              <w:snapToGrid w:val="0"/>
              <w:rPr>
                <w:rFonts w:ascii="宋体" w:hAnsi="宋体" w:cs="宋体"/>
                <w:szCs w:val="21"/>
              </w:rPr>
            </w:pPr>
            <w:r>
              <w:rPr>
                <w:rFonts w:hint="eastAsia" w:ascii="宋体" w:hAnsi="宋体" w:cs="宋体"/>
                <w:szCs w:val="21"/>
              </w:rPr>
              <w:t>测量方法：光腔衰荡方法（CRDS）测定空气中的甲醛</w:t>
            </w:r>
          </w:p>
          <w:p>
            <w:pPr>
              <w:numPr>
                <w:ilvl w:val="0"/>
                <w:numId w:val="3"/>
              </w:numPr>
              <w:tabs>
                <w:tab w:val="left" w:pos="315"/>
                <w:tab w:val="left" w:pos="495"/>
                <w:tab w:val="left" w:pos="679"/>
              </w:tabs>
              <w:adjustRightInd w:val="0"/>
              <w:snapToGrid w:val="0"/>
              <w:rPr>
                <w:rFonts w:ascii="宋体" w:hAnsi="宋体" w:cs="宋体"/>
                <w:szCs w:val="21"/>
              </w:rPr>
            </w:pPr>
            <w:r>
              <w:rPr>
                <w:rFonts w:hint="eastAsia" w:ascii="宋体" w:hAnsi="宋体" w:cs="宋体"/>
                <w:szCs w:val="21"/>
              </w:rPr>
              <w:t>系统可通过液态甲醛标样或甲醛标气进行半自动校准</w:t>
            </w:r>
          </w:p>
          <w:p>
            <w:pPr>
              <w:numPr>
                <w:ilvl w:val="0"/>
                <w:numId w:val="3"/>
              </w:numPr>
              <w:tabs>
                <w:tab w:val="left" w:pos="315"/>
                <w:tab w:val="left" w:pos="495"/>
                <w:tab w:val="left" w:pos="679"/>
              </w:tabs>
              <w:adjustRightInd w:val="0"/>
              <w:snapToGrid w:val="0"/>
              <w:rPr>
                <w:rFonts w:ascii="宋体" w:hAnsi="宋体" w:cs="宋体"/>
                <w:szCs w:val="21"/>
              </w:rPr>
            </w:pPr>
            <w:r>
              <w:rPr>
                <w:rFonts w:hint="eastAsia" w:ascii="宋体" w:hAnsi="宋体" w:cs="宋体"/>
                <w:szCs w:val="21"/>
              </w:rPr>
              <w:t>检出限：≤80ppt</w:t>
            </w:r>
          </w:p>
          <w:p>
            <w:pPr>
              <w:numPr>
                <w:ilvl w:val="0"/>
                <w:numId w:val="3"/>
              </w:numPr>
              <w:tabs>
                <w:tab w:val="left" w:pos="315"/>
                <w:tab w:val="left" w:pos="495"/>
                <w:tab w:val="left" w:pos="679"/>
              </w:tabs>
              <w:adjustRightInd w:val="0"/>
              <w:snapToGrid w:val="0"/>
              <w:rPr>
                <w:rFonts w:ascii="宋体" w:hAnsi="宋体" w:cs="宋体"/>
                <w:szCs w:val="21"/>
              </w:rPr>
            </w:pPr>
            <w:r>
              <w:rPr>
                <w:rFonts w:hint="eastAsia" w:ascii="宋体" w:hAnsi="宋体" w:cs="宋体"/>
                <w:szCs w:val="21"/>
              </w:rPr>
              <w:t>测量区间上限：≥3ppm</w:t>
            </w:r>
          </w:p>
          <w:p>
            <w:pPr>
              <w:numPr>
                <w:ilvl w:val="0"/>
                <w:numId w:val="3"/>
              </w:numPr>
              <w:tabs>
                <w:tab w:val="left" w:pos="315"/>
                <w:tab w:val="left" w:pos="495"/>
                <w:tab w:val="left" w:pos="679"/>
              </w:tabs>
              <w:adjustRightInd w:val="0"/>
              <w:snapToGrid w:val="0"/>
              <w:rPr>
                <w:rFonts w:ascii="宋体" w:hAnsi="宋体" w:cs="宋体"/>
                <w:szCs w:val="21"/>
              </w:rPr>
            </w:pPr>
            <w:r>
              <w:rPr>
                <w:rFonts w:hint="eastAsia" w:ascii="宋体" w:hAnsi="宋体" w:cs="宋体"/>
                <w:szCs w:val="21"/>
              </w:rPr>
              <w:t>响应时间：T90＜300s</w:t>
            </w:r>
          </w:p>
          <w:p>
            <w:pPr>
              <w:numPr>
                <w:ilvl w:val="0"/>
                <w:numId w:val="3"/>
              </w:numPr>
              <w:tabs>
                <w:tab w:val="left" w:pos="315"/>
                <w:tab w:val="left" w:pos="495"/>
                <w:tab w:val="left" w:pos="679"/>
              </w:tabs>
              <w:adjustRightInd w:val="0"/>
              <w:snapToGrid w:val="0"/>
              <w:rPr>
                <w:rFonts w:ascii="宋体" w:hAnsi="宋体" w:cs="宋体"/>
                <w:szCs w:val="21"/>
              </w:rPr>
            </w:pPr>
            <w:r>
              <w:rPr>
                <w:rFonts w:hint="eastAsia" w:ascii="宋体" w:hAnsi="宋体" w:cs="宋体"/>
                <w:szCs w:val="21"/>
              </w:rPr>
              <w:t>准确性：不超过±10%</w:t>
            </w:r>
          </w:p>
          <w:p>
            <w:pPr>
              <w:numPr>
                <w:ilvl w:val="0"/>
                <w:numId w:val="3"/>
              </w:numPr>
              <w:tabs>
                <w:tab w:val="left" w:pos="315"/>
                <w:tab w:val="left" w:pos="495"/>
                <w:tab w:val="left" w:pos="679"/>
              </w:tabs>
              <w:adjustRightInd w:val="0"/>
              <w:snapToGrid w:val="0"/>
              <w:rPr>
                <w:rFonts w:ascii="宋体" w:hAnsi="宋体" w:cs="宋体"/>
                <w:szCs w:val="21"/>
              </w:rPr>
            </w:pPr>
            <w:r>
              <w:rPr>
                <w:rFonts w:hint="eastAsia" w:ascii="宋体" w:hAnsi="宋体" w:cs="宋体"/>
                <w:szCs w:val="21"/>
              </w:rPr>
              <w:t>重复性：≤5%</w:t>
            </w:r>
          </w:p>
          <w:p>
            <w:pPr>
              <w:numPr>
                <w:ilvl w:val="0"/>
                <w:numId w:val="3"/>
              </w:numPr>
              <w:tabs>
                <w:tab w:val="left" w:pos="315"/>
                <w:tab w:val="left" w:pos="495"/>
                <w:tab w:val="left" w:pos="679"/>
              </w:tabs>
              <w:adjustRightInd w:val="0"/>
              <w:snapToGrid w:val="0"/>
              <w:rPr>
                <w:rFonts w:ascii="宋体" w:hAnsi="宋体" w:cs="宋体"/>
                <w:szCs w:val="21"/>
              </w:rPr>
            </w:pPr>
            <w:r>
              <w:rPr>
                <w:rFonts w:hint="eastAsia" w:ascii="宋体" w:hAnsi="宋体" w:cs="宋体"/>
                <w:szCs w:val="21"/>
              </w:rPr>
              <w:t>信号输出：RS232、USB 输出</w:t>
            </w:r>
          </w:p>
          <w:p>
            <w:pPr>
              <w:numPr>
                <w:ilvl w:val="0"/>
                <w:numId w:val="3"/>
              </w:numPr>
              <w:tabs>
                <w:tab w:val="left" w:pos="315"/>
                <w:tab w:val="left" w:pos="495"/>
                <w:tab w:val="left" w:pos="679"/>
              </w:tabs>
              <w:adjustRightInd w:val="0"/>
              <w:snapToGrid w:val="0"/>
              <w:rPr>
                <w:rFonts w:ascii="宋体" w:hAnsi="宋体" w:cs="宋体"/>
                <w:szCs w:val="21"/>
              </w:rPr>
            </w:pPr>
            <w:r>
              <w:rPr>
                <w:rFonts w:hint="eastAsia" w:ascii="宋体" w:hAnsi="宋体" w:cs="宋体"/>
                <w:szCs w:val="21"/>
              </w:rPr>
              <w:t>工作环境：环境温度为 5℃~30℃</w:t>
            </w:r>
          </w:p>
          <w:p>
            <w:pPr>
              <w:numPr>
                <w:ilvl w:val="0"/>
                <w:numId w:val="3"/>
              </w:numPr>
              <w:tabs>
                <w:tab w:val="left" w:pos="315"/>
                <w:tab w:val="left" w:pos="495"/>
                <w:tab w:val="left" w:pos="679"/>
              </w:tabs>
              <w:adjustRightInd w:val="0"/>
              <w:snapToGrid w:val="0"/>
              <w:rPr>
                <w:rFonts w:ascii="宋体" w:hAnsi="宋体" w:cs="宋体"/>
                <w:szCs w:val="21"/>
              </w:rPr>
            </w:pPr>
            <w:r>
              <w:rPr>
                <w:rFonts w:hint="eastAsia" w:ascii="宋体" w:hAnsi="宋体" w:cs="宋体"/>
                <w:szCs w:val="21"/>
              </w:rPr>
              <w:t>环境湿度：≤85%RH（无凝露）</w:t>
            </w:r>
          </w:p>
          <w:p>
            <w:pPr>
              <w:numPr>
                <w:ilvl w:val="0"/>
                <w:numId w:val="3"/>
              </w:numPr>
              <w:rPr>
                <w:szCs w:val="21"/>
              </w:rPr>
            </w:pPr>
            <w:r>
              <w:rPr>
                <w:rFonts w:hint="eastAsia" w:ascii="宋体" w:hAnsi="宋体" w:cs="宋体"/>
                <w:szCs w:val="21"/>
              </w:rPr>
              <w:t>数据存储时间：1 年，支持历史数据查询及导出功能（excel格式），支持导出秒/分钟/小时数据</w:t>
            </w:r>
          </w:p>
        </w:tc>
        <w:tc>
          <w:tcPr>
            <w:tcW w:w="739" w:type="dxa"/>
            <w:shd w:val="clear" w:color="auto" w:fill="auto"/>
            <w:vAlign w:val="center"/>
          </w:tcPr>
          <w:p>
            <w:pPr>
              <w:jc w:val="center"/>
              <w:rPr>
                <w:szCs w:val="21"/>
              </w:rPr>
            </w:pPr>
            <w:r>
              <w:rPr>
                <w:rFonts w:hint="eastAsia"/>
                <w:szCs w:val="21"/>
              </w:rPr>
              <w:t>套</w:t>
            </w:r>
          </w:p>
        </w:tc>
        <w:tc>
          <w:tcPr>
            <w:tcW w:w="721" w:type="dxa"/>
            <w:shd w:val="clear" w:color="auto" w:fill="auto"/>
            <w:vAlign w:val="center"/>
          </w:tcPr>
          <w:p>
            <w:pPr>
              <w:jc w:val="center"/>
              <w:rPr>
                <w:szCs w:val="21"/>
              </w:rPr>
            </w:pPr>
            <w:r>
              <w:rPr>
                <w:rFonts w:hint="eastAsia"/>
                <w:szCs w:val="21"/>
              </w:rPr>
              <w:t>1</w:t>
            </w:r>
          </w:p>
        </w:tc>
        <w:tc>
          <w:tcPr>
            <w:tcW w:w="1988" w:type="dxa"/>
            <w:shd w:val="clear" w:color="auto" w:fill="auto"/>
            <w:vAlign w:val="center"/>
          </w:tcPr>
          <w:p>
            <w:pPr>
              <w:jc w:val="center"/>
              <w:rPr>
                <w:szCs w:val="21"/>
              </w:rPr>
            </w:pPr>
            <w:r>
              <w:rPr>
                <w:rFonts w:hint="eastAsia"/>
                <w:szCs w:val="21"/>
              </w:rPr>
              <w:t>否</w:t>
            </w:r>
          </w:p>
        </w:tc>
        <w:tc>
          <w:tcPr>
            <w:tcW w:w="1224" w:type="dxa"/>
            <w:shd w:val="clear" w:color="auto" w:fill="auto"/>
            <w:vAlign w:val="center"/>
          </w:tcPr>
          <w:p>
            <w:pPr>
              <w:jc w:val="center"/>
              <w:rPr>
                <w:szCs w:val="21"/>
              </w:rPr>
            </w:pPr>
            <w:r>
              <w:rPr>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trPr>
        <w:tc>
          <w:tcPr>
            <w:tcW w:w="769" w:type="dxa"/>
            <w:shd w:val="clear" w:color="auto" w:fill="auto"/>
            <w:vAlign w:val="center"/>
          </w:tcPr>
          <w:p>
            <w:pPr>
              <w:jc w:val="center"/>
              <w:rPr>
                <w:szCs w:val="21"/>
              </w:rPr>
            </w:pPr>
            <w:r>
              <w:rPr>
                <w:rFonts w:hint="eastAsia"/>
                <w:szCs w:val="21"/>
              </w:rPr>
              <w:t>7</w:t>
            </w:r>
          </w:p>
        </w:tc>
        <w:tc>
          <w:tcPr>
            <w:tcW w:w="1325" w:type="dxa"/>
            <w:shd w:val="clear" w:color="auto" w:fill="auto"/>
            <w:vAlign w:val="center"/>
          </w:tcPr>
          <w:p>
            <w:pPr>
              <w:widowControl/>
              <w:rPr>
                <w:kern w:val="0"/>
                <w:szCs w:val="21"/>
              </w:rPr>
            </w:pPr>
            <w:r>
              <w:rPr>
                <w:rFonts w:hint="eastAsia" w:ascii="宋体" w:hAnsi="宋体"/>
                <w:szCs w:val="21"/>
              </w:rPr>
              <w:t>气溶胶激光雷达</w:t>
            </w:r>
          </w:p>
        </w:tc>
        <w:tc>
          <w:tcPr>
            <w:tcW w:w="8491" w:type="dxa"/>
            <w:shd w:val="clear" w:color="auto" w:fill="auto"/>
            <w:vAlign w:val="center"/>
          </w:tcPr>
          <w:p>
            <w:pPr>
              <w:pStyle w:val="18"/>
              <w:ind w:left="0"/>
            </w:pPr>
            <w:r>
              <w:rPr>
                <w:rFonts w:hint="eastAsia"/>
              </w:rPr>
              <w:t>■1.</w:t>
            </w:r>
            <w:r>
              <w:t>时间分辨率：1s及其倍数可调。</w:t>
            </w:r>
            <w:r>
              <w:rPr>
                <w:rFonts w:hint="eastAsia"/>
              </w:rPr>
              <w:t>（须提供省级或以上具有</w:t>
            </w:r>
            <w:r>
              <w:t>CNAS</w:t>
            </w:r>
            <w:r>
              <w:rPr>
                <w:rFonts w:hint="eastAsia"/>
              </w:rPr>
              <w:t>或</w:t>
            </w:r>
            <w:r>
              <w:t>CMA</w:t>
            </w:r>
            <w:r>
              <w:rPr>
                <w:rFonts w:hint="eastAsia"/>
              </w:rPr>
              <w:t>资质认证的第三方检测机构出具的</w:t>
            </w:r>
            <w:r>
              <w:rPr>
                <w:rFonts w:hint="eastAsia"/>
                <w:bCs/>
              </w:rPr>
              <w:t>检测报告</w:t>
            </w:r>
            <w:r>
              <w:rPr>
                <w:rFonts w:hint="eastAsia"/>
              </w:rPr>
              <w:t>复印件，并加盖制造厂商公章）</w:t>
            </w:r>
          </w:p>
          <w:p>
            <w:pPr>
              <w:pStyle w:val="18"/>
              <w:ind w:left="0"/>
            </w:pPr>
            <w:r>
              <w:rPr>
                <w:rFonts w:hint="eastAsia"/>
              </w:rPr>
              <w:t>■2.</w:t>
            </w:r>
            <w:r>
              <w:t>空间分辨率：3m及其倍数可调。</w:t>
            </w:r>
            <w:r>
              <w:rPr>
                <w:rFonts w:hint="eastAsia"/>
              </w:rPr>
              <w:t>（须提供省级或以上具有</w:t>
            </w:r>
            <w:r>
              <w:t>CNAS</w:t>
            </w:r>
            <w:r>
              <w:rPr>
                <w:rFonts w:hint="eastAsia"/>
              </w:rPr>
              <w:t>或</w:t>
            </w:r>
            <w:r>
              <w:t>CMA</w:t>
            </w:r>
            <w:r>
              <w:rPr>
                <w:rFonts w:hint="eastAsia"/>
              </w:rPr>
              <w:t>资质认证的第三方检测机构出具的</w:t>
            </w:r>
            <w:r>
              <w:rPr>
                <w:rFonts w:hint="eastAsia"/>
                <w:bCs/>
              </w:rPr>
              <w:t>检测报告</w:t>
            </w:r>
            <w:r>
              <w:rPr>
                <w:rFonts w:hint="eastAsia"/>
              </w:rPr>
              <w:t>复印件，并加盖制造厂商公章）</w:t>
            </w:r>
          </w:p>
          <w:p>
            <w:pPr>
              <w:pStyle w:val="18"/>
              <w:ind w:left="0"/>
            </w:pPr>
            <w:r>
              <w:rPr>
                <w:rFonts w:hint="eastAsia"/>
              </w:rPr>
              <w:t>3.</w:t>
            </w:r>
            <w:r>
              <w:t>探测盲区：≤30m。</w:t>
            </w:r>
          </w:p>
          <w:p>
            <w:pPr>
              <w:pStyle w:val="18"/>
              <w:ind w:left="0"/>
            </w:pPr>
            <w:r>
              <w:rPr>
                <w:rFonts w:hint="eastAsia"/>
              </w:rPr>
              <w:t>4.</w:t>
            </w:r>
            <w:r>
              <w:t>探测距离：≥15km。</w:t>
            </w:r>
            <w:bookmarkStart w:id="0" w:name="_Hlk15849732"/>
          </w:p>
          <w:p>
            <w:pPr>
              <w:pStyle w:val="18"/>
              <w:ind w:left="0"/>
            </w:pPr>
            <w:r>
              <w:rPr>
                <w:rFonts w:hint="eastAsia"/>
              </w:rPr>
              <w:t>5.</w:t>
            </w:r>
            <w:r>
              <w:t>脉冲能量：≥500μJ。</w:t>
            </w:r>
          </w:p>
          <w:p>
            <w:pPr>
              <w:pStyle w:val="18"/>
              <w:ind w:left="0"/>
            </w:pPr>
            <w:r>
              <w:rPr>
                <w:rFonts w:hint="eastAsia"/>
              </w:rPr>
              <w:t>6.</w:t>
            </w:r>
            <w:r>
              <w:t>光源重复频率：≥</w:t>
            </w:r>
            <w:r>
              <w:rPr>
                <w:rFonts w:hint="eastAsia"/>
              </w:rPr>
              <w:t>6</w:t>
            </w:r>
            <w:r>
              <w:t>kHz可调</w:t>
            </w:r>
            <w:r>
              <w:rPr>
                <w:bCs/>
              </w:rPr>
              <w:t>。</w:t>
            </w:r>
          </w:p>
          <w:p>
            <w:pPr>
              <w:pStyle w:val="18"/>
              <w:ind w:left="0"/>
              <w:rPr>
                <w:strike/>
              </w:rPr>
            </w:pPr>
            <w:r>
              <w:rPr>
                <w:rFonts w:hint="eastAsia"/>
              </w:rPr>
              <w:t>7.大气瑞利散射信号拟合偏差:</w:t>
            </w:r>
            <w:r>
              <w:t>≤</w:t>
            </w:r>
            <w:r>
              <w:rPr>
                <w:rFonts w:hint="eastAsia"/>
              </w:rPr>
              <w:t>20%。</w:t>
            </w:r>
          </w:p>
          <w:p>
            <w:pPr>
              <w:pStyle w:val="18"/>
              <w:ind w:left="0"/>
              <w:rPr>
                <w:strike/>
              </w:rPr>
            </w:pPr>
            <w:r>
              <w:rPr>
                <w:rFonts w:hint="eastAsia"/>
              </w:rPr>
              <w:t>8.</w:t>
            </w:r>
            <w:r>
              <w:t>空间模式：TEM00，M2≤1.</w:t>
            </w:r>
            <w:r>
              <w:rPr>
                <w:rFonts w:hint="eastAsia"/>
              </w:rPr>
              <w:t>5</w:t>
            </w:r>
            <w:r>
              <w:t>。</w:t>
            </w:r>
          </w:p>
          <w:p>
            <w:pPr>
              <w:pStyle w:val="18"/>
              <w:ind w:left="0"/>
            </w:pPr>
            <w:r>
              <w:rPr>
                <w:rFonts w:hint="eastAsia"/>
                <w:bCs/>
              </w:rPr>
              <w:t>9.</w:t>
            </w:r>
            <w:r>
              <w:rPr>
                <w:bCs/>
              </w:rPr>
              <w:t>脉冲宽度：</w:t>
            </w:r>
            <w:r>
              <w:t>≤13ns。</w:t>
            </w:r>
            <w:bookmarkEnd w:id="0"/>
          </w:p>
          <w:p>
            <w:pPr>
              <w:pStyle w:val="18"/>
              <w:ind w:left="0"/>
            </w:pPr>
            <w:r>
              <w:rPr>
                <w:rFonts w:hint="eastAsia"/>
              </w:rPr>
              <w:t>10.</w:t>
            </w:r>
            <w:r>
              <w:t>光束指向性：≤50urad。</w:t>
            </w:r>
          </w:p>
          <w:p>
            <w:pPr>
              <w:pStyle w:val="18"/>
              <w:ind w:left="0"/>
            </w:pPr>
            <w:r>
              <w:rPr>
                <w:rFonts w:hint="eastAsia"/>
              </w:rPr>
              <w:t>11.</w:t>
            </w:r>
            <w:r>
              <w:t>重频率稳定性：＜3%。</w:t>
            </w:r>
          </w:p>
          <w:p>
            <w:pPr>
              <w:pStyle w:val="18"/>
              <w:ind w:left="0"/>
            </w:pPr>
            <w:r>
              <w:rPr>
                <w:rFonts w:hint="eastAsia"/>
              </w:rPr>
              <w:t>■12.</w:t>
            </w:r>
            <w:r>
              <w:t>功率稳定性：RMS≤</w:t>
            </w:r>
            <w:r>
              <w:rPr>
                <w:rFonts w:hint="eastAsia"/>
              </w:rPr>
              <w:t>2</w:t>
            </w:r>
            <w:r>
              <w:t>%@8h。</w:t>
            </w:r>
            <w:r>
              <w:rPr>
                <w:rFonts w:hint="eastAsia"/>
              </w:rPr>
              <w:t>（须提供省级或以上具有</w:t>
            </w:r>
            <w:r>
              <w:t>CNAS</w:t>
            </w:r>
            <w:r>
              <w:rPr>
                <w:rFonts w:hint="eastAsia"/>
              </w:rPr>
              <w:t>或</w:t>
            </w:r>
            <w:r>
              <w:t>CMA</w:t>
            </w:r>
            <w:r>
              <w:rPr>
                <w:rFonts w:hint="eastAsia"/>
              </w:rPr>
              <w:t>资质认证的第三方检测机构出具的</w:t>
            </w:r>
            <w:r>
              <w:rPr>
                <w:rFonts w:hint="eastAsia"/>
                <w:bCs/>
              </w:rPr>
              <w:t>检测报告</w:t>
            </w:r>
            <w:r>
              <w:rPr>
                <w:rFonts w:hint="eastAsia"/>
              </w:rPr>
              <w:t>复印件，并加盖制造厂商公章）</w:t>
            </w:r>
          </w:p>
          <w:p>
            <w:pPr>
              <w:pStyle w:val="18"/>
              <w:ind w:left="0"/>
            </w:pPr>
            <w:r>
              <w:rPr>
                <w:rFonts w:hint="eastAsia"/>
              </w:rPr>
              <w:t>13.</w:t>
            </w:r>
            <w:r>
              <w:t>光束中心高偏差：±0.5mm。</w:t>
            </w:r>
          </w:p>
          <w:p>
            <w:pPr>
              <w:pStyle w:val="18"/>
              <w:ind w:left="0"/>
            </w:pPr>
            <w:r>
              <w:rPr>
                <w:rFonts w:hint="eastAsia"/>
              </w:rPr>
              <w:t>14.</w:t>
            </w:r>
            <w:r>
              <w:t>光束指向垂直度：＜1mrad。</w:t>
            </w:r>
          </w:p>
          <w:p>
            <w:pPr>
              <w:pStyle w:val="18"/>
              <w:ind w:left="0"/>
              <w:rPr>
                <w:strike/>
              </w:rPr>
            </w:pPr>
            <w:r>
              <w:rPr>
                <w:rFonts w:hint="eastAsia"/>
              </w:rPr>
              <w:t>15.环境适应性</w:t>
            </w:r>
            <w:r>
              <w:t>：内置半导体制冷装置。</w:t>
            </w:r>
          </w:p>
          <w:p>
            <w:pPr>
              <w:pStyle w:val="18"/>
              <w:ind w:left="0"/>
            </w:pPr>
            <w:r>
              <w:rPr>
                <w:rFonts w:hint="eastAsia"/>
              </w:rPr>
              <w:t>16.</w:t>
            </w:r>
            <w:r>
              <w:t>远程较准功能：雷达光路发射系统前端装有电动调整架，可实现远程调整激光雷达光束指向。</w:t>
            </w:r>
          </w:p>
          <w:p>
            <w:pPr>
              <w:pStyle w:val="18"/>
              <w:ind w:left="0"/>
            </w:pPr>
            <w:r>
              <w:rPr>
                <w:rFonts w:hint="eastAsia"/>
              </w:rPr>
              <w:t>17.</w:t>
            </w:r>
            <w:r>
              <w:t xml:space="preserve">扫描周期：扫描一周在采集360条数据且每条数据不少于5000个脉冲，时间为≤6min。 </w:t>
            </w:r>
          </w:p>
          <w:p>
            <w:pPr>
              <w:pStyle w:val="18"/>
              <w:ind w:left="0"/>
              <w:rPr>
                <w:strike/>
              </w:rPr>
            </w:pPr>
            <w:r>
              <w:rPr>
                <w:rFonts w:hint="eastAsia"/>
              </w:rPr>
              <w:t>1</w:t>
            </w:r>
            <w:r>
              <w:t>8</w:t>
            </w:r>
            <w:r>
              <w:rPr>
                <w:rFonts w:hint="eastAsia"/>
              </w:rPr>
              <w:t>.</w:t>
            </w:r>
            <w:r>
              <w:t>摄像功能：具备摄像功能，可实时查看窗口外的视频情况,摄像功能系统与雷达主机一体化设计。</w:t>
            </w:r>
          </w:p>
          <w:p>
            <w:pPr>
              <w:pStyle w:val="18"/>
              <w:ind w:left="0"/>
            </w:pPr>
            <w:r>
              <w:rPr>
                <w:rFonts w:hint="eastAsia"/>
                <w:lang w:val="en-US" w:eastAsia="zh-CN"/>
              </w:rPr>
              <w:t>19</w:t>
            </w:r>
            <w:r>
              <w:rPr>
                <w:rFonts w:hint="eastAsia"/>
              </w:rPr>
              <w:t>.</w:t>
            </w:r>
            <w:r>
              <w:t>工作温度：-20℃-50℃。</w:t>
            </w:r>
          </w:p>
          <w:p>
            <w:pPr>
              <w:pStyle w:val="18"/>
              <w:ind w:left="0"/>
            </w:pPr>
            <w:r>
              <w:rPr>
                <w:rFonts w:hint="eastAsia"/>
              </w:rPr>
              <w:t>2</w:t>
            </w:r>
            <w:r>
              <w:rPr>
                <w:rFonts w:hint="eastAsia"/>
                <w:lang w:val="en-US" w:eastAsia="zh-CN"/>
              </w:rPr>
              <w:t>0</w:t>
            </w:r>
            <w:r>
              <w:rPr>
                <w:rFonts w:hint="eastAsia"/>
              </w:rPr>
              <w:t>.</w:t>
            </w:r>
            <w:r>
              <w:t>采集软件：软件可以进行相关设置，包括：模式切换、激光器关闭和启动、云台上下电、水平增益设置、垂直增益设置、开光、关光、LD电流设置、激光器错误复位、指令下发、数据上传启停。</w:t>
            </w:r>
          </w:p>
          <w:p>
            <w:pPr>
              <w:pStyle w:val="18"/>
              <w:ind w:left="0"/>
            </w:pPr>
            <w:r>
              <w:rPr>
                <w:rFonts w:hint="eastAsia"/>
              </w:rPr>
              <w:t>2</w:t>
            </w:r>
            <w:r>
              <w:rPr>
                <w:rFonts w:hint="eastAsia"/>
                <w:lang w:val="en-US" w:eastAsia="zh-CN"/>
              </w:rPr>
              <w:t>1</w:t>
            </w:r>
            <w:r>
              <w:rPr>
                <w:rFonts w:hint="eastAsia"/>
              </w:rPr>
              <w:t>.</w:t>
            </w:r>
            <w:r>
              <w:t>分析软件：软件支持消光、退偏、PM</w:t>
            </w:r>
            <w:r>
              <w:rPr>
                <w:vertAlign w:val="subscript"/>
              </w:rPr>
              <w:t>2.5</w:t>
            </w:r>
            <w:r>
              <w:t>、PM</w:t>
            </w:r>
            <w:r>
              <w:rPr>
                <w:vertAlign w:val="subscript"/>
              </w:rPr>
              <w:t>10</w:t>
            </w:r>
            <w:r>
              <w:t>、边界层、能见度、光学厚度、云信息等数据的展示。通过鼠标点击能够实时显示具体高度、时间、数值、当前地理位置信息。</w:t>
            </w:r>
          </w:p>
          <w:p>
            <w:pPr>
              <w:pStyle w:val="18"/>
              <w:ind w:left="0"/>
              <w:rPr>
                <w:strike/>
              </w:rPr>
            </w:pPr>
            <w:r>
              <w:rPr>
                <w:rFonts w:hint="eastAsia"/>
              </w:rPr>
              <w:t>2</w:t>
            </w:r>
            <w:r>
              <w:rPr>
                <w:rFonts w:hint="eastAsia"/>
                <w:lang w:val="en-US" w:eastAsia="zh-CN"/>
              </w:rPr>
              <w:t>2</w:t>
            </w:r>
            <w:r>
              <w:rPr>
                <w:rFonts w:hint="eastAsia"/>
              </w:rPr>
              <w:t>.</w:t>
            </w:r>
            <w:r>
              <w:t>电快速瞬变脉冲群抗扰度：在供电电源端口，保护接地（PE)施加重复频率5kHz抗扰度电压峰值2kV的电压信号，性能正常。</w:t>
            </w:r>
          </w:p>
          <w:p>
            <w:pPr>
              <w:pStyle w:val="18"/>
              <w:ind w:left="0"/>
            </w:pPr>
            <w:r>
              <w:rPr>
                <w:rFonts w:hint="eastAsia"/>
              </w:rPr>
              <w:t>2</w:t>
            </w:r>
            <w:r>
              <w:rPr>
                <w:rFonts w:hint="eastAsia"/>
                <w:lang w:val="en-US" w:eastAsia="zh-CN"/>
              </w:rPr>
              <w:t>3</w:t>
            </w:r>
            <w:r>
              <w:rPr>
                <w:rFonts w:hint="eastAsia"/>
              </w:rPr>
              <w:t>.</w:t>
            </w:r>
            <w:r>
              <w:t>浪涌（冲击）抗扰度：开路试验电压2kV，性能正常。</w:t>
            </w:r>
          </w:p>
          <w:p>
            <w:pPr>
              <w:pStyle w:val="18"/>
              <w:ind w:left="0"/>
              <w:rPr>
                <w:strike/>
              </w:rPr>
            </w:pPr>
            <w:r>
              <w:rPr>
                <w:rFonts w:hint="eastAsia"/>
              </w:rPr>
              <w:t>2</w:t>
            </w:r>
            <w:r>
              <w:rPr>
                <w:rFonts w:hint="eastAsia"/>
                <w:lang w:val="en-US" w:eastAsia="zh-CN"/>
              </w:rPr>
              <w:t>4</w:t>
            </w:r>
            <w:r>
              <w:rPr>
                <w:rFonts w:hint="eastAsia"/>
              </w:rPr>
              <w:t>.</w:t>
            </w:r>
            <w:r>
              <w:t>静电放电抗扰度：接触放电，试验电压抗扰度6kV，空气放电，试验电压8kV，性能正常。</w:t>
            </w:r>
          </w:p>
          <w:p>
            <w:pPr>
              <w:pStyle w:val="18"/>
              <w:ind w:left="0"/>
            </w:pPr>
            <w:r>
              <w:rPr>
                <w:rFonts w:hint="eastAsia"/>
              </w:rPr>
              <w:t>2</w:t>
            </w:r>
            <w:r>
              <w:rPr>
                <w:rFonts w:hint="eastAsia"/>
                <w:lang w:val="en-US" w:eastAsia="zh-CN"/>
              </w:rPr>
              <w:t>5</w:t>
            </w:r>
            <w:r>
              <w:rPr>
                <w:rFonts w:hint="eastAsia"/>
              </w:rPr>
              <w:t>.</w:t>
            </w:r>
            <w:r>
              <w:t>电压暂降、短时中断和电压变化:电压暂降试验试验等级为40%持续时间为10周期,性能正常；短时中断试验等级为0%持续时间为250周期，性能正常。</w:t>
            </w:r>
          </w:p>
          <w:p>
            <w:pPr>
              <w:pStyle w:val="18"/>
              <w:ind w:left="0"/>
              <w:rPr>
                <w:szCs w:val="21"/>
              </w:rPr>
            </w:pPr>
            <w:r>
              <w:rPr>
                <w:rFonts w:hint="eastAsia"/>
              </w:rPr>
              <w:t>2</w:t>
            </w:r>
            <w:r>
              <w:rPr>
                <w:rFonts w:hint="eastAsia"/>
                <w:lang w:val="en-US" w:eastAsia="zh-CN"/>
              </w:rPr>
              <w:t>6</w:t>
            </w:r>
            <w:r>
              <w:rPr>
                <w:rFonts w:hint="eastAsia"/>
              </w:rPr>
              <w:t>.</w:t>
            </w:r>
            <w:r>
              <w:t>绝缘电阻：激光雷达输入端与机壳金属部分间的绝缘电阻不小于20MΩ。</w:t>
            </w:r>
          </w:p>
        </w:tc>
        <w:tc>
          <w:tcPr>
            <w:tcW w:w="739" w:type="dxa"/>
            <w:shd w:val="clear" w:color="auto" w:fill="auto"/>
            <w:vAlign w:val="center"/>
          </w:tcPr>
          <w:p>
            <w:pPr>
              <w:jc w:val="center"/>
              <w:rPr>
                <w:szCs w:val="21"/>
              </w:rPr>
            </w:pPr>
            <w:r>
              <w:rPr>
                <w:rFonts w:hint="eastAsia"/>
                <w:szCs w:val="21"/>
              </w:rPr>
              <w:t>套</w:t>
            </w:r>
          </w:p>
        </w:tc>
        <w:tc>
          <w:tcPr>
            <w:tcW w:w="721" w:type="dxa"/>
            <w:shd w:val="clear" w:color="auto" w:fill="auto"/>
            <w:vAlign w:val="center"/>
          </w:tcPr>
          <w:p>
            <w:pPr>
              <w:jc w:val="center"/>
              <w:rPr>
                <w:szCs w:val="21"/>
              </w:rPr>
            </w:pPr>
            <w:r>
              <w:rPr>
                <w:rFonts w:hint="eastAsia"/>
                <w:szCs w:val="21"/>
              </w:rPr>
              <w:t>1</w:t>
            </w:r>
          </w:p>
        </w:tc>
        <w:tc>
          <w:tcPr>
            <w:tcW w:w="1988" w:type="dxa"/>
            <w:shd w:val="clear" w:color="auto" w:fill="auto"/>
            <w:vAlign w:val="center"/>
          </w:tcPr>
          <w:p>
            <w:pPr>
              <w:jc w:val="center"/>
              <w:rPr>
                <w:szCs w:val="21"/>
              </w:rPr>
            </w:pPr>
            <w:r>
              <w:rPr>
                <w:rFonts w:hint="eastAsia"/>
                <w:szCs w:val="21"/>
              </w:rPr>
              <w:t>否</w:t>
            </w:r>
          </w:p>
        </w:tc>
        <w:tc>
          <w:tcPr>
            <w:tcW w:w="1224" w:type="dxa"/>
            <w:shd w:val="clear" w:color="auto" w:fill="auto"/>
            <w:vAlign w:val="center"/>
          </w:tcPr>
          <w:p>
            <w:pPr>
              <w:jc w:val="center"/>
              <w:rPr>
                <w:szCs w:val="21"/>
              </w:rPr>
            </w:pPr>
            <w:r>
              <w:rPr>
                <w:szCs w:val="21"/>
              </w:rPr>
              <w:t>否</w:t>
            </w:r>
          </w:p>
        </w:tc>
      </w:tr>
    </w:tbl>
    <w:p>
      <w:pPr>
        <w:spacing w:line="360" w:lineRule="auto"/>
        <w:ind w:firstLine="480" w:firstLineChars="200"/>
        <w:outlineLvl w:val="0"/>
        <w:rPr>
          <w:sz w:val="24"/>
        </w:rPr>
      </w:pPr>
      <w:r>
        <w:rPr>
          <w:rFonts w:hint="eastAsia"/>
          <w:sz w:val="24"/>
        </w:rPr>
        <w:t>注：</w:t>
      </w:r>
    </w:p>
    <w:p>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pPr>
        <w:spacing w:line="360" w:lineRule="auto"/>
        <w:ind w:firstLine="480" w:firstLineChars="200"/>
        <w:outlineLvl w:val="0"/>
        <w:rPr>
          <w:sz w:val="24"/>
        </w:rPr>
      </w:pPr>
      <w:r>
        <w:rPr>
          <w:rFonts w:hint="eastAsia"/>
          <w:sz w:val="24"/>
        </w:rPr>
        <w:t>加注“■”号条款为关键技术参数，按照评审因素及评标标准要求执行。</w:t>
      </w:r>
    </w:p>
    <w:p>
      <w:pPr>
        <w:spacing w:line="360" w:lineRule="auto"/>
        <w:ind w:firstLine="480" w:firstLineChars="200"/>
        <w:outlineLvl w:val="0"/>
        <w:rPr>
          <w:sz w:val="24"/>
        </w:rPr>
      </w:pPr>
      <w:r>
        <w:rPr>
          <w:rFonts w:hint="eastAsia"/>
          <w:sz w:val="24"/>
        </w:rPr>
        <w:t>加注“▲”号的产品为核心产品。</w:t>
      </w:r>
    </w:p>
    <w:p>
      <w:pPr>
        <w:spacing w:line="360" w:lineRule="auto"/>
        <w:ind w:firstLine="482" w:firstLineChars="200"/>
        <w:rPr>
          <w:rFonts w:ascii="宋体" w:hAnsi="宋体"/>
          <w:b/>
          <w:sz w:val="24"/>
        </w:rPr>
        <w:sectPr>
          <w:type w:val="continuous"/>
          <w:pgSz w:w="16838" w:h="11906" w:orient="landscape"/>
          <w:pgMar w:top="1800" w:right="1440" w:bottom="1800" w:left="1440" w:header="851" w:footer="992" w:gutter="0"/>
          <w:cols w:space="425" w:num="1"/>
          <w:docGrid w:type="lines" w:linePitch="312" w:charSpace="0"/>
        </w:sectPr>
      </w:pPr>
    </w:p>
    <w:p>
      <w:pPr>
        <w:spacing w:line="480" w:lineRule="exact"/>
        <w:ind w:firstLine="320" w:firstLineChars="100"/>
        <w:jc w:val="left"/>
        <w:outlineLvl w:val="3"/>
        <w:rPr>
          <w:rFonts w:ascii="宋体" w:hAnsi="宋体"/>
          <w:sz w:val="32"/>
          <w:szCs w:val="32"/>
        </w:rPr>
      </w:pPr>
      <w:r>
        <w:rPr>
          <w:rFonts w:hint="eastAsia" w:ascii="宋体" w:hAnsi="宋体"/>
          <w:sz w:val="32"/>
          <w:szCs w:val="32"/>
        </w:rPr>
        <w:t>（六）商务要求</w:t>
      </w:r>
    </w:p>
    <w:p>
      <w:pPr>
        <w:spacing w:line="360" w:lineRule="auto"/>
        <w:ind w:firstLine="640" w:firstLineChars="200"/>
        <w:outlineLvl w:val="0"/>
        <w:rPr>
          <w:rFonts w:ascii="宋体" w:hAnsi="宋体"/>
          <w:sz w:val="32"/>
          <w:szCs w:val="32"/>
        </w:rPr>
      </w:pPr>
      <w:r>
        <w:rPr>
          <w:rFonts w:hint="eastAsia" w:ascii="宋体" w:hAnsi="宋体"/>
          <w:sz w:val="32"/>
          <w:szCs w:val="32"/>
        </w:rPr>
        <w:t xml:space="preserve">1.★投标人须提交承诺函，承诺提供仪器的现场安装调试并达到投标文件中承诺的技术性能，如果由于仪器本身的原因未能在15天内调试通过，投标人必须更换新的同型号仪器。 </w:t>
      </w:r>
    </w:p>
    <w:p>
      <w:pPr>
        <w:spacing w:line="360" w:lineRule="auto"/>
        <w:ind w:firstLine="640" w:firstLineChars="200"/>
        <w:outlineLvl w:val="0"/>
        <w:rPr>
          <w:rFonts w:ascii="宋体" w:hAnsi="宋体"/>
          <w:sz w:val="32"/>
          <w:szCs w:val="32"/>
        </w:rPr>
      </w:pPr>
      <w:r>
        <w:rPr>
          <w:rFonts w:hint="eastAsia" w:ascii="宋体" w:hAnsi="宋体"/>
          <w:sz w:val="32"/>
          <w:szCs w:val="32"/>
        </w:rPr>
        <w:t>2. ★投标人须提交所投产品制造商针对本项目的售后服务及质保承诺函，确保所提供所有产品均为原厂生产，不得为副厂或组装件，并能及时为用户提供备品备件，及时提供维修服务。所投产品必须为2</w:t>
      </w:r>
      <w:r>
        <w:rPr>
          <w:rFonts w:ascii="宋体" w:hAnsi="宋体"/>
          <w:sz w:val="32"/>
          <w:szCs w:val="32"/>
        </w:rPr>
        <w:t>024</w:t>
      </w:r>
      <w:r>
        <w:rPr>
          <w:rFonts w:hint="eastAsia" w:ascii="宋体" w:hAnsi="宋体"/>
          <w:sz w:val="32"/>
          <w:szCs w:val="32"/>
        </w:rPr>
        <w:t>年1月1日后生产的全新产品，非积压产品承诺。</w:t>
      </w:r>
    </w:p>
    <w:p>
      <w:pPr>
        <w:spacing w:line="360" w:lineRule="auto"/>
        <w:ind w:firstLine="640" w:firstLineChars="200"/>
        <w:outlineLvl w:val="0"/>
        <w:rPr>
          <w:rFonts w:ascii="宋体" w:hAnsi="宋体"/>
          <w:sz w:val="32"/>
          <w:szCs w:val="32"/>
        </w:rPr>
      </w:pPr>
      <w:r>
        <w:rPr>
          <w:rFonts w:ascii="宋体" w:hAnsi="宋体"/>
          <w:sz w:val="32"/>
          <w:szCs w:val="32"/>
        </w:rPr>
        <w:t>3.</w:t>
      </w:r>
      <w:r>
        <w:rPr>
          <w:rFonts w:hint="eastAsia" w:ascii="宋体" w:hAnsi="宋体" w:cs="宋体"/>
          <w:sz w:val="32"/>
          <w:szCs w:val="32"/>
        </w:rPr>
        <w:t>★</w:t>
      </w:r>
      <w:r>
        <w:rPr>
          <w:rFonts w:hint="eastAsia" w:ascii="宋体" w:hAnsi="宋体"/>
          <w:sz w:val="32"/>
          <w:szCs w:val="32"/>
        </w:rPr>
        <w:t>本项目全部采购货物</w:t>
      </w:r>
      <w:r>
        <w:rPr>
          <w:rFonts w:ascii="宋体" w:hAnsi="宋体"/>
          <w:sz w:val="32"/>
          <w:szCs w:val="32"/>
        </w:rPr>
        <w:t>在调试验收通过后</w:t>
      </w:r>
      <w:r>
        <w:rPr>
          <w:rFonts w:hint="eastAsia" w:ascii="宋体" w:hAnsi="宋体"/>
          <w:sz w:val="32"/>
          <w:szCs w:val="32"/>
        </w:rPr>
        <w:t>免费</w:t>
      </w:r>
      <w:r>
        <w:rPr>
          <w:rFonts w:ascii="宋体" w:hAnsi="宋体"/>
          <w:sz w:val="32"/>
          <w:szCs w:val="32"/>
        </w:rPr>
        <w:t>提供一年</w:t>
      </w:r>
      <w:r>
        <w:rPr>
          <w:rFonts w:hint="eastAsia" w:ascii="宋体" w:hAnsi="宋体"/>
          <w:sz w:val="32"/>
          <w:szCs w:val="32"/>
        </w:rPr>
        <w:t>的质保</w:t>
      </w:r>
      <w:r>
        <w:rPr>
          <w:rFonts w:ascii="宋体" w:hAnsi="宋体"/>
          <w:sz w:val="32"/>
          <w:szCs w:val="32"/>
        </w:rPr>
        <w:t>服务</w:t>
      </w:r>
      <w:r>
        <w:rPr>
          <w:rFonts w:hint="eastAsia" w:ascii="宋体" w:hAnsi="宋体"/>
          <w:sz w:val="32"/>
          <w:szCs w:val="32"/>
        </w:rPr>
        <w:t>和备品备件、耗材等</w:t>
      </w:r>
      <w:r>
        <w:rPr>
          <w:rFonts w:ascii="宋体" w:hAnsi="宋体"/>
          <w:sz w:val="32"/>
          <w:szCs w:val="32"/>
        </w:rPr>
        <w:t>，</w:t>
      </w:r>
      <w:r>
        <w:rPr>
          <w:rFonts w:hint="eastAsia" w:ascii="宋体" w:hAnsi="宋体"/>
          <w:sz w:val="32"/>
          <w:szCs w:val="32"/>
        </w:rPr>
        <w:t>质保</w:t>
      </w:r>
      <w:r>
        <w:rPr>
          <w:rFonts w:ascii="宋体" w:hAnsi="宋体"/>
          <w:sz w:val="32"/>
          <w:szCs w:val="32"/>
        </w:rPr>
        <w:t>期以内，所有服务及零配件应全部免费</w:t>
      </w:r>
      <w:r>
        <w:rPr>
          <w:rFonts w:hint="eastAsia" w:ascii="宋体" w:hAnsi="宋体"/>
          <w:sz w:val="32"/>
          <w:szCs w:val="32"/>
        </w:rPr>
        <w:t>；设备有更高要求的以设备具体要求为准</w:t>
      </w:r>
      <w:r>
        <w:rPr>
          <w:rFonts w:ascii="宋体" w:hAnsi="宋体"/>
          <w:sz w:val="32"/>
          <w:szCs w:val="32"/>
        </w:rPr>
        <w:t>。</w:t>
      </w:r>
    </w:p>
    <w:p>
      <w:pPr>
        <w:spacing w:line="360" w:lineRule="auto"/>
        <w:ind w:firstLine="640" w:firstLineChars="200"/>
        <w:outlineLvl w:val="0"/>
        <w:rPr>
          <w:rFonts w:ascii="宋体" w:hAnsi="宋体" w:cs="宋体"/>
          <w:sz w:val="32"/>
          <w:szCs w:val="32"/>
        </w:rPr>
      </w:pPr>
      <w:r>
        <w:rPr>
          <w:rFonts w:ascii="宋体" w:hAnsi="宋体"/>
          <w:sz w:val="32"/>
          <w:szCs w:val="32"/>
        </w:rPr>
        <w:t>4.</w:t>
      </w:r>
      <w:r>
        <w:rPr>
          <w:rFonts w:hint="eastAsia" w:ascii="宋体" w:hAnsi="宋体" w:cs="宋体"/>
          <w:sz w:val="32"/>
          <w:szCs w:val="32"/>
        </w:rPr>
        <w:t>★报价要求</w:t>
      </w:r>
    </w:p>
    <w:p>
      <w:pPr>
        <w:spacing w:line="360" w:lineRule="auto"/>
        <w:ind w:firstLine="640" w:firstLineChars="200"/>
        <w:outlineLvl w:val="0"/>
        <w:rPr>
          <w:rFonts w:ascii="宋体" w:hAnsi="宋体"/>
          <w:sz w:val="32"/>
          <w:szCs w:val="32"/>
        </w:rPr>
      </w:pPr>
      <w:r>
        <w:rPr>
          <w:rFonts w:hint="eastAsia" w:ascii="宋体" w:hAnsi="宋体"/>
          <w:sz w:val="32"/>
          <w:szCs w:val="32"/>
        </w:rPr>
        <w:t>（1）投标报价以人民币填列。</w:t>
      </w:r>
    </w:p>
    <w:p>
      <w:pPr>
        <w:spacing w:line="360" w:lineRule="auto"/>
        <w:ind w:firstLine="640" w:firstLineChars="200"/>
        <w:outlineLvl w:val="0"/>
        <w:rPr>
          <w:rFonts w:ascii="宋体" w:hAnsi="宋体"/>
          <w:sz w:val="32"/>
          <w:szCs w:val="32"/>
        </w:rPr>
      </w:pPr>
      <w:r>
        <w:rPr>
          <w:rFonts w:hint="eastAsia" w:ascii="宋体" w:hAnsi="宋体"/>
          <w:sz w:val="32"/>
          <w:szCs w:val="32"/>
        </w:rPr>
        <w:t>（2）投标人的报价应包括：设备主机及附件货款、运输费、运输保险费、装卸费、安装调试费、集成费及其他应有的费用。投标人所报价格为货到现场安装调试完成及满足采购人针对本项目提出服务要求的最终优惠价格。</w:t>
      </w:r>
    </w:p>
    <w:p>
      <w:pPr>
        <w:spacing w:line="360" w:lineRule="auto"/>
        <w:ind w:firstLine="640" w:firstLineChars="200"/>
        <w:outlineLvl w:val="0"/>
        <w:rPr>
          <w:rFonts w:ascii="宋体" w:hAnsi="宋体"/>
          <w:sz w:val="32"/>
          <w:szCs w:val="32"/>
        </w:rPr>
      </w:pPr>
      <w:r>
        <w:rPr>
          <w:rFonts w:hint="eastAsia" w:ascii="宋体" w:hAnsi="宋体"/>
          <w:sz w:val="32"/>
          <w:szCs w:val="32"/>
        </w:rPr>
        <w:t>（3）验收及相关费用由投标人负责。</w:t>
      </w:r>
    </w:p>
    <w:p>
      <w:pPr>
        <w:spacing w:line="360" w:lineRule="auto"/>
        <w:ind w:firstLine="640" w:firstLineChars="200"/>
        <w:outlineLvl w:val="0"/>
        <w:rPr>
          <w:rFonts w:ascii="宋体" w:hAnsi="宋体"/>
          <w:sz w:val="32"/>
          <w:szCs w:val="32"/>
        </w:rPr>
      </w:pPr>
      <w:r>
        <w:rPr>
          <w:rFonts w:ascii="宋体" w:hAnsi="宋体"/>
          <w:sz w:val="32"/>
          <w:szCs w:val="32"/>
        </w:rPr>
        <w:t>5.提供所</w:t>
      </w:r>
      <w:r>
        <w:rPr>
          <w:rFonts w:hint="eastAsia" w:ascii="宋体" w:hAnsi="宋体"/>
          <w:sz w:val="32"/>
          <w:szCs w:val="32"/>
        </w:rPr>
        <w:t>投产品制造商服务机构情况，包括地址，联系方式、技术人员数量等。提供原厂标准的易耗品、消耗材料价格清单及折扣率</w:t>
      </w:r>
      <w:r>
        <w:rPr>
          <w:rFonts w:ascii="宋体" w:hAnsi="宋体"/>
          <w:sz w:val="32"/>
          <w:szCs w:val="32"/>
        </w:rPr>
        <w:t>。</w:t>
      </w:r>
    </w:p>
    <w:p>
      <w:pPr>
        <w:spacing w:line="360" w:lineRule="auto"/>
        <w:ind w:firstLine="640" w:firstLineChars="200"/>
        <w:outlineLvl w:val="0"/>
        <w:rPr>
          <w:rFonts w:ascii="宋体" w:hAnsi="宋体"/>
          <w:sz w:val="32"/>
          <w:szCs w:val="32"/>
        </w:rPr>
      </w:pPr>
      <w:r>
        <w:rPr>
          <w:rFonts w:ascii="宋体" w:hAnsi="宋体"/>
          <w:sz w:val="32"/>
          <w:szCs w:val="32"/>
        </w:rPr>
        <w:t>6.</w:t>
      </w:r>
      <w:r>
        <w:rPr>
          <w:rFonts w:hint="eastAsia" w:ascii="宋体" w:hAnsi="宋体"/>
          <w:sz w:val="32"/>
          <w:szCs w:val="32"/>
        </w:rPr>
        <w:t>所供仪器设备和系统应符合相应的国家/行业标准及规范。</w:t>
      </w:r>
    </w:p>
    <w:p>
      <w:pPr>
        <w:spacing w:line="360" w:lineRule="auto"/>
        <w:ind w:firstLine="640" w:firstLineChars="200"/>
        <w:outlineLvl w:val="0"/>
        <w:rPr>
          <w:rFonts w:ascii="宋体" w:hAnsi="宋体"/>
          <w:sz w:val="32"/>
          <w:szCs w:val="32"/>
        </w:rPr>
      </w:pPr>
      <w:r>
        <w:rPr>
          <w:rFonts w:ascii="宋体" w:hAnsi="宋体"/>
          <w:sz w:val="32"/>
          <w:szCs w:val="32"/>
        </w:rPr>
        <w:t>7.</w:t>
      </w:r>
      <w:r>
        <w:rPr>
          <w:rFonts w:hint="eastAsia" w:ascii="宋体" w:hAnsi="宋体"/>
          <w:sz w:val="32"/>
          <w:szCs w:val="32"/>
        </w:rPr>
        <w:t>交货日期：设备合同签订后30天内供货（特殊情况以合同为准）。</w:t>
      </w:r>
    </w:p>
    <w:p>
      <w:pPr>
        <w:spacing w:line="360" w:lineRule="auto"/>
        <w:ind w:firstLine="640" w:firstLineChars="200"/>
        <w:outlineLvl w:val="0"/>
        <w:rPr>
          <w:rFonts w:ascii="宋体" w:hAnsi="宋体"/>
          <w:sz w:val="32"/>
          <w:szCs w:val="32"/>
        </w:rPr>
      </w:pPr>
      <w:r>
        <w:rPr>
          <w:rFonts w:ascii="宋体" w:hAnsi="宋体"/>
          <w:sz w:val="32"/>
          <w:szCs w:val="32"/>
        </w:rPr>
        <w:t>8.</w:t>
      </w:r>
      <w:r>
        <w:rPr>
          <w:rFonts w:hint="eastAsia" w:ascii="宋体" w:hAnsi="宋体"/>
          <w:sz w:val="32"/>
          <w:szCs w:val="32"/>
        </w:rPr>
        <w:t>交货地点：买方指定地点。</w:t>
      </w:r>
    </w:p>
    <w:p>
      <w:pPr>
        <w:spacing w:line="360" w:lineRule="auto"/>
        <w:ind w:firstLine="640" w:firstLineChars="200"/>
        <w:outlineLvl w:val="0"/>
        <w:rPr>
          <w:rFonts w:ascii="宋体" w:hAnsi="宋体"/>
          <w:sz w:val="32"/>
          <w:szCs w:val="32"/>
        </w:rPr>
      </w:pPr>
      <w:r>
        <w:rPr>
          <w:rFonts w:ascii="宋体" w:hAnsi="宋体"/>
          <w:sz w:val="32"/>
          <w:szCs w:val="32"/>
        </w:rPr>
        <w:t>9.</w:t>
      </w:r>
      <w:r>
        <w:rPr>
          <w:rFonts w:hint="eastAsia" w:ascii="宋体" w:hAnsi="宋体"/>
          <w:sz w:val="32"/>
          <w:szCs w:val="32"/>
        </w:rPr>
        <w:t>售后服务：免费提供包括热线电话支持、现场维护维修、备品备件支持等多种方式在内的技术支持与服务，以及一年的运维工程师驻场服务，具体包括：</w:t>
      </w:r>
    </w:p>
    <w:p>
      <w:pPr>
        <w:spacing w:line="360" w:lineRule="auto"/>
        <w:ind w:firstLine="640" w:firstLineChars="200"/>
        <w:outlineLvl w:val="0"/>
        <w:rPr>
          <w:rFonts w:ascii="宋体" w:hAnsi="宋体"/>
          <w:sz w:val="32"/>
          <w:szCs w:val="32"/>
        </w:rPr>
      </w:pPr>
      <w:r>
        <w:rPr>
          <w:rFonts w:ascii="宋体" w:hAnsi="宋体"/>
          <w:sz w:val="32"/>
          <w:szCs w:val="32"/>
        </w:rPr>
        <w:t>（1）</w:t>
      </w:r>
      <w:r>
        <w:rPr>
          <w:rFonts w:hint="eastAsia" w:ascii="宋体" w:hAnsi="宋体"/>
          <w:sz w:val="32"/>
          <w:szCs w:val="32"/>
        </w:rPr>
        <w:t>7×24小时电话技术支持与故障维修；</w:t>
      </w:r>
    </w:p>
    <w:p>
      <w:pPr>
        <w:spacing w:line="360" w:lineRule="auto"/>
        <w:ind w:firstLine="640" w:firstLineChars="200"/>
        <w:outlineLvl w:val="0"/>
        <w:rPr>
          <w:rFonts w:ascii="宋体" w:hAnsi="宋体"/>
          <w:sz w:val="32"/>
          <w:szCs w:val="32"/>
        </w:rPr>
      </w:pPr>
      <w:r>
        <w:rPr>
          <w:rFonts w:ascii="宋体" w:hAnsi="宋体"/>
          <w:sz w:val="32"/>
          <w:szCs w:val="32"/>
        </w:rPr>
        <w:t>（2）</w:t>
      </w:r>
      <w:r>
        <w:rPr>
          <w:rFonts w:hint="eastAsia" w:ascii="宋体" w:hAnsi="宋体"/>
          <w:sz w:val="32"/>
          <w:szCs w:val="32"/>
        </w:rPr>
        <w:t>在4小时内对用户所反映的故障现象作出故障判断，如电话技术支持无效，需在24小时内到达现场进行故障排除；</w:t>
      </w:r>
    </w:p>
    <w:p>
      <w:pPr>
        <w:spacing w:line="360" w:lineRule="auto"/>
        <w:ind w:firstLine="640" w:firstLineChars="200"/>
        <w:outlineLvl w:val="0"/>
        <w:rPr>
          <w:rFonts w:ascii="宋体" w:hAnsi="宋体"/>
          <w:sz w:val="32"/>
          <w:szCs w:val="32"/>
        </w:rPr>
      </w:pPr>
      <w:r>
        <w:rPr>
          <w:rFonts w:hint="eastAsia" w:ascii="宋体" w:hAnsi="宋体"/>
          <w:sz w:val="32"/>
          <w:szCs w:val="32"/>
        </w:rPr>
        <w:t>（</w:t>
      </w:r>
      <w:r>
        <w:rPr>
          <w:rFonts w:ascii="宋体" w:hAnsi="宋体"/>
          <w:sz w:val="32"/>
          <w:szCs w:val="32"/>
        </w:rPr>
        <w:t>3</w:t>
      </w:r>
      <w:r>
        <w:rPr>
          <w:rFonts w:hint="eastAsia" w:ascii="宋体" w:hAnsi="宋体"/>
          <w:sz w:val="32"/>
          <w:szCs w:val="32"/>
        </w:rPr>
        <w:t>）在接到维修要求后，在1天内完成维修工作，重大故障维修不超过3天。</w:t>
      </w:r>
    </w:p>
    <w:p>
      <w:pPr>
        <w:spacing w:line="360" w:lineRule="auto"/>
        <w:ind w:firstLine="640" w:firstLineChars="200"/>
        <w:outlineLvl w:val="0"/>
        <w:rPr>
          <w:rFonts w:hint="eastAsia" w:ascii="宋体" w:hAnsi="宋体"/>
          <w:sz w:val="32"/>
          <w:szCs w:val="32"/>
        </w:rPr>
      </w:pPr>
      <w:r>
        <w:rPr>
          <w:rFonts w:ascii="宋体" w:hAnsi="宋体"/>
          <w:sz w:val="32"/>
          <w:szCs w:val="32"/>
        </w:rPr>
        <w:t>10.</w:t>
      </w:r>
      <w:r>
        <w:rPr>
          <w:rFonts w:hint="eastAsia" w:ascii="宋体" w:hAnsi="宋体"/>
          <w:sz w:val="32"/>
          <w:szCs w:val="32"/>
        </w:rPr>
        <w:t>提供仪器安装地点不少于3天的现场使用培训。</w:t>
      </w:r>
    </w:p>
    <w:p>
      <w:pPr>
        <w:spacing w:line="360" w:lineRule="auto"/>
        <w:ind w:firstLine="640" w:firstLineChars="200"/>
        <w:outlineLvl w:val="0"/>
        <w:rPr>
          <w:rFonts w:hint="eastAsia" w:ascii="宋体" w:hAnsi="宋体"/>
          <w:sz w:val="32"/>
          <w:szCs w:val="32"/>
        </w:rPr>
      </w:pPr>
    </w:p>
    <w:p>
      <w:pPr>
        <w:spacing w:line="480" w:lineRule="exact"/>
        <w:ind w:firstLine="320" w:firstLineChars="100"/>
        <w:jc w:val="left"/>
        <w:outlineLvl w:val="3"/>
        <w:rPr>
          <w:rFonts w:hint="eastAsia" w:ascii="宋体" w:hAnsi="宋体" w:eastAsia="宋体"/>
          <w:sz w:val="32"/>
          <w:szCs w:val="32"/>
          <w:lang w:eastAsia="zh-CN"/>
        </w:rPr>
      </w:pPr>
      <w:r>
        <w:rPr>
          <w:rFonts w:hint="eastAsia" w:ascii="宋体" w:hAnsi="宋体"/>
          <w:sz w:val="32"/>
          <w:szCs w:val="32"/>
        </w:rPr>
        <w:t>（</w:t>
      </w:r>
      <w:r>
        <w:rPr>
          <w:rFonts w:hint="eastAsia" w:ascii="宋体" w:hAnsi="宋体"/>
          <w:sz w:val="32"/>
          <w:szCs w:val="32"/>
          <w:lang w:eastAsia="zh-CN"/>
        </w:rPr>
        <w:t>七</w:t>
      </w:r>
      <w:r>
        <w:rPr>
          <w:rFonts w:hint="eastAsia" w:ascii="宋体" w:hAnsi="宋体"/>
          <w:sz w:val="32"/>
          <w:szCs w:val="32"/>
        </w:rPr>
        <w:t>）</w:t>
      </w:r>
      <w:r>
        <w:rPr>
          <w:rFonts w:hint="eastAsia" w:ascii="宋体" w:hAnsi="宋体"/>
          <w:sz w:val="32"/>
          <w:szCs w:val="32"/>
          <w:lang w:eastAsia="zh-CN"/>
        </w:rPr>
        <w:t>验收标准</w:t>
      </w:r>
    </w:p>
    <w:p>
      <w:pPr>
        <w:spacing w:line="360" w:lineRule="auto"/>
        <w:ind w:firstLine="640" w:firstLineChars="200"/>
        <w:outlineLvl w:val="0"/>
        <w:rPr>
          <w:rFonts w:ascii="宋体" w:hAnsi="宋体"/>
          <w:sz w:val="32"/>
          <w:szCs w:val="32"/>
        </w:rPr>
      </w:pPr>
      <w:r>
        <w:rPr>
          <w:rFonts w:hint="eastAsia" w:ascii="宋体" w:hAnsi="宋体"/>
          <w:sz w:val="32"/>
          <w:szCs w:val="32"/>
        </w:rPr>
        <w:t>1.投标人中标后须在仪器到货后15天内完成所有仪器设备的开箱和性能测试；</w:t>
      </w:r>
    </w:p>
    <w:p>
      <w:pPr>
        <w:spacing w:line="360" w:lineRule="auto"/>
        <w:ind w:firstLine="640" w:firstLineChars="200"/>
        <w:outlineLvl w:val="0"/>
        <w:rPr>
          <w:rFonts w:ascii="宋体" w:hAnsi="宋体"/>
          <w:sz w:val="32"/>
          <w:szCs w:val="32"/>
        </w:rPr>
      </w:pPr>
      <w:r>
        <w:rPr>
          <w:rFonts w:hint="eastAsia" w:ascii="宋体" w:hAnsi="宋体"/>
          <w:sz w:val="32"/>
          <w:szCs w:val="32"/>
        </w:rPr>
        <w:t>2.根据《环境空气颗粒物（PM2.5）中水溶性离子连续自动监测技术规范》（HJ 1328-2023）中的规定，完成环境空气气溶胶及气体组分在线离子色谱监测系统性能测试；</w:t>
      </w:r>
    </w:p>
    <w:p>
      <w:pPr>
        <w:spacing w:line="360" w:lineRule="auto"/>
        <w:ind w:firstLine="640" w:firstLineChars="200"/>
        <w:outlineLvl w:val="0"/>
        <w:rPr>
          <w:rFonts w:ascii="宋体" w:hAnsi="宋体"/>
          <w:sz w:val="32"/>
          <w:szCs w:val="32"/>
        </w:rPr>
      </w:pPr>
      <w:r>
        <w:rPr>
          <w:rFonts w:hint="eastAsia" w:ascii="宋体" w:hAnsi="宋体"/>
          <w:sz w:val="32"/>
          <w:szCs w:val="32"/>
        </w:rPr>
        <w:t>3.根据《环境空气颗粒物（PM2.5）中有机碳和元素碳连续自动监测技术规范》（HJ 1327-2023）中的规定，完成环境空气颗粒物（PM2.5)有机碳元素碳连续自动监测系统（OC/EC)性能测试；</w:t>
      </w:r>
    </w:p>
    <w:p>
      <w:pPr>
        <w:spacing w:line="360" w:lineRule="auto"/>
        <w:ind w:firstLine="640" w:firstLineChars="200"/>
        <w:outlineLvl w:val="0"/>
        <w:rPr>
          <w:rFonts w:ascii="宋体" w:hAnsi="宋体"/>
          <w:sz w:val="32"/>
          <w:szCs w:val="32"/>
        </w:rPr>
      </w:pPr>
      <w:r>
        <w:rPr>
          <w:rFonts w:hint="eastAsia" w:ascii="宋体" w:hAnsi="宋体"/>
          <w:sz w:val="32"/>
          <w:szCs w:val="32"/>
        </w:rPr>
        <w:t>4.根据《环境空气非甲烷总烃连续自动监测技术规定（试行)》中的规定，完成环境空气非甲烷总烃连续自动监测系统性能测试。</w:t>
      </w:r>
    </w:p>
    <w:p>
      <w:pPr>
        <w:spacing w:line="360" w:lineRule="auto"/>
        <w:ind w:firstLine="640" w:firstLineChars="200"/>
        <w:outlineLvl w:val="0"/>
        <w:rPr>
          <w:rFonts w:ascii="宋体" w:hAnsi="宋体"/>
          <w:sz w:val="32"/>
          <w:szCs w:val="32"/>
        </w:rPr>
      </w:pPr>
      <w:r>
        <w:rPr>
          <w:rFonts w:hint="eastAsia" w:ascii="宋体" w:hAnsi="宋体"/>
          <w:sz w:val="32"/>
          <w:szCs w:val="32"/>
        </w:rPr>
        <w:t>5.全部性能测试完成后，投标人须负责各环境监测点位的仪器设备现场安装调试和联网，达到现场验收条件；</w:t>
      </w:r>
    </w:p>
    <w:p>
      <w:pPr>
        <w:spacing w:line="360" w:lineRule="auto"/>
        <w:ind w:firstLine="640" w:firstLineChars="200"/>
        <w:outlineLvl w:val="0"/>
        <w:rPr>
          <w:rFonts w:hint="eastAsia" w:ascii="宋体" w:hAnsi="宋体"/>
          <w:sz w:val="32"/>
          <w:szCs w:val="32"/>
        </w:rPr>
      </w:pPr>
      <w:r>
        <w:rPr>
          <w:rFonts w:hint="eastAsia" w:ascii="宋体" w:hAnsi="宋体"/>
          <w:sz w:val="32"/>
          <w:szCs w:val="32"/>
        </w:rPr>
        <w:t>6.其他仪器按照投标人投标文件中所列技术条款逐台验收。</w:t>
      </w:r>
    </w:p>
    <w:p>
      <w:pPr>
        <w:spacing w:line="360" w:lineRule="auto"/>
        <w:ind w:firstLine="640" w:firstLineChars="200"/>
        <w:outlineLvl w:val="0"/>
        <w:rPr>
          <w:rFonts w:hint="eastAsia" w:ascii="宋体" w:hAnsi="宋体"/>
          <w:sz w:val="32"/>
          <w:szCs w:val="32"/>
        </w:rPr>
      </w:pPr>
    </w:p>
    <w:p>
      <w:pPr>
        <w:spacing w:line="480" w:lineRule="exact"/>
        <w:ind w:firstLine="320" w:firstLineChars="100"/>
        <w:jc w:val="left"/>
        <w:outlineLvl w:val="3"/>
        <w:rPr>
          <w:rFonts w:hint="eastAsia" w:ascii="宋体" w:hAnsi="宋体" w:eastAsia="宋体"/>
          <w:sz w:val="32"/>
          <w:szCs w:val="32"/>
          <w:lang w:eastAsia="zh-CN"/>
        </w:rPr>
      </w:pPr>
      <w:r>
        <w:rPr>
          <w:rFonts w:hint="eastAsia" w:ascii="宋体" w:hAnsi="宋体"/>
          <w:sz w:val="32"/>
          <w:szCs w:val="32"/>
        </w:rPr>
        <w:t>（</w:t>
      </w:r>
      <w:r>
        <w:rPr>
          <w:rFonts w:hint="eastAsia" w:ascii="宋体" w:hAnsi="宋体"/>
          <w:sz w:val="32"/>
          <w:szCs w:val="32"/>
          <w:lang w:eastAsia="zh-CN"/>
        </w:rPr>
        <w:t>八</w:t>
      </w:r>
      <w:r>
        <w:rPr>
          <w:rFonts w:hint="eastAsia" w:ascii="宋体" w:hAnsi="宋体"/>
          <w:sz w:val="32"/>
          <w:szCs w:val="32"/>
        </w:rPr>
        <w:t>）</w:t>
      </w:r>
      <w:r>
        <w:rPr>
          <w:rFonts w:hint="eastAsia" w:ascii="宋体" w:hAnsi="宋体"/>
          <w:sz w:val="32"/>
          <w:szCs w:val="32"/>
          <w:lang w:eastAsia="zh-CN"/>
        </w:rPr>
        <w:t>其他要求</w:t>
      </w:r>
    </w:p>
    <w:p>
      <w:pPr>
        <w:spacing w:line="360" w:lineRule="auto"/>
        <w:ind w:firstLine="640" w:firstLineChars="200"/>
        <w:outlineLvl w:val="0"/>
        <w:rPr>
          <w:sz w:val="32"/>
          <w:szCs w:val="32"/>
        </w:rPr>
      </w:pPr>
      <w:r>
        <w:rPr>
          <w:rFonts w:hint="eastAsia"/>
          <w:sz w:val="32"/>
          <w:szCs w:val="32"/>
        </w:rPr>
        <w:t>1. 投标人须承诺所投产品和服务符合相关强制性规定。交货时采购人有权要求投标人出具所投产品、服务符合上述规定的证明文件。</w:t>
      </w:r>
    </w:p>
    <w:p>
      <w:pPr>
        <w:spacing w:line="360" w:lineRule="auto"/>
        <w:ind w:firstLine="640" w:firstLineChars="200"/>
        <w:outlineLvl w:val="0"/>
        <w:rPr>
          <w:sz w:val="32"/>
          <w:szCs w:val="32"/>
        </w:rPr>
      </w:pPr>
      <w:r>
        <w:rPr>
          <w:rFonts w:hint="eastAsia"/>
          <w:sz w:val="32"/>
          <w:szCs w:val="32"/>
        </w:rPr>
        <w:t xml:space="preserve">2. </w:t>
      </w:r>
      <w:r>
        <w:rPr>
          <w:sz w:val="32"/>
          <w:szCs w:val="32"/>
        </w:rPr>
        <w:t>投标文件中对所投产品的名称、品牌、</w:t>
      </w:r>
      <w:r>
        <w:rPr>
          <w:rFonts w:hint="eastAsia"/>
          <w:sz w:val="32"/>
          <w:szCs w:val="32"/>
        </w:rPr>
        <w:t>制造商</w:t>
      </w:r>
      <w:r>
        <w:rPr>
          <w:sz w:val="32"/>
          <w:szCs w:val="32"/>
        </w:rPr>
        <w:t>、产地、主要技术性能指标及其在技术、安全、性能、管理、厂家标准、使用年限及售后服务等方面情况提供详细的具有法律效力的技术资料。</w:t>
      </w:r>
    </w:p>
    <w:p>
      <w:pPr>
        <w:spacing w:line="360" w:lineRule="auto"/>
        <w:ind w:firstLine="640" w:firstLineChars="200"/>
        <w:outlineLvl w:val="0"/>
        <w:rPr>
          <w:sz w:val="32"/>
          <w:szCs w:val="32"/>
        </w:rPr>
      </w:pPr>
      <w:r>
        <w:rPr>
          <w:rFonts w:hint="eastAsia"/>
          <w:sz w:val="32"/>
          <w:szCs w:val="32"/>
        </w:rPr>
        <w:t>3. 投标文件中提供能够证明所投产品性能质量的证明材料，如检测/检验/试验/测试报告、与所投产品相关的知识产权证书、第三方认证机构出具的认证证书等。</w:t>
      </w:r>
    </w:p>
    <w:p>
      <w:pPr>
        <w:spacing w:line="360" w:lineRule="auto"/>
        <w:ind w:firstLine="640" w:firstLineChars="200"/>
        <w:outlineLvl w:val="0"/>
        <w:rPr>
          <w:sz w:val="32"/>
          <w:szCs w:val="32"/>
        </w:rPr>
      </w:pPr>
      <w:r>
        <w:rPr>
          <w:rFonts w:hint="eastAsia"/>
          <w:sz w:val="32"/>
          <w:szCs w:val="32"/>
        </w:rPr>
        <w:t>4. 投标文件中提供能够证明所投产品制造商或供应商能力的证明材料，如质量管理体系认证、职业健康安全管理体系认证、环境管理体系认证等。</w:t>
      </w:r>
    </w:p>
    <w:p>
      <w:pPr>
        <w:spacing w:line="360" w:lineRule="auto"/>
        <w:ind w:firstLine="640" w:firstLineChars="200"/>
        <w:outlineLvl w:val="0"/>
        <w:rPr>
          <w:sz w:val="32"/>
          <w:szCs w:val="32"/>
        </w:rPr>
      </w:pPr>
      <w:r>
        <w:rPr>
          <w:rFonts w:hint="eastAsia"/>
          <w:sz w:val="32"/>
          <w:szCs w:val="32"/>
        </w:rPr>
        <w:t>5. 投标文件中提供从</w:t>
      </w:r>
      <w:r>
        <w:rPr>
          <w:sz w:val="32"/>
          <w:szCs w:val="32"/>
        </w:rPr>
        <w:t>所投产品原材料采购、设计、加工制作、存储、流通、回收等产品全生命周期各环节，详细阐述该产品节能、环保及绿色供应链管理情况，提供相关证明文件，形式包括证书、图示、文字说明等。</w:t>
      </w:r>
    </w:p>
    <w:p>
      <w:pPr>
        <w:spacing w:line="360" w:lineRule="auto"/>
        <w:ind w:firstLine="640" w:firstLineChars="200"/>
        <w:outlineLvl w:val="0"/>
        <w:rPr>
          <w:sz w:val="32"/>
          <w:szCs w:val="32"/>
        </w:rPr>
      </w:pPr>
      <w:r>
        <w:rPr>
          <w:rFonts w:hint="eastAsia"/>
          <w:sz w:val="32"/>
          <w:szCs w:val="32"/>
        </w:rPr>
        <w:t>6. 投标文件中提供整体技术方案，方案内容至少包括但不限于：所投仪器设备选型、仪器设备技术性能特点简介、针对监测数据采集和传输系统提供安全性和保障性服务方案、智慧化专用监测站房建设方案、安装调试方案、验收方案等。</w:t>
      </w:r>
    </w:p>
    <w:p>
      <w:pPr>
        <w:spacing w:line="360" w:lineRule="auto"/>
        <w:ind w:firstLine="640" w:firstLineChars="200"/>
        <w:outlineLvl w:val="0"/>
        <w:rPr>
          <w:sz w:val="32"/>
          <w:szCs w:val="32"/>
        </w:rPr>
      </w:pPr>
      <w:r>
        <w:rPr>
          <w:rFonts w:hint="eastAsia"/>
          <w:sz w:val="32"/>
          <w:szCs w:val="32"/>
        </w:rPr>
        <w:t>7. 投标文件中提供售后服务方案，方案内容至少包括但不限于：技术支持保障措施、仪器故障响应时间、完成维修时限、应急方案、培训方案等。</w:t>
      </w:r>
    </w:p>
    <w:p>
      <w:pPr>
        <w:spacing w:line="360" w:lineRule="auto"/>
        <w:ind w:firstLine="640" w:firstLineChars="200"/>
        <w:outlineLvl w:val="0"/>
        <w:rPr>
          <w:sz w:val="32"/>
          <w:szCs w:val="32"/>
        </w:rPr>
      </w:pPr>
      <w:r>
        <w:rPr>
          <w:rFonts w:hint="eastAsia"/>
          <w:sz w:val="32"/>
          <w:szCs w:val="32"/>
        </w:rPr>
        <w:t>8. 投标文件中提供数据采集传输系统和</w:t>
      </w:r>
      <w:r>
        <w:rPr>
          <w:rFonts w:hint="eastAsia" w:cs="宋体"/>
          <w:sz w:val="32"/>
          <w:szCs w:val="24"/>
        </w:rPr>
        <w:t>自动质控系统</w:t>
      </w:r>
      <w:r>
        <w:rPr>
          <w:rFonts w:hint="eastAsia"/>
          <w:sz w:val="32"/>
          <w:szCs w:val="32"/>
        </w:rPr>
        <w:t>连接方案，方案内容至少包括但不限于：所投仪器设备与采购人现有数据管理平台对接，实现监测数据、仪器运行状态参数采集功能等。</w:t>
      </w:r>
    </w:p>
    <w:p>
      <w:pPr>
        <w:spacing w:line="360" w:lineRule="auto"/>
        <w:rPr>
          <w:rFonts w:ascii="宋体" w:hAnsi="宋体"/>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文星仿宋">
    <w:altName w:val="仿宋"/>
    <w:panose1 w:val="00000000000000000000"/>
    <w:charset w:val="00"/>
    <w:family w:val="auto"/>
    <w:pitch w:val="default"/>
    <w:sig w:usb0="00000000" w:usb1="00000000" w:usb2="00000010" w:usb3="00000000" w:csb0="00040001" w:csb1="00000000"/>
  </w:font>
  <w:font w:name="Cambria">
    <w:panose1 w:val="02040503050406030204"/>
    <w:charset w:val="00"/>
    <w:family w:val="roman"/>
    <w:pitch w:val="default"/>
    <w:sig w:usb0="E00002FF" w:usb1="400004FF" w:usb2="00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right"/>
      <w:rPr>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8</w:t>
    </w:r>
    <w:r>
      <w:rPr>
        <w:rFonts w:ascii="宋体" w:hAnsi="宋体"/>
        <w:sz w:val="28"/>
        <w:szCs w:val="28"/>
      </w:rPr>
      <w:fldChar w:fldCharType="end"/>
    </w:r>
    <w:r>
      <w:rPr>
        <w:rFonts w:hint="eastAsia" w:ascii="宋体" w:hAnsi="宋体"/>
        <w:sz w:val="28"/>
        <w:szCs w:val="28"/>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966F2EF"/>
    <w:multiLevelType w:val="singleLevel"/>
    <w:tmpl w:val="F966F2EF"/>
    <w:lvl w:ilvl="0" w:tentative="0">
      <w:start w:val="1"/>
      <w:numFmt w:val="decimal"/>
      <w:suff w:val="space"/>
      <w:lvlText w:val="%1."/>
      <w:lvlJc w:val="left"/>
    </w:lvl>
  </w:abstractNum>
  <w:abstractNum w:abstractNumId="1">
    <w:nsid w:val="743F063D"/>
    <w:multiLevelType w:val="singleLevel"/>
    <w:tmpl w:val="743F063D"/>
    <w:lvl w:ilvl="0" w:tentative="0">
      <w:start w:val="1"/>
      <w:numFmt w:val="decimal"/>
      <w:suff w:val="space"/>
      <w:lvlText w:val="%1."/>
      <w:lvlJc w:val="left"/>
    </w:lvl>
  </w:abstractNum>
  <w:abstractNum w:abstractNumId="2">
    <w:nsid w:val="7B5F38EF"/>
    <w:multiLevelType w:val="multilevel"/>
    <w:tmpl w:val="7B5F38EF"/>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I0NWQ4Y2M5ZWNlYjE0M2ZjZDdkOWE1ODk2YThiNzMifQ=="/>
  </w:docVars>
  <w:rsids>
    <w:rsidRoot w:val="27FE6C9D"/>
    <w:rsid w:val="000073DE"/>
    <w:rsid w:val="00016F6C"/>
    <w:rsid w:val="000302E8"/>
    <w:rsid w:val="00031836"/>
    <w:rsid w:val="00067D06"/>
    <w:rsid w:val="000879BC"/>
    <w:rsid w:val="00090BE9"/>
    <w:rsid w:val="00091C2E"/>
    <w:rsid w:val="000B2ABF"/>
    <w:rsid w:val="000B32FF"/>
    <w:rsid w:val="000B6035"/>
    <w:rsid w:val="000B7C64"/>
    <w:rsid w:val="00125B1B"/>
    <w:rsid w:val="00166409"/>
    <w:rsid w:val="0018539E"/>
    <w:rsid w:val="0018633F"/>
    <w:rsid w:val="00195C77"/>
    <w:rsid w:val="001A036F"/>
    <w:rsid w:val="001D6757"/>
    <w:rsid w:val="002045CE"/>
    <w:rsid w:val="00207E21"/>
    <w:rsid w:val="00212267"/>
    <w:rsid w:val="002244E1"/>
    <w:rsid w:val="00247A11"/>
    <w:rsid w:val="00251649"/>
    <w:rsid w:val="00265002"/>
    <w:rsid w:val="00272AA2"/>
    <w:rsid w:val="0029081A"/>
    <w:rsid w:val="002A1253"/>
    <w:rsid w:val="002B04FF"/>
    <w:rsid w:val="002D0429"/>
    <w:rsid w:val="002D3F21"/>
    <w:rsid w:val="002D5170"/>
    <w:rsid w:val="00302B94"/>
    <w:rsid w:val="00305346"/>
    <w:rsid w:val="00312031"/>
    <w:rsid w:val="00346696"/>
    <w:rsid w:val="0035604C"/>
    <w:rsid w:val="00356A88"/>
    <w:rsid w:val="003815F9"/>
    <w:rsid w:val="0039335E"/>
    <w:rsid w:val="003A41E2"/>
    <w:rsid w:val="003C43AF"/>
    <w:rsid w:val="003F43CC"/>
    <w:rsid w:val="004837E3"/>
    <w:rsid w:val="004A1B4E"/>
    <w:rsid w:val="004C1E96"/>
    <w:rsid w:val="004D48F2"/>
    <w:rsid w:val="004F170E"/>
    <w:rsid w:val="00501893"/>
    <w:rsid w:val="0055515A"/>
    <w:rsid w:val="00557536"/>
    <w:rsid w:val="005673A3"/>
    <w:rsid w:val="005A14CE"/>
    <w:rsid w:val="005B66E8"/>
    <w:rsid w:val="005C2CF3"/>
    <w:rsid w:val="005D4C9E"/>
    <w:rsid w:val="005E65AD"/>
    <w:rsid w:val="0061471E"/>
    <w:rsid w:val="00623AB1"/>
    <w:rsid w:val="00634ED8"/>
    <w:rsid w:val="006B4770"/>
    <w:rsid w:val="006D385F"/>
    <w:rsid w:val="006D7F24"/>
    <w:rsid w:val="006E2114"/>
    <w:rsid w:val="006E6EEA"/>
    <w:rsid w:val="006F11CA"/>
    <w:rsid w:val="0071295B"/>
    <w:rsid w:val="00730561"/>
    <w:rsid w:val="00735706"/>
    <w:rsid w:val="007507F4"/>
    <w:rsid w:val="00750E5F"/>
    <w:rsid w:val="0078434B"/>
    <w:rsid w:val="00786205"/>
    <w:rsid w:val="0079483A"/>
    <w:rsid w:val="007B0559"/>
    <w:rsid w:val="007B2FF9"/>
    <w:rsid w:val="007C028C"/>
    <w:rsid w:val="007C7D53"/>
    <w:rsid w:val="00802498"/>
    <w:rsid w:val="008305C5"/>
    <w:rsid w:val="00843DC6"/>
    <w:rsid w:val="00846A6D"/>
    <w:rsid w:val="00851D36"/>
    <w:rsid w:val="00860EC5"/>
    <w:rsid w:val="00864479"/>
    <w:rsid w:val="0089452B"/>
    <w:rsid w:val="008C0132"/>
    <w:rsid w:val="008C32A6"/>
    <w:rsid w:val="008F2E26"/>
    <w:rsid w:val="00917FB4"/>
    <w:rsid w:val="00921151"/>
    <w:rsid w:val="00927D91"/>
    <w:rsid w:val="0093179B"/>
    <w:rsid w:val="00963884"/>
    <w:rsid w:val="009850BD"/>
    <w:rsid w:val="009854F4"/>
    <w:rsid w:val="009A1684"/>
    <w:rsid w:val="009A1E92"/>
    <w:rsid w:val="009B3779"/>
    <w:rsid w:val="009D58BF"/>
    <w:rsid w:val="009E013C"/>
    <w:rsid w:val="009F0E8A"/>
    <w:rsid w:val="009F1D26"/>
    <w:rsid w:val="009F5F8A"/>
    <w:rsid w:val="00A03895"/>
    <w:rsid w:val="00A23485"/>
    <w:rsid w:val="00A27CEE"/>
    <w:rsid w:val="00A31CCB"/>
    <w:rsid w:val="00A46D59"/>
    <w:rsid w:val="00A7763F"/>
    <w:rsid w:val="00A9785D"/>
    <w:rsid w:val="00AD3C93"/>
    <w:rsid w:val="00AD5277"/>
    <w:rsid w:val="00AD6034"/>
    <w:rsid w:val="00B15F42"/>
    <w:rsid w:val="00B2119B"/>
    <w:rsid w:val="00B23699"/>
    <w:rsid w:val="00B46DE0"/>
    <w:rsid w:val="00B670B8"/>
    <w:rsid w:val="00B73B95"/>
    <w:rsid w:val="00B805B2"/>
    <w:rsid w:val="00B90E85"/>
    <w:rsid w:val="00BA78F9"/>
    <w:rsid w:val="00BD2EC6"/>
    <w:rsid w:val="00C00943"/>
    <w:rsid w:val="00C26299"/>
    <w:rsid w:val="00C62D22"/>
    <w:rsid w:val="00CD1BE9"/>
    <w:rsid w:val="00D4328C"/>
    <w:rsid w:val="00D4695C"/>
    <w:rsid w:val="00D6090D"/>
    <w:rsid w:val="00D8439B"/>
    <w:rsid w:val="00D96A57"/>
    <w:rsid w:val="00DB36F4"/>
    <w:rsid w:val="00DC78CE"/>
    <w:rsid w:val="00DE43EF"/>
    <w:rsid w:val="00E005F2"/>
    <w:rsid w:val="00E12D81"/>
    <w:rsid w:val="00E16D5A"/>
    <w:rsid w:val="00E272A4"/>
    <w:rsid w:val="00E40366"/>
    <w:rsid w:val="00E405A2"/>
    <w:rsid w:val="00E6321F"/>
    <w:rsid w:val="00E66647"/>
    <w:rsid w:val="00E8147E"/>
    <w:rsid w:val="00E87A54"/>
    <w:rsid w:val="00EA62D8"/>
    <w:rsid w:val="00EA78E9"/>
    <w:rsid w:val="00EB5F1E"/>
    <w:rsid w:val="00ED7370"/>
    <w:rsid w:val="00EE0CD9"/>
    <w:rsid w:val="00EF43F1"/>
    <w:rsid w:val="00F61F58"/>
    <w:rsid w:val="00F64253"/>
    <w:rsid w:val="00F823B7"/>
    <w:rsid w:val="00F84DB7"/>
    <w:rsid w:val="00F92BDE"/>
    <w:rsid w:val="00F953C6"/>
    <w:rsid w:val="00FB49E6"/>
    <w:rsid w:val="00FC7B1A"/>
    <w:rsid w:val="00FD34B7"/>
    <w:rsid w:val="00FE2354"/>
    <w:rsid w:val="00FF4A89"/>
    <w:rsid w:val="07192104"/>
    <w:rsid w:val="17785D30"/>
    <w:rsid w:val="1C845844"/>
    <w:rsid w:val="23E871E0"/>
    <w:rsid w:val="27FE6C9D"/>
    <w:rsid w:val="2B09235F"/>
    <w:rsid w:val="2B1E17F1"/>
    <w:rsid w:val="334C5DB8"/>
    <w:rsid w:val="35871E5F"/>
    <w:rsid w:val="3B626FCB"/>
    <w:rsid w:val="4BFF62F4"/>
    <w:rsid w:val="4D8D5357"/>
    <w:rsid w:val="54AB2D04"/>
    <w:rsid w:val="56CA13C9"/>
    <w:rsid w:val="5C5477DD"/>
    <w:rsid w:val="5C9A1F68"/>
    <w:rsid w:val="609D45EE"/>
    <w:rsid w:val="65DC47B2"/>
    <w:rsid w:val="73F90A84"/>
    <w:rsid w:val="7BB51357"/>
    <w:rsid w:val="7C305FF1"/>
    <w:rsid w:val="7CFB18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10">
    <w:name w:val="Normal Table"/>
    <w:semiHidden/>
    <w:unhideWhenUsed/>
    <w:qFormat/>
    <w:uiPriority w:val="99"/>
    <w:tblPr>
      <w:tblLayout w:type="fixed"/>
      <w:tblCellMar>
        <w:top w:w="0" w:type="dxa"/>
        <w:left w:w="108" w:type="dxa"/>
        <w:bottom w:w="0" w:type="dxa"/>
        <w:right w:w="108" w:type="dxa"/>
      </w:tblCellMar>
    </w:tblPr>
  </w:style>
  <w:style w:type="paragraph" w:styleId="2">
    <w:name w:val="annotation text"/>
    <w:basedOn w:val="1"/>
    <w:link w:val="14"/>
    <w:unhideWhenUsed/>
    <w:qFormat/>
    <w:uiPriority w:val="99"/>
    <w:pPr>
      <w:jc w:val="left"/>
    </w:pPr>
    <w:rPr>
      <w:szCs w:val="20"/>
    </w:rPr>
  </w:style>
  <w:style w:type="paragraph" w:styleId="3">
    <w:name w:val="Body Text"/>
    <w:basedOn w:val="1"/>
    <w:next w:val="1"/>
    <w:qFormat/>
    <w:uiPriority w:val="99"/>
    <w:rPr>
      <w:rFonts w:eastAsia="文星仿宋"/>
      <w:kern w:val="0"/>
      <w:sz w:val="24"/>
    </w:rPr>
  </w:style>
  <w:style w:type="paragraph" w:styleId="4">
    <w:name w:val="Balloon Text"/>
    <w:basedOn w:val="1"/>
    <w:link w:val="17"/>
    <w:qFormat/>
    <w:uiPriority w:val="0"/>
    <w:rPr>
      <w:sz w:val="18"/>
      <w:szCs w:val="18"/>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7">
    <w:name w:val="Title"/>
    <w:basedOn w:val="1"/>
    <w:next w:val="1"/>
    <w:qFormat/>
    <w:uiPriority w:val="10"/>
    <w:pPr>
      <w:spacing w:before="240" w:after="60"/>
      <w:jc w:val="center"/>
      <w:outlineLvl w:val="0"/>
    </w:pPr>
    <w:rPr>
      <w:rFonts w:ascii="Cambria" w:hAnsi="Cambria"/>
      <w:b/>
      <w:bCs/>
      <w:sz w:val="32"/>
      <w:szCs w:val="32"/>
    </w:rPr>
  </w:style>
  <w:style w:type="character" w:styleId="9">
    <w:name w:val="Strong"/>
    <w:basedOn w:val="8"/>
    <w:qFormat/>
    <w:uiPriority w:val="22"/>
    <w:rPr>
      <w:b/>
      <w:bCs/>
    </w:rPr>
  </w:style>
  <w:style w:type="paragraph" w:customStyle="1" w:styleId="11">
    <w:name w:val="Default"/>
    <w:link w:val="13"/>
    <w:qFormat/>
    <w:uiPriority w:val="0"/>
    <w:pPr>
      <w:widowControl w:val="0"/>
      <w:autoSpaceDE w:val="0"/>
      <w:autoSpaceDN w:val="0"/>
      <w:adjustRightInd w:val="0"/>
    </w:pPr>
    <w:rPr>
      <w:rFonts w:ascii="......." w:hAnsi="......." w:eastAsia="......." w:cs="......."/>
      <w:color w:val="000000"/>
      <w:sz w:val="24"/>
      <w:szCs w:val="24"/>
      <w:lang w:val="en-US" w:eastAsia="zh-CN" w:bidi="ar-SA"/>
    </w:rPr>
  </w:style>
  <w:style w:type="character" w:customStyle="1" w:styleId="12">
    <w:name w:val="页眉 字符"/>
    <w:basedOn w:val="8"/>
    <w:link w:val="6"/>
    <w:qFormat/>
    <w:uiPriority w:val="0"/>
    <w:rPr>
      <w:rFonts w:ascii="Times New Roman" w:hAnsi="Times New Roman" w:eastAsia="宋体" w:cs="Times New Roman"/>
      <w:kern w:val="2"/>
      <w:sz w:val="18"/>
      <w:szCs w:val="18"/>
    </w:rPr>
  </w:style>
  <w:style w:type="character" w:customStyle="1" w:styleId="13">
    <w:name w:val="Default Char"/>
    <w:link w:val="11"/>
    <w:qFormat/>
    <w:locked/>
    <w:uiPriority w:val="0"/>
    <w:rPr>
      <w:rFonts w:ascii="......." w:hAnsi="......." w:eastAsia="......." w:cs="......."/>
      <w:color w:val="000000"/>
      <w:sz w:val="24"/>
      <w:szCs w:val="24"/>
    </w:rPr>
  </w:style>
  <w:style w:type="character" w:customStyle="1" w:styleId="14">
    <w:name w:val="批注文字 字符"/>
    <w:basedOn w:val="8"/>
    <w:link w:val="2"/>
    <w:qFormat/>
    <w:uiPriority w:val="99"/>
    <w:rPr>
      <w:rFonts w:ascii="Times New Roman" w:hAnsi="Times New Roman" w:eastAsia="宋体" w:cs="Times New Roman"/>
      <w:kern w:val="2"/>
      <w:sz w:val="21"/>
    </w:rPr>
  </w:style>
  <w:style w:type="character" w:customStyle="1" w:styleId="15">
    <w:name w:val="font01"/>
    <w:basedOn w:val="8"/>
    <w:qFormat/>
    <w:uiPriority w:val="0"/>
    <w:rPr>
      <w:rFonts w:hint="eastAsia" w:ascii="仿宋" w:hAnsi="仿宋" w:eastAsia="仿宋" w:cs="仿宋"/>
      <w:color w:val="000000"/>
      <w:sz w:val="22"/>
      <w:szCs w:val="22"/>
      <w:u w:val="none"/>
      <w:vertAlign w:val="subscript"/>
    </w:rPr>
  </w:style>
  <w:style w:type="character" w:customStyle="1" w:styleId="16">
    <w:name w:val="font11"/>
    <w:basedOn w:val="8"/>
    <w:qFormat/>
    <w:uiPriority w:val="0"/>
    <w:rPr>
      <w:rFonts w:hint="eastAsia" w:ascii="仿宋" w:hAnsi="仿宋" w:eastAsia="仿宋" w:cs="仿宋"/>
      <w:color w:val="000000"/>
      <w:sz w:val="20"/>
      <w:szCs w:val="20"/>
      <w:u w:val="none"/>
    </w:rPr>
  </w:style>
  <w:style w:type="character" w:customStyle="1" w:styleId="17">
    <w:name w:val="批注框文本 字符"/>
    <w:basedOn w:val="8"/>
    <w:link w:val="4"/>
    <w:qFormat/>
    <w:uiPriority w:val="0"/>
    <w:rPr>
      <w:rFonts w:ascii="Times New Roman" w:hAnsi="Times New Roman" w:eastAsia="宋体" w:cs="Times New Roman"/>
      <w:kern w:val="2"/>
      <w:sz w:val="18"/>
      <w:szCs w:val="18"/>
    </w:rPr>
  </w:style>
  <w:style w:type="paragraph" w:styleId="18">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7BACB6A-64A0-4337-B227-C759B342CB63}">
  <ds:schemaRefs/>
</ds:datastoreItem>
</file>

<file path=docProps/app.xml><?xml version="1.0" encoding="utf-8"?>
<Properties xmlns="http://schemas.openxmlformats.org/officeDocument/2006/extended-properties" xmlns:vt="http://schemas.openxmlformats.org/officeDocument/2006/docPropsVTypes">
  <Template>Normal</Template>
  <Pages>21</Pages>
  <Words>915</Words>
  <Characters>946</Characters>
  <Lines>50</Lines>
  <Paragraphs>14</Paragraphs>
  <TotalTime>0</TotalTime>
  <ScaleCrop>false</ScaleCrop>
  <LinksUpToDate>false</LinksUpToDate>
  <CharactersWithSpaces>959</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2023-03-24T02:30:00Z</dcterms:created>
  <dc:creator>辛小毛</dc:creator>
  <cp:lastModifiedBy>Administrator</cp:lastModifiedBy>
  <cp:lastPrinted>2024-03-19T01:20:00Z</cp:lastPrinted>
  <dcterms:modified xsi:type="dcterms:W3CDTF">2025-06-06T02:59:44Z</dcterms:modified>
  <cp:revision>118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ICV">
    <vt:lpwstr>8A89F7E053D040BD85F32E0BF5ED661E_13</vt:lpwstr>
  </property>
  <property fmtid="{D5CDD505-2E9C-101B-9397-08002B2CF9AE}" pid="4" name="KSOTemplateDocerSaveRecord">
    <vt:lpwstr>eyJoZGlkIjoiZTk4YWQ4YzQzNzA0NmQ1MjJjOTQxMmJiZmVhNGY5YzgiLCJ1c2VySWQiOiI1MjcyMzQ5MjQifQ==</vt:lpwstr>
  </property>
</Properties>
</file>