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9393B5">
      <w:pPr>
        <w:pStyle w:val="2"/>
        <w:jc w:val="both"/>
        <w:rPr>
          <w:sz w:val="28"/>
          <w:szCs w:val="28"/>
        </w:rPr>
      </w:pPr>
      <w:r>
        <w:rPr>
          <w:rFonts w:hint="eastAsia"/>
          <w:sz w:val="28"/>
          <w:szCs w:val="28"/>
        </w:rPr>
        <w:t xml:space="preserve">  </w:t>
      </w:r>
    </w:p>
    <w:p w14:paraId="5496743A">
      <w:pPr>
        <w:pStyle w:val="2"/>
        <w:spacing w:before="0"/>
      </w:pPr>
      <w:r>
        <w:rPr>
          <w:rFonts w:hint="eastAsia"/>
        </w:rPr>
        <w:t>项目需求书（货物</w:t>
      </w:r>
      <w:r>
        <w:t>-</w:t>
      </w:r>
      <w:r>
        <w:rPr>
          <w:rFonts w:hint="eastAsia"/>
        </w:rPr>
        <w:t>通用类）</w:t>
      </w:r>
    </w:p>
    <w:p w14:paraId="2CD6E2BE">
      <w:pPr>
        <w:spacing w:line="360" w:lineRule="auto"/>
        <w:ind w:firstLine="482" w:firstLineChars="200"/>
        <w:rPr>
          <w:rFonts w:ascii="宋体" w:hAnsi="宋体"/>
          <w:b/>
          <w:sz w:val="24"/>
        </w:rPr>
      </w:pPr>
      <w:r>
        <w:rPr>
          <w:rFonts w:hint="eastAsia" w:ascii="宋体" w:hAnsi="宋体"/>
          <w:b/>
          <w:sz w:val="24"/>
        </w:rPr>
        <w:t>一、项目背景</w:t>
      </w:r>
    </w:p>
    <w:p w14:paraId="62C6078E">
      <w:pPr>
        <w:spacing w:line="360" w:lineRule="auto"/>
        <w:ind w:firstLine="480" w:firstLineChars="200"/>
        <w:rPr>
          <w:rFonts w:hint="eastAsia" w:ascii="宋体" w:hAnsi="宋体"/>
          <w:sz w:val="24"/>
        </w:rPr>
      </w:pPr>
      <w:r>
        <w:rPr>
          <w:rFonts w:hint="eastAsia" w:ascii="宋体" w:hAnsi="宋体"/>
          <w:sz w:val="24"/>
        </w:rPr>
        <w:t xml:space="preserve">1. </w:t>
      </w:r>
      <w:r>
        <w:rPr>
          <w:rFonts w:ascii="宋体" w:hAnsi="宋体"/>
          <w:sz w:val="24"/>
        </w:rPr>
        <w:t>项目名称：</w:t>
      </w:r>
      <w:r>
        <w:rPr>
          <w:rFonts w:hint="eastAsia" w:ascii="宋体" w:hAnsi="宋体"/>
          <w:sz w:val="24"/>
        </w:rPr>
        <w:t>天津中医药大学中药数据应用工作站及数据存储服务器采购项目</w:t>
      </w:r>
    </w:p>
    <w:p w14:paraId="10CEE467">
      <w:pPr>
        <w:spacing w:line="360" w:lineRule="auto"/>
        <w:ind w:firstLine="480" w:firstLineChars="200"/>
        <w:rPr>
          <w:rFonts w:ascii="宋体" w:hAnsi="宋体"/>
          <w:sz w:val="24"/>
        </w:rPr>
      </w:pPr>
      <w:r>
        <w:rPr>
          <w:rFonts w:hint="eastAsia" w:ascii="宋体" w:hAnsi="宋体"/>
          <w:sz w:val="24"/>
        </w:rPr>
        <w:t>2. 项目背景：</w:t>
      </w:r>
      <w:r>
        <w:rPr>
          <w:rFonts w:ascii="宋体" w:hAnsi="宋体"/>
          <w:sz w:val="24"/>
        </w:rPr>
        <w:t>当前中医药数字化、智能化研发需求持续提升，但行业普遍存在中药组分数据分散、标准不统一、算力与存储支撑不足等问题，难以高效支撑中药药效研究、质量追溯与新药研发工作。为补齐软硬件支撑短板、整合中药数据资源，本项目采购中药数据应用工作站与存储服务器，搭建专业化中药组分信息库，为中药现代化、智能化科研与应用提供坚实支撑。</w:t>
      </w:r>
    </w:p>
    <w:p w14:paraId="6C1D020E">
      <w:pPr>
        <w:spacing w:line="360" w:lineRule="auto"/>
        <w:ind w:firstLine="482" w:firstLineChars="200"/>
        <w:rPr>
          <w:b/>
          <w:sz w:val="24"/>
        </w:rPr>
      </w:pPr>
      <w:r>
        <w:rPr>
          <w:b/>
          <w:sz w:val="24"/>
        </w:rPr>
        <w:t>二、项目预算</w:t>
      </w:r>
    </w:p>
    <w:p w14:paraId="39CD8428">
      <w:pPr>
        <w:spacing w:line="360" w:lineRule="auto"/>
        <w:ind w:firstLine="480" w:firstLineChars="200"/>
        <w:rPr>
          <w:sz w:val="24"/>
        </w:rPr>
      </w:pPr>
      <w:r>
        <w:rPr>
          <w:sz w:val="24"/>
        </w:rPr>
        <w:t>第一包</w:t>
      </w:r>
      <w:r>
        <w:rPr>
          <w:rFonts w:hint="eastAsia"/>
          <w:sz w:val="24"/>
        </w:rPr>
        <w:t>：41万元</w:t>
      </w:r>
    </w:p>
    <w:p w14:paraId="1C53C6AE">
      <w:pPr>
        <w:spacing w:line="360" w:lineRule="auto"/>
        <w:rPr>
          <w:sz w:val="24"/>
        </w:rPr>
      </w:pPr>
    </w:p>
    <w:p w14:paraId="54F9B403">
      <w:pPr>
        <w:spacing w:line="360" w:lineRule="auto"/>
        <w:ind w:firstLine="482" w:firstLineChars="200"/>
        <w:rPr>
          <w:rFonts w:ascii="宋体" w:hAnsi="宋体"/>
          <w:b/>
          <w:sz w:val="24"/>
        </w:rPr>
      </w:pPr>
      <w:r>
        <w:rPr>
          <w:rFonts w:hint="eastAsia" w:ascii="宋体" w:hAnsi="宋体"/>
          <w:b/>
          <w:sz w:val="24"/>
        </w:rPr>
        <w:t>三、资格要求</w:t>
      </w:r>
    </w:p>
    <w:p w14:paraId="471FA20C">
      <w:pPr>
        <w:spacing w:line="360" w:lineRule="auto"/>
        <w:ind w:firstLine="480" w:firstLineChars="200"/>
        <w:rPr>
          <w:sz w:val="24"/>
        </w:rPr>
      </w:pPr>
      <w:r>
        <w:rPr>
          <w:rFonts w:hint="eastAsia" w:ascii="宋体" w:hAnsi="宋体"/>
          <w:sz w:val="24"/>
        </w:rPr>
        <w:t>（一）</w:t>
      </w:r>
      <w:r>
        <w:rPr>
          <w:rFonts w:ascii="宋体" w:hAnsi="宋体"/>
          <w:sz w:val="24"/>
        </w:rPr>
        <w:t>根据《中华人民共和国政府采购法》《中华人民共和国招标投标法》及相关配套法规的规定，结合本项目的实际需求和技术复杂性，为确保</w:t>
      </w:r>
      <w:r>
        <w:rPr>
          <w:rFonts w:hint="eastAsia" w:ascii="宋体" w:hAnsi="宋体"/>
          <w:sz w:val="24"/>
        </w:rPr>
        <w:t>中药组分信息库建设</w:t>
      </w:r>
      <w:r>
        <w:rPr>
          <w:rFonts w:ascii="宋体" w:hAnsi="宋体"/>
          <w:sz w:val="24"/>
        </w:rPr>
        <w:t>项目顺利实施，现对供应商投标设置以下特定资格条件：投标人须为在中国境内依法注册、具有独立法人资格的企业，具备履行合同所必需的专业技术能力；</w:t>
      </w:r>
      <w:r>
        <w:rPr>
          <w:rFonts w:ascii="宋体" w:hAnsi="宋体" w:cs="宋体"/>
          <w:sz w:val="24"/>
          <w:szCs w:val="24"/>
        </w:rPr>
        <w:t>须具备高性能计算工作站、存储服务器、算力柜配套集成、机房硬件部署调试相关技术领域实施能力，拥有服务器机房集成、算力集群部署、设备联调、硬件运维落地实施经验，可完整完成本项目硬件设备安装、布线、系统部署、故障调试工作</w:t>
      </w:r>
      <w:r>
        <w:rPr>
          <w:rFonts w:ascii="宋体" w:hAnsi="宋体"/>
          <w:sz w:val="24"/>
        </w:rPr>
        <w:t>；近三年内在类似项目中具有良好的履约记录，无重大违法违规行为。</w:t>
      </w:r>
      <w:r>
        <w:rPr>
          <w:rFonts w:hint="eastAsia"/>
          <w:sz w:val="24"/>
        </w:rPr>
        <w:t>（二）投标人须具备《中华人民共和国政府采购法》第二十二条第一款规定的条件。</w:t>
      </w:r>
    </w:p>
    <w:p w14:paraId="23987137">
      <w:pPr>
        <w:spacing w:line="360" w:lineRule="auto"/>
        <w:ind w:firstLine="480" w:firstLineChars="200"/>
        <w:rPr>
          <w:sz w:val="24"/>
        </w:rPr>
      </w:pPr>
      <w:r>
        <w:rPr>
          <w:rFonts w:hint="eastAsia"/>
          <w:sz w:val="24"/>
        </w:rPr>
        <w:t>（三）本项目不接受联合体。</w:t>
      </w:r>
    </w:p>
    <w:p w14:paraId="2A3C1011">
      <w:pPr>
        <w:spacing w:line="360" w:lineRule="auto"/>
        <w:ind w:firstLine="482" w:firstLineChars="200"/>
        <w:rPr>
          <w:rFonts w:ascii="宋体" w:hAnsi="宋体"/>
          <w:b/>
          <w:sz w:val="24"/>
        </w:rPr>
      </w:pPr>
    </w:p>
    <w:p w14:paraId="5D4121C8">
      <w:pPr>
        <w:spacing w:line="360" w:lineRule="auto"/>
        <w:ind w:firstLine="482" w:firstLineChars="200"/>
        <w:rPr>
          <w:rFonts w:ascii="宋体" w:hAnsi="宋体"/>
          <w:b/>
          <w:sz w:val="24"/>
        </w:rPr>
      </w:pPr>
      <w:r>
        <w:rPr>
          <w:rFonts w:hint="eastAsia" w:ascii="宋体" w:hAnsi="宋体"/>
          <w:b/>
          <w:sz w:val="24"/>
        </w:rPr>
        <w:t>技术要求</w:t>
      </w:r>
    </w:p>
    <w:p w14:paraId="26B9EC0B">
      <w:pPr>
        <w:ind w:firstLine="420"/>
        <w:rPr>
          <w:rFonts w:ascii="宋体" w:hAnsi="宋体"/>
          <w:sz w:val="24"/>
        </w:rPr>
      </w:pPr>
      <w:r>
        <w:rPr>
          <w:rFonts w:hint="eastAsia" w:ascii="宋体" w:hAnsi="宋体"/>
          <w:sz w:val="24"/>
        </w:rPr>
        <w:t>1.设备清单</w:t>
      </w:r>
    </w:p>
    <w:tbl>
      <w:tblPr>
        <w:tblStyle w:val="3"/>
        <w:tblpPr w:leftFromText="180" w:rightFromText="180" w:vertAnchor="text" w:horzAnchor="margin" w:tblpXSpec="center" w:tblpY="118"/>
        <w:tblOverlap w:val="never"/>
        <w:tblW w:w="1031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1"/>
        <w:gridCol w:w="1888"/>
        <w:gridCol w:w="1893"/>
        <w:gridCol w:w="592"/>
        <w:gridCol w:w="858"/>
        <w:gridCol w:w="2350"/>
        <w:gridCol w:w="1948"/>
      </w:tblGrid>
      <w:tr w14:paraId="44A8D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1" w:type="dxa"/>
            <w:vAlign w:val="center"/>
          </w:tcPr>
          <w:p w14:paraId="45A13B89">
            <w:pPr>
              <w:jc w:val="center"/>
              <w:rPr>
                <w:szCs w:val="21"/>
              </w:rPr>
            </w:pPr>
            <w:r>
              <w:rPr>
                <w:szCs w:val="21"/>
              </w:rPr>
              <w:t>序号</w:t>
            </w:r>
          </w:p>
        </w:tc>
        <w:tc>
          <w:tcPr>
            <w:tcW w:w="1888" w:type="dxa"/>
            <w:vAlign w:val="center"/>
          </w:tcPr>
          <w:p w14:paraId="5575D2EE">
            <w:pPr>
              <w:jc w:val="center"/>
              <w:rPr>
                <w:szCs w:val="21"/>
              </w:rPr>
            </w:pPr>
            <w:r>
              <w:rPr>
                <w:rFonts w:hint="eastAsia"/>
                <w:szCs w:val="21"/>
              </w:rPr>
              <w:t>标的</w:t>
            </w:r>
            <w:r>
              <w:rPr>
                <w:szCs w:val="21"/>
              </w:rPr>
              <w:t>名称</w:t>
            </w:r>
          </w:p>
        </w:tc>
        <w:tc>
          <w:tcPr>
            <w:tcW w:w="1893" w:type="dxa"/>
            <w:vAlign w:val="center"/>
          </w:tcPr>
          <w:p w14:paraId="2429DE56">
            <w:pPr>
              <w:jc w:val="center"/>
              <w:rPr>
                <w:szCs w:val="21"/>
              </w:rPr>
            </w:pPr>
            <w:r>
              <w:rPr>
                <w:szCs w:val="21"/>
              </w:rPr>
              <w:t>技术要求</w:t>
            </w:r>
          </w:p>
        </w:tc>
        <w:tc>
          <w:tcPr>
            <w:tcW w:w="592" w:type="dxa"/>
            <w:vAlign w:val="center"/>
          </w:tcPr>
          <w:p w14:paraId="754355F7">
            <w:pPr>
              <w:jc w:val="center"/>
              <w:rPr>
                <w:szCs w:val="21"/>
              </w:rPr>
            </w:pPr>
            <w:r>
              <w:rPr>
                <w:szCs w:val="21"/>
              </w:rPr>
              <w:t>单位</w:t>
            </w:r>
          </w:p>
        </w:tc>
        <w:tc>
          <w:tcPr>
            <w:tcW w:w="858" w:type="dxa"/>
            <w:vAlign w:val="center"/>
          </w:tcPr>
          <w:p w14:paraId="3345E4EF">
            <w:pPr>
              <w:jc w:val="center"/>
              <w:rPr>
                <w:szCs w:val="21"/>
              </w:rPr>
            </w:pPr>
            <w:r>
              <w:rPr>
                <w:szCs w:val="21"/>
              </w:rPr>
              <w:t>数量</w:t>
            </w:r>
          </w:p>
        </w:tc>
        <w:tc>
          <w:tcPr>
            <w:tcW w:w="2350" w:type="dxa"/>
            <w:vAlign w:val="center"/>
          </w:tcPr>
          <w:p w14:paraId="1B6C7693">
            <w:pPr>
              <w:jc w:val="center"/>
              <w:rPr>
                <w:szCs w:val="21"/>
              </w:rPr>
            </w:pPr>
            <w:r>
              <w:rPr>
                <w:szCs w:val="21"/>
              </w:rPr>
              <w:t>是否属于现行节能产品政府采购清单强制采购范围</w:t>
            </w:r>
          </w:p>
        </w:tc>
        <w:tc>
          <w:tcPr>
            <w:tcW w:w="1948" w:type="dxa"/>
            <w:vAlign w:val="center"/>
          </w:tcPr>
          <w:p w14:paraId="2B0D9F66">
            <w:pPr>
              <w:jc w:val="center"/>
              <w:rPr>
                <w:szCs w:val="21"/>
              </w:rPr>
            </w:pPr>
            <w:r>
              <w:rPr>
                <w:szCs w:val="21"/>
              </w:rPr>
              <w:t>是否属于集采目录内产品</w:t>
            </w:r>
          </w:p>
        </w:tc>
      </w:tr>
      <w:tr w14:paraId="56E99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1" w:type="dxa"/>
            <w:vAlign w:val="center"/>
          </w:tcPr>
          <w:p w14:paraId="1C2CAF06">
            <w:pPr>
              <w:jc w:val="center"/>
              <w:rPr>
                <w:szCs w:val="21"/>
              </w:rPr>
            </w:pPr>
            <w:r>
              <w:rPr>
                <w:szCs w:val="21"/>
              </w:rPr>
              <w:t>1</w:t>
            </w:r>
          </w:p>
        </w:tc>
        <w:tc>
          <w:tcPr>
            <w:tcW w:w="1888" w:type="dxa"/>
            <w:vAlign w:val="center"/>
          </w:tcPr>
          <w:p w14:paraId="794341A2">
            <w:pPr>
              <w:jc w:val="center"/>
              <w:rPr>
                <w:szCs w:val="21"/>
              </w:rPr>
            </w:pPr>
            <w:r>
              <w:rPr>
                <w:rFonts w:ascii="Times New Roman" w:hAnsi="Times New Roman"/>
                <w:szCs w:val="21"/>
              </w:rPr>
              <w:t>中药数据应用工作站</w:t>
            </w:r>
          </w:p>
        </w:tc>
        <w:tc>
          <w:tcPr>
            <w:tcW w:w="1893" w:type="dxa"/>
            <w:vAlign w:val="center"/>
          </w:tcPr>
          <w:p w14:paraId="2439D67E">
            <w:pPr>
              <w:rPr>
                <w:szCs w:val="21"/>
              </w:rPr>
            </w:pPr>
            <w:r>
              <w:rPr>
                <w:rFonts w:hint="eastAsia"/>
                <w:szCs w:val="21"/>
              </w:rPr>
              <w:t>见技术参数</w:t>
            </w:r>
          </w:p>
        </w:tc>
        <w:tc>
          <w:tcPr>
            <w:tcW w:w="592" w:type="dxa"/>
            <w:vAlign w:val="center"/>
          </w:tcPr>
          <w:p w14:paraId="59E67650">
            <w:pPr>
              <w:jc w:val="center"/>
              <w:rPr>
                <w:szCs w:val="21"/>
              </w:rPr>
            </w:pPr>
            <w:r>
              <w:rPr>
                <w:rFonts w:hint="eastAsia"/>
                <w:szCs w:val="21"/>
              </w:rPr>
              <w:t>台</w:t>
            </w:r>
          </w:p>
        </w:tc>
        <w:tc>
          <w:tcPr>
            <w:tcW w:w="858" w:type="dxa"/>
            <w:vAlign w:val="center"/>
          </w:tcPr>
          <w:p w14:paraId="7955D365">
            <w:pPr>
              <w:jc w:val="center"/>
              <w:rPr>
                <w:szCs w:val="21"/>
              </w:rPr>
            </w:pPr>
            <w:r>
              <w:rPr>
                <w:rFonts w:hint="eastAsia"/>
                <w:szCs w:val="21"/>
              </w:rPr>
              <w:t>2</w:t>
            </w:r>
          </w:p>
        </w:tc>
        <w:tc>
          <w:tcPr>
            <w:tcW w:w="2350" w:type="dxa"/>
            <w:vAlign w:val="center"/>
          </w:tcPr>
          <w:p w14:paraId="6C9BBEF4">
            <w:pPr>
              <w:jc w:val="center"/>
              <w:rPr>
                <w:szCs w:val="21"/>
              </w:rPr>
            </w:pPr>
            <w:r>
              <w:rPr>
                <w:rFonts w:hint="eastAsia"/>
                <w:szCs w:val="21"/>
              </w:rPr>
              <w:t>否</w:t>
            </w:r>
          </w:p>
        </w:tc>
        <w:tc>
          <w:tcPr>
            <w:tcW w:w="1948" w:type="dxa"/>
            <w:vAlign w:val="center"/>
          </w:tcPr>
          <w:p w14:paraId="2DF97AD2">
            <w:pPr>
              <w:jc w:val="center"/>
              <w:rPr>
                <w:szCs w:val="21"/>
              </w:rPr>
            </w:pPr>
            <w:r>
              <w:rPr>
                <w:rFonts w:hint="eastAsia"/>
                <w:szCs w:val="21"/>
              </w:rPr>
              <w:t>是</w:t>
            </w:r>
          </w:p>
        </w:tc>
      </w:tr>
      <w:tr w14:paraId="4061B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1" w:type="dxa"/>
            <w:vAlign w:val="center"/>
          </w:tcPr>
          <w:p w14:paraId="5B75A13B">
            <w:pPr>
              <w:jc w:val="center"/>
              <w:rPr>
                <w:szCs w:val="21"/>
              </w:rPr>
            </w:pPr>
            <w:r>
              <w:rPr>
                <w:rFonts w:hint="eastAsia"/>
                <w:szCs w:val="21"/>
              </w:rPr>
              <w:t>2</w:t>
            </w:r>
          </w:p>
        </w:tc>
        <w:tc>
          <w:tcPr>
            <w:tcW w:w="1888" w:type="dxa"/>
            <w:vAlign w:val="center"/>
          </w:tcPr>
          <w:p w14:paraId="4AB72BE0">
            <w:pPr>
              <w:jc w:val="center"/>
              <w:rPr>
                <w:rFonts w:ascii="Times New Roman" w:hAnsi="Times New Roman"/>
                <w:kern w:val="0"/>
                <w:szCs w:val="21"/>
              </w:rPr>
            </w:pPr>
            <w:r>
              <w:rPr>
                <w:rFonts w:hint="eastAsia" w:ascii="Times New Roman" w:hAnsi="Times New Roman"/>
                <w:szCs w:val="21"/>
              </w:rPr>
              <w:t>数据存储服务器</w:t>
            </w:r>
          </w:p>
        </w:tc>
        <w:tc>
          <w:tcPr>
            <w:tcW w:w="1893" w:type="dxa"/>
            <w:vAlign w:val="center"/>
          </w:tcPr>
          <w:p w14:paraId="701B093D">
            <w:pPr>
              <w:rPr>
                <w:rFonts w:ascii="Times New Roman" w:hAnsi="Times New Roman"/>
                <w:szCs w:val="21"/>
              </w:rPr>
            </w:pPr>
            <w:r>
              <w:rPr>
                <w:rFonts w:hint="eastAsia"/>
                <w:szCs w:val="21"/>
              </w:rPr>
              <w:t>见技术参数</w:t>
            </w:r>
          </w:p>
        </w:tc>
        <w:tc>
          <w:tcPr>
            <w:tcW w:w="592" w:type="dxa"/>
            <w:vAlign w:val="center"/>
          </w:tcPr>
          <w:p w14:paraId="583E5355">
            <w:pPr>
              <w:jc w:val="center"/>
              <w:rPr>
                <w:szCs w:val="21"/>
              </w:rPr>
            </w:pPr>
            <w:r>
              <w:rPr>
                <w:rFonts w:hint="eastAsia"/>
                <w:szCs w:val="21"/>
              </w:rPr>
              <w:t>台</w:t>
            </w:r>
          </w:p>
        </w:tc>
        <w:tc>
          <w:tcPr>
            <w:tcW w:w="858" w:type="dxa"/>
            <w:vAlign w:val="center"/>
          </w:tcPr>
          <w:p w14:paraId="6A0FCC8D">
            <w:pPr>
              <w:jc w:val="center"/>
              <w:rPr>
                <w:szCs w:val="21"/>
              </w:rPr>
            </w:pPr>
            <w:r>
              <w:rPr>
                <w:rFonts w:hint="eastAsia"/>
                <w:szCs w:val="21"/>
              </w:rPr>
              <w:t>3</w:t>
            </w:r>
          </w:p>
        </w:tc>
        <w:tc>
          <w:tcPr>
            <w:tcW w:w="2350" w:type="dxa"/>
            <w:vAlign w:val="center"/>
          </w:tcPr>
          <w:p w14:paraId="7B2733E8">
            <w:pPr>
              <w:jc w:val="center"/>
              <w:rPr>
                <w:szCs w:val="21"/>
              </w:rPr>
            </w:pPr>
            <w:r>
              <w:rPr>
                <w:rFonts w:hint="eastAsia"/>
                <w:szCs w:val="21"/>
              </w:rPr>
              <w:t>否</w:t>
            </w:r>
          </w:p>
        </w:tc>
        <w:tc>
          <w:tcPr>
            <w:tcW w:w="1948" w:type="dxa"/>
            <w:vAlign w:val="center"/>
          </w:tcPr>
          <w:p w14:paraId="29FF40B2">
            <w:pPr>
              <w:jc w:val="center"/>
              <w:rPr>
                <w:szCs w:val="21"/>
              </w:rPr>
            </w:pPr>
            <w:r>
              <w:rPr>
                <w:rFonts w:hint="eastAsia"/>
                <w:szCs w:val="21"/>
              </w:rPr>
              <w:t>是</w:t>
            </w:r>
          </w:p>
        </w:tc>
      </w:tr>
    </w:tbl>
    <w:p w14:paraId="7FECACD8">
      <w:pPr>
        <w:rPr>
          <w:rFonts w:ascii="宋体" w:hAnsi="宋体"/>
          <w:sz w:val="24"/>
        </w:rPr>
      </w:pPr>
    </w:p>
    <w:p w14:paraId="35AFE1B7">
      <w:pPr>
        <w:rPr>
          <w:kern w:val="0"/>
          <w:szCs w:val="21"/>
        </w:rPr>
      </w:pPr>
      <w:r>
        <w:rPr>
          <w:rFonts w:hint="eastAsia" w:ascii="宋体" w:hAnsi="宋体"/>
          <w:sz w:val="24"/>
        </w:rPr>
        <w:t>技术参数</w:t>
      </w:r>
    </w:p>
    <w:tbl>
      <w:tblPr>
        <w:tblStyle w:val="4"/>
        <w:tblW w:w="89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5"/>
        <w:gridCol w:w="1289"/>
        <w:gridCol w:w="5523"/>
        <w:gridCol w:w="710"/>
        <w:gridCol w:w="805"/>
      </w:tblGrid>
      <w:tr w14:paraId="1DB4F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665" w:type="dxa"/>
            <w:vAlign w:val="center"/>
          </w:tcPr>
          <w:p w14:paraId="299874A8">
            <w:pPr>
              <w:jc w:val="center"/>
              <w:rPr>
                <w:rFonts w:ascii="Times New Roman" w:hAnsi="Times New Roman"/>
                <w:b/>
              </w:rPr>
            </w:pPr>
            <w:r>
              <w:rPr>
                <w:rFonts w:ascii="Times New Roman" w:hAnsi="Times New Roman"/>
                <w:b/>
              </w:rPr>
              <w:t>序号</w:t>
            </w:r>
          </w:p>
        </w:tc>
        <w:tc>
          <w:tcPr>
            <w:tcW w:w="1289" w:type="dxa"/>
            <w:vAlign w:val="center"/>
          </w:tcPr>
          <w:p w14:paraId="582DD4F7">
            <w:pPr>
              <w:jc w:val="center"/>
              <w:rPr>
                <w:rFonts w:ascii="Times New Roman" w:hAnsi="Times New Roman"/>
                <w:b/>
              </w:rPr>
            </w:pPr>
            <w:r>
              <w:rPr>
                <w:rFonts w:hint="eastAsia" w:ascii="Times New Roman" w:hAnsi="Times New Roman"/>
                <w:b/>
              </w:rPr>
              <w:t>采购</w:t>
            </w:r>
            <w:r>
              <w:rPr>
                <w:rFonts w:ascii="Times New Roman" w:hAnsi="Times New Roman"/>
                <w:b/>
              </w:rPr>
              <w:t>标的</w:t>
            </w:r>
          </w:p>
        </w:tc>
        <w:tc>
          <w:tcPr>
            <w:tcW w:w="5523" w:type="dxa"/>
            <w:vAlign w:val="center"/>
          </w:tcPr>
          <w:p w14:paraId="00A1B979">
            <w:pPr>
              <w:jc w:val="center"/>
              <w:rPr>
                <w:rFonts w:ascii="Times New Roman" w:hAnsi="Times New Roman"/>
                <w:b/>
              </w:rPr>
            </w:pPr>
            <w:r>
              <w:rPr>
                <w:rFonts w:ascii="Times New Roman" w:hAnsi="Times New Roman"/>
                <w:b/>
              </w:rPr>
              <w:t>技术参数</w:t>
            </w:r>
          </w:p>
        </w:tc>
        <w:tc>
          <w:tcPr>
            <w:tcW w:w="710" w:type="dxa"/>
            <w:vAlign w:val="center"/>
          </w:tcPr>
          <w:p w14:paraId="33F027BA">
            <w:pPr>
              <w:jc w:val="center"/>
              <w:rPr>
                <w:rFonts w:ascii="Times New Roman" w:hAnsi="Times New Roman"/>
                <w:b/>
              </w:rPr>
            </w:pPr>
            <w:r>
              <w:rPr>
                <w:rFonts w:ascii="Times New Roman" w:hAnsi="Times New Roman"/>
                <w:b/>
              </w:rPr>
              <w:t>单位</w:t>
            </w:r>
          </w:p>
        </w:tc>
        <w:tc>
          <w:tcPr>
            <w:tcW w:w="805" w:type="dxa"/>
            <w:vAlign w:val="center"/>
          </w:tcPr>
          <w:p w14:paraId="5CB4B766">
            <w:pPr>
              <w:jc w:val="center"/>
              <w:rPr>
                <w:rFonts w:ascii="Times New Roman" w:hAnsi="Times New Roman"/>
                <w:b/>
              </w:rPr>
            </w:pPr>
            <w:r>
              <w:rPr>
                <w:rFonts w:ascii="Times New Roman" w:hAnsi="Times New Roman"/>
                <w:b/>
              </w:rPr>
              <w:t>数量</w:t>
            </w:r>
          </w:p>
        </w:tc>
      </w:tr>
      <w:tr w14:paraId="7D232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Align w:val="center"/>
          </w:tcPr>
          <w:p w14:paraId="6571ECC5">
            <w:pPr>
              <w:jc w:val="center"/>
              <w:rPr>
                <w:rFonts w:ascii="Times New Roman" w:hAnsi="Times New Roman"/>
              </w:rPr>
            </w:pPr>
            <w:r>
              <w:rPr>
                <w:rFonts w:hint="eastAsia" w:ascii="Times New Roman" w:hAnsi="Times New Roman"/>
              </w:rPr>
              <w:t>1</w:t>
            </w:r>
          </w:p>
        </w:tc>
        <w:tc>
          <w:tcPr>
            <w:tcW w:w="1289" w:type="dxa"/>
            <w:vAlign w:val="center"/>
          </w:tcPr>
          <w:p w14:paraId="2BD13E06">
            <w:pPr>
              <w:jc w:val="center"/>
              <w:rPr>
                <w:rFonts w:ascii="Times New Roman" w:hAnsi="Times New Roman"/>
              </w:rPr>
            </w:pPr>
            <w:r>
              <w:rPr>
                <w:rFonts w:ascii="Times New Roman" w:hAnsi="Times New Roman"/>
                <w:szCs w:val="21"/>
              </w:rPr>
              <w:t>中药数据应用工作站</w:t>
            </w:r>
          </w:p>
        </w:tc>
        <w:tc>
          <w:tcPr>
            <w:tcW w:w="5523" w:type="dxa"/>
            <w:vAlign w:val="center"/>
          </w:tcPr>
          <w:p w14:paraId="7E7D7650">
            <w:pPr>
              <w:rPr>
                <w:rFonts w:ascii="Times New Roman" w:hAnsi="Times New Roman"/>
              </w:rPr>
            </w:pPr>
            <w:r>
              <w:rPr>
                <w:rFonts w:hint="eastAsia" w:ascii="Times New Roman" w:hAnsi="Times New Roman"/>
              </w:rPr>
              <w:t>★1.接受CPU通过安全可靠测评的产品，也接受CPU未通过安全可靠测评的产品；</w:t>
            </w:r>
          </w:p>
          <w:p w14:paraId="35C18DC2">
            <w:pPr>
              <w:rPr>
                <w:rFonts w:ascii="Times New Roman" w:hAnsi="Times New Roman"/>
              </w:rPr>
            </w:pPr>
            <w:r>
              <w:rPr>
                <w:rFonts w:hint="eastAsia" w:ascii="Times New Roman" w:hAnsi="Times New Roman"/>
              </w:rPr>
              <w:t>★2. CPU物理核数≥20，CPU最大睿频≥5.5GHz，二级缓存≥36MB，三级缓存≥28MB，线程数≥20，TDP≥125W；</w:t>
            </w:r>
          </w:p>
          <w:p w14:paraId="37DFBF66">
            <w:pPr>
              <w:rPr>
                <w:rFonts w:ascii="Times New Roman" w:hAnsi="Times New Roman"/>
              </w:rPr>
            </w:pPr>
            <w:r>
              <w:rPr>
                <w:rFonts w:hint="eastAsia" w:ascii="Times New Roman" w:hAnsi="Times New Roman"/>
              </w:rPr>
              <w:t>★3.主板采用Intel W880工作站级别芯片组，支持ECC内存技术；（需提供原厂官网链接及截图证明）；</w:t>
            </w:r>
          </w:p>
          <w:p w14:paraId="2E8A3D11">
            <w:pPr>
              <w:rPr>
                <w:rFonts w:ascii="Times New Roman" w:hAnsi="Times New Roman"/>
              </w:rPr>
            </w:pPr>
            <w:r>
              <w:rPr>
                <w:rFonts w:hint="eastAsia" w:ascii="Times New Roman" w:hAnsi="Times New Roman"/>
              </w:rPr>
              <w:t>★4. 配置≥64GB, DDR5；最大内存传输速率</w:t>
            </w:r>
            <w:r>
              <w:rPr>
                <w:rFonts w:hint="eastAsia"/>
              </w:rPr>
              <w:t>64</w:t>
            </w:r>
            <w:r>
              <w:rPr>
                <w:rFonts w:hint="eastAsia" w:ascii="Times New Roman" w:hAnsi="Times New Roman"/>
              </w:rPr>
              <w:t>00 MT/S；单设备最大支持4个DIMM插槽，最大支持256GB 内存扩展；（需提供原厂官网链接及截图证明）；</w:t>
            </w:r>
          </w:p>
          <w:p w14:paraId="2D10B28F">
            <w:pPr>
              <w:jc w:val="left"/>
              <w:rPr>
                <w:rFonts w:ascii="Times New Roman" w:hAnsi="Times New Roman"/>
              </w:rPr>
            </w:pPr>
            <w:r>
              <w:rPr>
                <w:rFonts w:hint="eastAsia" w:ascii="Times New Roman" w:hAnsi="Times New Roman"/>
              </w:rPr>
              <w:t>★5. I/O扩展能力：配置≥4 个 PCIe 扩展插槽，至少 2 个 PCIe X16 物理插槽，支持通道自适应拆分；至少满足1个PCIe 5.0 X16插槽，支持自主切换PCIe 5.0 X8信号输出</w:t>
            </w:r>
          </w:p>
          <w:p w14:paraId="4752B7EB">
            <w:pPr>
              <w:jc w:val="left"/>
              <w:rPr>
                <w:rFonts w:ascii="Times New Roman" w:hAnsi="Times New Roman"/>
              </w:rPr>
            </w:pPr>
            <w:r>
              <w:rPr>
                <w:rFonts w:hint="eastAsia" w:ascii="Times New Roman" w:hAnsi="Times New Roman"/>
              </w:rPr>
              <w:t>★</w:t>
            </w:r>
            <w:r>
              <w:rPr>
                <w:rFonts w:hint="eastAsia"/>
              </w:rPr>
              <w:t>6</w:t>
            </w:r>
            <w:r>
              <w:rPr>
                <w:rFonts w:hint="eastAsia" w:ascii="Times New Roman" w:hAnsi="Times New Roman"/>
              </w:rPr>
              <w:t>.存储：配置≥2块</w:t>
            </w:r>
            <w:r>
              <w:rPr>
                <w:rFonts w:hint="eastAsia"/>
              </w:rPr>
              <w:t>2</w:t>
            </w:r>
            <w:r>
              <w:rPr>
                <w:rFonts w:hint="eastAsia" w:ascii="Times New Roman" w:hAnsi="Times New Roman"/>
              </w:rPr>
              <w:t>TB PCIE NVMe M.2 SSD ；单设备最大支持4个3.5英寸+2个2.5英寸 HDD硬盘；2个M.2 PCIE NVME SSD；  支持RAID 0/1/5/10硬盘阵列；</w:t>
            </w:r>
          </w:p>
          <w:p w14:paraId="25536809">
            <w:pPr>
              <w:jc w:val="left"/>
              <w:rPr>
                <w:rFonts w:ascii="Times New Roman" w:hAnsi="Times New Roman"/>
              </w:rPr>
            </w:pPr>
            <w:r>
              <w:rPr>
                <w:rFonts w:hint="eastAsia" w:ascii="Times New Roman" w:hAnsi="Times New Roman"/>
              </w:rPr>
              <w:t>★</w:t>
            </w:r>
            <w:r>
              <w:rPr>
                <w:rFonts w:hint="eastAsia"/>
              </w:rPr>
              <w:t>7.网络参数：配置≥2个2.5G RJ45接口；支持扩展英特尔10G, 25G以太网卡；</w:t>
            </w:r>
          </w:p>
          <w:p w14:paraId="64751FB2">
            <w:pPr>
              <w:jc w:val="left"/>
              <w:rPr>
                <w:rFonts w:ascii="Times New Roman" w:hAnsi="Times New Roman"/>
              </w:rPr>
            </w:pPr>
            <w:r>
              <w:rPr>
                <w:rFonts w:hint="eastAsia" w:ascii="Times New Roman" w:hAnsi="Times New Roman"/>
              </w:rPr>
              <w:t>★</w:t>
            </w:r>
            <w:r>
              <w:rPr>
                <w:rFonts w:hint="eastAsia"/>
              </w:rPr>
              <w:t>8.显卡：工作站主板集成显卡具备 HDMI/DP 接口，可驱动显示器使用，支持双屏同步输出，单屏最大分辨率不低于 2560×1440，整机具备完整显示输出能力。</w:t>
            </w:r>
          </w:p>
          <w:p w14:paraId="72104E03">
            <w:pPr>
              <w:jc w:val="left"/>
              <w:rPr>
                <w:rFonts w:ascii="Times New Roman" w:hAnsi="Times New Roman"/>
              </w:rPr>
            </w:pPr>
            <w:r>
              <w:rPr>
                <w:rFonts w:hint="eastAsia" w:ascii="Times New Roman" w:hAnsi="Times New Roman"/>
              </w:rPr>
              <w:t>★</w:t>
            </w:r>
            <w:r>
              <w:rPr>
                <w:rFonts w:hint="eastAsia"/>
              </w:rPr>
              <w:t>9.计算单元：采用 Blackwell 架构 AI 加速处理器，原生支持 FP4、FP8、FP16、BF16、FP32、FP64、INT8、INT16 全规格混合精度运算；CUDA 核心数量≥19968；搭载 84GB 带 ECC 硬件纠错 GDDR7 显存，显存位宽 448-bit，显存带宽≥1568GB/s；采用 PCIe5.0 16Pin 供电，总线为 PCIe5.0 x16；可用于大模型训练、AI 推理、科学仿真、三维渲染多任务并行算力加速；</w:t>
            </w:r>
          </w:p>
          <w:p w14:paraId="5775C3CE">
            <w:pPr>
              <w:jc w:val="left"/>
            </w:pPr>
            <w:r>
              <w:rPr>
                <w:rFonts w:hint="eastAsia" w:ascii="Times New Roman" w:hAnsi="Times New Roman"/>
              </w:rPr>
              <w:t>★</w:t>
            </w:r>
            <w:r>
              <w:rPr>
                <w:rFonts w:hint="eastAsia"/>
              </w:rPr>
              <w:t>10.操作系统：支持windows等多种操作系统；</w:t>
            </w:r>
          </w:p>
          <w:p w14:paraId="3F04C9BA">
            <w:pPr>
              <w:jc w:val="left"/>
            </w:pPr>
            <w:r>
              <w:rPr>
                <w:rFonts w:hint="eastAsia"/>
              </w:rPr>
              <w:t>11.设备端口：整机支持≥12个外置USB接口；前置：配置≥2个USB-C 3.2 接口，≥2个USB-A 3.2 接口，≥1个SD读卡器，≥1个通用（耳麦一体）音频接口；后置：配置≥6个USB-A 3.2 接口，≥1个雷电4接口，1个 DP 1.4接口，1个HDMI 接口，1 x line-in (3.5mm) ，1 x line-out (3.5mm)接口，1 x MIC-in，1个串口；</w:t>
            </w:r>
          </w:p>
          <w:p w14:paraId="32963B8E">
            <w:pPr>
              <w:jc w:val="left"/>
            </w:pPr>
            <w:r>
              <w:rPr>
                <w:rFonts w:hint="eastAsia"/>
              </w:rPr>
              <w:t>12.电源：电源：配置≥750W 90% 白金能效电源；提供独立电源开关（投标文件中提原厂官网链接及截图证明）；</w:t>
            </w:r>
          </w:p>
          <w:p w14:paraId="25A70035">
            <w:pPr>
              <w:jc w:val="left"/>
            </w:pPr>
            <w:r>
              <w:rPr>
                <w:rFonts w:hint="eastAsia"/>
              </w:rPr>
              <w:t>13.机箱：配置风冷散热模组，可选支持导风罩散热模组，机箱体积不小于32L；</w:t>
            </w:r>
          </w:p>
          <w:p w14:paraId="4B6AB93F">
            <w:pPr>
              <w:jc w:val="left"/>
            </w:pPr>
            <w:r>
              <w:rPr>
                <w:rFonts w:hint="eastAsia"/>
              </w:rPr>
              <w:t>14.鼠标键盘：提供工作站同品牌USB接口键盘、USB接口光电鼠标；</w:t>
            </w:r>
          </w:p>
          <w:p w14:paraId="379B7AA3">
            <w:pPr>
              <w:jc w:val="left"/>
            </w:pPr>
            <w:r>
              <w:rPr>
                <w:rFonts w:hint="eastAsia"/>
              </w:rPr>
              <w:t>15.可靠性：投标设备具备 MTBF （平均无故障工作时间）认证，要求时间≥ 5万小时（投标文件中提供产品中国检验认证集团 MTBF报告证明）;</w:t>
            </w:r>
          </w:p>
          <w:p w14:paraId="07583BC6">
            <w:pPr>
              <w:jc w:val="left"/>
            </w:pPr>
            <w:r>
              <w:rPr>
                <w:rFonts w:hint="eastAsia"/>
              </w:rPr>
              <w:t>16.远程管理模块：支持可选BMC管理控制器，提供中文WebUI，支持远程控制工作站电源完成开关机、远程硬重启；支持CPU温度，电压，风扇转速监控；支持屏幕快照和屏幕录像；支持系统崩溃时临终截屏与录像功能。支持RAID的带外监控和配置。（投标文件中提供产品功能截图证明或官网截图）；</w:t>
            </w:r>
          </w:p>
          <w:p w14:paraId="0F30394A">
            <w:pPr>
              <w:jc w:val="left"/>
            </w:pPr>
            <w:r>
              <w:rPr>
                <w:rFonts w:hint="eastAsia"/>
              </w:rPr>
              <w:t>17.服务：原厂三年上门维保服务，提供3年5*10*NBD ，400远程技术支持，提供下一工作日上门服务。</w:t>
            </w:r>
          </w:p>
          <w:p w14:paraId="736AFCA7">
            <w:pPr>
              <w:jc w:val="left"/>
              <w:rPr>
                <w:rFonts w:ascii="Times New Roman" w:hAnsi="Times New Roman"/>
              </w:rPr>
            </w:pPr>
            <w:r>
              <w:rPr>
                <w:rFonts w:hint="eastAsia" w:ascii="Times New Roman" w:hAnsi="Times New Roman"/>
              </w:rPr>
              <w:t>★其余参数应满足《工作站政府采购需求标准（2023年版）》（财库[2023]32号）中的全部标注“*”规定。</w:t>
            </w:r>
          </w:p>
        </w:tc>
        <w:tc>
          <w:tcPr>
            <w:tcW w:w="710" w:type="dxa"/>
            <w:vAlign w:val="center"/>
          </w:tcPr>
          <w:p w14:paraId="70A12B40">
            <w:pPr>
              <w:jc w:val="center"/>
              <w:rPr>
                <w:rFonts w:ascii="Times New Roman" w:hAnsi="Times New Roman"/>
              </w:rPr>
            </w:pPr>
            <w:r>
              <w:rPr>
                <w:rFonts w:hint="eastAsia" w:ascii="Times New Roman" w:hAnsi="Times New Roman"/>
              </w:rPr>
              <w:t>台</w:t>
            </w:r>
          </w:p>
        </w:tc>
        <w:tc>
          <w:tcPr>
            <w:tcW w:w="805" w:type="dxa"/>
            <w:vAlign w:val="center"/>
          </w:tcPr>
          <w:p w14:paraId="43C51174">
            <w:pPr>
              <w:jc w:val="center"/>
              <w:rPr>
                <w:rFonts w:ascii="Times New Roman" w:hAnsi="Times New Roman"/>
              </w:rPr>
            </w:pPr>
            <w:r>
              <w:rPr>
                <w:rFonts w:hint="eastAsia" w:ascii="Times New Roman" w:hAnsi="Times New Roman"/>
              </w:rPr>
              <w:t>2</w:t>
            </w:r>
          </w:p>
        </w:tc>
      </w:tr>
      <w:tr w14:paraId="6A64C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Align w:val="center"/>
          </w:tcPr>
          <w:p w14:paraId="764A5684">
            <w:pPr>
              <w:jc w:val="center"/>
              <w:rPr>
                <w:rFonts w:ascii="Times New Roman" w:hAnsi="Times New Roman"/>
              </w:rPr>
            </w:pPr>
            <w:r>
              <w:rPr>
                <w:rFonts w:hint="eastAsia" w:ascii="Times New Roman" w:hAnsi="Times New Roman"/>
              </w:rPr>
              <w:t>2</w:t>
            </w:r>
          </w:p>
        </w:tc>
        <w:tc>
          <w:tcPr>
            <w:tcW w:w="1289" w:type="dxa"/>
            <w:vAlign w:val="center"/>
          </w:tcPr>
          <w:p w14:paraId="2E55AB39">
            <w:pPr>
              <w:jc w:val="center"/>
              <w:rPr>
                <w:rFonts w:ascii="Times New Roman" w:hAnsi="Times New Roman"/>
              </w:rPr>
            </w:pPr>
            <w:r>
              <w:rPr>
                <w:rFonts w:hint="eastAsia" w:ascii="Times New Roman" w:hAnsi="Times New Roman"/>
                <w:szCs w:val="21"/>
              </w:rPr>
              <w:t>数据存储服务器</w:t>
            </w:r>
          </w:p>
        </w:tc>
        <w:tc>
          <w:tcPr>
            <w:tcW w:w="5523" w:type="dxa"/>
            <w:vAlign w:val="center"/>
          </w:tcPr>
          <w:p w14:paraId="06C40F49">
            <w:pPr>
              <w:jc w:val="left"/>
              <w:rPr>
                <w:rFonts w:ascii="Times New Roman" w:hAnsi="Times New Roman"/>
              </w:rPr>
            </w:pPr>
            <w:r>
              <w:rPr>
                <w:rFonts w:ascii="Times New Roman" w:hAnsi="Times New Roman"/>
              </w:rPr>
              <w:t>★1.接受CPU通过安全可靠测评的产品，也接受CPU未通过安全可靠测评的产品；</w:t>
            </w:r>
          </w:p>
          <w:p w14:paraId="3A93ECAC">
            <w:pPr>
              <w:jc w:val="left"/>
              <w:rPr>
                <w:rFonts w:ascii="Times New Roman" w:hAnsi="Times New Roman"/>
              </w:rPr>
            </w:pPr>
            <w:r>
              <w:rPr>
                <w:rFonts w:ascii="Times New Roman" w:hAnsi="Times New Roman"/>
              </w:rPr>
              <w:t>★2.CPU≥2颗X86处理器，单颗物理核心数≥24核；基本频率≥2.1 GHz；三级缓存≥36MB；线程数≥48线程；≥165W热设计功耗；</w:t>
            </w:r>
          </w:p>
          <w:p w14:paraId="07A8425A">
            <w:pPr>
              <w:jc w:val="left"/>
              <w:rPr>
                <w:rFonts w:ascii="Times New Roman" w:hAnsi="Times New Roman"/>
              </w:rPr>
            </w:pPr>
            <w:r>
              <w:rPr>
                <w:rFonts w:ascii="Times New Roman" w:hAnsi="Times New Roman"/>
              </w:rPr>
              <w:t>★3. 内存：配置≥64GB DDR4 2933MHz内存，内存插槽数量≥32个；</w:t>
            </w:r>
          </w:p>
          <w:p w14:paraId="7E2FD931">
            <w:pPr>
              <w:jc w:val="left"/>
              <w:rPr>
                <w:rFonts w:ascii="Times New Roman" w:hAnsi="Times New Roman"/>
              </w:rPr>
            </w:pPr>
            <w:r>
              <w:rPr>
                <w:rFonts w:ascii="Times New Roman" w:hAnsi="Times New Roman"/>
              </w:rPr>
              <w:t>★4.存储：配置≥3块16TB SATA 机械硬盘；</w:t>
            </w:r>
          </w:p>
          <w:p w14:paraId="30A7DEEA">
            <w:pPr>
              <w:jc w:val="left"/>
              <w:rPr>
                <w:rFonts w:ascii="Times New Roman" w:hAnsi="Times New Roman"/>
              </w:rPr>
            </w:pPr>
            <w:r>
              <w:rPr>
                <w:rFonts w:ascii="Times New Roman" w:hAnsi="Times New Roman"/>
              </w:rPr>
              <w:t>5.存储扩展性：最大支持45个2.5英寸硬盘，或支持34个全NVMe SSD；支持2*M.2  SSD，支持硬RAID1和热插拔，提供证明材料；</w:t>
            </w:r>
          </w:p>
          <w:p w14:paraId="5C21ADBC">
            <w:pPr>
              <w:jc w:val="left"/>
              <w:rPr>
                <w:rFonts w:ascii="Times New Roman" w:hAnsi="Times New Roman"/>
              </w:rPr>
            </w:pPr>
            <w:r>
              <w:rPr>
                <w:rFonts w:ascii="Times New Roman" w:hAnsi="Times New Roman"/>
              </w:rPr>
              <w:t>★6.RAID卡：独立RAID卡，缓存≥2GB；支持RAID 0,1,5,10；</w:t>
            </w:r>
          </w:p>
          <w:p w14:paraId="620604F3">
            <w:pPr>
              <w:jc w:val="left"/>
              <w:rPr>
                <w:rFonts w:ascii="Times New Roman" w:hAnsi="Times New Roman"/>
              </w:rPr>
            </w:pPr>
            <w:r>
              <w:rPr>
                <w:rFonts w:ascii="Times New Roman" w:hAnsi="Times New Roman"/>
              </w:rPr>
              <w:t>★7.网络：配置≥1块双口1G电口网卡；</w:t>
            </w:r>
          </w:p>
          <w:p w14:paraId="6BC3FA76">
            <w:pPr>
              <w:jc w:val="left"/>
              <w:rPr>
                <w:rFonts w:ascii="Times New Roman" w:hAnsi="Times New Roman"/>
              </w:rPr>
            </w:pPr>
            <w:r>
              <w:rPr>
                <w:rFonts w:ascii="Times New Roman" w:hAnsi="Times New Roman"/>
              </w:rPr>
              <w:t>8.I/O扩展能力：最多支持14个PCIe扩展槽位，最多支持11个单宽GPU加速卡，提供产品官网链接及截图证明；</w:t>
            </w:r>
          </w:p>
          <w:p w14:paraId="725DBAB3">
            <w:pPr>
              <w:jc w:val="left"/>
              <w:rPr>
                <w:rFonts w:ascii="Times New Roman" w:hAnsi="Times New Roman"/>
              </w:rPr>
            </w:pPr>
            <w:r>
              <w:rPr>
                <w:rFonts w:ascii="Times New Roman" w:hAnsi="Times New Roman"/>
              </w:rPr>
              <w:t>★9.电源：配置≥2个900W交流电源，支持1+1冗余</w:t>
            </w:r>
          </w:p>
          <w:p w14:paraId="65C44877">
            <w:pPr>
              <w:jc w:val="left"/>
              <w:rPr>
                <w:rFonts w:ascii="Times New Roman" w:hAnsi="Times New Roman"/>
              </w:rPr>
            </w:pPr>
            <w:r>
              <w:rPr>
                <w:rFonts w:ascii="Times New Roman" w:hAnsi="Times New Roman"/>
              </w:rPr>
              <w:t>10.可管理性：服务器BMC具备独立GE管理口，支持前置BMC直连管理接口，支持Redfish、SNMP、IPMI2.0等标准接口；提供基于HTML5/VNC KVM的远程管理界面；支持免CD部署；</w:t>
            </w:r>
          </w:p>
          <w:p w14:paraId="2E2C8836">
            <w:pPr>
              <w:jc w:val="left"/>
              <w:rPr>
                <w:rFonts w:ascii="Times New Roman" w:hAnsi="Times New Roman"/>
              </w:rPr>
            </w:pPr>
            <w:r>
              <w:rPr>
                <w:rFonts w:ascii="Times New Roman" w:hAnsi="Times New Roman"/>
              </w:rPr>
              <w:t>11.安全性：支持使用客户端证书和证书密码的双因素认证方式登录单板管理系统，提供证明材料；</w:t>
            </w:r>
          </w:p>
          <w:p w14:paraId="56FA5241">
            <w:pPr>
              <w:jc w:val="left"/>
              <w:rPr>
                <w:rFonts w:ascii="Times New Roman" w:hAnsi="Times New Roman"/>
              </w:rPr>
            </w:pPr>
            <w:r>
              <w:rPr>
                <w:rFonts w:ascii="Times New Roman" w:hAnsi="Times New Roman"/>
              </w:rPr>
              <w:t>12.BMC功能：服务器BMC通过CC EAL4+认证；</w:t>
            </w:r>
          </w:p>
          <w:p w14:paraId="4446E490">
            <w:pPr>
              <w:jc w:val="left"/>
              <w:rPr>
                <w:rFonts w:ascii="Times New Roman" w:hAnsi="Times New Roman"/>
              </w:rPr>
            </w:pPr>
            <w:r>
              <w:rPr>
                <w:rFonts w:ascii="Times New Roman" w:hAnsi="Times New Roman"/>
              </w:rPr>
              <w:t>13.可维护性：服务器BMC具备带外故障诊断功能，不依赖于OS，对CPU故障、I2C和IPMB总线故障、内存故障、PCIe设备故障、硬盘故障、系统宕机、黑屏、蓝屏和异常重启故障等进行分析和定位；</w:t>
            </w:r>
          </w:p>
          <w:p w14:paraId="46B93AC4">
            <w:pPr>
              <w:jc w:val="left"/>
              <w:rPr>
                <w:rFonts w:ascii="Times New Roman" w:hAnsi="Times New Roman"/>
              </w:rPr>
            </w:pPr>
            <w:r>
              <w:rPr>
                <w:rFonts w:ascii="Times New Roman" w:hAnsi="Times New Roman"/>
              </w:rPr>
              <w:t>14.可靠性：服务器MTBF不低于250000小时，提供第三方检测证书复印件；</w:t>
            </w:r>
          </w:p>
          <w:p w14:paraId="0D3E4C82">
            <w:pPr>
              <w:jc w:val="left"/>
              <w:rPr>
                <w:rFonts w:ascii="Times New Roman" w:hAnsi="Times New Roman"/>
              </w:rPr>
            </w:pPr>
            <w:r>
              <w:rPr>
                <w:rFonts w:ascii="Times New Roman" w:hAnsi="Times New Roman"/>
              </w:rPr>
              <w:t>★15.计算单元：配备不少于1个AI 计算单元，满足下述要求： a) 搭载人工智能加速处理器，计算精度至少支持 FP16、BF16、FP32、FP64、INT8、INT16 等中的1种规格；人工智能加速处理器CUDA 核心不低于3584 个；配置 12GB GDDR6 显存，显存位宽 192-bit，显存速率 15Gbps，单 8Pin 供电；总线规格 PCIe4.0 x16；输出接口：HDMI×1、DP×3，最大支持 7680×4320 分辨率输出</w:t>
            </w:r>
          </w:p>
          <w:p w14:paraId="751FDB46">
            <w:pPr>
              <w:jc w:val="left"/>
              <w:rPr>
                <w:rFonts w:ascii="Times New Roman" w:hAnsi="Times New Roman"/>
              </w:rPr>
            </w:pPr>
            <w:r>
              <w:rPr>
                <w:rFonts w:ascii="Times New Roman" w:hAnsi="Times New Roman"/>
              </w:rPr>
              <w:t>★其余参数应满足《通用服务器政府采购需求标准（2023年版）》（财库[2023]33号）中的全部标注“*”规定。</w:t>
            </w:r>
          </w:p>
        </w:tc>
        <w:tc>
          <w:tcPr>
            <w:tcW w:w="710" w:type="dxa"/>
            <w:vAlign w:val="center"/>
          </w:tcPr>
          <w:p w14:paraId="32288183">
            <w:pPr>
              <w:jc w:val="center"/>
              <w:rPr>
                <w:rFonts w:ascii="Times New Roman" w:hAnsi="Times New Roman"/>
              </w:rPr>
            </w:pPr>
            <w:r>
              <w:rPr>
                <w:rFonts w:hint="eastAsia" w:ascii="Times New Roman" w:hAnsi="Times New Roman"/>
              </w:rPr>
              <w:t>台</w:t>
            </w:r>
          </w:p>
        </w:tc>
        <w:tc>
          <w:tcPr>
            <w:tcW w:w="805" w:type="dxa"/>
            <w:vAlign w:val="center"/>
          </w:tcPr>
          <w:p w14:paraId="22062E59">
            <w:pPr>
              <w:jc w:val="center"/>
              <w:rPr>
                <w:rFonts w:ascii="Times New Roman" w:hAnsi="Times New Roman"/>
              </w:rPr>
            </w:pPr>
            <w:r>
              <w:rPr>
                <w:rFonts w:hint="eastAsia" w:ascii="Times New Roman" w:hAnsi="Times New Roman"/>
              </w:rPr>
              <w:t>3</w:t>
            </w:r>
          </w:p>
        </w:tc>
      </w:tr>
    </w:tbl>
    <w:p w14:paraId="31B6E6AE">
      <w:pPr>
        <w:rPr>
          <w:rFonts w:ascii="宋体" w:hAnsi="宋体"/>
          <w:sz w:val="24"/>
        </w:rPr>
      </w:pPr>
    </w:p>
    <w:p w14:paraId="0A73F980">
      <w:pPr>
        <w:rPr>
          <w:rFonts w:ascii="宋体" w:hAnsi="宋体"/>
          <w:sz w:val="24"/>
        </w:rPr>
      </w:pPr>
    </w:p>
    <w:p w14:paraId="4F4FB699">
      <w:pPr>
        <w:spacing w:line="360" w:lineRule="auto"/>
        <w:ind w:firstLine="482" w:firstLineChars="200"/>
        <w:rPr>
          <w:rFonts w:ascii="宋体" w:hAnsi="宋体"/>
          <w:b/>
          <w:sz w:val="24"/>
        </w:rPr>
      </w:pPr>
      <w:r>
        <w:rPr>
          <w:rFonts w:hint="eastAsia" w:ascii="宋体" w:hAnsi="宋体"/>
          <w:b/>
          <w:sz w:val="24"/>
        </w:rPr>
        <w:t>五、商务要求</w:t>
      </w:r>
    </w:p>
    <w:p w14:paraId="401CF216">
      <w:pPr>
        <w:spacing w:line="360" w:lineRule="auto"/>
        <w:ind w:firstLine="480" w:firstLineChars="200"/>
        <w:rPr>
          <w:rFonts w:ascii="宋体" w:hAnsi="宋体"/>
          <w:sz w:val="24"/>
        </w:rPr>
      </w:pPr>
      <w:r>
        <w:rPr>
          <w:rFonts w:ascii="宋体" w:hAnsi="宋体"/>
          <w:sz w:val="24"/>
        </w:rPr>
        <w:t>（1）项目要求</w:t>
      </w:r>
    </w:p>
    <w:p w14:paraId="07ACBF50">
      <w:pPr>
        <w:spacing w:line="360" w:lineRule="auto"/>
        <w:ind w:firstLine="480" w:firstLineChars="200"/>
        <w:rPr>
          <w:rFonts w:ascii="宋体" w:hAnsi="宋体"/>
          <w:sz w:val="24"/>
        </w:rPr>
      </w:pPr>
      <w:r>
        <w:rPr>
          <w:rFonts w:hint="eastAsia" w:ascii="宋体" w:hAnsi="宋体"/>
          <w:sz w:val="24"/>
        </w:rPr>
        <w:t>本项目拟建设的“中药组分信息库”需满足高性能计算、算法模型可扩展以及系统运行稳定的技术标准。硬件平台应具备以下功能与质量要求：</w:t>
      </w:r>
    </w:p>
    <w:p w14:paraId="10DB621E">
      <w:pPr>
        <w:spacing w:line="360" w:lineRule="auto"/>
        <w:ind w:firstLine="480" w:firstLineChars="200"/>
        <w:rPr>
          <w:rFonts w:ascii="宋体" w:hAnsi="宋体"/>
          <w:sz w:val="24"/>
        </w:rPr>
      </w:pPr>
      <w:r>
        <w:rPr>
          <w:rFonts w:hint="eastAsia" w:ascii="宋体" w:hAnsi="宋体"/>
          <w:sz w:val="24"/>
        </w:rPr>
        <w:t>① 系统硬件运行环境：为保障“中药组分信息库”高性能计算能力、算法训练能力与稳定运行，平台需配套以下最低硬件配置（不限定品牌）：中药数据应用工作站性能要求：CPU 核心数≥ 20核心、最大睿频≥5.5GHz的高性能工作站处理器、内存（RAM）：≥ 64GB、工作站 SSD 高速存储容量≥4TB；数据存储服务器空间：≥ 32TB用于高存储任务；网络：高速千兆以太网；硬件兼容性：支持虚拟化、AI 框架（PyTorch/TensorFlow）运行；系统可靠性：双电源冗余、RAID 5数据冗余、自动容灾备份机制。</w:t>
      </w:r>
    </w:p>
    <w:p w14:paraId="710D6B31">
      <w:pPr>
        <w:spacing w:line="360" w:lineRule="auto"/>
        <w:ind w:firstLine="480" w:firstLineChars="200"/>
        <w:rPr>
          <w:rFonts w:ascii="宋体" w:hAnsi="宋体"/>
          <w:sz w:val="24"/>
        </w:rPr>
      </w:pPr>
      <w:r>
        <w:rPr>
          <w:rFonts w:hint="eastAsia" w:ascii="宋体" w:hAnsi="宋体"/>
          <w:sz w:val="24"/>
        </w:rPr>
        <w:t>② 系统硬件安全：系统硬件控制软件界面应简洁直观、操作友好，具备可视化操作调试功能；设备设计符合机房标准，符合国家安全规范与电气防护要求。</w:t>
      </w:r>
    </w:p>
    <w:p w14:paraId="2433DC7D">
      <w:pPr>
        <w:spacing w:line="360" w:lineRule="auto"/>
        <w:ind w:firstLine="480" w:firstLineChars="200"/>
        <w:rPr>
          <w:rFonts w:ascii="宋体" w:hAnsi="宋体"/>
          <w:sz w:val="24"/>
        </w:rPr>
      </w:pPr>
      <w:r>
        <w:rPr>
          <w:rFonts w:hint="eastAsia" w:ascii="宋体" w:hAnsi="宋体"/>
          <w:sz w:val="24"/>
        </w:rPr>
        <w:t>整体硬件设备应满足高校科研级信息化建设标准，保证硬件平台运行的可靠性、可维护性与可扩展性，不得以特定品牌、专利或技术路线限定供应商。</w:t>
      </w:r>
    </w:p>
    <w:p w14:paraId="1781D52E">
      <w:pPr>
        <w:spacing w:line="360" w:lineRule="auto"/>
        <w:ind w:firstLine="480" w:firstLineChars="200"/>
        <w:rPr>
          <w:rFonts w:ascii="宋体" w:hAnsi="宋体"/>
          <w:sz w:val="24"/>
        </w:rPr>
      </w:pPr>
      <w:r>
        <w:rPr>
          <w:rFonts w:ascii="宋体" w:hAnsi="宋体"/>
          <w:sz w:val="24"/>
        </w:rPr>
        <w:t>（2）商务要求</w:t>
      </w:r>
    </w:p>
    <w:p w14:paraId="6ADC09F8">
      <w:pPr>
        <w:spacing w:line="360" w:lineRule="auto"/>
        <w:ind w:firstLine="480" w:firstLineChars="200"/>
        <w:rPr>
          <w:rFonts w:ascii="宋体" w:hAnsi="宋体"/>
          <w:sz w:val="24"/>
        </w:rPr>
      </w:pPr>
      <w:r>
        <w:rPr>
          <w:rFonts w:ascii="宋体" w:hAnsi="宋体"/>
          <w:sz w:val="24"/>
        </w:rPr>
        <w:t>1）报价要求</w:t>
      </w:r>
    </w:p>
    <w:p w14:paraId="16775B25">
      <w:pPr>
        <w:spacing w:line="360" w:lineRule="auto"/>
        <w:ind w:firstLine="480" w:firstLineChars="200"/>
        <w:rPr>
          <w:rFonts w:ascii="宋体" w:hAnsi="宋体"/>
          <w:sz w:val="24"/>
        </w:rPr>
      </w:pPr>
      <w:r>
        <w:rPr>
          <w:rFonts w:ascii="宋体" w:hAnsi="宋体"/>
          <w:sz w:val="24"/>
        </w:rPr>
        <w:t>投标报价须以人民币填写，报价内容应真实、完整、准确。</w:t>
      </w:r>
    </w:p>
    <w:p w14:paraId="7BF04B37">
      <w:pPr>
        <w:spacing w:line="360" w:lineRule="auto"/>
        <w:ind w:firstLine="480" w:firstLineChars="200"/>
        <w:rPr>
          <w:rFonts w:ascii="宋体" w:hAnsi="宋体"/>
          <w:sz w:val="24"/>
        </w:rPr>
      </w:pPr>
      <w:r>
        <w:rPr>
          <w:rFonts w:ascii="宋体" w:hAnsi="宋体"/>
          <w:sz w:val="24"/>
        </w:rPr>
        <w:t>投标报价应包含本项目所需全部费用，包括设备及附件货款、运输费、运输保险费、装卸费、安装调试费、网络布线及上架所需辅材费用、培训费、维保费及其他相关费用。投标人所报价格应为货到现场安装调试完成并满足交付使用条件的最终优惠报价，在合同执行过程中不得以任何理由追加费用。</w:t>
      </w:r>
    </w:p>
    <w:p w14:paraId="4C8286B3">
      <w:pPr>
        <w:spacing w:line="360" w:lineRule="auto"/>
        <w:ind w:firstLine="480" w:firstLineChars="200"/>
        <w:rPr>
          <w:rFonts w:ascii="宋体" w:hAnsi="宋体"/>
          <w:sz w:val="24"/>
        </w:rPr>
      </w:pPr>
      <w:r>
        <w:rPr>
          <w:rFonts w:ascii="宋体" w:hAnsi="宋体"/>
          <w:sz w:val="24"/>
        </w:rPr>
        <w:t>项目验收过程中产生的全部相关费用（含检测、测试、资料编制、技术服务等）由投标人承担。</w:t>
      </w:r>
    </w:p>
    <w:p w14:paraId="46765579">
      <w:pPr>
        <w:spacing w:line="360" w:lineRule="auto"/>
        <w:ind w:firstLine="480" w:firstLineChars="200"/>
        <w:rPr>
          <w:rFonts w:ascii="宋体" w:hAnsi="宋体"/>
          <w:sz w:val="24"/>
        </w:rPr>
      </w:pPr>
      <w:r>
        <w:rPr>
          <w:rFonts w:ascii="宋体" w:hAnsi="宋体"/>
          <w:sz w:val="24"/>
        </w:rPr>
        <w:t>2）服务要求</w:t>
      </w:r>
    </w:p>
    <w:p w14:paraId="3058E093">
      <w:pPr>
        <w:spacing w:line="360" w:lineRule="auto"/>
        <w:ind w:firstLine="480" w:firstLineChars="200"/>
        <w:rPr>
          <w:rFonts w:ascii="宋体" w:hAnsi="宋体"/>
          <w:sz w:val="24"/>
        </w:rPr>
      </w:pPr>
      <w:bookmarkStart w:id="0" w:name="_GoBack"/>
      <w:bookmarkEnd w:id="0"/>
      <w:r>
        <w:rPr>
          <w:rFonts w:hint="eastAsia" w:ascii="宋体" w:hAnsi="宋体"/>
          <w:sz w:val="24"/>
        </w:rPr>
        <w:t>投标人须为所投设备提供至少3年的免费上门保修服务，并承诺终身维修。保修期内免费更换故障零部件，实行7×24小时技术响应机制，在接到故障通知后48小时内须有维修工程师抵达现场处理，保修期自设备验收合格之日起计算。</w:t>
      </w:r>
    </w:p>
    <w:p w14:paraId="77664B74">
      <w:pPr>
        <w:spacing w:line="360" w:lineRule="auto"/>
        <w:ind w:firstLine="480" w:firstLineChars="200"/>
        <w:rPr>
          <w:rFonts w:ascii="宋体" w:hAnsi="宋体"/>
          <w:sz w:val="24"/>
        </w:rPr>
      </w:pPr>
      <w:r>
        <w:rPr>
          <w:rFonts w:hint="eastAsia" w:ascii="宋体" w:hAnsi="宋体"/>
          <w:sz w:val="24"/>
        </w:rPr>
        <w:t>投标人应提供售后服务机构情况，包括服务地址、联系电话、技术支持人员数量与资质等。</w:t>
      </w:r>
    </w:p>
    <w:p w14:paraId="72B7A3B0">
      <w:pPr>
        <w:spacing w:line="360" w:lineRule="auto"/>
        <w:ind w:firstLine="480" w:firstLineChars="200"/>
        <w:rPr>
          <w:rFonts w:ascii="宋体" w:hAnsi="宋体"/>
          <w:sz w:val="24"/>
        </w:rPr>
      </w:pPr>
      <w:r>
        <w:rPr>
          <w:rFonts w:hint="eastAsia" w:ascii="宋体" w:hAnsi="宋体"/>
          <w:sz w:val="24"/>
        </w:rPr>
        <w:t>投标人须提供免费现场技术培训服务，培训内容包括服务器基本操作、存储管理、常见故障处理、日常巡检、数据备份恢复及安全注意事项等，使采购人技术人员具备独立管理和维护能力。</w:t>
      </w:r>
    </w:p>
    <w:p w14:paraId="098D0158">
      <w:pPr>
        <w:spacing w:line="360" w:lineRule="auto"/>
        <w:ind w:firstLine="480" w:firstLineChars="200"/>
        <w:rPr>
          <w:rFonts w:ascii="宋体" w:hAnsi="宋体"/>
          <w:sz w:val="24"/>
        </w:rPr>
      </w:pPr>
      <w:r>
        <w:rPr>
          <w:rFonts w:hint="eastAsia" w:ascii="宋体" w:hAnsi="宋体"/>
          <w:sz w:val="24"/>
        </w:rPr>
        <w:t>系统运行后如遇技术问题，供应商须及时提供远程或现场支持服务。</w:t>
      </w:r>
    </w:p>
    <w:p w14:paraId="47CA4B44">
      <w:pPr>
        <w:spacing w:line="360" w:lineRule="auto"/>
        <w:ind w:firstLine="480" w:firstLineChars="200"/>
        <w:rPr>
          <w:rFonts w:ascii="宋体" w:hAnsi="宋体"/>
          <w:sz w:val="24"/>
        </w:rPr>
      </w:pPr>
      <w:r>
        <w:rPr>
          <w:rFonts w:ascii="宋体" w:hAnsi="宋体"/>
          <w:sz w:val="24"/>
        </w:rPr>
        <w:t>3）交货要求</w:t>
      </w:r>
    </w:p>
    <w:p w14:paraId="0B4AF550">
      <w:pPr>
        <w:spacing w:line="360" w:lineRule="auto"/>
        <w:ind w:firstLine="480" w:firstLineChars="200"/>
        <w:rPr>
          <w:rFonts w:ascii="宋体" w:hAnsi="宋体"/>
          <w:sz w:val="24"/>
        </w:rPr>
      </w:pPr>
      <w:r>
        <w:rPr>
          <w:rFonts w:hint="eastAsia" w:ascii="宋体" w:hAnsi="宋体"/>
          <w:sz w:val="24"/>
        </w:rPr>
        <w:t>交货期：自合同签订之日起7日内完成设备到货；自设备到货之日起15日内完成安装调试、环境部署及与软件系统联调工作，如遇特殊情况，以合同约定为准。</w:t>
      </w:r>
    </w:p>
    <w:p w14:paraId="4BCE401C">
      <w:pPr>
        <w:spacing w:line="360" w:lineRule="auto"/>
        <w:ind w:firstLine="480" w:firstLineChars="200"/>
        <w:rPr>
          <w:rFonts w:ascii="宋体" w:hAnsi="宋体"/>
          <w:sz w:val="24"/>
        </w:rPr>
      </w:pPr>
      <w:r>
        <w:rPr>
          <w:rFonts w:hint="eastAsia" w:ascii="宋体" w:hAnsi="宋体"/>
          <w:sz w:val="24"/>
        </w:rPr>
        <w:t>投标人须随货提供完整随机资料，包括但不限于设备说明书、安装维护手册、保修凭证、配置清单、技术参数表及相关软件授权资料等，确保采购人可独立完成日常使用与维护。</w:t>
      </w:r>
    </w:p>
    <w:p w14:paraId="3DA510E5">
      <w:pPr>
        <w:spacing w:line="360" w:lineRule="auto"/>
        <w:ind w:firstLine="480" w:firstLineChars="200"/>
        <w:rPr>
          <w:rFonts w:ascii="宋体" w:hAnsi="宋体"/>
          <w:sz w:val="24"/>
        </w:rPr>
      </w:pPr>
      <w:r>
        <w:rPr>
          <w:rFonts w:ascii="宋体" w:hAnsi="宋体"/>
          <w:sz w:val="24"/>
        </w:rPr>
        <w:t>4）付款方式</w:t>
      </w:r>
    </w:p>
    <w:p w14:paraId="0085FD48">
      <w:pPr>
        <w:spacing w:line="360" w:lineRule="auto"/>
        <w:ind w:firstLine="480" w:firstLineChars="200"/>
        <w:rPr>
          <w:rFonts w:ascii="宋体" w:hAnsi="宋体"/>
          <w:sz w:val="24"/>
        </w:rPr>
      </w:pPr>
      <w:r>
        <w:rPr>
          <w:rFonts w:ascii="宋体" w:hAnsi="宋体"/>
          <w:sz w:val="24"/>
        </w:rPr>
        <w:t>货到现场安装、调试完毕，所有设备使用无质量问题，经采购人验收合格后，采购人于7个工作日内一次性支付合同总额的100%货款。</w:t>
      </w:r>
    </w:p>
    <w:p w14:paraId="2F526FB3">
      <w:pPr>
        <w:autoSpaceDE w:val="0"/>
        <w:autoSpaceDN w:val="0"/>
        <w:spacing w:line="360" w:lineRule="auto"/>
        <w:ind w:firstLine="482" w:firstLineChars="200"/>
        <w:rPr>
          <w:b/>
          <w:sz w:val="24"/>
        </w:rPr>
      </w:pPr>
      <w:r>
        <w:rPr>
          <w:rFonts w:hint="eastAsia"/>
          <w:b/>
          <w:sz w:val="24"/>
        </w:rPr>
        <w:t>六、验收标准</w:t>
      </w:r>
    </w:p>
    <w:p w14:paraId="0893F6E1">
      <w:pPr>
        <w:autoSpaceDE w:val="0"/>
        <w:autoSpaceDN w:val="0"/>
        <w:spacing w:line="360" w:lineRule="auto"/>
        <w:ind w:firstLine="480"/>
        <w:rPr>
          <w:sz w:val="24"/>
        </w:rPr>
      </w:pPr>
      <w:r>
        <w:rPr>
          <w:rFonts w:hint="eastAsia"/>
          <w:sz w:val="24"/>
        </w:rPr>
        <w:t>1、</w:t>
      </w:r>
      <w:r>
        <w:rPr>
          <w:sz w:val="24"/>
        </w:rPr>
        <w:t>本项目采购的</w:t>
      </w:r>
      <w:r>
        <w:rPr>
          <w:rFonts w:hint="eastAsia"/>
          <w:sz w:val="24"/>
        </w:rPr>
        <w:t>中药数据应用工作站、数据存储服务器</w:t>
      </w:r>
      <w:r>
        <w:rPr>
          <w:sz w:val="24"/>
        </w:rPr>
        <w:t>设备应符合国家现行相关法律法规、行业标准及质量规范，验收工作将以合同约定的技术参数为依据，确保设备性能、功能及质量满足项目使用需求。</w:t>
      </w:r>
    </w:p>
    <w:p w14:paraId="2F72D458">
      <w:pPr>
        <w:autoSpaceDE w:val="0"/>
        <w:autoSpaceDN w:val="0"/>
        <w:spacing w:line="360" w:lineRule="auto"/>
        <w:ind w:firstLine="480" w:firstLineChars="200"/>
        <w:rPr>
          <w:sz w:val="24"/>
        </w:rPr>
      </w:pPr>
      <w:r>
        <w:rPr>
          <w:rFonts w:hint="eastAsia"/>
          <w:sz w:val="24"/>
        </w:rPr>
        <w:t>2、</w:t>
      </w:r>
      <w:r>
        <w:rPr>
          <w:sz w:val="24"/>
        </w:rPr>
        <w:t>采用100%功能性</w:t>
      </w:r>
      <w:r>
        <w:rPr>
          <w:rFonts w:hint="eastAsia"/>
          <w:sz w:val="24"/>
        </w:rPr>
        <w:t>检查</w:t>
      </w:r>
      <w:r>
        <w:rPr>
          <w:sz w:val="24"/>
        </w:rPr>
        <w:t>标准。抽检样品应由采购人或其授权代表现场随机选取，确保验收公平、公正。</w:t>
      </w:r>
    </w:p>
    <w:p w14:paraId="6348F172">
      <w:pPr>
        <w:autoSpaceDE w:val="0"/>
        <w:autoSpaceDN w:val="0"/>
        <w:spacing w:line="360" w:lineRule="auto"/>
        <w:ind w:firstLine="480" w:firstLineChars="200"/>
        <w:rPr>
          <w:sz w:val="24"/>
        </w:rPr>
      </w:pPr>
      <w:r>
        <w:rPr>
          <w:rFonts w:hint="eastAsia"/>
          <w:sz w:val="24"/>
        </w:rPr>
        <w:t>3、</w:t>
      </w:r>
      <w:r>
        <w:rPr>
          <w:sz w:val="24"/>
        </w:rPr>
        <w:t>委托检验与第三方检测</w:t>
      </w:r>
      <w:r>
        <w:rPr>
          <w:rFonts w:hint="eastAsia"/>
          <w:sz w:val="24"/>
        </w:rPr>
        <w:t>。</w:t>
      </w:r>
      <w:r>
        <w:rPr>
          <w:sz w:val="24"/>
        </w:rPr>
        <w:t>采购人保留委托具备资质的第三方检验机构进行抽样检测的权利。供应商应配合检验过程，如因检验不合格造成交付延迟或返工，相关责任由供应商承担。</w:t>
      </w:r>
    </w:p>
    <w:p w14:paraId="006390D3">
      <w:pPr>
        <w:autoSpaceDE w:val="0"/>
        <w:autoSpaceDN w:val="0"/>
        <w:spacing w:line="360" w:lineRule="auto"/>
        <w:ind w:firstLine="480" w:firstLineChars="200"/>
        <w:rPr>
          <w:sz w:val="24"/>
        </w:rPr>
      </w:pPr>
      <w:r>
        <w:rPr>
          <w:rFonts w:hint="eastAsia"/>
          <w:sz w:val="24"/>
        </w:rPr>
        <w:t>4、</w:t>
      </w:r>
      <w:r>
        <w:rPr>
          <w:sz w:val="24"/>
        </w:rPr>
        <w:t>文件资料齐全</w:t>
      </w:r>
      <w:r>
        <w:rPr>
          <w:rFonts w:hint="eastAsia"/>
          <w:sz w:val="24"/>
        </w:rPr>
        <w:t>。</w:t>
      </w:r>
      <w:r>
        <w:rPr>
          <w:sz w:val="24"/>
        </w:rPr>
        <w:t>验收需同时提交以下资料：产品合格证、出厂检验报告、关键部件质保凭证、使用说明书、技术文档（含开发支持文档）等。</w:t>
      </w:r>
    </w:p>
    <w:p w14:paraId="06B7A7C0">
      <w:pPr>
        <w:autoSpaceDE w:val="0"/>
        <w:autoSpaceDN w:val="0"/>
        <w:spacing w:line="360" w:lineRule="auto"/>
        <w:ind w:firstLine="480" w:firstLineChars="200"/>
        <w:rPr>
          <w:sz w:val="24"/>
        </w:rPr>
      </w:pPr>
      <w:r>
        <w:rPr>
          <w:rFonts w:hint="eastAsia"/>
          <w:sz w:val="24"/>
        </w:rPr>
        <w:t>5、</w:t>
      </w:r>
      <w:r>
        <w:rPr>
          <w:sz w:val="24"/>
        </w:rPr>
        <w:t>特殊情况处理</w:t>
      </w:r>
      <w:r>
        <w:rPr>
          <w:rFonts w:hint="eastAsia"/>
          <w:sz w:val="24"/>
        </w:rPr>
        <w:t>。</w:t>
      </w:r>
      <w:r>
        <w:rPr>
          <w:sz w:val="24"/>
        </w:rPr>
        <w:t>若在验收过程中出现争议或未尽事项，以双方签订的合同为准，由双方协商解决；如协商无果，依法依规处理。</w:t>
      </w:r>
    </w:p>
    <w:p w14:paraId="4EAB33F6">
      <w:pPr>
        <w:spacing w:line="360" w:lineRule="auto"/>
        <w:ind w:firstLine="482" w:firstLineChars="200"/>
        <w:outlineLvl w:val="0"/>
        <w:rPr>
          <w:b/>
          <w:sz w:val="24"/>
        </w:rPr>
      </w:pPr>
      <w:r>
        <w:rPr>
          <w:rFonts w:hint="eastAsia"/>
          <w:b/>
          <w:sz w:val="24"/>
        </w:rPr>
        <w:t>七、其他要求</w:t>
      </w:r>
    </w:p>
    <w:p w14:paraId="1F5227F9">
      <w:pPr>
        <w:rPr>
          <w:rFonts w:ascii="宋体" w:hAnsi="宋体"/>
          <w:sz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Segoe UI Symbol">
    <w:panose1 w:val="020B0502040204020203"/>
    <w:charset w:val="00"/>
    <w:family w:val="swiss"/>
    <w:pitch w:val="default"/>
    <w:sig w:usb0="800001E3" w:usb1="1200FFEF" w:usb2="00040000" w:usb3="04000000" w:csb0="00000001" w:csb1="40000000"/>
  </w:font>
  <w:font w:name="Dotum">
    <w:altName w:val="Malgun Gothic"/>
    <w:panose1 w:val="020B0600000101010101"/>
    <w:charset w:val="81"/>
    <w:family w:val="swiss"/>
    <w:pitch w:val="default"/>
    <w:sig w:usb0="00000000" w:usb1="00000000" w:usb2="00000030" w:usb3="00000000" w:csb0="0008009F" w:csb1="00000000"/>
  </w:font>
  <w:font w:name="微软雅黑">
    <w:panose1 w:val="020B0503020204020204"/>
    <w:charset w:val="86"/>
    <w:family w:val="swiss"/>
    <w:pitch w:val="default"/>
    <w:sig w:usb0="80000287" w:usb1="2ACF3C50" w:usb2="00000016" w:usb3="00000000" w:csb0="0004001F" w:csb1="00000000"/>
  </w:font>
  <w:font w:name="Malgun Gothic">
    <w:panose1 w:val="020B0503020000020004"/>
    <w:charset w:val="81"/>
    <w:family w:val="auto"/>
    <w:pitch w:val="default"/>
    <w:sig w:usb0="9000002F" w:usb1="29D77CFB" w:usb2="00000012" w:usb3="00000000" w:csb0="00080001" w:csb1="00000000"/>
  </w:font>
  <w:font w:name="KSOF9FD03A85">
    <w:panose1 w:val="020B0503020000020004"/>
    <w:charset w:val="81"/>
    <w:family w:val="auto"/>
    <w:pitch w:val="default"/>
    <w:sig w:usb0="00000001" w:usb1="00000000" w:usb2="00000000" w:usb3="00000000" w:csb0="00080001"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B3F0F49"/>
    <w:rsid w:val="00007E72"/>
    <w:rsid w:val="00017A02"/>
    <w:rsid w:val="0004359A"/>
    <w:rsid w:val="00097CF5"/>
    <w:rsid w:val="00155D31"/>
    <w:rsid w:val="001A744F"/>
    <w:rsid w:val="001D2E94"/>
    <w:rsid w:val="001D3675"/>
    <w:rsid w:val="00305568"/>
    <w:rsid w:val="003A01E6"/>
    <w:rsid w:val="00425129"/>
    <w:rsid w:val="00442648"/>
    <w:rsid w:val="00504AF4"/>
    <w:rsid w:val="0056175E"/>
    <w:rsid w:val="006B686F"/>
    <w:rsid w:val="007B6330"/>
    <w:rsid w:val="00A2351A"/>
    <w:rsid w:val="00AC55D3"/>
    <w:rsid w:val="00E91EDD"/>
    <w:rsid w:val="00EB39BD"/>
    <w:rsid w:val="0472717F"/>
    <w:rsid w:val="064B4C39"/>
    <w:rsid w:val="0A6C0264"/>
    <w:rsid w:val="0C7826EA"/>
    <w:rsid w:val="0F4825F1"/>
    <w:rsid w:val="19F416DC"/>
    <w:rsid w:val="1ABD3604"/>
    <w:rsid w:val="1B3F0F49"/>
    <w:rsid w:val="1D1E53EE"/>
    <w:rsid w:val="211C0758"/>
    <w:rsid w:val="2CDA5AB5"/>
    <w:rsid w:val="2E114AFB"/>
    <w:rsid w:val="39924D42"/>
    <w:rsid w:val="409D5D7A"/>
    <w:rsid w:val="41E81277"/>
    <w:rsid w:val="550E3B1C"/>
    <w:rsid w:val="5CAC13C7"/>
    <w:rsid w:val="5E79352B"/>
    <w:rsid w:val="5F476E93"/>
    <w:rsid w:val="60CC64DC"/>
    <w:rsid w:val="645E38EF"/>
    <w:rsid w:val="65F53318"/>
    <w:rsid w:val="709D579F"/>
    <w:rsid w:val="722515A8"/>
    <w:rsid w:val="77EC0519"/>
    <w:rsid w:val="7820118F"/>
    <w:rsid w:val="79ED30EB"/>
    <w:rsid w:val="7B5549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Title"/>
    <w:basedOn w:val="1"/>
    <w:next w:val="1"/>
    <w:link w:val="10"/>
    <w:qFormat/>
    <w:uiPriority w:val="10"/>
    <w:pPr>
      <w:spacing w:before="240" w:after="60"/>
      <w:jc w:val="center"/>
      <w:outlineLvl w:val="0"/>
    </w:pPr>
    <w:rPr>
      <w:rFonts w:ascii="Cambria" w:hAnsi="Cambria"/>
      <w:b/>
      <w:bCs/>
      <w:sz w:val="32"/>
      <w:szCs w:val="32"/>
    </w:rPr>
  </w:style>
  <w:style w:type="table" w:styleId="4">
    <w:name w:val="Table Grid"/>
    <w:basedOn w:val="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6">
    <w:name w:val="Strong"/>
    <w:basedOn w:val="5"/>
    <w:qFormat/>
    <w:uiPriority w:val="0"/>
    <w:rPr>
      <w:b/>
    </w:rPr>
  </w:style>
  <w:style w:type="character" w:customStyle="1" w:styleId="7">
    <w:name w:val="font61"/>
    <w:basedOn w:val="5"/>
    <w:qFormat/>
    <w:uiPriority w:val="0"/>
    <w:rPr>
      <w:rFonts w:hint="eastAsia" w:ascii="宋体" w:hAnsi="宋体" w:eastAsia="宋体" w:cs="宋体"/>
      <w:color w:val="000000"/>
      <w:sz w:val="18"/>
      <w:szCs w:val="18"/>
      <w:u w:val="none"/>
    </w:rPr>
  </w:style>
  <w:style w:type="character" w:customStyle="1" w:styleId="8">
    <w:name w:val="font51"/>
    <w:basedOn w:val="5"/>
    <w:qFormat/>
    <w:uiPriority w:val="0"/>
    <w:rPr>
      <w:rFonts w:hint="eastAsia" w:ascii="宋体" w:hAnsi="宋体" w:eastAsia="宋体" w:cs="宋体"/>
      <w:color w:val="000000"/>
      <w:sz w:val="18"/>
      <w:szCs w:val="18"/>
      <w:u w:val="none"/>
    </w:rPr>
  </w:style>
  <w:style w:type="character" w:customStyle="1" w:styleId="9">
    <w:name w:val="font81"/>
    <w:basedOn w:val="5"/>
    <w:qFormat/>
    <w:uiPriority w:val="0"/>
    <w:rPr>
      <w:rFonts w:hint="eastAsia" w:ascii="宋体" w:hAnsi="宋体" w:eastAsia="宋体" w:cs="宋体"/>
      <w:color w:val="000000"/>
      <w:sz w:val="18"/>
      <w:szCs w:val="18"/>
      <w:u w:val="none"/>
    </w:rPr>
  </w:style>
  <w:style w:type="character" w:customStyle="1" w:styleId="10">
    <w:name w:val="标题 字符"/>
    <w:basedOn w:val="5"/>
    <w:link w:val="2"/>
    <w:qFormat/>
    <w:uiPriority w:val="10"/>
    <w:rPr>
      <w:rFonts w:ascii="Cambria" w:hAnsi="Cambria"/>
      <w:b/>
      <w:bCs/>
      <w:kern w:val="2"/>
      <w:sz w:val="32"/>
      <w:szCs w:val="3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6299</Words>
  <Characters>7054</Characters>
  <Lines>244</Lines>
  <Paragraphs>197</Paragraphs>
  <TotalTime>204</TotalTime>
  <ScaleCrop>false</ScaleCrop>
  <LinksUpToDate>false</LinksUpToDate>
  <CharactersWithSpaces>7322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2026-07-10T03:55:00Z</dcterms:created>
  <dc:creator>晨哥</dc:creator>
  <cp:lastModifiedBy>冰冰</cp:lastModifiedBy>
  <cp:lastPrinted>2026-07-10T04:02:00Z</cp:lastPrinted>
  <dcterms:modified xsi:type="dcterms:W3CDTF">2026-07-16T06:09:13Z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37216F4444034036BAD56592201BD312_13</vt:lpwstr>
  </property>
  <property fmtid="{D5CDD505-2E9C-101B-9397-08002B2CF9AE}" pid="4" name="KSOTemplateDocerSaveRecord">
    <vt:lpwstr>eyJoZGlkIjoiZmQ2ODA5MTUwMDdlNjMxZDAzYTcwMDNmZTM0NWFhOTEiLCJ1c2VySWQiOiI1OTMxMzMyODAifQ==</vt:lpwstr>
  </property>
</Properties>
</file>