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F2F9B06">
      <w:pPr>
        <w:spacing w:line="360" w:lineRule="auto"/>
        <w:outlineLvl w:val="0"/>
        <w:rPr>
          <w:rFonts w:hint="eastAsia" w:eastAsia="宋体"/>
          <w:sz w:val="24"/>
          <w:lang w:eastAsia="zh"/>
        </w:rPr>
      </w:pPr>
      <w:bookmarkStart w:id="0" w:name="_GoBack"/>
      <w:bookmarkEnd w:id="0"/>
      <w:r>
        <w:rPr>
          <w:rFonts w:hint="eastAsia"/>
          <w:sz w:val="24"/>
          <w:lang w:eastAsia="zh"/>
        </w:rPr>
        <w:t>附件1：</w:t>
      </w:r>
    </w:p>
    <w:p w14:paraId="38FF1EBB">
      <w:pPr>
        <w:pStyle w:val="10"/>
        <w:spacing w:line="360" w:lineRule="auto"/>
        <w:ind w:firstLine="480" w:firstLineChars="200"/>
        <w:jc w:val="both"/>
        <w:rPr>
          <w:rFonts w:ascii="Times New Roman" w:hAnsi="Times New Roman" w:eastAsia="宋体" w:cs="Times New Roman"/>
          <w:color w:val="auto"/>
        </w:rPr>
      </w:pPr>
    </w:p>
    <w:p w14:paraId="0DA5FC50">
      <w:pPr>
        <w:pStyle w:val="1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650CC9F6">
      <w:pPr>
        <w:pStyle w:val="1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3AD5C830">
      <w:pPr>
        <w:pStyle w:val="1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4C9A4FDF">
      <w:pPr>
        <w:pStyle w:val="1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联系部门：天津市应急管理局</w:t>
      </w:r>
    </w:p>
    <w:p w14:paraId="48CB555E">
      <w:pPr>
        <w:pStyle w:val="1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联系地址：天津市河西区怒江道58号</w:t>
      </w:r>
    </w:p>
    <w:p w14:paraId="43487B5F">
      <w:pPr>
        <w:pStyle w:val="1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人：吴鹏</w:t>
      </w:r>
    </w:p>
    <w:p w14:paraId="37B03B66">
      <w:pPr>
        <w:pStyle w:val="1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w:t>
      </w:r>
      <w:r>
        <w:rPr>
          <w:rFonts w:ascii="Times New Roman" w:hAnsi="Times New Roman" w:eastAsia="宋体" w:cs="Times New Roman"/>
          <w:color w:val="auto"/>
        </w:rPr>
        <w:t>022-28051730</w:t>
      </w:r>
    </w:p>
    <w:p w14:paraId="0DBA47DD">
      <w:pPr>
        <w:widowControl/>
        <w:jc w:val="left"/>
        <w:rPr>
          <w:sz w:val="24"/>
        </w:rPr>
      </w:pPr>
      <w:r>
        <w:rPr>
          <w:sz w:val="24"/>
        </w:rPr>
        <w:br w:type="page"/>
      </w:r>
    </w:p>
    <w:p w14:paraId="588295E8">
      <w:pPr>
        <w:spacing w:line="360" w:lineRule="auto"/>
        <w:ind w:firstLine="480" w:firstLineChars="200"/>
        <w:outlineLvl w:val="0"/>
        <w:rPr>
          <w:sz w:val="24"/>
        </w:rPr>
      </w:pPr>
      <w:r>
        <w:rPr>
          <w:sz w:val="24"/>
        </w:rPr>
        <w:t>三、评分因素及评标标准</w:t>
      </w:r>
    </w:p>
    <w:tbl>
      <w:tblPr>
        <w:tblStyle w:val="5"/>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583"/>
        <w:gridCol w:w="6946"/>
        <w:gridCol w:w="1344"/>
      </w:tblGrid>
      <w:tr w14:paraId="01D076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192" w:type="dxa"/>
            <w:gridSpan w:val="3"/>
            <w:shd w:val="clear" w:color="auto" w:fill="auto"/>
            <w:vAlign w:val="center"/>
          </w:tcPr>
          <w:p w14:paraId="1FC7A16A">
            <w:pPr>
              <w:widowControl/>
              <w:adjustRightInd w:val="0"/>
              <w:snapToGrid w:val="0"/>
              <w:jc w:val="center"/>
              <w:rPr>
                <w:kern w:val="0"/>
                <w:sz w:val="24"/>
                <w:szCs w:val="24"/>
              </w:rPr>
            </w:pPr>
            <w:r>
              <w:rPr>
                <w:kern w:val="0"/>
                <w:sz w:val="24"/>
                <w:szCs w:val="24"/>
              </w:rPr>
              <w:t>第一部分 价格（</w:t>
            </w:r>
            <w:r>
              <w:rPr>
                <w:rFonts w:hint="eastAsia"/>
                <w:kern w:val="0"/>
                <w:sz w:val="24"/>
                <w:szCs w:val="24"/>
              </w:rPr>
              <w:t>10</w:t>
            </w:r>
            <w:r>
              <w:rPr>
                <w:kern w:val="0"/>
                <w:sz w:val="24"/>
                <w:szCs w:val="24"/>
              </w:rPr>
              <w:t>分）</w:t>
            </w:r>
          </w:p>
        </w:tc>
        <w:tc>
          <w:tcPr>
            <w:tcW w:w="1344" w:type="dxa"/>
            <w:shd w:val="clear" w:color="auto" w:fill="auto"/>
            <w:vAlign w:val="center"/>
          </w:tcPr>
          <w:p w14:paraId="692A8A71">
            <w:pPr>
              <w:widowControl/>
              <w:adjustRightInd w:val="0"/>
              <w:snapToGrid w:val="0"/>
              <w:jc w:val="center"/>
              <w:rPr>
                <w:kern w:val="0"/>
                <w:sz w:val="24"/>
                <w:szCs w:val="24"/>
              </w:rPr>
            </w:pPr>
            <w:r>
              <w:rPr>
                <w:kern w:val="0"/>
                <w:sz w:val="24"/>
                <w:szCs w:val="24"/>
              </w:rPr>
              <w:t>分值</w:t>
            </w:r>
          </w:p>
        </w:tc>
      </w:tr>
      <w:tr w14:paraId="3B39EE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64284C60">
            <w:pPr>
              <w:widowControl/>
              <w:adjustRightInd w:val="0"/>
              <w:snapToGrid w:val="0"/>
              <w:jc w:val="center"/>
              <w:rPr>
                <w:kern w:val="0"/>
                <w:sz w:val="24"/>
                <w:szCs w:val="24"/>
              </w:rPr>
            </w:pPr>
            <w:r>
              <w:rPr>
                <w:kern w:val="0"/>
                <w:sz w:val="24"/>
                <w:szCs w:val="24"/>
              </w:rPr>
              <w:t>1</w:t>
            </w:r>
          </w:p>
        </w:tc>
        <w:tc>
          <w:tcPr>
            <w:tcW w:w="1583" w:type="dxa"/>
            <w:shd w:val="clear" w:color="auto" w:fill="auto"/>
            <w:vAlign w:val="center"/>
          </w:tcPr>
          <w:p w14:paraId="54B684EC">
            <w:pPr>
              <w:widowControl/>
              <w:adjustRightInd w:val="0"/>
              <w:snapToGrid w:val="0"/>
              <w:jc w:val="center"/>
              <w:rPr>
                <w:kern w:val="0"/>
                <w:sz w:val="24"/>
                <w:szCs w:val="24"/>
              </w:rPr>
            </w:pPr>
            <w:r>
              <w:rPr>
                <w:kern w:val="0"/>
                <w:sz w:val="24"/>
                <w:szCs w:val="24"/>
              </w:rPr>
              <w:t>价格</w:t>
            </w:r>
          </w:p>
        </w:tc>
        <w:tc>
          <w:tcPr>
            <w:tcW w:w="6946" w:type="dxa"/>
            <w:shd w:val="clear" w:color="auto" w:fill="auto"/>
            <w:vAlign w:val="center"/>
          </w:tcPr>
          <w:p w14:paraId="6BF4E0AF">
            <w:pPr>
              <w:widowControl/>
              <w:adjustRightInd w:val="0"/>
              <w:snapToGrid w:val="0"/>
              <w:rPr>
                <w:kern w:val="0"/>
                <w:sz w:val="24"/>
                <w:szCs w:val="24"/>
              </w:rPr>
            </w:pPr>
            <w:r>
              <w:rPr>
                <w:kern w:val="0"/>
                <w:sz w:val="24"/>
                <w:szCs w:val="24"/>
              </w:rPr>
              <w:t>（1）投标报价超过采购预算的，投标无效，未超过采购预算的投标报价按以下公式进行计算。</w:t>
            </w:r>
          </w:p>
          <w:p w14:paraId="787CE260">
            <w:pPr>
              <w:widowControl/>
              <w:adjustRightInd w:val="0"/>
              <w:snapToGrid w:val="0"/>
              <w:rPr>
                <w:kern w:val="0"/>
                <w:sz w:val="24"/>
                <w:szCs w:val="24"/>
              </w:rPr>
            </w:pPr>
            <w:r>
              <w:rPr>
                <w:kern w:val="0"/>
                <w:sz w:val="24"/>
                <w:szCs w:val="24"/>
              </w:rPr>
              <w:t>（2）投标报价得分=（评标基准价/投标报价）×</w:t>
            </w:r>
            <w:r>
              <w:rPr>
                <w:rFonts w:hint="eastAsia"/>
                <w:kern w:val="0"/>
                <w:sz w:val="24"/>
                <w:szCs w:val="24"/>
              </w:rPr>
              <w:t>1</w:t>
            </w:r>
            <w:r>
              <w:rPr>
                <w:kern w:val="0"/>
                <w:sz w:val="24"/>
                <w:szCs w:val="24"/>
              </w:rPr>
              <w:t>0</w:t>
            </w:r>
          </w:p>
          <w:p w14:paraId="50088E6B">
            <w:pPr>
              <w:widowControl/>
              <w:adjustRightInd w:val="0"/>
              <w:snapToGrid w:val="0"/>
              <w:rPr>
                <w:kern w:val="0"/>
                <w:sz w:val="24"/>
                <w:szCs w:val="24"/>
              </w:rPr>
            </w:pPr>
            <w:r>
              <w:rPr>
                <w:kern w:val="0"/>
                <w:sz w:val="24"/>
                <w:szCs w:val="24"/>
              </w:rPr>
              <w:t>注：满足</w:t>
            </w:r>
            <w:r>
              <w:rPr>
                <w:rFonts w:hint="eastAsia"/>
                <w:kern w:val="0"/>
                <w:sz w:val="24"/>
                <w:szCs w:val="24"/>
              </w:rPr>
              <w:t>招标文件</w:t>
            </w:r>
            <w:r>
              <w:rPr>
                <w:kern w:val="0"/>
                <w:sz w:val="24"/>
                <w:szCs w:val="24"/>
              </w:rPr>
              <w:t>要求且投标报价最低的投标报价为评标基准价。</w:t>
            </w:r>
          </w:p>
        </w:tc>
        <w:tc>
          <w:tcPr>
            <w:tcW w:w="1344" w:type="dxa"/>
            <w:shd w:val="clear" w:color="auto" w:fill="auto"/>
            <w:vAlign w:val="center"/>
          </w:tcPr>
          <w:p w14:paraId="71137138">
            <w:pPr>
              <w:widowControl/>
              <w:adjustRightInd w:val="0"/>
              <w:snapToGrid w:val="0"/>
              <w:jc w:val="center"/>
              <w:rPr>
                <w:kern w:val="0"/>
                <w:sz w:val="24"/>
                <w:szCs w:val="24"/>
              </w:rPr>
            </w:pPr>
            <w:r>
              <w:rPr>
                <w:rFonts w:hint="eastAsia"/>
                <w:kern w:val="0"/>
                <w:sz w:val="24"/>
                <w:szCs w:val="24"/>
              </w:rPr>
              <w:t>10</w:t>
            </w:r>
          </w:p>
        </w:tc>
      </w:tr>
      <w:tr w14:paraId="0C3176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192" w:type="dxa"/>
            <w:gridSpan w:val="3"/>
            <w:shd w:val="clear" w:color="auto" w:fill="auto"/>
            <w:noWrap/>
            <w:vAlign w:val="center"/>
          </w:tcPr>
          <w:p w14:paraId="16785F59">
            <w:pPr>
              <w:widowControl/>
              <w:adjustRightInd w:val="0"/>
              <w:snapToGrid w:val="0"/>
              <w:jc w:val="center"/>
              <w:rPr>
                <w:kern w:val="0"/>
                <w:sz w:val="24"/>
                <w:szCs w:val="24"/>
              </w:rPr>
            </w:pPr>
            <w:r>
              <w:rPr>
                <w:kern w:val="0"/>
                <w:sz w:val="24"/>
                <w:szCs w:val="24"/>
              </w:rPr>
              <w:t>第二部分 客观分（</w:t>
            </w:r>
            <w:r>
              <w:rPr>
                <w:rFonts w:hint="eastAsia"/>
                <w:kern w:val="0"/>
                <w:sz w:val="24"/>
                <w:szCs w:val="24"/>
              </w:rPr>
              <w:t>30</w:t>
            </w:r>
            <w:r>
              <w:rPr>
                <w:kern w:val="0"/>
                <w:sz w:val="24"/>
                <w:szCs w:val="24"/>
              </w:rPr>
              <w:t>分）</w:t>
            </w:r>
          </w:p>
        </w:tc>
        <w:tc>
          <w:tcPr>
            <w:tcW w:w="1344" w:type="dxa"/>
            <w:shd w:val="clear" w:color="auto" w:fill="auto"/>
            <w:vAlign w:val="center"/>
          </w:tcPr>
          <w:p w14:paraId="3A040CEA">
            <w:pPr>
              <w:widowControl/>
              <w:adjustRightInd w:val="0"/>
              <w:snapToGrid w:val="0"/>
              <w:jc w:val="center"/>
              <w:rPr>
                <w:kern w:val="0"/>
                <w:sz w:val="24"/>
                <w:szCs w:val="24"/>
              </w:rPr>
            </w:pPr>
            <w:r>
              <w:rPr>
                <w:kern w:val="0"/>
                <w:sz w:val="24"/>
                <w:szCs w:val="24"/>
              </w:rPr>
              <w:t>分值</w:t>
            </w:r>
          </w:p>
        </w:tc>
      </w:tr>
      <w:tr w14:paraId="6E66E5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754B7F8">
            <w:pPr>
              <w:widowControl/>
              <w:adjustRightInd w:val="0"/>
              <w:snapToGrid w:val="0"/>
              <w:jc w:val="center"/>
              <w:rPr>
                <w:kern w:val="0"/>
                <w:sz w:val="24"/>
                <w:szCs w:val="24"/>
              </w:rPr>
            </w:pPr>
            <w:r>
              <w:rPr>
                <w:kern w:val="0"/>
                <w:sz w:val="24"/>
                <w:szCs w:val="24"/>
              </w:rPr>
              <w:t>1</w:t>
            </w:r>
          </w:p>
        </w:tc>
        <w:tc>
          <w:tcPr>
            <w:tcW w:w="1583" w:type="dxa"/>
            <w:shd w:val="clear" w:color="auto" w:fill="auto"/>
            <w:vAlign w:val="center"/>
          </w:tcPr>
          <w:p w14:paraId="1C4F685B">
            <w:pPr>
              <w:widowControl/>
              <w:adjustRightInd w:val="0"/>
              <w:snapToGrid w:val="0"/>
              <w:jc w:val="center"/>
              <w:rPr>
                <w:kern w:val="0"/>
                <w:sz w:val="24"/>
                <w:szCs w:val="24"/>
              </w:rPr>
            </w:pPr>
            <w:r>
              <w:rPr>
                <w:rFonts w:hint="eastAsia"/>
                <w:kern w:val="0"/>
                <w:sz w:val="24"/>
                <w:szCs w:val="24"/>
              </w:rPr>
              <w:t>投标人业绩</w:t>
            </w:r>
          </w:p>
        </w:tc>
        <w:tc>
          <w:tcPr>
            <w:tcW w:w="6946" w:type="dxa"/>
            <w:shd w:val="clear" w:color="auto" w:fill="auto"/>
            <w:vAlign w:val="center"/>
          </w:tcPr>
          <w:p w14:paraId="58601F11">
            <w:pPr>
              <w:widowControl/>
              <w:adjustRightInd w:val="0"/>
              <w:snapToGrid w:val="0"/>
              <w:rPr>
                <w:kern w:val="0"/>
                <w:sz w:val="24"/>
                <w:szCs w:val="24"/>
              </w:rPr>
            </w:pPr>
            <w:r>
              <w:rPr>
                <w:rFonts w:hint="eastAsia"/>
                <w:kern w:val="0"/>
                <w:sz w:val="24"/>
                <w:szCs w:val="24"/>
              </w:rPr>
              <w:t>完全按照以下要求提供投标人曾实施的等级保护测评相关业绩，提供的证明材料均不得遮挡涂黑，否则不予认定加分。</w:t>
            </w:r>
          </w:p>
          <w:p w14:paraId="0AB853F8">
            <w:pPr>
              <w:widowControl/>
              <w:adjustRightInd w:val="0"/>
              <w:snapToGrid w:val="0"/>
              <w:rPr>
                <w:kern w:val="0"/>
                <w:sz w:val="24"/>
                <w:szCs w:val="24"/>
              </w:rPr>
            </w:pPr>
            <w:r>
              <w:rPr>
                <w:rFonts w:hint="eastAsia"/>
                <w:kern w:val="0"/>
                <w:sz w:val="24"/>
                <w:szCs w:val="24"/>
              </w:rPr>
              <w:t>A</w:t>
            </w:r>
            <w:r>
              <w:rPr>
                <w:kern w:val="0"/>
                <w:sz w:val="24"/>
                <w:szCs w:val="24"/>
              </w:rPr>
              <w:t xml:space="preserve">. </w:t>
            </w:r>
            <w:r>
              <w:rPr>
                <w:rFonts w:hint="eastAsia"/>
                <w:kern w:val="0"/>
                <w:sz w:val="24"/>
                <w:szCs w:val="24"/>
              </w:rPr>
              <w:t>合同原件扫描件。包括买卖双方名称及盖章、服务内容</w:t>
            </w:r>
            <w:r>
              <w:rPr>
                <w:rFonts w:hint="eastAsia"/>
                <w:bCs/>
                <w:sz w:val="24"/>
              </w:rPr>
              <w:t>、合同签订日期（应为2022年1月1日或以后）</w:t>
            </w:r>
            <w:r>
              <w:rPr>
                <w:rFonts w:hint="eastAsia"/>
                <w:kern w:val="0"/>
                <w:sz w:val="24"/>
                <w:szCs w:val="24"/>
              </w:rPr>
              <w:t>。</w:t>
            </w:r>
          </w:p>
          <w:p w14:paraId="0989F534">
            <w:pPr>
              <w:widowControl/>
              <w:adjustRightInd w:val="0"/>
              <w:snapToGrid w:val="0"/>
              <w:rPr>
                <w:kern w:val="0"/>
                <w:sz w:val="24"/>
                <w:szCs w:val="24"/>
              </w:rPr>
            </w:pPr>
            <w:r>
              <w:rPr>
                <w:kern w:val="0"/>
                <w:sz w:val="24"/>
                <w:szCs w:val="24"/>
              </w:rPr>
              <w:t>B.</w:t>
            </w:r>
            <w:r>
              <w:rPr>
                <w:rFonts w:hint="eastAsia"/>
                <w:kern w:val="0"/>
                <w:sz w:val="24"/>
                <w:szCs w:val="24"/>
              </w:rPr>
              <w:t xml:space="preserve"> 上述</w:t>
            </w:r>
            <w:r>
              <w:rPr>
                <w:kern w:val="0"/>
                <w:sz w:val="24"/>
                <w:szCs w:val="24"/>
              </w:rPr>
              <w:t>合同履行</w:t>
            </w:r>
            <w:r>
              <w:rPr>
                <w:rFonts w:hint="eastAsia"/>
                <w:kern w:val="0"/>
                <w:sz w:val="24"/>
                <w:szCs w:val="24"/>
              </w:rPr>
              <w:t>良好</w:t>
            </w:r>
            <w:r>
              <w:rPr>
                <w:kern w:val="0"/>
                <w:sz w:val="24"/>
                <w:szCs w:val="24"/>
              </w:rPr>
              <w:t>的相关证明材料</w:t>
            </w:r>
            <w:r>
              <w:rPr>
                <w:rFonts w:hint="eastAsia"/>
                <w:kern w:val="0"/>
                <w:sz w:val="24"/>
                <w:szCs w:val="24"/>
              </w:rPr>
              <w:t>原件</w:t>
            </w:r>
            <w:r>
              <w:rPr>
                <w:kern w:val="0"/>
                <w:sz w:val="24"/>
                <w:szCs w:val="24"/>
              </w:rPr>
              <w:t>扫描件</w:t>
            </w:r>
            <w:r>
              <w:rPr>
                <w:rFonts w:hint="eastAsia"/>
                <w:kern w:val="0"/>
                <w:sz w:val="24"/>
                <w:szCs w:val="24"/>
              </w:rPr>
              <w:t>（</w:t>
            </w:r>
            <w:r>
              <w:rPr>
                <w:rFonts w:hint="eastAsia"/>
                <w:sz w:val="24"/>
              </w:rPr>
              <w:t>加盖上述合同甲方单位公章或上述合同中所盖的甲方印章</w:t>
            </w:r>
            <w:r>
              <w:rPr>
                <w:rFonts w:hint="eastAsia"/>
                <w:kern w:val="0"/>
                <w:sz w:val="24"/>
                <w:szCs w:val="24"/>
              </w:rPr>
              <w:t>）</w:t>
            </w:r>
            <w:r>
              <w:rPr>
                <w:kern w:val="0"/>
                <w:sz w:val="24"/>
                <w:szCs w:val="24"/>
              </w:rPr>
              <w:t>。</w:t>
            </w:r>
          </w:p>
          <w:p w14:paraId="2896EA85">
            <w:pPr>
              <w:widowControl/>
              <w:adjustRightInd w:val="0"/>
              <w:snapToGrid w:val="0"/>
              <w:rPr>
                <w:kern w:val="0"/>
                <w:sz w:val="24"/>
                <w:szCs w:val="24"/>
              </w:rPr>
            </w:pPr>
            <w:r>
              <w:rPr>
                <w:rFonts w:hint="eastAsia"/>
                <w:kern w:val="0"/>
                <w:sz w:val="24"/>
                <w:szCs w:val="24"/>
              </w:rPr>
              <w:t>每个业绩2分，最多6分</w:t>
            </w:r>
          </w:p>
        </w:tc>
        <w:tc>
          <w:tcPr>
            <w:tcW w:w="1344" w:type="dxa"/>
            <w:shd w:val="clear" w:color="auto" w:fill="auto"/>
            <w:vAlign w:val="center"/>
          </w:tcPr>
          <w:p w14:paraId="40B54061">
            <w:pPr>
              <w:widowControl/>
              <w:adjustRightInd w:val="0"/>
              <w:snapToGrid w:val="0"/>
              <w:jc w:val="center"/>
              <w:rPr>
                <w:kern w:val="0"/>
                <w:sz w:val="24"/>
                <w:szCs w:val="24"/>
              </w:rPr>
            </w:pPr>
            <w:r>
              <w:rPr>
                <w:rFonts w:hint="eastAsia"/>
                <w:kern w:val="0"/>
                <w:sz w:val="24"/>
                <w:szCs w:val="24"/>
              </w:rPr>
              <w:t>6</w:t>
            </w:r>
          </w:p>
        </w:tc>
      </w:tr>
      <w:tr w14:paraId="0B4AB4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8" w:hRule="atLeast"/>
          <w:jc w:val="center"/>
        </w:trPr>
        <w:tc>
          <w:tcPr>
            <w:tcW w:w="663" w:type="dxa"/>
            <w:shd w:val="clear" w:color="auto" w:fill="auto"/>
            <w:noWrap/>
            <w:vAlign w:val="center"/>
          </w:tcPr>
          <w:p w14:paraId="63A8B2CC">
            <w:pPr>
              <w:widowControl/>
              <w:adjustRightInd w:val="0"/>
              <w:snapToGrid w:val="0"/>
              <w:ind w:firstLine="240" w:firstLineChars="100"/>
              <w:rPr>
                <w:kern w:val="0"/>
                <w:sz w:val="24"/>
                <w:szCs w:val="24"/>
              </w:rPr>
            </w:pPr>
            <w:r>
              <w:rPr>
                <w:rFonts w:hint="eastAsia"/>
                <w:kern w:val="0"/>
                <w:sz w:val="24"/>
                <w:szCs w:val="24"/>
              </w:rPr>
              <w:t>2</w:t>
            </w:r>
          </w:p>
        </w:tc>
        <w:tc>
          <w:tcPr>
            <w:tcW w:w="1583" w:type="dxa"/>
            <w:shd w:val="clear" w:color="auto" w:fill="auto"/>
            <w:vAlign w:val="center"/>
          </w:tcPr>
          <w:p w14:paraId="1857BD5D">
            <w:pPr>
              <w:widowControl/>
              <w:adjustRightInd w:val="0"/>
              <w:snapToGrid w:val="0"/>
              <w:jc w:val="center"/>
              <w:rPr>
                <w:kern w:val="0"/>
                <w:sz w:val="24"/>
                <w:szCs w:val="24"/>
              </w:rPr>
            </w:pPr>
            <w:r>
              <w:rPr>
                <w:rFonts w:hint="eastAsia"/>
                <w:kern w:val="0"/>
                <w:sz w:val="24"/>
                <w:szCs w:val="24"/>
              </w:rPr>
              <w:t>投标人能力评价</w:t>
            </w:r>
          </w:p>
        </w:tc>
        <w:tc>
          <w:tcPr>
            <w:tcW w:w="6946" w:type="dxa"/>
            <w:shd w:val="clear" w:color="auto" w:fill="auto"/>
            <w:vAlign w:val="center"/>
          </w:tcPr>
          <w:p w14:paraId="51162D7E">
            <w:pPr>
              <w:pStyle w:val="2"/>
              <w:rPr>
                <w:kern w:val="0"/>
                <w:sz w:val="24"/>
                <w:szCs w:val="24"/>
              </w:rPr>
            </w:pPr>
            <w:r>
              <w:rPr>
                <w:rFonts w:hint="eastAsia"/>
                <w:kern w:val="0"/>
                <w:sz w:val="24"/>
                <w:szCs w:val="24"/>
              </w:rPr>
              <w:t>投标人具备有效期内的《网络安全等级测评与检测评估机构服务认证证书》或《网络安全服务认证证书等级保护测评服务认证》，提供证书扫描件，得2分，其他0分。</w:t>
            </w:r>
          </w:p>
        </w:tc>
        <w:tc>
          <w:tcPr>
            <w:tcW w:w="1344" w:type="dxa"/>
            <w:shd w:val="clear" w:color="auto" w:fill="auto"/>
            <w:vAlign w:val="center"/>
          </w:tcPr>
          <w:p w14:paraId="30454E35">
            <w:pPr>
              <w:widowControl/>
              <w:adjustRightInd w:val="0"/>
              <w:snapToGrid w:val="0"/>
              <w:jc w:val="center"/>
              <w:rPr>
                <w:kern w:val="0"/>
                <w:sz w:val="24"/>
                <w:szCs w:val="24"/>
              </w:rPr>
            </w:pPr>
            <w:r>
              <w:rPr>
                <w:rFonts w:hint="eastAsia"/>
                <w:kern w:val="0"/>
                <w:sz w:val="24"/>
                <w:szCs w:val="24"/>
              </w:rPr>
              <w:t>2</w:t>
            </w:r>
          </w:p>
        </w:tc>
      </w:tr>
      <w:tr w14:paraId="248202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shd w:val="clear" w:color="auto" w:fill="auto"/>
            <w:noWrap/>
            <w:vAlign w:val="center"/>
          </w:tcPr>
          <w:p w14:paraId="168E8DC8">
            <w:pPr>
              <w:widowControl/>
              <w:adjustRightInd w:val="0"/>
              <w:snapToGrid w:val="0"/>
              <w:rPr>
                <w:kern w:val="0"/>
                <w:sz w:val="24"/>
                <w:szCs w:val="24"/>
              </w:rPr>
            </w:pPr>
          </w:p>
          <w:p w14:paraId="50CA9A1A">
            <w:pPr>
              <w:widowControl/>
              <w:adjustRightInd w:val="0"/>
              <w:snapToGrid w:val="0"/>
              <w:jc w:val="center"/>
              <w:rPr>
                <w:kern w:val="0"/>
                <w:sz w:val="24"/>
                <w:szCs w:val="24"/>
              </w:rPr>
            </w:pPr>
            <w:r>
              <w:rPr>
                <w:rFonts w:hint="eastAsia"/>
                <w:kern w:val="0"/>
                <w:sz w:val="24"/>
                <w:szCs w:val="24"/>
              </w:rPr>
              <w:t>3</w:t>
            </w:r>
          </w:p>
        </w:tc>
        <w:tc>
          <w:tcPr>
            <w:tcW w:w="1583" w:type="dxa"/>
            <w:shd w:val="clear" w:color="auto" w:fill="auto"/>
            <w:vAlign w:val="center"/>
          </w:tcPr>
          <w:p w14:paraId="33D761A9">
            <w:pPr>
              <w:widowControl/>
              <w:adjustRightInd w:val="0"/>
              <w:snapToGrid w:val="0"/>
              <w:jc w:val="center"/>
              <w:rPr>
                <w:kern w:val="0"/>
                <w:sz w:val="24"/>
                <w:szCs w:val="24"/>
              </w:rPr>
            </w:pPr>
            <w:r>
              <w:rPr>
                <w:rFonts w:hint="eastAsia"/>
                <w:sz w:val="24"/>
              </w:rPr>
              <w:t>投入</w:t>
            </w:r>
            <w:r>
              <w:rPr>
                <w:sz w:val="24"/>
              </w:rPr>
              <w:t>人员评价</w:t>
            </w:r>
          </w:p>
        </w:tc>
        <w:tc>
          <w:tcPr>
            <w:tcW w:w="6946" w:type="dxa"/>
            <w:shd w:val="clear" w:color="auto" w:fill="auto"/>
            <w:vAlign w:val="center"/>
          </w:tcPr>
          <w:p w14:paraId="1B6A1259">
            <w:pPr>
              <w:widowControl/>
              <w:adjustRightInd w:val="0"/>
              <w:snapToGrid w:val="0"/>
              <w:rPr>
                <w:kern w:val="0"/>
                <w:sz w:val="24"/>
                <w:szCs w:val="24"/>
              </w:rPr>
            </w:pPr>
            <w:r>
              <w:rPr>
                <w:rFonts w:hint="eastAsia"/>
                <w:kern w:val="0"/>
                <w:sz w:val="24"/>
                <w:szCs w:val="24"/>
              </w:rPr>
              <w:t>投标人为项目组建的服务团队提供姓名、开标日前三个月中任意一个月的由投标单位为投入人员缴纳社会保险证明扫描件，否则不予认定加分。</w:t>
            </w:r>
          </w:p>
          <w:p w14:paraId="782A82C4">
            <w:pPr>
              <w:adjustRightInd w:val="0"/>
              <w:snapToGrid w:val="0"/>
              <w:rPr>
                <w:kern w:val="0"/>
                <w:sz w:val="24"/>
                <w:szCs w:val="24"/>
              </w:rPr>
            </w:pPr>
            <w:r>
              <w:rPr>
                <w:kern w:val="0"/>
                <w:sz w:val="24"/>
                <w:szCs w:val="24"/>
              </w:rPr>
              <w:t>（1）项目</w:t>
            </w:r>
            <w:r>
              <w:rPr>
                <w:rFonts w:hint="eastAsia"/>
                <w:kern w:val="0"/>
                <w:sz w:val="24"/>
                <w:szCs w:val="24"/>
              </w:rPr>
              <w:t>经理</w:t>
            </w:r>
            <w:r>
              <w:rPr>
                <w:kern w:val="0"/>
                <w:sz w:val="24"/>
                <w:szCs w:val="24"/>
              </w:rPr>
              <w:t>具备</w:t>
            </w:r>
            <w:r>
              <w:rPr>
                <w:rFonts w:hint="eastAsia"/>
                <w:kern w:val="0"/>
                <w:sz w:val="24"/>
                <w:szCs w:val="24"/>
              </w:rPr>
              <w:t>网络（或信息）安全等级测评高级测评师证书</w:t>
            </w:r>
            <w:r>
              <w:rPr>
                <w:kern w:val="0"/>
                <w:sz w:val="24"/>
                <w:szCs w:val="24"/>
              </w:rPr>
              <w:t>、</w:t>
            </w:r>
            <w:r>
              <w:rPr>
                <w:rFonts w:hint="eastAsia"/>
                <w:kern w:val="0"/>
                <w:sz w:val="24"/>
                <w:szCs w:val="24"/>
              </w:rPr>
              <w:t>项目管理专业人员能力等级证书（</w:t>
            </w:r>
            <w:r>
              <w:rPr>
                <w:kern w:val="0"/>
                <w:sz w:val="24"/>
                <w:szCs w:val="24"/>
              </w:rPr>
              <w:t>CSPM</w:t>
            </w:r>
            <w:r>
              <w:rPr>
                <w:rFonts w:hint="eastAsia"/>
                <w:kern w:val="0"/>
                <w:sz w:val="24"/>
                <w:szCs w:val="24"/>
              </w:rPr>
              <w:t>）、</w:t>
            </w:r>
            <w:r>
              <w:rPr>
                <w:kern w:val="0"/>
                <w:sz w:val="24"/>
                <w:szCs w:val="24"/>
              </w:rPr>
              <w:t xml:space="preserve">提供以上证书扫描件，每个合格的证书扫描件得 </w:t>
            </w:r>
            <w:r>
              <w:rPr>
                <w:rFonts w:hint="eastAsia"/>
                <w:kern w:val="0"/>
                <w:sz w:val="24"/>
                <w:szCs w:val="24"/>
              </w:rPr>
              <w:t>2</w:t>
            </w:r>
            <w:r>
              <w:rPr>
                <w:kern w:val="0"/>
                <w:sz w:val="24"/>
                <w:szCs w:val="24"/>
              </w:rPr>
              <w:t>分，最多</w:t>
            </w:r>
            <w:r>
              <w:rPr>
                <w:rFonts w:hint="eastAsia"/>
                <w:kern w:val="0"/>
                <w:sz w:val="24"/>
                <w:szCs w:val="24"/>
              </w:rPr>
              <w:t>4</w:t>
            </w:r>
            <w:r>
              <w:rPr>
                <w:kern w:val="0"/>
                <w:sz w:val="24"/>
                <w:szCs w:val="24"/>
              </w:rPr>
              <w:t>分；</w:t>
            </w:r>
          </w:p>
          <w:p w14:paraId="4380568C">
            <w:pPr>
              <w:widowControl/>
              <w:adjustRightInd w:val="0"/>
              <w:snapToGrid w:val="0"/>
              <w:rPr>
                <w:kern w:val="0"/>
                <w:sz w:val="24"/>
                <w:szCs w:val="24"/>
              </w:rPr>
            </w:pPr>
            <w:r>
              <w:rPr>
                <w:kern w:val="0"/>
                <w:sz w:val="24"/>
                <w:szCs w:val="24"/>
              </w:rPr>
              <w:t>（2）</w:t>
            </w:r>
            <w:r>
              <w:rPr>
                <w:rFonts w:hint="eastAsia"/>
                <w:kern w:val="0"/>
                <w:sz w:val="24"/>
                <w:szCs w:val="24"/>
              </w:rPr>
              <w:t>技术负责人具备网络（或信息）安全等级测评高级测评师证书、计算机或网信相关专业高级工程师（或以上）职称证书，提供证书扫描件，每个合格的证书扫描件得</w:t>
            </w:r>
            <w:r>
              <w:rPr>
                <w:kern w:val="0"/>
                <w:sz w:val="24"/>
                <w:szCs w:val="24"/>
              </w:rPr>
              <w:t>1</w:t>
            </w:r>
            <w:r>
              <w:rPr>
                <w:rFonts w:hint="eastAsia"/>
                <w:kern w:val="0"/>
                <w:sz w:val="24"/>
                <w:szCs w:val="24"/>
              </w:rPr>
              <w:t>分，最多</w:t>
            </w:r>
            <w:r>
              <w:rPr>
                <w:kern w:val="0"/>
                <w:sz w:val="24"/>
                <w:szCs w:val="24"/>
              </w:rPr>
              <w:t>2</w:t>
            </w:r>
            <w:r>
              <w:rPr>
                <w:rFonts w:hint="eastAsia"/>
                <w:kern w:val="0"/>
                <w:sz w:val="24"/>
                <w:szCs w:val="24"/>
              </w:rPr>
              <w:t>分；</w:t>
            </w:r>
          </w:p>
          <w:p w14:paraId="0811FB80">
            <w:pPr>
              <w:rPr>
                <w:kern w:val="0"/>
                <w:sz w:val="24"/>
                <w:szCs w:val="24"/>
              </w:rPr>
            </w:pPr>
            <w:r>
              <w:rPr>
                <w:rFonts w:hint="eastAsia"/>
                <w:kern w:val="0"/>
                <w:sz w:val="24"/>
                <w:szCs w:val="24"/>
              </w:rPr>
              <w:t>（</w:t>
            </w:r>
            <w:r>
              <w:rPr>
                <w:kern w:val="0"/>
                <w:sz w:val="24"/>
                <w:szCs w:val="24"/>
              </w:rPr>
              <w:t>3</w:t>
            </w:r>
            <w:r>
              <w:rPr>
                <w:rFonts w:hint="eastAsia"/>
                <w:kern w:val="0"/>
                <w:sz w:val="24"/>
                <w:szCs w:val="24"/>
              </w:rPr>
              <w:t>）项目组成员（不含项目经理、技术负责人）具备网络（或信息）安全等级测评中级测评师证书，提供合格的证书扫描件得2分，最多2分；</w:t>
            </w:r>
          </w:p>
          <w:p w14:paraId="188D5B20">
            <w:pPr>
              <w:rPr>
                <w:kern w:val="0"/>
                <w:sz w:val="24"/>
                <w:szCs w:val="24"/>
              </w:rPr>
            </w:pPr>
            <w:r>
              <w:rPr>
                <w:rFonts w:hint="eastAsia"/>
                <w:kern w:val="0"/>
                <w:sz w:val="24"/>
                <w:szCs w:val="24"/>
              </w:rPr>
              <w:t>（4）项目组成员（不含项目经理、技术负责人）具备网络（或信息）安全等级测评初级测评师证书，提供合格的证书扫描件得2分，最多2分。</w:t>
            </w:r>
          </w:p>
          <w:p w14:paraId="70BEB6C0">
            <w:pPr>
              <w:rPr>
                <w:kern w:val="0"/>
                <w:sz w:val="24"/>
                <w:szCs w:val="24"/>
              </w:rPr>
            </w:pPr>
            <w:r>
              <w:rPr>
                <w:rFonts w:hint="eastAsia"/>
                <w:kern w:val="0"/>
                <w:sz w:val="24"/>
                <w:szCs w:val="24"/>
              </w:rPr>
              <w:t>（5）项目组成员（不含项目经理、技术负责人）具备注册渗透测试工程师（CISP-PTE）证书，提供合格的证书扫描件得2分，最多2分；</w:t>
            </w:r>
          </w:p>
        </w:tc>
        <w:tc>
          <w:tcPr>
            <w:tcW w:w="1344" w:type="dxa"/>
            <w:shd w:val="clear" w:color="auto" w:fill="auto"/>
            <w:vAlign w:val="center"/>
          </w:tcPr>
          <w:p w14:paraId="767CB26B">
            <w:pPr>
              <w:widowControl/>
              <w:adjustRightInd w:val="0"/>
              <w:snapToGrid w:val="0"/>
              <w:jc w:val="center"/>
              <w:rPr>
                <w:kern w:val="0"/>
                <w:sz w:val="24"/>
                <w:szCs w:val="24"/>
              </w:rPr>
            </w:pPr>
            <w:r>
              <w:rPr>
                <w:rFonts w:hint="eastAsia"/>
                <w:kern w:val="0"/>
                <w:sz w:val="24"/>
                <w:szCs w:val="24"/>
              </w:rPr>
              <w:t>12</w:t>
            </w:r>
          </w:p>
        </w:tc>
      </w:tr>
      <w:tr w14:paraId="10EF08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shd w:val="clear" w:color="auto" w:fill="auto"/>
            <w:noWrap/>
            <w:vAlign w:val="center"/>
          </w:tcPr>
          <w:p w14:paraId="79B30C35">
            <w:pPr>
              <w:widowControl/>
              <w:adjustRightInd w:val="0"/>
              <w:snapToGrid w:val="0"/>
              <w:jc w:val="center"/>
              <w:rPr>
                <w:kern w:val="0"/>
                <w:sz w:val="24"/>
                <w:szCs w:val="24"/>
              </w:rPr>
            </w:pPr>
            <w:r>
              <w:rPr>
                <w:rFonts w:hint="eastAsia"/>
                <w:kern w:val="0"/>
                <w:sz w:val="24"/>
                <w:szCs w:val="24"/>
              </w:rPr>
              <w:t>4</w:t>
            </w:r>
          </w:p>
        </w:tc>
        <w:tc>
          <w:tcPr>
            <w:tcW w:w="1583" w:type="dxa"/>
            <w:shd w:val="clear" w:color="auto" w:fill="auto"/>
            <w:vAlign w:val="center"/>
          </w:tcPr>
          <w:p w14:paraId="79E1906C">
            <w:pPr>
              <w:widowControl/>
              <w:adjustRightInd w:val="0"/>
              <w:snapToGrid w:val="0"/>
              <w:jc w:val="center"/>
              <w:rPr>
                <w:sz w:val="24"/>
              </w:rPr>
            </w:pPr>
            <w:r>
              <w:rPr>
                <w:rFonts w:hint="eastAsia"/>
                <w:sz w:val="24"/>
              </w:rPr>
              <w:t>投标人承诺评价</w:t>
            </w:r>
          </w:p>
        </w:tc>
        <w:tc>
          <w:tcPr>
            <w:tcW w:w="6946" w:type="dxa"/>
            <w:shd w:val="clear" w:color="auto" w:fill="auto"/>
            <w:vAlign w:val="center"/>
          </w:tcPr>
          <w:p w14:paraId="14FEF184">
            <w:pPr>
              <w:widowControl/>
              <w:adjustRightInd w:val="0"/>
              <w:snapToGrid w:val="0"/>
              <w:rPr>
                <w:kern w:val="0"/>
                <w:sz w:val="24"/>
                <w:szCs w:val="24"/>
              </w:rPr>
            </w:pPr>
            <w:r>
              <w:rPr>
                <w:rFonts w:hint="eastAsia"/>
                <w:kern w:val="0"/>
                <w:sz w:val="24"/>
                <w:szCs w:val="24"/>
              </w:rPr>
              <w:t>承诺完全满足招标文件“报价要求”、“时间地点要求”、“付款方式要求”和技术要求中非“★”号要求的：10分，其他0分。</w:t>
            </w:r>
          </w:p>
        </w:tc>
        <w:tc>
          <w:tcPr>
            <w:tcW w:w="1344" w:type="dxa"/>
            <w:shd w:val="clear" w:color="auto" w:fill="auto"/>
            <w:vAlign w:val="center"/>
          </w:tcPr>
          <w:p w14:paraId="1742CED9">
            <w:pPr>
              <w:widowControl/>
              <w:adjustRightInd w:val="0"/>
              <w:snapToGrid w:val="0"/>
              <w:jc w:val="center"/>
              <w:rPr>
                <w:kern w:val="0"/>
                <w:sz w:val="24"/>
                <w:szCs w:val="24"/>
              </w:rPr>
            </w:pPr>
            <w:r>
              <w:rPr>
                <w:rFonts w:hint="eastAsia"/>
                <w:kern w:val="0"/>
                <w:sz w:val="24"/>
                <w:szCs w:val="24"/>
              </w:rPr>
              <w:t>10</w:t>
            </w:r>
          </w:p>
        </w:tc>
      </w:tr>
      <w:tr w14:paraId="0EFFD9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9192" w:type="dxa"/>
            <w:gridSpan w:val="3"/>
            <w:shd w:val="clear" w:color="auto" w:fill="auto"/>
            <w:noWrap/>
            <w:vAlign w:val="center"/>
          </w:tcPr>
          <w:p w14:paraId="592DADF6">
            <w:pPr>
              <w:widowControl/>
              <w:adjustRightInd w:val="0"/>
              <w:snapToGrid w:val="0"/>
              <w:jc w:val="center"/>
              <w:rPr>
                <w:kern w:val="0"/>
                <w:sz w:val="24"/>
                <w:szCs w:val="24"/>
              </w:rPr>
            </w:pPr>
          </w:p>
          <w:p w14:paraId="0F55656B">
            <w:pPr>
              <w:widowControl/>
              <w:adjustRightInd w:val="0"/>
              <w:snapToGrid w:val="0"/>
              <w:jc w:val="center"/>
              <w:rPr>
                <w:kern w:val="0"/>
                <w:sz w:val="24"/>
                <w:szCs w:val="24"/>
              </w:rPr>
            </w:pPr>
            <w:r>
              <w:rPr>
                <w:kern w:val="0"/>
                <w:sz w:val="24"/>
                <w:szCs w:val="24"/>
              </w:rPr>
              <w:t>第三部分 主观分（</w:t>
            </w:r>
            <w:r>
              <w:rPr>
                <w:rFonts w:hint="eastAsia"/>
                <w:kern w:val="0"/>
                <w:sz w:val="24"/>
                <w:szCs w:val="24"/>
              </w:rPr>
              <w:t>60</w:t>
            </w:r>
            <w:r>
              <w:rPr>
                <w:kern w:val="0"/>
                <w:sz w:val="24"/>
                <w:szCs w:val="24"/>
              </w:rPr>
              <w:t>分）</w:t>
            </w:r>
          </w:p>
        </w:tc>
        <w:tc>
          <w:tcPr>
            <w:tcW w:w="1344" w:type="dxa"/>
            <w:shd w:val="clear" w:color="auto" w:fill="auto"/>
            <w:vAlign w:val="center"/>
          </w:tcPr>
          <w:p w14:paraId="191F4307">
            <w:pPr>
              <w:widowControl/>
              <w:adjustRightInd w:val="0"/>
              <w:snapToGrid w:val="0"/>
              <w:jc w:val="center"/>
              <w:rPr>
                <w:kern w:val="0"/>
                <w:sz w:val="24"/>
                <w:szCs w:val="24"/>
              </w:rPr>
            </w:pPr>
            <w:r>
              <w:rPr>
                <w:kern w:val="0"/>
                <w:sz w:val="24"/>
                <w:szCs w:val="24"/>
              </w:rPr>
              <w:t>分值</w:t>
            </w:r>
          </w:p>
        </w:tc>
      </w:tr>
      <w:tr w14:paraId="629FCD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AFF9C75">
            <w:pPr>
              <w:widowControl/>
              <w:adjustRightInd w:val="0"/>
              <w:snapToGrid w:val="0"/>
              <w:jc w:val="center"/>
              <w:rPr>
                <w:kern w:val="0"/>
                <w:sz w:val="24"/>
                <w:szCs w:val="24"/>
              </w:rPr>
            </w:pPr>
            <w:r>
              <w:rPr>
                <w:rFonts w:hint="eastAsia"/>
                <w:kern w:val="0"/>
                <w:sz w:val="24"/>
                <w:szCs w:val="24"/>
              </w:rPr>
              <w:t>1</w:t>
            </w:r>
          </w:p>
        </w:tc>
        <w:tc>
          <w:tcPr>
            <w:tcW w:w="1583" w:type="dxa"/>
            <w:shd w:val="clear" w:color="auto" w:fill="auto"/>
            <w:vAlign w:val="center"/>
          </w:tcPr>
          <w:p w14:paraId="6ACF011F">
            <w:pPr>
              <w:widowControl/>
              <w:adjustRightInd w:val="0"/>
              <w:snapToGrid w:val="0"/>
              <w:jc w:val="center"/>
              <w:rPr>
                <w:rFonts w:cs="宋体"/>
                <w:sz w:val="24"/>
                <w:szCs w:val="24"/>
                <w:lang w:val="zh-CN"/>
              </w:rPr>
            </w:pPr>
            <w:r>
              <w:rPr>
                <w:rFonts w:hint="eastAsia" w:ascii="仿宋" w:hAnsi="仿宋" w:eastAsia="仿宋" w:cs="仿宋"/>
                <w:sz w:val="28"/>
                <w:szCs w:val="28"/>
              </w:rPr>
              <w:t>保密管理方案</w:t>
            </w:r>
            <w:r>
              <w:rPr>
                <w:rFonts w:hint="eastAsia" w:cs="宋体"/>
                <w:sz w:val="24"/>
                <w:szCs w:val="24"/>
                <w:lang w:val="zh-CN"/>
              </w:rPr>
              <w:t>评价</w:t>
            </w:r>
          </w:p>
        </w:tc>
        <w:tc>
          <w:tcPr>
            <w:tcW w:w="6946" w:type="dxa"/>
            <w:shd w:val="clear" w:color="auto" w:fill="auto"/>
            <w:vAlign w:val="center"/>
          </w:tcPr>
          <w:p w14:paraId="11F8915E">
            <w:pPr>
              <w:adjustRightInd w:val="0"/>
              <w:snapToGrid w:val="0"/>
              <w:rPr>
                <w:rFonts w:cs="宋体"/>
                <w:sz w:val="24"/>
                <w:szCs w:val="24"/>
                <w:lang w:val="zh-CN"/>
              </w:rPr>
            </w:pPr>
            <w:r>
              <w:rPr>
                <w:rFonts w:hint="eastAsia" w:cs="宋体"/>
                <w:sz w:val="24"/>
                <w:szCs w:val="24"/>
                <w:lang w:val="zh-CN"/>
              </w:rPr>
              <w:t>至少包含至少包含人员保密措施、文件保密措施、项目实施过程中的保密措施等方面内容</w:t>
            </w:r>
          </w:p>
          <w:p w14:paraId="0457BA37">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12</w:t>
            </w:r>
            <w:r>
              <w:rPr>
                <w:kern w:val="0"/>
                <w:sz w:val="24"/>
                <w:szCs w:val="24"/>
              </w:rPr>
              <w:t>分；</w:t>
            </w:r>
          </w:p>
          <w:p w14:paraId="2E17BC9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9</w:t>
            </w:r>
            <w:r>
              <w:rPr>
                <w:kern w:val="0"/>
                <w:sz w:val="24"/>
                <w:szCs w:val="24"/>
              </w:rPr>
              <w:t>分；</w:t>
            </w:r>
          </w:p>
          <w:p w14:paraId="35BA5E0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6</w:t>
            </w:r>
            <w:r>
              <w:rPr>
                <w:kern w:val="0"/>
                <w:sz w:val="24"/>
                <w:szCs w:val="24"/>
              </w:rPr>
              <w:t>分；</w:t>
            </w:r>
          </w:p>
          <w:p w14:paraId="2C3EF8D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3处瑕疵</w:t>
            </w:r>
            <w:r>
              <w:rPr>
                <w:kern w:val="0"/>
                <w:sz w:val="24"/>
                <w:szCs w:val="24"/>
              </w:rPr>
              <w:t>：</w:t>
            </w:r>
            <w:r>
              <w:rPr>
                <w:rFonts w:hint="eastAsia"/>
                <w:kern w:val="0"/>
                <w:sz w:val="24"/>
                <w:szCs w:val="24"/>
              </w:rPr>
              <w:t>3</w:t>
            </w:r>
            <w:r>
              <w:rPr>
                <w:kern w:val="0"/>
                <w:sz w:val="24"/>
                <w:szCs w:val="24"/>
              </w:rPr>
              <w:t>分；</w:t>
            </w:r>
          </w:p>
          <w:p w14:paraId="7AA00C4F">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4处及以上瑕疵</w:t>
            </w:r>
            <w:r>
              <w:rPr>
                <w:kern w:val="0"/>
                <w:sz w:val="24"/>
                <w:szCs w:val="24"/>
              </w:rPr>
              <w:t>：0分；</w:t>
            </w:r>
          </w:p>
          <w:p w14:paraId="2940829E">
            <w:pPr>
              <w:adjustRightInd w:val="0"/>
              <w:snapToGrid w:val="0"/>
              <w:rPr>
                <w:rFonts w:cs="宋体"/>
                <w:sz w:val="24"/>
                <w:szCs w:val="24"/>
                <w:lang w:val="zh-CN"/>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344" w:type="dxa"/>
            <w:shd w:val="clear" w:color="auto" w:fill="auto"/>
            <w:vAlign w:val="center"/>
          </w:tcPr>
          <w:p w14:paraId="57F0321E">
            <w:pPr>
              <w:widowControl/>
              <w:adjustRightInd w:val="0"/>
              <w:snapToGrid w:val="0"/>
              <w:jc w:val="center"/>
              <w:rPr>
                <w:kern w:val="0"/>
                <w:sz w:val="24"/>
                <w:szCs w:val="24"/>
              </w:rPr>
            </w:pPr>
            <w:r>
              <w:rPr>
                <w:rFonts w:hint="eastAsia"/>
                <w:kern w:val="0"/>
                <w:sz w:val="24"/>
                <w:szCs w:val="24"/>
              </w:rPr>
              <w:t>12</w:t>
            </w:r>
          </w:p>
        </w:tc>
      </w:tr>
      <w:tr w14:paraId="3B6BA6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9190099">
            <w:pPr>
              <w:widowControl/>
              <w:adjustRightInd w:val="0"/>
              <w:snapToGrid w:val="0"/>
              <w:jc w:val="center"/>
              <w:rPr>
                <w:kern w:val="0"/>
                <w:sz w:val="24"/>
                <w:szCs w:val="24"/>
              </w:rPr>
            </w:pPr>
            <w:r>
              <w:rPr>
                <w:rFonts w:hint="eastAsia"/>
                <w:kern w:val="0"/>
                <w:sz w:val="24"/>
                <w:szCs w:val="24"/>
              </w:rPr>
              <w:t>2</w:t>
            </w:r>
          </w:p>
        </w:tc>
        <w:tc>
          <w:tcPr>
            <w:tcW w:w="1583" w:type="dxa"/>
            <w:shd w:val="clear" w:color="auto" w:fill="auto"/>
            <w:vAlign w:val="center"/>
          </w:tcPr>
          <w:p w14:paraId="451D4A50">
            <w:pPr>
              <w:widowControl/>
              <w:adjustRightInd w:val="0"/>
              <w:snapToGrid w:val="0"/>
              <w:jc w:val="center"/>
              <w:rPr>
                <w:rFonts w:cs="宋体"/>
                <w:sz w:val="24"/>
                <w:szCs w:val="24"/>
                <w:lang w:val="zh-CN"/>
              </w:rPr>
            </w:pPr>
            <w:r>
              <w:rPr>
                <w:rFonts w:hint="eastAsia" w:ascii="仿宋" w:hAnsi="仿宋" w:eastAsia="仿宋" w:cs="仿宋"/>
                <w:kern w:val="0"/>
                <w:sz w:val="28"/>
                <w:szCs w:val="28"/>
              </w:rPr>
              <w:t>网络安全等级保护测评计划方案</w:t>
            </w:r>
          </w:p>
        </w:tc>
        <w:tc>
          <w:tcPr>
            <w:tcW w:w="6946" w:type="dxa"/>
            <w:shd w:val="clear" w:color="auto" w:fill="auto"/>
            <w:vAlign w:val="center"/>
          </w:tcPr>
          <w:p w14:paraId="2B702292">
            <w:pPr>
              <w:adjustRightInd w:val="0"/>
              <w:snapToGrid w:val="0"/>
              <w:rPr>
                <w:rFonts w:cs="宋体"/>
                <w:sz w:val="24"/>
                <w:szCs w:val="24"/>
                <w:lang w:val="zh-CN"/>
              </w:rPr>
            </w:pPr>
            <w:r>
              <w:rPr>
                <w:rFonts w:hint="eastAsia" w:cs="宋体"/>
                <w:sz w:val="24"/>
                <w:szCs w:val="24"/>
                <w:lang w:val="zh-CN"/>
              </w:rPr>
              <w:t>至少包含测评活动各个环节流程，明确各阶段工作内容、流程及输出成果，明确项目人员组织情况及分工安排，明确项目时间进度安排等方面内容</w:t>
            </w:r>
          </w:p>
          <w:p w14:paraId="2DABE9C4">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12</w:t>
            </w:r>
            <w:r>
              <w:rPr>
                <w:kern w:val="0"/>
                <w:sz w:val="24"/>
                <w:szCs w:val="24"/>
              </w:rPr>
              <w:t>分；</w:t>
            </w:r>
          </w:p>
          <w:p w14:paraId="06DFF60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9</w:t>
            </w:r>
            <w:r>
              <w:rPr>
                <w:kern w:val="0"/>
                <w:sz w:val="24"/>
                <w:szCs w:val="24"/>
              </w:rPr>
              <w:t>分；</w:t>
            </w:r>
          </w:p>
          <w:p w14:paraId="7C139788">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6</w:t>
            </w:r>
            <w:r>
              <w:rPr>
                <w:kern w:val="0"/>
                <w:sz w:val="24"/>
                <w:szCs w:val="24"/>
              </w:rPr>
              <w:t>分；</w:t>
            </w:r>
          </w:p>
          <w:p w14:paraId="1A2C7A17">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3处瑕疵</w:t>
            </w:r>
            <w:r>
              <w:rPr>
                <w:kern w:val="0"/>
                <w:sz w:val="24"/>
                <w:szCs w:val="24"/>
              </w:rPr>
              <w:t>：</w:t>
            </w:r>
            <w:r>
              <w:rPr>
                <w:rFonts w:hint="eastAsia"/>
                <w:kern w:val="0"/>
                <w:sz w:val="24"/>
                <w:szCs w:val="24"/>
              </w:rPr>
              <w:t>3</w:t>
            </w:r>
            <w:r>
              <w:rPr>
                <w:kern w:val="0"/>
                <w:sz w:val="24"/>
                <w:szCs w:val="24"/>
              </w:rPr>
              <w:t>分；</w:t>
            </w:r>
          </w:p>
          <w:p w14:paraId="25780B33">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4处及以上瑕疵</w:t>
            </w:r>
            <w:r>
              <w:rPr>
                <w:kern w:val="0"/>
                <w:sz w:val="24"/>
                <w:szCs w:val="24"/>
              </w:rPr>
              <w:t>：0分；</w:t>
            </w:r>
          </w:p>
          <w:p w14:paraId="0A1B7E32">
            <w:pPr>
              <w:adjustRightInd w:val="0"/>
              <w:snapToGrid w:val="0"/>
              <w:rPr>
                <w:rFonts w:cs="宋体"/>
                <w:sz w:val="24"/>
                <w:szCs w:val="24"/>
                <w:lang w:val="zh-CN"/>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344" w:type="dxa"/>
            <w:shd w:val="clear" w:color="auto" w:fill="auto"/>
            <w:vAlign w:val="center"/>
          </w:tcPr>
          <w:p w14:paraId="4DAEC4FF">
            <w:pPr>
              <w:widowControl/>
              <w:adjustRightInd w:val="0"/>
              <w:snapToGrid w:val="0"/>
              <w:jc w:val="center"/>
              <w:rPr>
                <w:kern w:val="0"/>
                <w:sz w:val="24"/>
                <w:szCs w:val="24"/>
              </w:rPr>
            </w:pPr>
            <w:r>
              <w:rPr>
                <w:rFonts w:hint="eastAsia"/>
                <w:kern w:val="0"/>
                <w:sz w:val="24"/>
                <w:szCs w:val="24"/>
              </w:rPr>
              <w:t>12</w:t>
            </w:r>
          </w:p>
        </w:tc>
      </w:tr>
      <w:tr w14:paraId="769E0C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4F48D23E">
            <w:pPr>
              <w:widowControl/>
              <w:adjustRightInd w:val="0"/>
              <w:snapToGrid w:val="0"/>
              <w:jc w:val="center"/>
              <w:rPr>
                <w:kern w:val="0"/>
                <w:sz w:val="24"/>
                <w:szCs w:val="24"/>
              </w:rPr>
            </w:pPr>
            <w:r>
              <w:rPr>
                <w:rFonts w:hint="eastAsia"/>
                <w:kern w:val="0"/>
                <w:sz w:val="24"/>
                <w:szCs w:val="24"/>
              </w:rPr>
              <w:t>3</w:t>
            </w:r>
          </w:p>
        </w:tc>
        <w:tc>
          <w:tcPr>
            <w:tcW w:w="1583" w:type="dxa"/>
            <w:shd w:val="clear" w:color="auto" w:fill="auto"/>
            <w:vAlign w:val="center"/>
          </w:tcPr>
          <w:p w14:paraId="7D5785A9">
            <w:pPr>
              <w:widowControl/>
              <w:adjustRightInd w:val="0"/>
              <w:snapToGrid w:val="0"/>
              <w:jc w:val="center"/>
              <w:rPr>
                <w:kern w:val="0"/>
                <w:sz w:val="24"/>
                <w:szCs w:val="24"/>
              </w:rPr>
            </w:pPr>
            <w:r>
              <w:rPr>
                <w:rFonts w:hint="eastAsia" w:cs="宋体"/>
                <w:sz w:val="24"/>
                <w:szCs w:val="24"/>
                <w:lang w:val="zh-CN"/>
              </w:rPr>
              <w:t>项目风险管理措施方案</w:t>
            </w:r>
          </w:p>
        </w:tc>
        <w:tc>
          <w:tcPr>
            <w:tcW w:w="6946" w:type="dxa"/>
            <w:shd w:val="clear" w:color="auto" w:fill="auto"/>
            <w:vAlign w:val="center"/>
          </w:tcPr>
          <w:p w14:paraId="28B8021C">
            <w:pPr>
              <w:widowControl/>
              <w:adjustRightInd w:val="0"/>
              <w:snapToGrid w:val="0"/>
              <w:rPr>
                <w:kern w:val="0"/>
                <w:sz w:val="24"/>
                <w:szCs w:val="24"/>
              </w:rPr>
            </w:pPr>
            <w:r>
              <w:rPr>
                <w:rFonts w:hint="eastAsia"/>
                <w:kern w:val="0"/>
                <w:sz w:val="24"/>
                <w:szCs w:val="24"/>
              </w:rPr>
              <w:t>至少包含预防性检查频率、检查内容、风险的规避、风险应急处置、发现问题后的解决方案等方面内容</w:t>
            </w:r>
          </w:p>
          <w:p w14:paraId="2E83D378">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12</w:t>
            </w:r>
            <w:r>
              <w:rPr>
                <w:kern w:val="0"/>
                <w:sz w:val="24"/>
                <w:szCs w:val="24"/>
              </w:rPr>
              <w:t>分；</w:t>
            </w:r>
          </w:p>
          <w:p w14:paraId="58B33677">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9</w:t>
            </w:r>
            <w:r>
              <w:rPr>
                <w:kern w:val="0"/>
                <w:sz w:val="24"/>
                <w:szCs w:val="24"/>
              </w:rPr>
              <w:t>分；</w:t>
            </w:r>
          </w:p>
          <w:p w14:paraId="4665637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6</w:t>
            </w:r>
            <w:r>
              <w:rPr>
                <w:kern w:val="0"/>
                <w:sz w:val="24"/>
                <w:szCs w:val="24"/>
              </w:rPr>
              <w:t>分；</w:t>
            </w:r>
          </w:p>
          <w:p w14:paraId="42312461">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3处瑕疵</w:t>
            </w:r>
            <w:r>
              <w:rPr>
                <w:kern w:val="0"/>
                <w:sz w:val="24"/>
                <w:szCs w:val="24"/>
              </w:rPr>
              <w:t>：</w:t>
            </w:r>
            <w:r>
              <w:rPr>
                <w:rFonts w:hint="eastAsia"/>
                <w:kern w:val="0"/>
                <w:sz w:val="24"/>
                <w:szCs w:val="24"/>
              </w:rPr>
              <w:t>3</w:t>
            </w:r>
            <w:r>
              <w:rPr>
                <w:kern w:val="0"/>
                <w:sz w:val="24"/>
                <w:szCs w:val="24"/>
              </w:rPr>
              <w:t>分；</w:t>
            </w:r>
          </w:p>
          <w:p w14:paraId="60D9E4BF">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4处及以上瑕疵</w:t>
            </w:r>
            <w:r>
              <w:rPr>
                <w:kern w:val="0"/>
                <w:sz w:val="24"/>
                <w:szCs w:val="24"/>
              </w:rPr>
              <w:t>：0分；</w:t>
            </w:r>
          </w:p>
          <w:p w14:paraId="6E966B00">
            <w:pPr>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344" w:type="dxa"/>
            <w:shd w:val="clear" w:color="auto" w:fill="auto"/>
            <w:vAlign w:val="center"/>
          </w:tcPr>
          <w:p w14:paraId="70263AF4">
            <w:pPr>
              <w:widowControl/>
              <w:adjustRightInd w:val="0"/>
              <w:snapToGrid w:val="0"/>
              <w:jc w:val="center"/>
              <w:rPr>
                <w:kern w:val="0"/>
                <w:sz w:val="24"/>
                <w:szCs w:val="24"/>
              </w:rPr>
            </w:pPr>
            <w:r>
              <w:rPr>
                <w:rFonts w:hint="eastAsia"/>
                <w:kern w:val="0"/>
                <w:sz w:val="24"/>
                <w:szCs w:val="24"/>
              </w:rPr>
              <w:t>12</w:t>
            </w:r>
          </w:p>
        </w:tc>
      </w:tr>
      <w:tr w14:paraId="254C1F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79A707B8">
            <w:pPr>
              <w:widowControl/>
              <w:adjustRightInd w:val="0"/>
              <w:snapToGrid w:val="0"/>
              <w:jc w:val="center"/>
              <w:rPr>
                <w:kern w:val="0"/>
                <w:sz w:val="24"/>
                <w:szCs w:val="24"/>
              </w:rPr>
            </w:pPr>
            <w:r>
              <w:rPr>
                <w:rFonts w:hint="eastAsia"/>
                <w:kern w:val="0"/>
                <w:sz w:val="24"/>
                <w:szCs w:val="24"/>
              </w:rPr>
              <w:t>4</w:t>
            </w:r>
          </w:p>
        </w:tc>
        <w:tc>
          <w:tcPr>
            <w:tcW w:w="1583" w:type="dxa"/>
            <w:shd w:val="clear" w:color="auto" w:fill="auto"/>
            <w:vAlign w:val="center"/>
          </w:tcPr>
          <w:p w14:paraId="09C349D0">
            <w:pPr>
              <w:widowControl/>
              <w:adjustRightInd w:val="0"/>
              <w:snapToGrid w:val="0"/>
              <w:spacing w:line="560" w:lineRule="exact"/>
              <w:jc w:val="center"/>
              <w:rPr>
                <w:rFonts w:ascii="仿宋" w:hAnsi="仿宋" w:eastAsia="仿宋" w:cs="仿宋"/>
                <w:sz w:val="28"/>
                <w:szCs w:val="28"/>
              </w:rPr>
            </w:pPr>
            <w:r>
              <w:rPr>
                <w:rFonts w:hint="eastAsia" w:ascii="仿宋" w:hAnsi="仿宋" w:eastAsia="仿宋" w:cs="仿宋"/>
                <w:kern w:val="0"/>
                <w:sz w:val="28"/>
                <w:szCs w:val="28"/>
              </w:rPr>
              <w:t>项目质量控制措施方案</w:t>
            </w:r>
          </w:p>
        </w:tc>
        <w:tc>
          <w:tcPr>
            <w:tcW w:w="6946" w:type="dxa"/>
            <w:shd w:val="clear" w:color="auto" w:fill="auto"/>
            <w:vAlign w:val="center"/>
          </w:tcPr>
          <w:p w14:paraId="226A84A5">
            <w:pPr>
              <w:adjustRightInd w:val="0"/>
              <w:snapToGrid w:val="0"/>
              <w:rPr>
                <w:rFonts w:cs="宋体"/>
                <w:sz w:val="24"/>
                <w:szCs w:val="24"/>
                <w:lang w:val="zh-CN"/>
              </w:rPr>
            </w:pPr>
            <w:r>
              <w:rPr>
                <w:rFonts w:hint="eastAsia" w:cs="宋体"/>
                <w:sz w:val="24"/>
                <w:szCs w:val="24"/>
                <w:lang w:val="zh-CN"/>
              </w:rPr>
              <w:t>至少包含项目质量控制体系、项目沟通、质量控制、质量保障、问题管理、变更管理等内容。</w:t>
            </w:r>
          </w:p>
          <w:p w14:paraId="4A11DAB8">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12</w:t>
            </w:r>
            <w:r>
              <w:rPr>
                <w:kern w:val="0"/>
                <w:sz w:val="24"/>
                <w:szCs w:val="24"/>
              </w:rPr>
              <w:t>分；</w:t>
            </w:r>
          </w:p>
          <w:p w14:paraId="5F66113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9</w:t>
            </w:r>
            <w:r>
              <w:rPr>
                <w:kern w:val="0"/>
                <w:sz w:val="24"/>
                <w:szCs w:val="24"/>
              </w:rPr>
              <w:t>分；</w:t>
            </w:r>
          </w:p>
          <w:p w14:paraId="14D963E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6</w:t>
            </w:r>
            <w:r>
              <w:rPr>
                <w:kern w:val="0"/>
                <w:sz w:val="24"/>
                <w:szCs w:val="24"/>
              </w:rPr>
              <w:t>分；</w:t>
            </w:r>
          </w:p>
          <w:p w14:paraId="06C78138">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3处瑕疵</w:t>
            </w:r>
            <w:r>
              <w:rPr>
                <w:kern w:val="0"/>
                <w:sz w:val="24"/>
                <w:szCs w:val="24"/>
              </w:rPr>
              <w:t>：</w:t>
            </w:r>
            <w:r>
              <w:rPr>
                <w:rFonts w:hint="eastAsia"/>
                <w:kern w:val="0"/>
                <w:sz w:val="24"/>
                <w:szCs w:val="24"/>
              </w:rPr>
              <w:t>3</w:t>
            </w:r>
            <w:r>
              <w:rPr>
                <w:kern w:val="0"/>
                <w:sz w:val="24"/>
                <w:szCs w:val="24"/>
              </w:rPr>
              <w:t>分；</w:t>
            </w:r>
          </w:p>
          <w:p w14:paraId="31D91794">
            <w:pPr>
              <w:adjustRightInd w:val="0"/>
              <w:snapToGrid w:val="0"/>
              <w:rPr>
                <w:rFonts w:cs="宋体"/>
                <w:sz w:val="24"/>
                <w:szCs w:val="24"/>
                <w:lang w:val="zh-CN"/>
              </w:rPr>
            </w:pPr>
            <w:r>
              <w:rPr>
                <w:kern w:val="0"/>
                <w:sz w:val="24"/>
                <w:szCs w:val="24"/>
              </w:rPr>
              <w:t>未提供方案或不满足招标文件要求或内容存在</w:t>
            </w:r>
            <w:r>
              <w:rPr>
                <w:rFonts w:hint="eastAsia"/>
                <w:kern w:val="0"/>
                <w:sz w:val="24"/>
                <w:szCs w:val="24"/>
              </w:rPr>
              <w:t>4处及以上瑕疵</w:t>
            </w:r>
            <w:r>
              <w:rPr>
                <w:kern w:val="0"/>
                <w:sz w:val="24"/>
                <w:szCs w:val="24"/>
              </w:rPr>
              <w:t>：0分；</w:t>
            </w:r>
            <w:r>
              <w:rPr>
                <w:rFonts w:hint="eastAsia"/>
                <w:kern w:val="0"/>
                <w:sz w:val="24"/>
                <w:szCs w:val="24"/>
              </w:rPr>
              <w:t>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344" w:type="dxa"/>
            <w:shd w:val="clear" w:color="auto" w:fill="auto"/>
            <w:vAlign w:val="center"/>
          </w:tcPr>
          <w:p w14:paraId="08BEF802">
            <w:pPr>
              <w:widowControl/>
              <w:adjustRightInd w:val="0"/>
              <w:snapToGrid w:val="0"/>
              <w:jc w:val="center"/>
              <w:rPr>
                <w:kern w:val="0"/>
                <w:sz w:val="24"/>
                <w:szCs w:val="24"/>
              </w:rPr>
            </w:pPr>
            <w:r>
              <w:rPr>
                <w:rFonts w:hint="eastAsia"/>
                <w:kern w:val="0"/>
                <w:sz w:val="24"/>
                <w:szCs w:val="24"/>
              </w:rPr>
              <w:t>12</w:t>
            </w:r>
          </w:p>
        </w:tc>
      </w:tr>
      <w:tr w14:paraId="1AE487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663" w:type="dxa"/>
            <w:shd w:val="clear" w:color="auto" w:fill="auto"/>
            <w:noWrap/>
            <w:vAlign w:val="center"/>
          </w:tcPr>
          <w:p w14:paraId="6D51F0ED">
            <w:pPr>
              <w:widowControl/>
              <w:adjustRightInd w:val="0"/>
              <w:snapToGrid w:val="0"/>
              <w:jc w:val="center"/>
              <w:rPr>
                <w:kern w:val="0"/>
                <w:sz w:val="24"/>
                <w:szCs w:val="24"/>
              </w:rPr>
            </w:pPr>
            <w:r>
              <w:rPr>
                <w:rFonts w:hint="eastAsia"/>
                <w:kern w:val="0"/>
                <w:sz w:val="24"/>
                <w:szCs w:val="24"/>
              </w:rPr>
              <w:t>5</w:t>
            </w:r>
          </w:p>
        </w:tc>
        <w:tc>
          <w:tcPr>
            <w:tcW w:w="1583" w:type="dxa"/>
            <w:shd w:val="clear" w:color="auto" w:fill="auto"/>
            <w:vAlign w:val="center"/>
          </w:tcPr>
          <w:p w14:paraId="574E42FA">
            <w:pPr>
              <w:widowControl/>
              <w:adjustRightInd w:val="0"/>
              <w:snapToGrid w:val="0"/>
              <w:jc w:val="center"/>
              <w:rPr>
                <w:kern w:val="0"/>
                <w:sz w:val="24"/>
                <w:szCs w:val="24"/>
              </w:rPr>
            </w:pPr>
            <w:r>
              <w:rPr>
                <w:rFonts w:hint="eastAsia" w:ascii="仿宋" w:hAnsi="仿宋" w:eastAsia="仿宋" w:cs="仿宋"/>
                <w:kern w:val="0"/>
                <w:sz w:val="28"/>
                <w:szCs w:val="28"/>
              </w:rPr>
              <w:t>应急处置措施</w:t>
            </w:r>
            <w:r>
              <w:rPr>
                <w:rFonts w:hint="eastAsia" w:ascii="仿宋" w:hAnsi="仿宋" w:eastAsia="仿宋" w:cs="仿宋"/>
                <w:sz w:val="28"/>
                <w:szCs w:val="28"/>
              </w:rPr>
              <w:t>方案</w:t>
            </w:r>
          </w:p>
        </w:tc>
        <w:tc>
          <w:tcPr>
            <w:tcW w:w="6946" w:type="dxa"/>
            <w:shd w:val="clear" w:color="auto" w:fill="auto"/>
            <w:vAlign w:val="center"/>
          </w:tcPr>
          <w:p w14:paraId="7E7670A9">
            <w:pPr>
              <w:adjustRightInd w:val="0"/>
              <w:snapToGrid w:val="0"/>
              <w:rPr>
                <w:rFonts w:cs="宋体"/>
                <w:sz w:val="24"/>
                <w:szCs w:val="24"/>
                <w:lang w:val="zh-CN"/>
              </w:rPr>
            </w:pPr>
            <w:r>
              <w:rPr>
                <w:rFonts w:hint="eastAsia" w:cs="宋体"/>
                <w:sz w:val="24"/>
                <w:szCs w:val="24"/>
                <w:lang w:val="zh-CN"/>
              </w:rPr>
              <w:t>至少包含当出现突发安全事件时应急处置流程、应急预案，对突发事件的发现和确认、定级和报告、应急处理方式、应急抑制、应急恢复以及后续的处理工作等内容等处理方案</w:t>
            </w:r>
          </w:p>
          <w:p w14:paraId="43FCE9BE">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12</w:t>
            </w:r>
            <w:r>
              <w:rPr>
                <w:kern w:val="0"/>
                <w:sz w:val="24"/>
                <w:szCs w:val="24"/>
              </w:rPr>
              <w:t>分；</w:t>
            </w:r>
          </w:p>
          <w:p w14:paraId="48D1AA7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9</w:t>
            </w:r>
            <w:r>
              <w:rPr>
                <w:kern w:val="0"/>
                <w:sz w:val="24"/>
                <w:szCs w:val="24"/>
              </w:rPr>
              <w:t>分；</w:t>
            </w:r>
          </w:p>
          <w:p w14:paraId="6AB76644">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6</w:t>
            </w:r>
            <w:r>
              <w:rPr>
                <w:kern w:val="0"/>
                <w:sz w:val="24"/>
                <w:szCs w:val="24"/>
              </w:rPr>
              <w:t>分；</w:t>
            </w:r>
          </w:p>
          <w:p w14:paraId="1A183409">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3处瑕疵</w:t>
            </w:r>
            <w:r>
              <w:rPr>
                <w:kern w:val="0"/>
                <w:sz w:val="24"/>
                <w:szCs w:val="24"/>
              </w:rPr>
              <w:t>：</w:t>
            </w:r>
            <w:r>
              <w:rPr>
                <w:rFonts w:hint="eastAsia"/>
                <w:kern w:val="0"/>
                <w:sz w:val="24"/>
                <w:szCs w:val="24"/>
              </w:rPr>
              <w:t>3</w:t>
            </w:r>
            <w:r>
              <w:rPr>
                <w:kern w:val="0"/>
                <w:sz w:val="24"/>
                <w:szCs w:val="24"/>
              </w:rPr>
              <w:t>分；</w:t>
            </w:r>
          </w:p>
          <w:p w14:paraId="1F775AED">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4处及以上瑕疵</w:t>
            </w:r>
            <w:r>
              <w:rPr>
                <w:kern w:val="0"/>
                <w:sz w:val="24"/>
                <w:szCs w:val="24"/>
              </w:rPr>
              <w:t>：0分；</w:t>
            </w:r>
          </w:p>
          <w:p w14:paraId="3E912022">
            <w:pPr>
              <w:adjustRightInd w:val="0"/>
              <w:snapToGrid w:val="0"/>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344" w:type="dxa"/>
            <w:shd w:val="clear" w:color="auto" w:fill="auto"/>
            <w:vAlign w:val="center"/>
          </w:tcPr>
          <w:p w14:paraId="58107F55">
            <w:pPr>
              <w:widowControl/>
              <w:adjustRightInd w:val="0"/>
              <w:snapToGrid w:val="0"/>
              <w:jc w:val="center"/>
              <w:rPr>
                <w:kern w:val="0"/>
                <w:sz w:val="24"/>
                <w:szCs w:val="24"/>
              </w:rPr>
            </w:pPr>
            <w:r>
              <w:rPr>
                <w:rFonts w:hint="eastAsia"/>
                <w:kern w:val="0"/>
                <w:sz w:val="24"/>
                <w:szCs w:val="24"/>
              </w:rPr>
              <w:t>12</w:t>
            </w:r>
          </w:p>
        </w:tc>
      </w:tr>
      <w:tr w14:paraId="71403B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9192" w:type="dxa"/>
            <w:gridSpan w:val="3"/>
            <w:shd w:val="clear" w:color="auto" w:fill="auto"/>
            <w:noWrap/>
            <w:vAlign w:val="center"/>
          </w:tcPr>
          <w:p w14:paraId="060DE3BE">
            <w:pPr>
              <w:widowControl/>
              <w:adjustRightInd w:val="0"/>
              <w:snapToGrid w:val="0"/>
              <w:jc w:val="center"/>
              <w:rPr>
                <w:sz w:val="24"/>
              </w:rPr>
            </w:pPr>
            <w:r>
              <w:rPr>
                <w:sz w:val="24"/>
              </w:rPr>
              <w:t>合计</w:t>
            </w:r>
          </w:p>
        </w:tc>
        <w:tc>
          <w:tcPr>
            <w:tcW w:w="1344" w:type="dxa"/>
            <w:shd w:val="clear" w:color="auto" w:fill="auto"/>
            <w:vAlign w:val="center"/>
          </w:tcPr>
          <w:p w14:paraId="47706084">
            <w:pPr>
              <w:widowControl/>
              <w:adjustRightInd w:val="0"/>
              <w:snapToGrid w:val="0"/>
              <w:jc w:val="center"/>
              <w:rPr>
                <w:kern w:val="0"/>
                <w:sz w:val="24"/>
                <w:szCs w:val="24"/>
              </w:rPr>
            </w:pPr>
            <w:r>
              <w:rPr>
                <w:kern w:val="0"/>
                <w:sz w:val="24"/>
                <w:szCs w:val="24"/>
              </w:rPr>
              <w:t>100</w:t>
            </w:r>
          </w:p>
        </w:tc>
      </w:tr>
    </w:tbl>
    <w:p w14:paraId="6D44B5EB"/>
    <w:p w14:paraId="3B27EE4E">
      <w:pPr>
        <w:widowControl/>
        <w:jc w:val="left"/>
      </w:pPr>
      <w:r>
        <w:br w:type="page"/>
      </w:r>
    </w:p>
    <w:p w14:paraId="23F908C1">
      <w:pPr>
        <w:spacing w:line="360" w:lineRule="auto"/>
        <w:ind w:firstLine="480" w:firstLineChars="200"/>
        <w:outlineLvl w:val="0"/>
        <w:rPr>
          <w:sz w:val="24"/>
        </w:rPr>
      </w:pPr>
      <w:r>
        <w:rPr>
          <w:rFonts w:hint="eastAsia"/>
          <w:sz w:val="24"/>
        </w:rPr>
        <w:t>（2）服务要求</w:t>
      </w:r>
    </w:p>
    <w:p w14:paraId="1ADA8D16">
      <w:pPr>
        <w:spacing w:line="360" w:lineRule="auto"/>
        <w:ind w:firstLine="480" w:firstLineChars="200"/>
        <w:outlineLvl w:val="0"/>
        <w:rPr>
          <w:sz w:val="24"/>
        </w:rPr>
      </w:pPr>
      <w:r>
        <w:rPr>
          <w:rFonts w:hint="eastAsia"/>
          <w:sz w:val="24"/>
        </w:rPr>
        <w:t>1.供应商应具备服务支撑能力，需对等保测评项目提供技术咨询服务。在服务期间需提供7*24小时的技术支持。</w:t>
      </w:r>
    </w:p>
    <w:p w14:paraId="1AA4FA8C">
      <w:pPr>
        <w:spacing w:line="360" w:lineRule="auto"/>
        <w:ind w:firstLine="480" w:firstLineChars="200"/>
        <w:outlineLvl w:val="0"/>
        <w:rPr>
          <w:sz w:val="24"/>
        </w:rPr>
      </w:pPr>
      <w:r>
        <w:rPr>
          <w:rFonts w:hint="eastAsia"/>
          <w:sz w:val="24"/>
        </w:rPr>
        <w:t>2.供应商应提供完善的后续服务，包括协助备案、咨询等相关服务。</w:t>
      </w:r>
    </w:p>
    <w:p w14:paraId="77164BB5">
      <w:pPr>
        <w:spacing w:line="360" w:lineRule="auto"/>
        <w:ind w:firstLine="480" w:firstLineChars="200"/>
        <w:outlineLvl w:val="0"/>
        <w:rPr>
          <w:sz w:val="24"/>
        </w:rPr>
      </w:pPr>
      <w:r>
        <w:rPr>
          <w:rFonts w:hint="eastAsia"/>
          <w:sz w:val="24"/>
        </w:rPr>
        <w:t>3.供应商组建的服务团队人员需具备网络（或信息）安全等级测评高级测评师证书、具备网络（或信息）安全等级测评中级测评师证书、具备网络（或信息）安全等级测评初级测评师证书及计算机或</w:t>
      </w:r>
      <w:r>
        <w:rPr>
          <w:rFonts w:hint="eastAsia"/>
          <w:kern w:val="0"/>
          <w:sz w:val="24"/>
          <w:szCs w:val="24"/>
        </w:rPr>
        <w:t>网信相关</w:t>
      </w:r>
      <w:r>
        <w:rPr>
          <w:rFonts w:hint="eastAsia"/>
          <w:sz w:val="24"/>
        </w:rPr>
        <w:t xml:space="preserve">专业高级工程师（或以上）职称证书、项目管理专业人员能力等级证书（CSPM）、注册渗透测试工程师（CISP-PTE）证书。在服务期内作好服务应答和反馈，对出现的问题进行现场分析、记录、处置和归档，服务期间提供应急保障工作。 </w:t>
      </w:r>
    </w:p>
    <w:p w14:paraId="6A52577E">
      <w:pPr>
        <w:spacing w:line="360" w:lineRule="auto"/>
        <w:ind w:firstLine="480" w:firstLineChars="200"/>
        <w:outlineLvl w:val="0"/>
        <w:rPr>
          <w:sz w:val="24"/>
        </w:rPr>
      </w:pPr>
      <w:r>
        <w:rPr>
          <w:rFonts w:hint="eastAsia"/>
          <w:sz w:val="24"/>
        </w:rPr>
        <w:t>服务团队成员构成稳定，人员流动性较低，具有高效的工作状态。同时具备较高的政治素养与觉悟，能深刻理解并积极践行各项方针政策，从而确保在提供服务的过程中，既能出色完成任务，又能体现出高度的政治意识和大局观念。</w:t>
      </w:r>
    </w:p>
    <w:p w14:paraId="4C95ABA8">
      <w:pPr>
        <w:spacing w:line="360" w:lineRule="auto"/>
        <w:ind w:firstLine="480" w:firstLineChars="200"/>
        <w:outlineLvl w:val="0"/>
        <w:rPr>
          <w:sz w:val="24"/>
        </w:rPr>
      </w:pPr>
      <w:r>
        <w:rPr>
          <w:rFonts w:hint="eastAsia"/>
          <w:sz w:val="24"/>
        </w:rPr>
        <w:t>4.服务内容：1.开展系统测评工作。对业务系统开展网络安全等级保护测评工作，出具符合国家标准的网络安全等级保护测评报告。2.出具网络安全等级保护整改意见书。3.技术支持服务。提供系统定级备案、网络安全整改等方面咨询服务，开展系统等保测评培训与服务保障，网络安全事件应急响应。</w:t>
      </w:r>
    </w:p>
    <w:p w14:paraId="49AD9C16">
      <w:pPr>
        <w:spacing w:line="360" w:lineRule="auto"/>
        <w:ind w:firstLine="480" w:firstLineChars="200"/>
        <w:outlineLvl w:val="0"/>
        <w:rPr>
          <w:sz w:val="24"/>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00"/>
    <w:family w:val="auto"/>
    <w:pitch w:val="default"/>
    <w:sig w:usb0="00000000" w:usb1="00000000" w:usb2="00000000" w:usb3="00000000" w:csb0="00000000" w:csb1="00000000"/>
  </w:font>
  <w:font w:name="汉仪书宋二KW">
    <w:panose1 w:val="00020600040101010101"/>
    <w:charset w:val="86"/>
    <w:family w:val="auto"/>
    <w:pitch w:val="default"/>
    <w:sig w:usb0="A00002BF" w:usb1="18EF7CFA" w:usb2="00000016" w:usb3="00000000" w:csb0="00040000" w:csb1="00000000"/>
  </w:font>
  <w:font w:name="Wingdings">
    <w:altName w:val="Kingsoft Confetti"/>
    <w:panose1 w:val="05000000000000000000"/>
    <w:charset w:val="02"/>
    <w:family w:val="auto"/>
    <w:pitch w:val="default"/>
    <w:sig w:usb0="00000000" w:usb1="00000000" w:usb2="00000000" w:usb3="00000000" w:csb0="80000000" w:csb1="00000000"/>
  </w:font>
  <w:font w:name="Kingsoft Confetti">
    <w:panose1 w:val="05000100010000000000"/>
    <w:charset w:val="00"/>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汉仪中黑KW"/>
    <w:panose1 w:val="02010609060101010101"/>
    <w:charset w:val="86"/>
    <w:family w:val="auto"/>
    <w:pitch w:val="default"/>
    <w:sig w:usb0="800002BF" w:usb1="38CF7CFA" w:usb2="00000016" w:usb3="00000000" w:csb0="00040001" w:csb1="00000000"/>
  </w:font>
  <w:font w:name="汉仪中黑KW">
    <w:panose1 w:val="00020600040101010101"/>
    <w:charset w:val="86"/>
    <w:family w:val="auto"/>
    <w:pitch w:val="default"/>
    <w:sig w:usb0="A00002BF" w:usb1="18EF7CFA" w:usb2="00000016" w:usb3="00000000" w:csb0="00040000" w:csb1="00000000"/>
  </w:font>
  <w:font w:name="Courier New">
    <w:panose1 w:val="02070309020205020404"/>
    <w:charset w:val="01"/>
    <w:family w:val="modern"/>
    <w:pitch w:val="default"/>
    <w:sig w:usb0="E0002AFF" w:usb1="C0007843" w:usb2="00000009" w:usb3="00000000" w:csb0="400001FF" w:csb1="FFFF0000"/>
  </w:font>
  <w:font w:name="Symbol">
    <w:altName w:val="Kingsoft Sign"/>
    <w:panose1 w:val="05050102010706020507"/>
    <w:charset w:val="02"/>
    <w:family w:val="roman"/>
    <w:pitch w:val="default"/>
    <w:sig w:usb0="00000000" w:usb1="00000000" w:usb2="00000000" w:usb3="00000000" w:csb0="80000000" w:csb1="00000000"/>
  </w:font>
  <w:font w:name="Kingsoft Sign">
    <w:panose1 w:val="05050102010706020507"/>
    <w:charset w:val="00"/>
    <w:family w:val="auto"/>
    <w:pitch w:val="default"/>
    <w:sig w:usb0="00000000" w:usb1="00000000" w:usb2="00000000" w:usb3="00000000" w:csb0="80000000" w:csb1="00000000"/>
  </w:font>
  <w:font w:name="Calibri">
    <w:altName w:val="Arial"/>
    <w:panose1 w:val="020F0502020204030204"/>
    <w:charset w:val="00"/>
    <w:family w:val="swiss"/>
    <w:pitch w:val="default"/>
    <w:sig w:usb0="00000000" w:usb1="00000000" w:usb2="00000001" w:usb3="00000000" w:csb0="0000019F" w:csb1="00000000"/>
  </w:font>
  <w:font w:name="Arial">
    <w:panose1 w:val="020B0604020202020204"/>
    <w:charset w:val="00"/>
    <w:family w:val="auto"/>
    <w:pitch w:val="default"/>
    <w:sig w:usb0="E0002AFF" w:usb1="C0007843" w:usb2="00000009" w:usb3="00000000" w:csb0="400001FF" w:csb1="FFFF0000"/>
  </w:font>
  <w:font w:name=".......">
    <w:altName w:val="汉仪中黑KW"/>
    <w:panose1 w:val="00000000000000000000"/>
    <w:charset w:val="86"/>
    <w:family w:val="auto"/>
    <w:pitch w:val="default"/>
    <w:sig w:usb0="00000000" w:usb1="00000000" w:usb2="00000010" w:usb3="00000000" w:csb0="00040000" w:csb1="00000000"/>
  </w:font>
  <w:font w:name="仿宋">
    <w:altName w:val="汉仪仿宋KW"/>
    <w:panose1 w:val="02010609060101010101"/>
    <w:charset w:val="86"/>
    <w:family w:val="modern"/>
    <w:pitch w:val="default"/>
    <w:sig w:usb0="00000000" w:usb1="00000000" w:usb2="00000016" w:usb3="00000000" w:csb0="00040001" w:csb1="00000000"/>
  </w:font>
  <w:font w:name="汉仪仿宋KW">
    <w:panose1 w:val="00020600040101010101"/>
    <w:charset w:val="86"/>
    <w:family w:val="auto"/>
    <w:pitch w:val="default"/>
    <w:sig w:usb0="A00002BF" w:usb1="18EF7CFA" w:usb2="00000016"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D2D0F"/>
    <w:rsid w:val="00077476"/>
    <w:rsid w:val="00085D13"/>
    <w:rsid w:val="000C4D67"/>
    <w:rsid w:val="000C5039"/>
    <w:rsid w:val="000F2679"/>
    <w:rsid w:val="00120BAA"/>
    <w:rsid w:val="00121109"/>
    <w:rsid w:val="00127D08"/>
    <w:rsid w:val="00127E36"/>
    <w:rsid w:val="0013454F"/>
    <w:rsid w:val="0016456E"/>
    <w:rsid w:val="00174B13"/>
    <w:rsid w:val="00194C67"/>
    <w:rsid w:val="001B7B95"/>
    <w:rsid w:val="001C7FA7"/>
    <w:rsid w:val="001D2D0F"/>
    <w:rsid w:val="001E2436"/>
    <w:rsid w:val="001F465D"/>
    <w:rsid w:val="002A7FF2"/>
    <w:rsid w:val="0030343D"/>
    <w:rsid w:val="00304EDE"/>
    <w:rsid w:val="0030545F"/>
    <w:rsid w:val="00316D9D"/>
    <w:rsid w:val="0039021C"/>
    <w:rsid w:val="003C563F"/>
    <w:rsid w:val="003E6F23"/>
    <w:rsid w:val="003F1F9B"/>
    <w:rsid w:val="0040248B"/>
    <w:rsid w:val="00416A33"/>
    <w:rsid w:val="0048267E"/>
    <w:rsid w:val="004E64D8"/>
    <w:rsid w:val="004F2CE9"/>
    <w:rsid w:val="005E3AFD"/>
    <w:rsid w:val="005F0913"/>
    <w:rsid w:val="0061198E"/>
    <w:rsid w:val="006138E2"/>
    <w:rsid w:val="00620853"/>
    <w:rsid w:val="006415E9"/>
    <w:rsid w:val="00642D8F"/>
    <w:rsid w:val="00645CE8"/>
    <w:rsid w:val="00657160"/>
    <w:rsid w:val="00674126"/>
    <w:rsid w:val="006930E4"/>
    <w:rsid w:val="00716E03"/>
    <w:rsid w:val="00746FE2"/>
    <w:rsid w:val="007A70FD"/>
    <w:rsid w:val="007B3B09"/>
    <w:rsid w:val="007B71A9"/>
    <w:rsid w:val="007C0A91"/>
    <w:rsid w:val="007D35B7"/>
    <w:rsid w:val="007E1ADD"/>
    <w:rsid w:val="00834ECB"/>
    <w:rsid w:val="00853A07"/>
    <w:rsid w:val="00860C62"/>
    <w:rsid w:val="00882AA1"/>
    <w:rsid w:val="00883441"/>
    <w:rsid w:val="008A1735"/>
    <w:rsid w:val="008A19DC"/>
    <w:rsid w:val="008C0EA0"/>
    <w:rsid w:val="008D4729"/>
    <w:rsid w:val="008E4B51"/>
    <w:rsid w:val="009022EA"/>
    <w:rsid w:val="009164E0"/>
    <w:rsid w:val="00993BD8"/>
    <w:rsid w:val="009E543F"/>
    <w:rsid w:val="00A20C4F"/>
    <w:rsid w:val="00A30B92"/>
    <w:rsid w:val="00A5343E"/>
    <w:rsid w:val="00A601D5"/>
    <w:rsid w:val="00A66062"/>
    <w:rsid w:val="00A7194B"/>
    <w:rsid w:val="00AB46F7"/>
    <w:rsid w:val="00B03B0A"/>
    <w:rsid w:val="00B1343A"/>
    <w:rsid w:val="00B141A6"/>
    <w:rsid w:val="00B4586D"/>
    <w:rsid w:val="00B83A0F"/>
    <w:rsid w:val="00BB03D4"/>
    <w:rsid w:val="00BE0C36"/>
    <w:rsid w:val="00BE279A"/>
    <w:rsid w:val="00BF11D9"/>
    <w:rsid w:val="00C149E6"/>
    <w:rsid w:val="00C157BE"/>
    <w:rsid w:val="00C51A1F"/>
    <w:rsid w:val="00CE1B76"/>
    <w:rsid w:val="00D06D02"/>
    <w:rsid w:val="00D24133"/>
    <w:rsid w:val="00D55287"/>
    <w:rsid w:val="00D83738"/>
    <w:rsid w:val="00D8476C"/>
    <w:rsid w:val="00D852F1"/>
    <w:rsid w:val="00D9085A"/>
    <w:rsid w:val="00DF175B"/>
    <w:rsid w:val="00E046DE"/>
    <w:rsid w:val="00E15F4F"/>
    <w:rsid w:val="00E54230"/>
    <w:rsid w:val="00E65F31"/>
    <w:rsid w:val="00E85861"/>
    <w:rsid w:val="00E85DFA"/>
    <w:rsid w:val="00EB538D"/>
    <w:rsid w:val="00EB7FAC"/>
    <w:rsid w:val="00F228DE"/>
    <w:rsid w:val="00F23957"/>
    <w:rsid w:val="00F70FAD"/>
    <w:rsid w:val="00F85C3E"/>
    <w:rsid w:val="00FB0030"/>
    <w:rsid w:val="00FD5462"/>
    <w:rsid w:val="1DDF3D4B"/>
    <w:rsid w:val="3DF7872E"/>
    <w:rsid w:val="DFDFE35E"/>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ody Text"/>
    <w:basedOn w:val="1"/>
    <w:link w:val="9"/>
    <w:unhideWhenUsed/>
    <w:qFormat/>
    <w:uiPriority w:val="99"/>
    <w:pPr>
      <w:spacing w:after="120"/>
    </w:pPr>
  </w:style>
  <w:style w:type="paragraph" w:styleId="3">
    <w:name w:val="footer"/>
    <w:basedOn w:val="1"/>
    <w:link w:val="8"/>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4">
    <w:name w:val="header"/>
    <w:basedOn w:val="1"/>
    <w:link w:val="7"/>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character" w:customStyle="1" w:styleId="7">
    <w:name w:val="页眉 Char"/>
    <w:basedOn w:val="6"/>
    <w:link w:val="4"/>
    <w:qFormat/>
    <w:uiPriority w:val="99"/>
    <w:rPr>
      <w:sz w:val="18"/>
      <w:szCs w:val="18"/>
    </w:rPr>
  </w:style>
  <w:style w:type="character" w:customStyle="1" w:styleId="8">
    <w:name w:val="页脚 Char"/>
    <w:basedOn w:val="6"/>
    <w:link w:val="3"/>
    <w:qFormat/>
    <w:uiPriority w:val="99"/>
    <w:rPr>
      <w:sz w:val="18"/>
      <w:szCs w:val="18"/>
    </w:rPr>
  </w:style>
  <w:style w:type="character" w:customStyle="1" w:styleId="9">
    <w:name w:val="正文文本 Char"/>
    <w:basedOn w:val="6"/>
    <w:link w:val="2"/>
    <w:qFormat/>
    <w:uiPriority w:val="99"/>
    <w:rPr>
      <w:rFonts w:ascii="Times New Roman" w:hAnsi="Times New Roman" w:eastAsia="宋体" w:cs="Times New Roman"/>
      <w:szCs w:val="20"/>
    </w:rPr>
  </w:style>
  <w:style w:type="paragraph" w:customStyle="1" w:styleId="10">
    <w:name w:val="Default"/>
    <w:link w:val="11"/>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11">
    <w:name w:val="Default Char"/>
    <w:link w:val="10"/>
    <w:qFormat/>
    <w:locked/>
    <w:uiPriority w:val="0"/>
    <w:rPr>
      <w:rFonts w:ascii="......." w:hAnsi="Calibri" w:eastAsia="......." w:cs="......."/>
      <w:color w:val="000000"/>
      <w:kern w:val="0"/>
      <w:sz w:val="24"/>
      <w:szCs w:val="24"/>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Company>神州网信技术有限公司</Company>
  <Pages>5</Pages>
  <Words>469</Words>
  <Characters>2674</Characters>
  <Lines>22</Lines>
  <Paragraphs>6</Paragraphs>
  <TotalTime>13</TotalTime>
  <ScaleCrop>false</ScaleCrop>
  <LinksUpToDate>false</LinksUpToDate>
  <CharactersWithSpaces>3137</CharactersWithSpaces>
  <Application>WPS Office WWO_wpscloud_20250116195353-13c312bd48</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2025-11-13T08:56:00Z</dcterms:created>
  <dc:creator>未定义</dc:creator>
  <cp:lastModifiedBy>未定义</cp:lastModifiedBy>
  <dcterms:modified xsi:type="dcterms:W3CDTF">2025-11-13T15:03:34Z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2052-0.0.0.0</vt:lpwstr>
  </property>
  <property fmtid="{D5CDD505-2E9C-101B-9397-08002B2CF9AE}" pid="3" name="ICV">
    <vt:lpwstr>E42F40FFA33F9E1AC6821569D3940779_43</vt:lpwstr>
  </property>
</Properties>
</file>