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172323">
      <w:pPr>
        <w:spacing w:line="360" w:lineRule="auto"/>
        <w:jc w:val="center"/>
        <w:rPr>
          <w:rFonts w:hint="eastAsia" w:ascii="宋体" w:hAnsi="宋体" w:eastAsia="宋体" w:cs="宋体"/>
          <w:b/>
          <w:color w:val="auto"/>
          <w:sz w:val="32"/>
          <w:szCs w:val="32"/>
          <w:highlight w:val="none"/>
          <w:lang w:val="en-US" w:eastAsia="zh-CN"/>
        </w:rPr>
      </w:pPr>
      <w:r>
        <w:rPr>
          <w:rFonts w:hint="eastAsia" w:ascii="宋体" w:hAnsi="宋体" w:eastAsia="宋体" w:cs="宋体"/>
          <w:b/>
          <w:color w:val="auto"/>
          <w:sz w:val="32"/>
          <w:szCs w:val="32"/>
          <w:highlight w:val="none"/>
          <w:lang w:val="en-US" w:eastAsia="zh-CN"/>
        </w:rPr>
        <w:t>天津市南开区水上小学学校保安服务项目</w:t>
      </w:r>
    </w:p>
    <w:p w14:paraId="172E6EEA">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一、项目背景</w:t>
      </w:r>
    </w:p>
    <w:p w14:paraId="4E056615">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天津市南开区水上小学现采用三校区的办学模式，分别为：仁爱校区、温泉校区、红南校区在校师生人数较多并属于人员密集重点场所，因此，结合市、区相关要求。为了保证学校教育教学及师生在校安全，学校计划选择适合学校发展的保安公司，配合学校工作，做好学校安全保障工作。此次采购严格按照南开教委后服中心《南开区校园保安工作管理规定》要求落实执行。</w:t>
      </w:r>
    </w:p>
    <w:p w14:paraId="241AA006">
      <w:pPr>
        <w:ind w:firstLine="420" w:firstLineChars="200"/>
        <w:rPr>
          <w:rFonts w:hint="eastAsia"/>
          <w:highlight w:val="none"/>
        </w:rPr>
      </w:pPr>
      <w:r>
        <w:rPr>
          <w:rFonts w:hint="eastAsia"/>
          <w:highlight w:val="none"/>
        </w:rPr>
        <w:t>本项目属于：租赁和商务服务业</w:t>
      </w:r>
    </w:p>
    <w:p w14:paraId="474B02C3">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二、项目总预算</w:t>
      </w:r>
    </w:p>
    <w:p w14:paraId="612CC2C1">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本项目总预算为67.5万元。</w:t>
      </w:r>
    </w:p>
    <w:p w14:paraId="2F6046BF">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kern w:val="0"/>
          <w:sz w:val="21"/>
          <w:szCs w:val="21"/>
          <w:highlight w:val="none"/>
        </w:rPr>
        <w:t>三、物业投入人员岗位及每个岗位的需要人数</w:t>
      </w:r>
    </w:p>
    <w:tbl>
      <w:tblPr>
        <w:tblStyle w:val="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1"/>
        <w:gridCol w:w="1285"/>
        <w:gridCol w:w="1029"/>
        <w:gridCol w:w="3145"/>
        <w:gridCol w:w="1075"/>
        <w:gridCol w:w="1372"/>
      </w:tblGrid>
      <w:tr w14:paraId="4D46F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 w:type="pct"/>
            <w:vAlign w:val="center"/>
          </w:tcPr>
          <w:p w14:paraId="59E2442E">
            <w:pPr>
              <w:spacing w:line="360" w:lineRule="auto"/>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753" w:type="pct"/>
            <w:vAlign w:val="center"/>
          </w:tcPr>
          <w:p w14:paraId="623E32E6">
            <w:pPr>
              <w:spacing w:line="360" w:lineRule="auto"/>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岗位名称</w:t>
            </w:r>
          </w:p>
        </w:tc>
        <w:tc>
          <w:tcPr>
            <w:tcW w:w="604" w:type="pct"/>
            <w:vAlign w:val="center"/>
          </w:tcPr>
          <w:p w14:paraId="336ED4A8">
            <w:pPr>
              <w:spacing w:line="360" w:lineRule="auto"/>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人数</w:t>
            </w:r>
          </w:p>
        </w:tc>
        <w:tc>
          <w:tcPr>
            <w:tcW w:w="1846" w:type="pct"/>
            <w:vAlign w:val="center"/>
          </w:tcPr>
          <w:p w14:paraId="2028AA6A">
            <w:pPr>
              <w:spacing w:line="360" w:lineRule="auto"/>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要求</w:t>
            </w:r>
          </w:p>
        </w:tc>
        <w:tc>
          <w:tcPr>
            <w:tcW w:w="631" w:type="pct"/>
            <w:vAlign w:val="center"/>
          </w:tcPr>
          <w:p w14:paraId="6F411C63">
            <w:pPr>
              <w:spacing w:line="360" w:lineRule="auto"/>
              <w:jc w:val="center"/>
              <w:rPr>
                <w:rFonts w:hint="eastAsia" w:ascii="宋体" w:hAnsi="宋体" w:eastAsia="宋体" w:cs="宋体"/>
                <w:b/>
                <w:color w:val="auto"/>
                <w:sz w:val="21"/>
                <w:szCs w:val="21"/>
                <w:highlight w:val="none"/>
              </w:rPr>
            </w:pPr>
            <w:bookmarkStart w:id="0" w:name="OLE_LINK2"/>
            <w:bookmarkStart w:id="1" w:name="OLE_LINK1"/>
            <w:r>
              <w:rPr>
                <w:rFonts w:hint="eastAsia" w:ascii="宋体" w:hAnsi="宋体" w:eastAsia="宋体" w:cs="宋体"/>
                <w:b/>
                <w:color w:val="auto"/>
                <w:sz w:val="21"/>
                <w:szCs w:val="21"/>
                <w:highlight w:val="none"/>
              </w:rPr>
              <w:t>是否接受退休人员</w:t>
            </w:r>
            <w:bookmarkEnd w:id="0"/>
            <w:bookmarkEnd w:id="1"/>
          </w:p>
        </w:tc>
        <w:tc>
          <w:tcPr>
            <w:tcW w:w="805" w:type="pct"/>
            <w:vAlign w:val="center"/>
          </w:tcPr>
          <w:p w14:paraId="5A416ED4">
            <w:pPr>
              <w:spacing w:line="360" w:lineRule="auto"/>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工作时间</w:t>
            </w:r>
          </w:p>
        </w:tc>
      </w:tr>
      <w:tr w14:paraId="48802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 w:type="pct"/>
            <w:vAlign w:val="center"/>
          </w:tcPr>
          <w:p w14:paraId="1B607293">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753" w:type="pct"/>
            <w:vAlign w:val="center"/>
          </w:tcPr>
          <w:p w14:paraId="47D10E61">
            <w:pPr>
              <w:spacing w:line="360" w:lineRule="auto"/>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保安</w:t>
            </w:r>
          </w:p>
        </w:tc>
        <w:tc>
          <w:tcPr>
            <w:tcW w:w="604" w:type="pct"/>
            <w:vAlign w:val="center"/>
          </w:tcPr>
          <w:p w14:paraId="5D930A2B">
            <w:pPr>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11人</w:t>
            </w:r>
          </w:p>
        </w:tc>
        <w:tc>
          <w:tcPr>
            <w:tcW w:w="1846" w:type="pct"/>
            <w:vAlign w:val="center"/>
          </w:tcPr>
          <w:p w14:paraId="6B77AFE3">
            <w:pPr>
              <w:spacing w:line="360" w:lineRule="auto"/>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男女不限</w:t>
            </w:r>
            <w:r>
              <w:rPr>
                <w:rFonts w:hint="eastAsia" w:ascii="宋体" w:hAnsi="宋体" w:eastAsia="宋体" w:cs="宋体"/>
                <w:color w:val="auto"/>
                <w:sz w:val="21"/>
                <w:szCs w:val="21"/>
                <w:highlight w:val="none"/>
              </w:rPr>
              <w:t>，年龄</w:t>
            </w:r>
            <w:r>
              <w:rPr>
                <w:rFonts w:hint="eastAsia" w:ascii="宋体" w:hAnsi="宋体" w:eastAsia="宋体" w:cs="宋体"/>
                <w:color w:val="auto"/>
                <w:sz w:val="21"/>
                <w:szCs w:val="21"/>
                <w:highlight w:val="none"/>
                <w:lang w:val="en-US" w:eastAsia="zh-CN"/>
              </w:rPr>
              <w:t>50周</w:t>
            </w:r>
            <w:r>
              <w:rPr>
                <w:rFonts w:hint="eastAsia" w:ascii="宋体" w:hAnsi="宋体" w:eastAsia="宋体" w:cs="宋体"/>
                <w:color w:val="auto"/>
                <w:sz w:val="21"/>
                <w:szCs w:val="21"/>
                <w:highlight w:val="none"/>
              </w:rPr>
              <w:t>岁以下</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身体健康，五官端正；工作积极主动认真，责任心强，人品好。</w:t>
            </w:r>
            <w:r>
              <w:rPr>
                <w:rFonts w:hint="eastAsia" w:ascii="宋体" w:hAnsi="宋体" w:eastAsia="宋体" w:cs="宋体"/>
                <w:sz w:val="21"/>
                <w:szCs w:val="21"/>
                <w:highlight w:val="none"/>
                <w:lang w:val="en-US" w:eastAsia="zh-CN"/>
              </w:rPr>
              <w:t>持人力资源和社会保障部门颁发的职业资格证书（保安员）或公安机关盖章的保安员证；提供开标日前三个月中连续两个月的由投标单位或其分公司为该人员缴纳的社会保险证明扫描件(如为初创企业，请提供相关证明材料扫描件）；</w:t>
            </w:r>
            <w:r>
              <w:rPr>
                <w:rFonts w:hint="eastAsia" w:ascii="宋体" w:hAnsi="宋体" w:eastAsia="宋体" w:cs="宋体"/>
                <w:color w:val="auto"/>
                <w:szCs w:val="21"/>
                <w:highlight w:val="none"/>
                <w:lang w:val="en-US" w:eastAsia="zh-CN"/>
              </w:rPr>
              <w:t>提供有效期内的全时段</w:t>
            </w:r>
            <w:r>
              <w:rPr>
                <w:rFonts w:hint="eastAsia" w:ascii="宋体" w:hAnsi="宋体" w:eastAsia="宋体" w:cs="宋体"/>
                <w:color w:val="auto"/>
                <w:sz w:val="21"/>
                <w:szCs w:val="21"/>
                <w:highlight w:val="none"/>
                <w:lang w:val="en-US" w:eastAsia="zh-CN"/>
              </w:rPr>
              <w:t>《无犯罪记录证明》</w:t>
            </w:r>
            <w:r>
              <w:rPr>
                <w:rFonts w:hint="eastAsia" w:ascii="宋体" w:hAnsi="宋体" w:eastAsia="宋体" w:cs="宋体"/>
                <w:color w:val="auto"/>
                <w:szCs w:val="21"/>
                <w:highlight w:val="none"/>
                <w:lang w:val="en-US" w:eastAsia="zh-CN"/>
              </w:rPr>
              <w:t>上岗</w:t>
            </w:r>
            <w:r>
              <w:rPr>
                <w:rFonts w:hint="eastAsia" w:ascii="宋体" w:hAnsi="宋体" w:eastAsia="宋体" w:cs="宋体"/>
                <w:sz w:val="21"/>
                <w:szCs w:val="21"/>
                <w:highlight w:val="none"/>
                <w:lang w:val="en-US" w:eastAsia="zh-CN"/>
              </w:rPr>
              <w:t>。</w:t>
            </w:r>
          </w:p>
        </w:tc>
        <w:tc>
          <w:tcPr>
            <w:tcW w:w="631" w:type="pct"/>
            <w:vAlign w:val="center"/>
          </w:tcPr>
          <w:p w14:paraId="07A6D288">
            <w:pPr>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否</w:t>
            </w:r>
          </w:p>
        </w:tc>
        <w:tc>
          <w:tcPr>
            <w:tcW w:w="805" w:type="pct"/>
            <w:vAlign w:val="center"/>
          </w:tcPr>
          <w:p w14:paraId="208061A3">
            <w:pPr>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24小时值守</w:t>
            </w:r>
          </w:p>
          <w:p w14:paraId="1571370E">
            <w:pPr>
              <w:pStyle w:val="3"/>
              <w:rPr>
                <w:rFonts w:hint="default"/>
                <w:color w:val="auto"/>
                <w:highlight w:val="none"/>
                <w:lang w:val="en-US"/>
              </w:rPr>
            </w:pPr>
            <w:r>
              <w:rPr>
                <w:rFonts w:hint="eastAsia" w:ascii="宋体" w:hAnsi="宋体" w:eastAsia="宋体" w:cs="宋体"/>
                <w:color w:val="auto"/>
                <w:sz w:val="21"/>
                <w:szCs w:val="21"/>
                <w:highlight w:val="none"/>
                <w:lang w:val="en-US" w:eastAsia="zh-CN"/>
              </w:rPr>
              <w:t>（具体以合同为准）</w:t>
            </w:r>
          </w:p>
        </w:tc>
      </w:tr>
      <w:tr w14:paraId="17A36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 w:type="pct"/>
            <w:vAlign w:val="center"/>
          </w:tcPr>
          <w:p w14:paraId="0BAB2946">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753" w:type="pct"/>
            <w:vAlign w:val="center"/>
          </w:tcPr>
          <w:p w14:paraId="67250CDC">
            <w:pPr>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消防值守</w:t>
            </w:r>
          </w:p>
        </w:tc>
        <w:tc>
          <w:tcPr>
            <w:tcW w:w="604" w:type="pct"/>
            <w:vAlign w:val="center"/>
          </w:tcPr>
          <w:p w14:paraId="1D2030F0">
            <w:pPr>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1人</w:t>
            </w:r>
          </w:p>
        </w:tc>
        <w:tc>
          <w:tcPr>
            <w:tcW w:w="1846" w:type="pct"/>
            <w:vAlign w:val="center"/>
          </w:tcPr>
          <w:p w14:paraId="65336C6F">
            <w:pPr>
              <w:spacing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男</w:t>
            </w:r>
            <w:r>
              <w:rPr>
                <w:rFonts w:hint="eastAsia" w:ascii="宋体" w:hAnsi="宋体" w:eastAsia="宋体" w:cs="宋体"/>
                <w:color w:val="auto"/>
                <w:sz w:val="21"/>
                <w:szCs w:val="21"/>
                <w:highlight w:val="none"/>
                <w:lang w:val="en-US" w:eastAsia="zh-CN"/>
              </w:rPr>
              <w:t>性</w:t>
            </w:r>
            <w:r>
              <w:rPr>
                <w:rFonts w:hint="eastAsia" w:ascii="宋体" w:hAnsi="宋体" w:eastAsia="宋体" w:cs="宋体"/>
                <w:color w:val="auto"/>
                <w:sz w:val="21"/>
                <w:szCs w:val="21"/>
                <w:highlight w:val="none"/>
              </w:rPr>
              <w:t>，年龄</w:t>
            </w:r>
            <w:r>
              <w:rPr>
                <w:rFonts w:hint="eastAsia" w:ascii="宋体" w:hAnsi="宋体" w:eastAsia="宋体" w:cs="宋体"/>
                <w:color w:val="auto"/>
                <w:sz w:val="21"/>
                <w:szCs w:val="21"/>
                <w:highlight w:val="none"/>
                <w:lang w:val="en-US" w:eastAsia="zh-CN"/>
              </w:rPr>
              <w:t>60周</w:t>
            </w:r>
            <w:r>
              <w:rPr>
                <w:rFonts w:hint="eastAsia" w:ascii="宋体" w:hAnsi="宋体" w:eastAsia="宋体" w:cs="宋体"/>
                <w:color w:val="auto"/>
                <w:sz w:val="21"/>
                <w:szCs w:val="21"/>
                <w:highlight w:val="none"/>
              </w:rPr>
              <w:t>岁以下</w:t>
            </w:r>
            <w:r>
              <w:rPr>
                <w:rFonts w:hint="eastAsia" w:ascii="宋体" w:hAnsi="宋体" w:eastAsia="宋体" w:cs="宋体"/>
                <w:color w:val="auto"/>
                <w:sz w:val="21"/>
                <w:szCs w:val="21"/>
                <w:highlight w:val="none"/>
                <w:lang w:val="en-US" w:eastAsia="zh-CN"/>
              </w:rPr>
              <w:t>，女性，年龄50周岁以下</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身体健康，五官端正；工作积极主动认真，责任心强，人品好。</w:t>
            </w:r>
            <w:r>
              <w:rPr>
                <w:rFonts w:hint="eastAsia" w:ascii="宋体" w:hAnsi="宋体" w:eastAsia="宋体" w:cs="宋体"/>
                <w:color w:val="auto"/>
                <w:szCs w:val="21"/>
                <w:highlight w:val="none"/>
                <w:lang w:val="en-US" w:eastAsia="zh-CN"/>
              </w:rPr>
              <w:t>消控室人员需持《消防设施操作员证》或具备《职业资质证（建（构）筑物消防员或消防设施操作员证）》；</w:t>
            </w:r>
            <w:r>
              <w:rPr>
                <w:rFonts w:hint="eastAsia" w:ascii="宋体" w:hAnsi="宋体" w:eastAsia="宋体" w:cs="宋体"/>
                <w:sz w:val="21"/>
                <w:szCs w:val="21"/>
                <w:highlight w:val="none"/>
                <w:lang w:val="en-US" w:eastAsia="zh-CN"/>
              </w:rPr>
              <w:t>提供开标日前三个月中连续两个月的由投标单位或其分公司为该人员缴纳的社会保险证明扫描件(如为初创企业，请提供相关证明材料扫描件）；</w:t>
            </w:r>
            <w:r>
              <w:rPr>
                <w:rFonts w:hint="eastAsia" w:ascii="宋体" w:hAnsi="宋体" w:eastAsia="宋体" w:cs="宋体"/>
                <w:color w:val="auto"/>
                <w:szCs w:val="21"/>
                <w:highlight w:val="none"/>
                <w:lang w:val="en-US" w:eastAsia="zh-CN"/>
              </w:rPr>
              <w:t>提供有效期内的全时段</w:t>
            </w:r>
            <w:r>
              <w:rPr>
                <w:rFonts w:hint="eastAsia" w:ascii="宋体" w:hAnsi="宋体" w:eastAsia="宋体" w:cs="宋体"/>
                <w:color w:val="auto"/>
                <w:sz w:val="21"/>
                <w:szCs w:val="21"/>
                <w:highlight w:val="none"/>
                <w:lang w:val="en-US" w:eastAsia="zh-CN"/>
              </w:rPr>
              <w:t>《无犯罪记录证明》</w:t>
            </w:r>
            <w:r>
              <w:rPr>
                <w:rFonts w:hint="eastAsia" w:ascii="宋体" w:hAnsi="宋体" w:eastAsia="宋体" w:cs="宋体"/>
                <w:color w:val="auto"/>
                <w:szCs w:val="21"/>
                <w:highlight w:val="none"/>
                <w:lang w:val="en-US" w:eastAsia="zh-CN"/>
              </w:rPr>
              <w:t>上岗。</w:t>
            </w:r>
          </w:p>
        </w:tc>
        <w:tc>
          <w:tcPr>
            <w:tcW w:w="631" w:type="pct"/>
            <w:vAlign w:val="center"/>
          </w:tcPr>
          <w:p w14:paraId="7FC19006">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否</w:t>
            </w:r>
          </w:p>
        </w:tc>
        <w:tc>
          <w:tcPr>
            <w:tcW w:w="805" w:type="pct"/>
            <w:vAlign w:val="center"/>
          </w:tcPr>
          <w:p w14:paraId="2EAEC3E7">
            <w:pPr>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周一至周五</w:t>
            </w:r>
          </w:p>
          <w:p w14:paraId="04F4C765">
            <w:pPr>
              <w:pStyle w:val="3"/>
              <w:rPr>
                <w:rFonts w:hint="default"/>
                <w:color w:val="auto"/>
                <w:highlight w:val="none"/>
                <w:lang w:val="en-US" w:eastAsia="zh-CN"/>
              </w:rPr>
            </w:pPr>
            <w:r>
              <w:rPr>
                <w:rFonts w:hint="eastAsia" w:ascii="宋体" w:hAnsi="宋体" w:eastAsia="宋体" w:cs="宋体"/>
                <w:color w:val="auto"/>
                <w:sz w:val="21"/>
                <w:szCs w:val="21"/>
                <w:highlight w:val="none"/>
                <w:lang w:val="en-US" w:eastAsia="zh-CN"/>
              </w:rPr>
              <w:t>7:30-17:30</w:t>
            </w:r>
          </w:p>
        </w:tc>
      </w:tr>
      <w:tr w14:paraId="72297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13" w:type="pct"/>
            <w:gridSpan w:val="2"/>
            <w:vAlign w:val="center"/>
          </w:tcPr>
          <w:p w14:paraId="3AF63DDC">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合计人数</w:t>
            </w:r>
          </w:p>
        </w:tc>
        <w:tc>
          <w:tcPr>
            <w:tcW w:w="3886" w:type="pct"/>
            <w:gridSpan w:val="4"/>
            <w:vAlign w:val="center"/>
          </w:tcPr>
          <w:p w14:paraId="06D7D42C">
            <w:pPr>
              <w:spacing w:line="360" w:lineRule="auto"/>
              <w:jc w:val="center"/>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12人</w:t>
            </w:r>
          </w:p>
        </w:tc>
      </w:tr>
    </w:tbl>
    <w:p w14:paraId="1C491A6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保安人员须具备</w:t>
      </w:r>
      <w:r>
        <w:rPr>
          <w:rFonts w:hint="eastAsia" w:ascii="宋体" w:hAnsi="宋体" w:eastAsia="宋体" w:cs="宋体"/>
          <w:sz w:val="21"/>
          <w:szCs w:val="21"/>
          <w:highlight w:val="none"/>
          <w:lang w:val="en-US" w:eastAsia="zh-CN"/>
        </w:rPr>
        <w:t>职业资格证书（保安员）或公安机关盖章的保安员证、有效期内全时段</w:t>
      </w:r>
      <w:r>
        <w:rPr>
          <w:rFonts w:hint="eastAsia" w:ascii="宋体" w:hAnsi="宋体" w:eastAsia="宋体" w:cs="宋体"/>
          <w:color w:val="auto"/>
          <w:sz w:val="21"/>
          <w:szCs w:val="21"/>
          <w:highlight w:val="none"/>
          <w:lang w:val="en-US" w:eastAsia="zh-CN"/>
        </w:rPr>
        <w:t>《无犯罪记录证明》且</w:t>
      </w:r>
      <w:r>
        <w:rPr>
          <w:rFonts w:hint="eastAsia" w:ascii="宋体" w:hAnsi="宋体" w:eastAsia="宋体" w:cs="宋体"/>
          <w:color w:val="auto"/>
          <w:sz w:val="21"/>
          <w:szCs w:val="21"/>
          <w:highlight w:val="none"/>
        </w:rPr>
        <w:t>应当对涉及学校内的信息严格保密，未经学校许可，不得将信息泄露给第三方，并与相关工作人员签订保密协议。若违反协议学校保留追究</w:t>
      </w:r>
      <w:r>
        <w:rPr>
          <w:rFonts w:hint="eastAsia" w:ascii="宋体" w:hAnsi="宋体" w:eastAsia="宋体" w:cs="宋体"/>
          <w:color w:val="auto"/>
          <w:sz w:val="21"/>
          <w:szCs w:val="21"/>
          <w:highlight w:val="none"/>
          <w:lang w:val="en-US" w:eastAsia="zh-CN"/>
        </w:rPr>
        <w:t>保安</w:t>
      </w:r>
      <w:r>
        <w:rPr>
          <w:rFonts w:hint="eastAsia" w:ascii="宋体" w:hAnsi="宋体" w:eastAsia="宋体" w:cs="宋体"/>
          <w:color w:val="auto"/>
          <w:sz w:val="21"/>
          <w:szCs w:val="21"/>
          <w:highlight w:val="none"/>
        </w:rPr>
        <w:t>公司的法律责任的权利。</w:t>
      </w:r>
    </w:p>
    <w:p w14:paraId="055D1DB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kern w:val="2"/>
          <w:sz w:val="21"/>
          <w:szCs w:val="21"/>
          <w:highlight w:val="none"/>
          <w:lang w:val="en-US" w:eastAsia="zh-CN" w:bidi="ar-SA"/>
        </w:rPr>
        <w:t>（2）</w:t>
      </w:r>
      <w:r>
        <w:rPr>
          <w:rFonts w:hint="eastAsia" w:ascii="宋体" w:hAnsi="宋体" w:eastAsia="宋体" w:cs="宋体"/>
          <w:color w:val="auto"/>
          <w:sz w:val="21"/>
          <w:szCs w:val="21"/>
          <w:highlight w:val="none"/>
        </w:rPr>
        <w:t>上述人员的岗位安排和上班时间有</w:t>
      </w:r>
      <w:r>
        <w:rPr>
          <w:rFonts w:hint="eastAsia" w:ascii="宋体" w:hAnsi="宋体" w:eastAsia="宋体" w:cs="宋体"/>
          <w:color w:val="auto"/>
          <w:sz w:val="21"/>
          <w:szCs w:val="21"/>
          <w:highlight w:val="none"/>
          <w:lang w:val="en-US" w:eastAsia="zh-CN"/>
        </w:rPr>
        <w:t>保安</w:t>
      </w:r>
      <w:r>
        <w:rPr>
          <w:rFonts w:hint="eastAsia" w:ascii="宋体" w:hAnsi="宋体" w:eastAsia="宋体" w:cs="宋体"/>
          <w:color w:val="auto"/>
          <w:sz w:val="21"/>
          <w:szCs w:val="21"/>
          <w:highlight w:val="none"/>
        </w:rPr>
        <w:t>公司和学校（根据岗位、工作需要）共同协商后，由</w:t>
      </w:r>
      <w:r>
        <w:rPr>
          <w:rFonts w:hint="eastAsia" w:ascii="宋体" w:hAnsi="宋体" w:eastAsia="宋体" w:cs="宋体"/>
          <w:color w:val="auto"/>
          <w:sz w:val="21"/>
          <w:szCs w:val="21"/>
          <w:highlight w:val="none"/>
          <w:lang w:val="en-US" w:eastAsia="zh-CN"/>
        </w:rPr>
        <w:t>保安</w:t>
      </w:r>
      <w:r>
        <w:rPr>
          <w:rFonts w:hint="eastAsia" w:ascii="宋体" w:hAnsi="宋体" w:eastAsia="宋体" w:cs="宋体"/>
          <w:color w:val="auto"/>
          <w:sz w:val="21"/>
          <w:szCs w:val="21"/>
          <w:highlight w:val="none"/>
        </w:rPr>
        <w:t>公司制定排班表，报学校审核后执行。</w:t>
      </w:r>
      <w:r>
        <w:rPr>
          <w:rFonts w:hint="eastAsia" w:ascii="宋体" w:hAnsi="宋体" w:eastAsia="宋体" w:cs="宋体"/>
          <w:color w:val="auto"/>
          <w:sz w:val="21"/>
          <w:szCs w:val="21"/>
          <w:highlight w:val="none"/>
          <w:lang w:val="en-US" w:eastAsia="zh-CN"/>
        </w:rPr>
        <w:t>采购人在实际运作中需求有权随时增加或减少保安人员与消防值守人员，中标人应按照采购人不同时期需求提供现场服务人员。服务人员发生变化时需书面双方确认，服务费按实际发生结算。</w:t>
      </w:r>
    </w:p>
    <w:p w14:paraId="1AAC35B6">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按劳动法和国务院关于职工工作时间的规定，正常情况下，劳动者每日工作不超过8小时，每周工作不超过40小时。</w:t>
      </w:r>
      <w:r>
        <w:rPr>
          <w:rFonts w:hint="eastAsia" w:ascii="宋体" w:hAnsi="宋体" w:eastAsia="宋体" w:cs="宋体"/>
          <w:color w:val="auto"/>
          <w:sz w:val="21"/>
          <w:szCs w:val="21"/>
          <w:highlight w:val="none"/>
          <w:lang w:val="en-US" w:eastAsia="zh-CN"/>
        </w:rPr>
        <w:t>需安排加班的，成交供应商应配合并向劳动者支付加班费。</w:t>
      </w:r>
    </w:p>
    <w:p w14:paraId="1466C283">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四</w:t>
      </w:r>
      <w:r>
        <w:rPr>
          <w:rFonts w:hint="eastAsia" w:ascii="宋体" w:hAnsi="宋体" w:eastAsia="宋体" w:cs="宋体"/>
          <w:b/>
          <w:color w:val="auto"/>
          <w:sz w:val="21"/>
          <w:szCs w:val="21"/>
          <w:highlight w:val="none"/>
        </w:rPr>
        <w:t>、各岗位人员具体工作内容、职责及服务标准</w:t>
      </w:r>
    </w:p>
    <w:p w14:paraId="06C54956">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1. </w:t>
      </w:r>
      <w:r>
        <w:rPr>
          <w:rFonts w:hint="eastAsia" w:ascii="宋体" w:hAnsi="宋体" w:eastAsia="宋体" w:cs="宋体"/>
          <w:color w:val="auto"/>
          <w:sz w:val="21"/>
          <w:szCs w:val="21"/>
          <w:highlight w:val="none"/>
          <w:lang w:eastAsia="zh-CN"/>
        </w:rPr>
        <w:t>供应商</w:t>
      </w:r>
      <w:r>
        <w:rPr>
          <w:rFonts w:hint="eastAsia" w:ascii="宋体" w:hAnsi="宋体" w:eastAsia="宋体" w:cs="宋体"/>
          <w:color w:val="auto"/>
          <w:sz w:val="21"/>
          <w:szCs w:val="21"/>
          <w:highlight w:val="none"/>
        </w:rPr>
        <w:t>须制定详细的</w:t>
      </w:r>
      <w:r>
        <w:rPr>
          <w:rFonts w:hint="eastAsia" w:ascii="宋体" w:hAnsi="宋体" w:eastAsia="宋体" w:cs="宋体"/>
          <w:color w:val="auto"/>
          <w:sz w:val="21"/>
          <w:szCs w:val="21"/>
          <w:highlight w:val="none"/>
          <w:lang w:val="en-US" w:eastAsia="zh-CN"/>
        </w:rPr>
        <w:t>保安</w:t>
      </w:r>
      <w:r>
        <w:rPr>
          <w:rFonts w:hint="eastAsia" w:ascii="宋体" w:hAnsi="宋体" w:eastAsia="宋体" w:cs="宋体"/>
          <w:color w:val="auto"/>
          <w:sz w:val="21"/>
          <w:szCs w:val="21"/>
          <w:highlight w:val="none"/>
        </w:rPr>
        <w:t>服务方案，须明确各岗位人员配置、工作内容、职责和标准（包括具体负责区域、</w:t>
      </w:r>
      <w:r>
        <w:rPr>
          <w:rFonts w:hint="eastAsia" w:ascii="宋体" w:hAnsi="宋体" w:eastAsia="宋体" w:cs="宋体"/>
          <w:color w:val="auto"/>
          <w:sz w:val="21"/>
          <w:szCs w:val="21"/>
          <w:highlight w:val="none"/>
          <w:lang w:val="en-US" w:eastAsia="zh-CN"/>
        </w:rPr>
        <w:t>职责</w:t>
      </w:r>
      <w:r>
        <w:rPr>
          <w:rFonts w:hint="eastAsia" w:ascii="宋体" w:hAnsi="宋体" w:eastAsia="宋体" w:cs="宋体"/>
          <w:color w:val="auto"/>
          <w:sz w:val="21"/>
          <w:szCs w:val="21"/>
          <w:highlight w:val="none"/>
        </w:rPr>
        <w:t>内容、检查频率和作业标准，以及所要达到的效果，制定突发事件的应急预案，并将上述方案在</w:t>
      </w:r>
      <w:r>
        <w:rPr>
          <w:rFonts w:hint="eastAsia" w:ascii="宋体" w:hAnsi="宋体" w:eastAsia="宋体" w:cs="宋体"/>
          <w:color w:val="auto"/>
          <w:sz w:val="21"/>
          <w:szCs w:val="21"/>
          <w:highlight w:val="none"/>
          <w:lang w:val="en-US" w:eastAsia="zh-CN"/>
        </w:rPr>
        <w:t>校内</w:t>
      </w:r>
      <w:r>
        <w:rPr>
          <w:rFonts w:hint="eastAsia" w:ascii="宋体" w:hAnsi="宋体" w:eastAsia="宋体" w:cs="宋体"/>
          <w:color w:val="auto"/>
          <w:sz w:val="21"/>
          <w:szCs w:val="21"/>
          <w:highlight w:val="none"/>
        </w:rPr>
        <w:t>醒目位置予以公示）。</w:t>
      </w:r>
    </w:p>
    <w:p w14:paraId="38D0CDE1">
      <w:pPr>
        <w:spacing w:line="360" w:lineRule="auto"/>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人员要求</w:t>
      </w:r>
    </w:p>
    <w:p w14:paraId="2816871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（1）保安</w:t>
      </w:r>
      <w:r>
        <w:rPr>
          <w:rFonts w:hint="eastAsia" w:ascii="宋体" w:hAnsi="宋体" w:eastAsia="宋体" w:cs="宋体"/>
          <w:color w:val="auto"/>
          <w:sz w:val="21"/>
          <w:szCs w:val="21"/>
          <w:highlight w:val="none"/>
        </w:rPr>
        <w:t>公司聘用的所有工作人员</w:t>
      </w:r>
      <w:r>
        <w:rPr>
          <w:rFonts w:hint="eastAsia" w:ascii="宋体" w:hAnsi="宋体" w:eastAsia="宋体" w:cs="宋体"/>
          <w:color w:val="auto"/>
          <w:sz w:val="21"/>
          <w:szCs w:val="21"/>
          <w:highlight w:val="none"/>
          <w:lang w:val="en-US" w:eastAsia="zh-CN"/>
        </w:rPr>
        <w:t>全员具备</w:t>
      </w:r>
      <w:r>
        <w:rPr>
          <w:rFonts w:hint="eastAsia" w:ascii="宋体" w:hAnsi="宋体" w:eastAsia="宋体" w:cs="宋体"/>
          <w:sz w:val="21"/>
          <w:szCs w:val="21"/>
          <w:highlight w:val="none"/>
          <w:lang w:val="en-US" w:eastAsia="zh-CN"/>
        </w:rPr>
        <w:t>职业资格证书（保安员）或公安机关盖章的保安员证、有效期内全时段</w:t>
      </w:r>
      <w:r>
        <w:rPr>
          <w:rFonts w:hint="eastAsia" w:ascii="宋体" w:hAnsi="宋体" w:eastAsia="宋体" w:cs="宋体"/>
          <w:color w:val="auto"/>
          <w:sz w:val="21"/>
          <w:szCs w:val="21"/>
          <w:highlight w:val="none"/>
          <w:lang w:val="en-US" w:eastAsia="zh-CN"/>
        </w:rPr>
        <w:t>《无犯罪记录证明》</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经过所从事行业的专业和</w:t>
      </w:r>
      <w:r>
        <w:rPr>
          <w:rFonts w:hint="eastAsia" w:ascii="宋体" w:hAnsi="宋体" w:eastAsia="宋体" w:cs="宋体"/>
          <w:color w:val="auto"/>
          <w:sz w:val="21"/>
          <w:szCs w:val="21"/>
          <w:highlight w:val="none"/>
          <w:lang w:val="en-US" w:eastAsia="zh-CN"/>
        </w:rPr>
        <w:t>相关</w:t>
      </w:r>
      <w:r>
        <w:rPr>
          <w:rFonts w:hint="eastAsia" w:ascii="宋体" w:hAnsi="宋体" w:eastAsia="宋体" w:cs="宋体"/>
          <w:color w:val="auto"/>
          <w:sz w:val="21"/>
          <w:szCs w:val="21"/>
          <w:highlight w:val="none"/>
        </w:rPr>
        <w:t>培训。</w:t>
      </w:r>
    </w:p>
    <w:p w14:paraId="6DB3ABE7">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所有</w:t>
      </w:r>
      <w:r>
        <w:rPr>
          <w:rFonts w:hint="eastAsia" w:ascii="宋体" w:hAnsi="宋体" w:eastAsia="宋体" w:cs="宋体"/>
          <w:color w:val="auto"/>
          <w:sz w:val="21"/>
          <w:szCs w:val="21"/>
          <w:highlight w:val="none"/>
          <w:lang w:val="en-US" w:eastAsia="zh-CN"/>
        </w:rPr>
        <w:t>保安</w:t>
      </w:r>
      <w:r>
        <w:rPr>
          <w:rFonts w:hint="eastAsia" w:ascii="宋体" w:hAnsi="宋体" w:eastAsia="宋体" w:cs="宋体"/>
          <w:color w:val="auto"/>
          <w:sz w:val="21"/>
          <w:szCs w:val="21"/>
          <w:highlight w:val="none"/>
        </w:rPr>
        <w:t>工作人员，需统一着装，干净整洁，不得歪戴帽子，不得卷袖子和裤腿，不得着装不整，仪容仪表和工作姿态要符合专业要求。</w:t>
      </w:r>
    </w:p>
    <w:p w14:paraId="1E838C0D">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男性工作人员不蓄长发。</w:t>
      </w:r>
    </w:p>
    <w:p w14:paraId="31645BC9">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在工作区域内举止端庄、谈吐文雅，不得大声喧哗。</w:t>
      </w:r>
    </w:p>
    <w:p w14:paraId="16014E08">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所有</w:t>
      </w:r>
      <w:r>
        <w:rPr>
          <w:rFonts w:hint="eastAsia" w:ascii="宋体" w:hAnsi="宋体" w:eastAsia="宋体" w:cs="宋体"/>
          <w:color w:val="auto"/>
          <w:sz w:val="21"/>
          <w:szCs w:val="21"/>
          <w:highlight w:val="none"/>
          <w:lang w:val="en-US" w:eastAsia="zh-CN"/>
        </w:rPr>
        <w:t>保安用</w:t>
      </w:r>
      <w:r>
        <w:rPr>
          <w:rFonts w:hint="eastAsia" w:ascii="宋体" w:hAnsi="宋体" w:eastAsia="宋体" w:cs="宋体"/>
          <w:color w:val="auto"/>
          <w:sz w:val="21"/>
          <w:szCs w:val="21"/>
          <w:highlight w:val="none"/>
        </w:rPr>
        <w:t>具应统一</w:t>
      </w:r>
      <w:r>
        <w:rPr>
          <w:rFonts w:hint="eastAsia" w:ascii="宋体" w:hAnsi="宋体" w:eastAsia="宋体" w:cs="宋体"/>
          <w:color w:val="auto"/>
          <w:sz w:val="21"/>
          <w:szCs w:val="21"/>
          <w:highlight w:val="none"/>
          <w:lang w:val="en-US" w:eastAsia="zh-CN"/>
        </w:rPr>
        <w:t>按相关要求摆放</w:t>
      </w:r>
      <w:r>
        <w:rPr>
          <w:rFonts w:hint="eastAsia" w:ascii="宋体" w:hAnsi="宋体" w:eastAsia="宋体" w:cs="宋体"/>
          <w:color w:val="auto"/>
          <w:sz w:val="21"/>
          <w:szCs w:val="21"/>
          <w:highlight w:val="none"/>
        </w:rPr>
        <w:t>，不得随意放置在其他地方。</w:t>
      </w:r>
    </w:p>
    <w:p w14:paraId="18AEB7EB">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（6）保安</w:t>
      </w:r>
      <w:r>
        <w:rPr>
          <w:rFonts w:hint="eastAsia" w:ascii="宋体" w:hAnsi="宋体" w:eastAsia="宋体" w:cs="宋体"/>
          <w:color w:val="auto"/>
          <w:sz w:val="21"/>
          <w:szCs w:val="21"/>
          <w:highlight w:val="none"/>
        </w:rPr>
        <w:t>所有工作人员应在指定的房间休息，不得在工作区域逗留和休息。</w:t>
      </w:r>
    </w:p>
    <w:p w14:paraId="0EE2FFF2">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（7）保安</w:t>
      </w:r>
      <w:r>
        <w:rPr>
          <w:rFonts w:hint="eastAsia" w:ascii="宋体" w:hAnsi="宋体" w:eastAsia="宋体" w:cs="宋体"/>
          <w:color w:val="auto"/>
          <w:sz w:val="21"/>
          <w:szCs w:val="21"/>
          <w:highlight w:val="none"/>
        </w:rPr>
        <w:t>工作人员要礼貌待人，不得以任何理由与其发生口角或做出超越职权的行为。</w:t>
      </w:r>
    </w:p>
    <w:p w14:paraId="77A24AE4">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所有工作人员身体健康，能胜任工作要求。</w:t>
      </w:r>
    </w:p>
    <w:p w14:paraId="5C6A568D">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color w:val="auto"/>
          <w:highlight w:val="none"/>
          <w:lang w:val="en-US" w:eastAsia="zh-CN"/>
        </w:rPr>
        <w:t>所有工作人员</w:t>
      </w:r>
      <w:r>
        <w:rPr>
          <w:rFonts w:hint="eastAsia" w:ascii="宋体" w:hAnsi="宋体" w:eastAsia="宋体" w:cs="宋体"/>
          <w:color w:val="auto"/>
          <w:sz w:val="21"/>
          <w:szCs w:val="21"/>
          <w:highlight w:val="none"/>
        </w:rPr>
        <w:t>必须工作认真负责、思想素质高、应变能力强，具备处理紧急情况的能力与素质。不得脱岗睡觉，不得饮酒上班。</w:t>
      </w:r>
    </w:p>
    <w:p w14:paraId="390BF054">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配备必要的通讯器材，保证各岗位间联系。</w:t>
      </w:r>
    </w:p>
    <w:p w14:paraId="514BDA54">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3.保安</w:t>
      </w:r>
      <w:r>
        <w:rPr>
          <w:rFonts w:hint="eastAsia" w:ascii="宋体" w:hAnsi="宋体" w:eastAsia="宋体" w:cs="宋体"/>
          <w:color w:val="auto"/>
          <w:sz w:val="21"/>
          <w:szCs w:val="21"/>
          <w:highlight w:val="none"/>
        </w:rPr>
        <w:t>服务要求</w:t>
      </w:r>
    </w:p>
    <w:p w14:paraId="58E8668D">
      <w:pPr>
        <w:pStyle w:val="6"/>
        <w:keepNext w:val="0"/>
        <w:keepLines w:val="0"/>
        <w:widowControl w:val="0"/>
        <w:suppressLineNumbers w:val="0"/>
        <w:spacing w:before="0" w:beforeAutospacing="0" w:after="0" w:afterAutospacing="0" w:line="510" w:lineRule="exact"/>
        <w:ind w:left="0" w:right="0"/>
        <w:jc w:val="left"/>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（1）日班秩序维护人员的服务内容及要求</w:t>
      </w:r>
    </w:p>
    <w:tbl>
      <w:tblPr>
        <w:tblStyle w:val="8"/>
        <w:tblW w:w="94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 w:type="dxa"/>
          <w:bottom w:w="0" w:type="dxa"/>
          <w:right w:w="10" w:type="dxa"/>
        </w:tblCellMar>
      </w:tblPr>
      <w:tblGrid>
        <w:gridCol w:w="714"/>
        <w:gridCol w:w="794"/>
        <w:gridCol w:w="3277"/>
        <w:gridCol w:w="4659"/>
      </w:tblGrid>
      <w:tr w14:paraId="68B64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726" w:hRule="atLeast"/>
          <w:jc w:val="center"/>
        </w:trPr>
        <w:tc>
          <w:tcPr>
            <w:tcW w:w="714" w:type="dxa"/>
            <w:tcBorders>
              <w:top w:val="single" w:color="000000" w:sz="4" w:space="0"/>
              <w:left w:val="single" w:color="000000" w:sz="4" w:space="0"/>
              <w:bottom w:val="single" w:color="000000" w:sz="4" w:space="0"/>
              <w:right w:val="single" w:color="000000" w:sz="4" w:space="0"/>
            </w:tcBorders>
            <w:noWrap w:val="0"/>
            <w:tcMar>
              <w:left w:w="108" w:type="dxa"/>
              <w:right w:w="108" w:type="dxa"/>
            </w:tcMar>
            <w:vAlign w:val="center"/>
          </w:tcPr>
          <w:p w14:paraId="50D5DB7D">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序号</w:t>
            </w:r>
          </w:p>
        </w:tc>
        <w:tc>
          <w:tcPr>
            <w:tcW w:w="794"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4A4B0722">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项目</w:t>
            </w:r>
          </w:p>
        </w:tc>
        <w:tc>
          <w:tcPr>
            <w:tcW w:w="3277"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4489CAEE">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工作内容</w:t>
            </w:r>
          </w:p>
        </w:tc>
        <w:tc>
          <w:tcPr>
            <w:tcW w:w="4659"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19B28DDF">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工作标准</w:t>
            </w:r>
          </w:p>
        </w:tc>
      </w:tr>
      <w:tr w14:paraId="1C666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9" w:hRule="atLeast"/>
          <w:jc w:val="center"/>
        </w:trPr>
        <w:tc>
          <w:tcPr>
            <w:tcW w:w="714" w:type="dxa"/>
            <w:vMerge w:val="restart"/>
            <w:tcBorders>
              <w:top w:val="nil"/>
              <w:left w:val="single" w:color="000000" w:sz="4" w:space="0"/>
              <w:bottom w:val="single" w:color="000000" w:sz="4" w:space="0"/>
              <w:right w:val="single" w:color="000000" w:sz="4" w:space="0"/>
            </w:tcBorders>
            <w:noWrap w:val="0"/>
            <w:tcMar>
              <w:left w:w="108" w:type="dxa"/>
              <w:right w:w="108" w:type="dxa"/>
            </w:tcMar>
            <w:vAlign w:val="center"/>
          </w:tcPr>
          <w:p w14:paraId="3B677167">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1</w:t>
            </w:r>
          </w:p>
        </w:tc>
        <w:tc>
          <w:tcPr>
            <w:tcW w:w="794" w:type="dxa"/>
            <w:vMerge w:val="restart"/>
            <w:tcBorders>
              <w:top w:val="nil"/>
              <w:left w:val="nil"/>
              <w:bottom w:val="single" w:color="000000" w:sz="4" w:space="0"/>
              <w:right w:val="single" w:color="000000" w:sz="4" w:space="0"/>
            </w:tcBorders>
            <w:noWrap w:val="0"/>
            <w:tcMar>
              <w:left w:w="108" w:type="dxa"/>
              <w:right w:w="108" w:type="dxa"/>
            </w:tcMar>
            <w:vAlign w:val="center"/>
          </w:tcPr>
          <w:p w14:paraId="6B4C795F">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校门值守管理</w:t>
            </w:r>
          </w:p>
        </w:tc>
        <w:tc>
          <w:tcPr>
            <w:tcW w:w="3277"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3D909925">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三个校区校门口值守、护导服务（学生到校上课日期早7:00至晚5：30，寒暑假周一至周五早7:00至晚5：30，工作日双岗值班，周末、法定节假日、寒暑假单岗值班。）</w:t>
            </w:r>
          </w:p>
        </w:tc>
        <w:tc>
          <w:tcPr>
            <w:tcW w:w="4659"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4A2C936D">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校门门岗值守，定点立岗，文明服务，来访人员出入登记</w:t>
            </w:r>
          </w:p>
        </w:tc>
      </w:tr>
      <w:tr w14:paraId="5D3E9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00" w:hRule="atLeast"/>
          <w:jc w:val="center"/>
        </w:trPr>
        <w:tc>
          <w:tcPr>
            <w:tcW w:w="714"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72C02B7D">
            <w:pPr>
              <w:rPr>
                <w:rFonts w:hint="eastAsia" w:ascii="宋体" w:hAnsi="宋体" w:eastAsia="宋体" w:cs="宋体"/>
                <w:color w:val="auto"/>
                <w:sz w:val="21"/>
                <w:szCs w:val="21"/>
                <w:highlight w:val="none"/>
              </w:rPr>
            </w:pPr>
          </w:p>
        </w:tc>
        <w:tc>
          <w:tcPr>
            <w:tcW w:w="794" w:type="dxa"/>
            <w:vMerge w:val="continue"/>
            <w:tcBorders>
              <w:top w:val="nil"/>
              <w:left w:val="nil"/>
              <w:bottom w:val="single" w:color="000000" w:sz="4" w:space="0"/>
              <w:right w:val="single" w:color="000000" w:sz="4" w:space="0"/>
            </w:tcBorders>
            <w:noWrap w:val="0"/>
            <w:tcMar>
              <w:left w:w="108" w:type="dxa"/>
              <w:right w:w="108" w:type="dxa"/>
            </w:tcMar>
            <w:vAlign w:val="center"/>
          </w:tcPr>
          <w:p w14:paraId="7C744C8F">
            <w:pPr>
              <w:rPr>
                <w:rFonts w:hint="eastAsia" w:ascii="宋体" w:hAnsi="宋体" w:eastAsia="宋体" w:cs="宋体"/>
                <w:color w:val="auto"/>
                <w:sz w:val="21"/>
                <w:szCs w:val="21"/>
                <w:highlight w:val="none"/>
              </w:rPr>
            </w:pPr>
          </w:p>
        </w:tc>
        <w:tc>
          <w:tcPr>
            <w:tcW w:w="3277"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20BEF8A2">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车辆、物品出入审批确认</w:t>
            </w:r>
          </w:p>
        </w:tc>
        <w:tc>
          <w:tcPr>
            <w:tcW w:w="4659"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7F5D0322">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（1）大件物品出入时要有指定部门的放行出入条，确认率100%，控制危险品进入管理区域；</w:t>
            </w:r>
          </w:p>
          <w:p w14:paraId="2D06CE7E">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（2）对进出管理区域的车辆进行验证、登记、放行和引导车辆有序进出，未经项目现场同意，禁止外单位车辆进入本校区；</w:t>
            </w:r>
          </w:p>
          <w:p w14:paraId="5B7DADD4">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（3）及时按位引导车辆，不能占用消防通道，正确处理不合理停车和违章停车现象，禁止外来车辆在校区停留。</w:t>
            </w:r>
          </w:p>
        </w:tc>
      </w:tr>
      <w:tr w14:paraId="4F5E4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6" w:hRule="atLeast"/>
          <w:jc w:val="center"/>
        </w:trPr>
        <w:tc>
          <w:tcPr>
            <w:tcW w:w="714"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13821527">
            <w:pPr>
              <w:rPr>
                <w:rFonts w:hint="eastAsia" w:ascii="宋体" w:hAnsi="宋体" w:eastAsia="宋体" w:cs="宋体"/>
                <w:color w:val="auto"/>
                <w:sz w:val="21"/>
                <w:szCs w:val="21"/>
                <w:highlight w:val="none"/>
              </w:rPr>
            </w:pPr>
          </w:p>
        </w:tc>
        <w:tc>
          <w:tcPr>
            <w:tcW w:w="794" w:type="dxa"/>
            <w:vMerge w:val="continue"/>
            <w:tcBorders>
              <w:top w:val="nil"/>
              <w:left w:val="nil"/>
              <w:bottom w:val="single" w:color="000000" w:sz="4" w:space="0"/>
              <w:right w:val="single" w:color="000000" w:sz="4" w:space="0"/>
            </w:tcBorders>
            <w:noWrap w:val="0"/>
            <w:tcMar>
              <w:left w:w="108" w:type="dxa"/>
              <w:right w:w="108" w:type="dxa"/>
            </w:tcMar>
            <w:vAlign w:val="center"/>
          </w:tcPr>
          <w:p w14:paraId="744E21F8">
            <w:pPr>
              <w:rPr>
                <w:rFonts w:hint="eastAsia" w:ascii="宋体" w:hAnsi="宋体" w:eastAsia="宋体" w:cs="宋体"/>
                <w:color w:val="auto"/>
                <w:sz w:val="21"/>
                <w:szCs w:val="21"/>
                <w:highlight w:val="none"/>
              </w:rPr>
            </w:pPr>
          </w:p>
        </w:tc>
        <w:tc>
          <w:tcPr>
            <w:tcW w:w="3277"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2BB6D466">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公共区域钥匙管理</w:t>
            </w:r>
          </w:p>
        </w:tc>
        <w:tc>
          <w:tcPr>
            <w:tcW w:w="4659"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4B1B82C0">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无丢失、无差错，记录详细、准确</w:t>
            </w:r>
          </w:p>
        </w:tc>
      </w:tr>
      <w:tr w14:paraId="4BF46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704" w:hRule="atLeast"/>
          <w:jc w:val="center"/>
        </w:trPr>
        <w:tc>
          <w:tcPr>
            <w:tcW w:w="714" w:type="dxa"/>
            <w:vMerge w:val="restart"/>
            <w:tcBorders>
              <w:top w:val="nil"/>
              <w:left w:val="single" w:color="000000" w:sz="4" w:space="0"/>
              <w:bottom w:val="single" w:color="000000" w:sz="4" w:space="0"/>
              <w:right w:val="single" w:color="000000" w:sz="4" w:space="0"/>
            </w:tcBorders>
            <w:noWrap w:val="0"/>
            <w:tcMar>
              <w:left w:w="108" w:type="dxa"/>
              <w:right w:w="108" w:type="dxa"/>
            </w:tcMar>
            <w:vAlign w:val="center"/>
          </w:tcPr>
          <w:p w14:paraId="08079F4F">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2</w:t>
            </w:r>
          </w:p>
        </w:tc>
        <w:tc>
          <w:tcPr>
            <w:tcW w:w="794" w:type="dxa"/>
            <w:vMerge w:val="restart"/>
            <w:tcBorders>
              <w:top w:val="nil"/>
              <w:left w:val="nil"/>
              <w:bottom w:val="single" w:color="000000" w:sz="4" w:space="0"/>
              <w:right w:val="single" w:color="000000" w:sz="4" w:space="0"/>
            </w:tcBorders>
            <w:noWrap w:val="0"/>
            <w:tcMar>
              <w:left w:w="108" w:type="dxa"/>
              <w:right w:w="108" w:type="dxa"/>
            </w:tcMar>
            <w:vAlign w:val="center"/>
          </w:tcPr>
          <w:p w14:paraId="4396AC34">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教学楼及全院</w:t>
            </w:r>
          </w:p>
        </w:tc>
        <w:tc>
          <w:tcPr>
            <w:tcW w:w="3277"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5442516D">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公共区域重点部位日常安全巡视，并做好登记</w:t>
            </w:r>
          </w:p>
        </w:tc>
        <w:tc>
          <w:tcPr>
            <w:tcW w:w="4659" w:type="dxa"/>
            <w:vMerge w:val="restart"/>
            <w:tcBorders>
              <w:top w:val="nil"/>
              <w:left w:val="nil"/>
              <w:bottom w:val="single" w:color="000000" w:sz="4" w:space="0"/>
              <w:right w:val="single" w:color="000000" w:sz="4" w:space="0"/>
            </w:tcBorders>
            <w:noWrap w:val="0"/>
            <w:tcMar>
              <w:left w:w="108" w:type="dxa"/>
              <w:right w:w="108" w:type="dxa"/>
            </w:tcMar>
            <w:vAlign w:val="center"/>
          </w:tcPr>
          <w:p w14:paraId="5E8766F6">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（1）秩序维护人员在执勤中做到文明礼貌，训练有素，言行规范，认真负责，维护好该项目的秩序；巡逻频次不少于2小时1次，重点部位每小时巡逻1次；</w:t>
            </w:r>
          </w:p>
          <w:p w14:paraId="6A772248">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（2）检查治安、防火、防盗、水浸等情况，发现问题，发现问题和隐患及时报告，突发事件10分钟内到达现场。</w:t>
            </w:r>
          </w:p>
          <w:p w14:paraId="0C96D436">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（3）坚守岗位，尽职尽责，不得脱岗、替岗、睡岗，严禁值班前饮酒或在值班时饮酒。</w:t>
            </w:r>
          </w:p>
        </w:tc>
      </w:tr>
      <w:tr w14:paraId="0607F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770" w:hRule="atLeast"/>
          <w:jc w:val="center"/>
        </w:trPr>
        <w:tc>
          <w:tcPr>
            <w:tcW w:w="714"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68F15428">
            <w:pPr>
              <w:rPr>
                <w:rFonts w:hint="eastAsia" w:ascii="宋体" w:hAnsi="宋体" w:eastAsia="宋体" w:cs="宋体"/>
                <w:color w:val="auto"/>
                <w:sz w:val="21"/>
                <w:szCs w:val="21"/>
                <w:highlight w:val="none"/>
              </w:rPr>
            </w:pPr>
          </w:p>
        </w:tc>
        <w:tc>
          <w:tcPr>
            <w:tcW w:w="794" w:type="dxa"/>
            <w:vMerge w:val="continue"/>
            <w:tcBorders>
              <w:top w:val="nil"/>
              <w:left w:val="nil"/>
              <w:bottom w:val="single" w:color="000000" w:sz="4" w:space="0"/>
              <w:right w:val="single" w:color="000000" w:sz="4" w:space="0"/>
            </w:tcBorders>
            <w:noWrap w:val="0"/>
            <w:tcMar>
              <w:left w:w="108" w:type="dxa"/>
              <w:right w:w="108" w:type="dxa"/>
            </w:tcMar>
            <w:vAlign w:val="center"/>
          </w:tcPr>
          <w:p w14:paraId="733B97DA">
            <w:pPr>
              <w:rPr>
                <w:rFonts w:hint="eastAsia" w:ascii="宋体" w:hAnsi="宋体" w:eastAsia="宋体" w:cs="宋体"/>
                <w:color w:val="auto"/>
                <w:sz w:val="21"/>
                <w:szCs w:val="21"/>
                <w:highlight w:val="none"/>
              </w:rPr>
            </w:pPr>
          </w:p>
        </w:tc>
        <w:tc>
          <w:tcPr>
            <w:tcW w:w="3277"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01EAEC4A">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记录消防器材维护检查工作</w:t>
            </w:r>
          </w:p>
        </w:tc>
        <w:tc>
          <w:tcPr>
            <w:tcW w:w="4659" w:type="dxa"/>
            <w:vMerge w:val="continue"/>
            <w:tcBorders>
              <w:top w:val="nil"/>
              <w:left w:val="nil"/>
              <w:bottom w:val="single" w:color="000000" w:sz="4" w:space="0"/>
              <w:right w:val="single" w:color="000000" w:sz="4" w:space="0"/>
            </w:tcBorders>
            <w:noWrap w:val="0"/>
            <w:tcMar>
              <w:left w:w="108" w:type="dxa"/>
              <w:right w:w="108" w:type="dxa"/>
            </w:tcMar>
            <w:vAlign w:val="center"/>
          </w:tcPr>
          <w:p w14:paraId="5E921D70">
            <w:pPr>
              <w:rPr>
                <w:rFonts w:hint="eastAsia" w:ascii="宋体" w:hAnsi="宋体" w:eastAsia="宋体" w:cs="宋体"/>
                <w:color w:val="auto"/>
                <w:sz w:val="21"/>
                <w:szCs w:val="21"/>
                <w:highlight w:val="none"/>
              </w:rPr>
            </w:pPr>
          </w:p>
        </w:tc>
      </w:tr>
      <w:tr w14:paraId="6FF05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71" w:hRule="atLeast"/>
          <w:jc w:val="center"/>
        </w:trPr>
        <w:tc>
          <w:tcPr>
            <w:tcW w:w="714"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0F220DB1">
            <w:pPr>
              <w:rPr>
                <w:rFonts w:hint="eastAsia" w:ascii="宋体" w:hAnsi="宋体" w:eastAsia="宋体" w:cs="宋体"/>
                <w:color w:val="auto"/>
                <w:sz w:val="21"/>
                <w:szCs w:val="21"/>
                <w:highlight w:val="none"/>
              </w:rPr>
            </w:pPr>
          </w:p>
        </w:tc>
        <w:tc>
          <w:tcPr>
            <w:tcW w:w="794" w:type="dxa"/>
            <w:vMerge w:val="continue"/>
            <w:tcBorders>
              <w:top w:val="nil"/>
              <w:left w:val="nil"/>
              <w:bottom w:val="single" w:color="000000" w:sz="4" w:space="0"/>
              <w:right w:val="single" w:color="000000" w:sz="4" w:space="0"/>
            </w:tcBorders>
            <w:noWrap w:val="0"/>
            <w:tcMar>
              <w:left w:w="108" w:type="dxa"/>
              <w:right w:w="108" w:type="dxa"/>
            </w:tcMar>
            <w:vAlign w:val="center"/>
          </w:tcPr>
          <w:p w14:paraId="7586BB57">
            <w:pPr>
              <w:rPr>
                <w:rFonts w:hint="eastAsia" w:ascii="宋体" w:hAnsi="宋体" w:eastAsia="宋体" w:cs="宋体"/>
                <w:color w:val="auto"/>
                <w:sz w:val="21"/>
                <w:szCs w:val="21"/>
                <w:highlight w:val="none"/>
              </w:rPr>
            </w:pPr>
          </w:p>
        </w:tc>
        <w:tc>
          <w:tcPr>
            <w:tcW w:w="3277"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68BB8E43">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在管辖区域内巡视，发现有可疑人员，应前往询问、核查</w:t>
            </w:r>
          </w:p>
        </w:tc>
        <w:tc>
          <w:tcPr>
            <w:tcW w:w="4659" w:type="dxa"/>
            <w:vMerge w:val="continue"/>
            <w:tcBorders>
              <w:top w:val="nil"/>
              <w:left w:val="nil"/>
              <w:bottom w:val="single" w:color="000000" w:sz="4" w:space="0"/>
              <w:right w:val="single" w:color="000000" w:sz="4" w:space="0"/>
            </w:tcBorders>
            <w:noWrap w:val="0"/>
            <w:tcMar>
              <w:left w:w="108" w:type="dxa"/>
              <w:right w:w="108" w:type="dxa"/>
            </w:tcMar>
            <w:vAlign w:val="center"/>
          </w:tcPr>
          <w:p w14:paraId="0801E74A">
            <w:pPr>
              <w:rPr>
                <w:rFonts w:hint="eastAsia" w:ascii="宋体" w:hAnsi="宋体" w:eastAsia="宋体" w:cs="宋体"/>
                <w:color w:val="auto"/>
                <w:sz w:val="21"/>
                <w:szCs w:val="21"/>
                <w:highlight w:val="none"/>
              </w:rPr>
            </w:pPr>
          </w:p>
        </w:tc>
      </w:tr>
      <w:tr w14:paraId="77267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8" w:hRule="atLeast"/>
          <w:jc w:val="center"/>
        </w:trPr>
        <w:tc>
          <w:tcPr>
            <w:tcW w:w="714"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5852F2AA">
            <w:pPr>
              <w:rPr>
                <w:rFonts w:hint="eastAsia" w:ascii="宋体" w:hAnsi="宋体" w:eastAsia="宋体" w:cs="宋体"/>
                <w:color w:val="auto"/>
                <w:sz w:val="21"/>
                <w:szCs w:val="21"/>
                <w:highlight w:val="none"/>
              </w:rPr>
            </w:pPr>
          </w:p>
        </w:tc>
        <w:tc>
          <w:tcPr>
            <w:tcW w:w="794" w:type="dxa"/>
            <w:vMerge w:val="continue"/>
            <w:tcBorders>
              <w:top w:val="nil"/>
              <w:left w:val="nil"/>
              <w:bottom w:val="single" w:color="000000" w:sz="4" w:space="0"/>
              <w:right w:val="single" w:color="000000" w:sz="4" w:space="0"/>
            </w:tcBorders>
            <w:noWrap w:val="0"/>
            <w:tcMar>
              <w:left w:w="108" w:type="dxa"/>
              <w:right w:w="108" w:type="dxa"/>
            </w:tcMar>
            <w:vAlign w:val="center"/>
          </w:tcPr>
          <w:p w14:paraId="3A8E4BBE">
            <w:pPr>
              <w:rPr>
                <w:rFonts w:hint="eastAsia" w:ascii="宋体" w:hAnsi="宋体" w:eastAsia="宋体" w:cs="宋体"/>
                <w:color w:val="auto"/>
                <w:sz w:val="21"/>
                <w:szCs w:val="21"/>
                <w:highlight w:val="none"/>
              </w:rPr>
            </w:pPr>
          </w:p>
        </w:tc>
        <w:tc>
          <w:tcPr>
            <w:tcW w:w="3277"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41E1A6F3">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接受各岗的报告，协助处理各种突发情况</w:t>
            </w:r>
          </w:p>
        </w:tc>
        <w:tc>
          <w:tcPr>
            <w:tcW w:w="4659" w:type="dxa"/>
            <w:vMerge w:val="continue"/>
            <w:tcBorders>
              <w:top w:val="nil"/>
              <w:left w:val="nil"/>
              <w:bottom w:val="single" w:color="000000" w:sz="4" w:space="0"/>
              <w:right w:val="single" w:color="000000" w:sz="4" w:space="0"/>
            </w:tcBorders>
            <w:noWrap w:val="0"/>
            <w:tcMar>
              <w:left w:w="108" w:type="dxa"/>
              <w:right w:w="108" w:type="dxa"/>
            </w:tcMar>
            <w:vAlign w:val="center"/>
          </w:tcPr>
          <w:p w14:paraId="463E0BBB">
            <w:pPr>
              <w:rPr>
                <w:rFonts w:hint="eastAsia" w:ascii="宋体" w:hAnsi="宋体" w:eastAsia="宋体" w:cs="宋体"/>
                <w:color w:val="auto"/>
                <w:sz w:val="21"/>
                <w:szCs w:val="21"/>
                <w:highlight w:val="none"/>
              </w:rPr>
            </w:pPr>
          </w:p>
        </w:tc>
      </w:tr>
    </w:tbl>
    <w:p w14:paraId="1EF8339A">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（2）夜班秩序维护人员的服务内容及要求：</w:t>
      </w:r>
    </w:p>
    <w:tbl>
      <w:tblPr>
        <w:tblStyle w:val="8"/>
        <w:tblW w:w="933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 w:type="dxa"/>
          <w:bottom w:w="0" w:type="dxa"/>
          <w:right w:w="10" w:type="dxa"/>
        </w:tblCellMar>
      </w:tblPr>
      <w:tblGrid>
        <w:gridCol w:w="705"/>
        <w:gridCol w:w="748"/>
        <w:gridCol w:w="2992"/>
        <w:gridCol w:w="4886"/>
      </w:tblGrid>
      <w:tr w14:paraId="47582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726" w:hRule="atLeast"/>
          <w:jc w:val="center"/>
        </w:trPr>
        <w:tc>
          <w:tcPr>
            <w:tcW w:w="705" w:type="dxa"/>
            <w:tcBorders>
              <w:top w:val="single" w:color="000000" w:sz="4" w:space="0"/>
              <w:left w:val="single" w:color="000000" w:sz="4" w:space="0"/>
              <w:bottom w:val="single" w:color="000000" w:sz="4" w:space="0"/>
              <w:right w:val="single" w:color="000000" w:sz="4" w:space="0"/>
            </w:tcBorders>
            <w:noWrap w:val="0"/>
            <w:tcMar>
              <w:left w:w="108" w:type="dxa"/>
              <w:right w:w="108" w:type="dxa"/>
            </w:tcMar>
            <w:vAlign w:val="center"/>
          </w:tcPr>
          <w:p w14:paraId="68F7CE2A">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序号</w:t>
            </w:r>
          </w:p>
        </w:tc>
        <w:tc>
          <w:tcPr>
            <w:tcW w:w="748"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33AFB6A3">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项目</w:t>
            </w:r>
          </w:p>
        </w:tc>
        <w:tc>
          <w:tcPr>
            <w:tcW w:w="2992"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5506F412">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工作内容</w:t>
            </w:r>
          </w:p>
        </w:tc>
        <w:tc>
          <w:tcPr>
            <w:tcW w:w="4886"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02F007CF">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工作标准</w:t>
            </w:r>
          </w:p>
        </w:tc>
      </w:tr>
      <w:tr w14:paraId="32CA1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9" w:hRule="atLeast"/>
          <w:jc w:val="center"/>
        </w:trPr>
        <w:tc>
          <w:tcPr>
            <w:tcW w:w="705" w:type="dxa"/>
            <w:vMerge w:val="restart"/>
            <w:tcBorders>
              <w:top w:val="nil"/>
              <w:left w:val="single" w:color="000000" w:sz="4" w:space="0"/>
              <w:bottom w:val="single" w:color="000000" w:sz="4" w:space="0"/>
              <w:right w:val="single" w:color="000000" w:sz="4" w:space="0"/>
            </w:tcBorders>
            <w:noWrap w:val="0"/>
            <w:tcMar>
              <w:left w:w="108" w:type="dxa"/>
              <w:right w:w="108" w:type="dxa"/>
            </w:tcMar>
            <w:vAlign w:val="center"/>
          </w:tcPr>
          <w:p w14:paraId="719EADBE">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1</w:t>
            </w:r>
          </w:p>
        </w:tc>
        <w:tc>
          <w:tcPr>
            <w:tcW w:w="748" w:type="dxa"/>
            <w:vMerge w:val="restart"/>
            <w:tcBorders>
              <w:top w:val="nil"/>
              <w:left w:val="nil"/>
              <w:bottom w:val="single" w:color="000000" w:sz="4" w:space="0"/>
              <w:right w:val="single" w:color="000000" w:sz="4" w:space="0"/>
            </w:tcBorders>
            <w:noWrap w:val="0"/>
            <w:tcMar>
              <w:left w:w="108" w:type="dxa"/>
              <w:right w:w="108" w:type="dxa"/>
            </w:tcMar>
            <w:vAlign w:val="center"/>
          </w:tcPr>
          <w:p w14:paraId="677776CD">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校门值守管理</w:t>
            </w:r>
          </w:p>
        </w:tc>
        <w:tc>
          <w:tcPr>
            <w:tcW w:w="2992"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330108B0">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出入口值守服务（全年晚5:30至次日早7:00，）。</w:t>
            </w:r>
          </w:p>
        </w:tc>
        <w:tc>
          <w:tcPr>
            <w:tcW w:w="4886"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1AE5E817">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校门门岗值守，定点立岗，文明服务，来访人员出入登记。</w:t>
            </w:r>
          </w:p>
        </w:tc>
      </w:tr>
      <w:tr w14:paraId="65F62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8" w:hRule="atLeast"/>
          <w:jc w:val="center"/>
        </w:trPr>
        <w:tc>
          <w:tcPr>
            <w:tcW w:w="705"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421072D4">
            <w:pPr>
              <w:rPr>
                <w:rFonts w:hint="eastAsia" w:ascii="宋体" w:hAnsi="宋体" w:eastAsia="宋体" w:cs="宋体"/>
                <w:color w:val="auto"/>
                <w:sz w:val="21"/>
                <w:szCs w:val="21"/>
                <w:highlight w:val="none"/>
              </w:rPr>
            </w:pPr>
          </w:p>
        </w:tc>
        <w:tc>
          <w:tcPr>
            <w:tcW w:w="748" w:type="dxa"/>
            <w:vMerge w:val="continue"/>
            <w:tcBorders>
              <w:top w:val="nil"/>
              <w:left w:val="nil"/>
              <w:bottom w:val="single" w:color="000000" w:sz="4" w:space="0"/>
              <w:right w:val="single" w:color="000000" w:sz="4" w:space="0"/>
            </w:tcBorders>
            <w:noWrap w:val="0"/>
            <w:tcMar>
              <w:left w:w="108" w:type="dxa"/>
              <w:right w:w="108" w:type="dxa"/>
            </w:tcMar>
            <w:vAlign w:val="center"/>
          </w:tcPr>
          <w:p w14:paraId="65C4FF67">
            <w:pPr>
              <w:rPr>
                <w:rFonts w:hint="eastAsia" w:ascii="宋体" w:hAnsi="宋体" w:eastAsia="宋体" w:cs="宋体"/>
                <w:color w:val="auto"/>
                <w:sz w:val="21"/>
                <w:szCs w:val="21"/>
                <w:highlight w:val="none"/>
              </w:rPr>
            </w:pPr>
          </w:p>
        </w:tc>
        <w:tc>
          <w:tcPr>
            <w:tcW w:w="2992"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09DD5F43">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物品出入审批确认</w:t>
            </w:r>
          </w:p>
        </w:tc>
        <w:tc>
          <w:tcPr>
            <w:tcW w:w="4886"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73450FE8">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（1）大件物品出入时要有指定部门的放行出入条，确认率100%，控制危险品进入管理区域；</w:t>
            </w:r>
          </w:p>
          <w:p w14:paraId="30F4F50D">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（2）对进出管理区域的车辆进行验证、登记、放行和引导车辆有序进出，未经项目现场同意，禁止外单位车辆进入本校区；</w:t>
            </w:r>
          </w:p>
          <w:p w14:paraId="0B1DA93C">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（3）及时按位引导车辆，不能占用消防通道，正确处理不合理停车和违章停车现象，禁止外来车辆在校区停留。</w:t>
            </w:r>
          </w:p>
        </w:tc>
      </w:tr>
      <w:tr w14:paraId="2FB11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578" w:hRule="atLeast"/>
          <w:jc w:val="center"/>
        </w:trPr>
        <w:tc>
          <w:tcPr>
            <w:tcW w:w="705"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72D993E6">
            <w:pPr>
              <w:rPr>
                <w:rFonts w:hint="eastAsia" w:ascii="宋体" w:hAnsi="宋体" w:eastAsia="宋体" w:cs="宋体"/>
                <w:color w:val="auto"/>
                <w:sz w:val="21"/>
                <w:szCs w:val="21"/>
                <w:highlight w:val="none"/>
              </w:rPr>
            </w:pPr>
          </w:p>
        </w:tc>
        <w:tc>
          <w:tcPr>
            <w:tcW w:w="748" w:type="dxa"/>
            <w:vMerge w:val="continue"/>
            <w:tcBorders>
              <w:top w:val="nil"/>
              <w:left w:val="nil"/>
              <w:bottom w:val="single" w:color="000000" w:sz="4" w:space="0"/>
              <w:right w:val="single" w:color="000000" w:sz="4" w:space="0"/>
            </w:tcBorders>
            <w:noWrap w:val="0"/>
            <w:tcMar>
              <w:left w:w="108" w:type="dxa"/>
              <w:right w:w="108" w:type="dxa"/>
            </w:tcMar>
            <w:vAlign w:val="center"/>
          </w:tcPr>
          <w:p w14:paraId="1AAEEB97">
            <w:pPr>
              <w:rPr>
                <w:rFonts w:hint="eastAsia" w:ascii="宋体" w:hAnsi="宋体" w:eastAsia="宋体" w:cs="宋体"/>
                <w:color w:val="auto"/>
                <w:sz w:val="21"/>
                <w:szCs w:val="21"/>
                <w:highlight w:val="none"/>
              </w:rPr>
            </w:pPr>
          </w:p>
        </w:tc>
        <w:tc>
          <w:tcPr>
            <w:tcW w:w="2992"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15733AF9">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公共区域钥匙管理</w:t>
            </w:r>
          </w:p>
        </w:tc>
        <w:tc>
          <w:tcPr>
            <w:tcW w:w="4886"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33E238F0">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无丢失、无差错，记录详细、准确；</w:t>
            </w:r>
          </w:p>
        </w:tc>
      </w:tr>
      <w:tr w14:paraId="60AB2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564" w:hRule="atLeast"/>
          <w:jc w:val="center"/>
        </w:trPr>
        <w:tc>
          <w:tcPr>
            <w:tcW w:w="705" w:type="dxa"/>
            <w:vMerge w:val="restart"/>
            <w:tcBorders>
              <w:top w:val="nil"/>
              <w:left w:val="single" w:color="000000" w:sz="4" w:space="0"/>
              <w:bottom w:val="single" w:color="000000" w:sz="4" w:space="0"/>
              <w:right w:val="single" w:color="000000" w:sz="4" w:space="0"/>
            </w:tcBorders>
            <w:noWrap w:val="0"/>
            <w:tcMar>
              <w:left w:w="108" w:type="dxa"/>
              <w:right w:w="108" w:type="dxa"/>
            </w:tcMar>
            <w:vAlign w:val="center"/>
          </w:tcPr>
          <w:p w14:paraId="4626E857">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2</w:t>
            </w:r>
          </w:p>
        </w:tc>
        <w:tc>
          <w:tcPr>
            <w:tcW w:w="748" w:type="dxa"/>
            <w:vMerge w:val="restart"/>
            <w:tcBorders>
              <w:top w:val="nil"/>
              <w:left w:val="nil"/>
              <w:bottom w:val="single" w:color="000000" w:sz="4" w:space="0"/>
              <w:right w:val="single" w:color="000000" w:sz="4" w:space="0"/>
            </w:tcBorders>
            <w:noWrap w:val="0"/>
            <w:tcMar>
              <w:left w:w="108" w:type="dxa"/>
              <w:right w:w="108" w:type="dxa"/>
            </w:tcMar>
            <w:vAlign w:val="center"/>
          </w:tcPr>
          <w:p w14:paraId="5EDF2E0D">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教学楼及全院</w:t>
            </w:r>
          </w:p>
        </w:tc>
        <w:tc>
          <w:tcPr>
            <w:tcW w:w="2992"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24E1B9FB">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公共区域重点部位日常安全巡视</w:t>
            </w:r>
          </w:p>
        </w:tc>
        <w:tc>
          <w:tcPr>
            <w:tcW w:w="4886" w:type="dxa"/>
            <w:vMerge w:val="restart"/>
            <w:tcBorders>
              <w:top w:val="nil"/>
              <w:left w:val="nil"/>
              <w:bottom w:val="single" w:color="000000" w:sz="4" w:space="0"/>
              <w:right w:val="single" w:color="000000" w:sz="4" w:space="0"/>
            </w:tcBorders>
            <w:noWrap w:val="0"/>
            <w:tcMar>
              <w:left w:w="108" w:type="dxa"/>
              <w:right w:w="108" w:type="dxa"/>
            </w:tcMar>
            <w:vAlign w:val="center"/>
          </w:tcPr>
          <w:p w14:paraId="5A1B4077">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（1）秩序维护人员在执勤中做到文明礼貌，训练有素，言行规范，认真负责，维护好该项目的秩序；巡逻频次不少于2小时1次，重点部位每小时巡逻1次；</w:t>
            </w:r>
          </w:p>
          <w:p w14:paraId="6B4845DE">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（2）检查治安、防火、防盗、水浸等情况，发现问题，发现问题和隐患及时报告，突发事件10分钟内到达现场；</w:t>
            </w:r>
          </w:p>
          <w:p w14:paraId="7DED9FCC">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（3）每班次夜间巡逻不低于4次。</w:t>
            </w:r>
          </w:p>
          <w:p w14:paraId="7AA6033E">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（4）坚守岗位，尽职尽责，不得脱岗、替岗、睡岗，严禁值班前饮酒或在值班时饮酒。</w:t>
            </w:r>
          </w:p>
        </w:tc>
      </w:tr>
      <w:tr w14:paraId="0D6FE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770" w:hRule="atLeast"/>
          <w:jc w:val="center"/>
        </w:trPr>
        <w:tc>
          <w:tcPr>
            <w:tcW w:w="705"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456B31E8">
            <w:pPr>
              <w:rPr>
                <w:rFonts w:hint="eastAsia" w:ascii="宋体" w:hAnsi="宋体" w:eastAsia="宋体" w:cs="宋体"/>
                <w:color w:val="auto"/>
                <w:sz w:val="21"/>
                <w:szCs w:val="21"/>
                <w:highlight w:val="none"/>
              </w:rPr>
            </w:pPr>
          </w:p>
        </w:tc>
        <w:tc>
          <w:tcPr>
            <w:tcW w:w="748" w:type="dxa"/>
            <w:vMerge w:val="continue"/>
            <w:tcBorders>
              <w:top w:val="nil"/>
              <w:left w:val="nil"/>
              <w:bottom w:val="single" w:color="000000" w:sz="4" w:space="0"/>
              <w:right w:val="single" w:color="000000" w:sz="4" w:space="0"/>
            </w:tcBorders>
            <w:noWrap w:val="0"/>
            <w:tcMar>
              <w:left w:w="108" w:type="dxa"/>
              <w:right w:w="108" w:type="dxa"/>
            </w:tcMar>
            <w:vAlign w:val="center"/>
          </w:tcPr>
          <w:p w14:paraId="582380BD">
            <w:pPr>
              <w:rPr>
                <w:rFonts w:hint="eastAsia" w:ascii="宋体" w:hAnsi="宋体" w:eastAsia="宋体" w:cs="宋体"/>
                <w:color w:val="auto"/>
                <w:sz w:val="21"/>
                <w:szCs w:val="21"/>
                <w:highlight w:val="none"/>
              </w:rPr>
            </w:pPr>
          </w:p>
        </w:tc>
        <w:tc>
          <w:tcPr>
            <w:tcW w:w="2992"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22713ED2">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夜间重点检查门窗关闭、灯具开关、门禁门锁开关完好状况</w:t>
            </w:r>
          </w:p>
        </w:tc>
        <w:tc>
          <w:tcPr>
            <w:tcW w:w="4886" w:type="dxa"/>
            <w:vMerge w:val="continue"/>
            <w:tcBorders>
              <w:top w:val="nil"/>
              <w:left w:val="nil"/>
              <w:bottom w:val="single" w:color="000000" w:sz="4" w:space="0"/>
              <w:right w:val="single" w:color="000000" w:sz="4" w:space="0"/>
            </w:tcBorders>
            <w:noWrap w:val="0"/>
            <w:tcMar>
              <w:left w:w="108" w:type="dxa"/>
              <w:right w:w="108" w:type="dxa"/>
            </w:tcMar>
            <w:vAlign w:val="center"/>
          </w:tcPr>
          <w:p w14:paraId="789E7346">
            <w:pPr>
              <w:rPr>
                <w:rFonts w:hint="eastAsia" w:ascii="宋体" w:hAnsi="宋体" w:eastAsia="宋体" w:cs="宋体"/>
                <w:color w:val="auto"/>
                <w:sz w:val="21"/>
                <w:szCs w:val="21"/>
                <w:highlight w:val="none"/>
              </w:rPr>
            </w:pPr>
          </w:p>
        </w:tc>
      </w:tr>
      <w:tr w14:paraId="3B5B5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768" w:hRule="atLeast"/>
          <w:jc w:val="center"/>
        </w:trPr>
        <w:tc>
          <w:tcPr>
            <w:tcW w:w="705"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3B496B4C">
            <w:pPr>
              <w:rPr>
                <w:rFonts w:hint="eastAsia" w:ascii="宋体" w:hAnsi="宋体" w:eastAsia="宋体" w:cs="宋体"/>
                <w:color w:val="auto"/>
                <w:sz w:val="21"/>
                <w:szCs w:val="21"/>
                <w:highlight w:val="none"/>
              </w:rPr>
            </w:pPr>
          </w:p>
        </w:tc>
        <w:tc>
          <w:tcPr>
            <w:tcW w:w="748" w:type="dxa"/>
            <w:vMerge w:val="continue"/>
            <w:tcBorders>
              <w:top w:val="nil"/>
              <w:left w:val="nil"/>
              <w:bottom w:val="single" w:color="000000" w:sz="4" w:space="0"/>
              <w:right w:val="single" w:color="000000" w:sz="4" w:space="0"/>
            </w:tcBorders>
            <w:noWrap w:val="0"/>
            <w:tcMar>
              <w:left w:w="108" w:type="dxa"/>
              <w:right w:w="108" w:type="dxa"/>
            </w:tcMar>
            <w:vAlign w:val="center"/>
          </w:tcPr>
          <w:p w14:paraId="6428CBC6">
            <w:pPr>
              <w:rPr>
                <w:rFonts w:hint="eastAsia" w:ascii="宋体" w:hAnsi="宋体" w:eastAsia="宋体" w:cs="宋体"/>
                <w:color w:val="auto"/>
                <w:sz w:val="21"/>
                <w:szCs w:val="21"/>
                <w:highlight w:val="none"/>
              </w:rPr>
            </w:pPr>
          </w:p>
        </w:tc>
        <w:tc>
          <w:tcPr>
            <w:tcW w:w="2992"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75B24C55">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洗手间、楼梯间、天台等死角部位有无人员隐藏</w:t>
            </w:r>
          </w:p>
        </w:tc>
        <w:tc>
          <w:tcPr>
            <w:tcW w:w="4886" w:type="dxa"/>
            <w:vMerge w:val="continue"/>
            <w:tcBorders>
              <w:top w:val="nil"/>
              <w:left w:val="nil"/>
              <w:bottom w:val="single" w:color="000000" w:sz="4" w:space="0"/>
              <w:right w:val="single" w:color="000000" w:sz="4" w:space="0"/>
            </w:tcBorders>
            <w:noWrap w:val="0"/>
            <w:tcMar>
              <w:left w:w="108" w:type="dxa"/>
              <w:right w:w="108" w:type="dxa"/>
            </w:tcMar>
            <w:vAlign w:val="center"/>
          </w:tcPr>
          <w:p w14:paraId="7D4E3174">
            <w:pPr>
              <w:rPr>
                <w:rFonts w:hint="eastAsia" w:ascii="宋体" w:hAnsi="宋体" w:eastAsia="宋体" w:cs="宋体"/>
                <w:color w:val="auto"/>
                <w:sz w:val="21"/>
                <w:szCs w:val="21"/>
                <w:highlight w:val="none"/>
              </w:rPr>
            </w:pPr>
          </w:p>
        </w:tc>
      </w:tr>
      <w:tr w14:paraId="5A813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5" w:hRule="atLeast"/>
          <w:jc w:val="center"/>
        </w:trPr>
        <w:tc>
          <w:tcPr>
            <w:tcW w:w="705" w:type="dxa"/>
            <w:vMerge w:val="continue"/>
            <w:tcBorders>
              <w:top w:val="nil"/>
              <w:left w:val="single" w:color="000000" w:sz="4" w:space="0"/>
              <w:bottom w:val="single" w:color="000000" w:sz="4" w:space="0"/>
              <w:right w:val="single" w:color="000000" w:sz="4" w:space="0"/>
            </w:tcBorders>
            <w:noWrap w:val="0"/>
            <w:tcMar>
              <w:left w:w="108" w:type="dxa"/>
              <w:right w:w="108" w:type="dxa"/>
            </w:tcMar>
            <w:vAlign w:val="center"/>
          </w:tcPr>
          <w:p w14:paraId="4D916EFD">
            <w:pPr>
              <w:rPr>
                <w:rFonts w:hint="eastAsia" w:ascii="宋体" w:hAnsi="宋体" w:eastAsia="宋体" w:cs="宋体"/>
                <w:color w:val="auto"/>
                <w:sz w:val="21"/>
                <w:szCs w:val="21"/>
                <w:highlight w:val="none"/>
              </w:rPr>
            </w:pPr>
          </w:p>
        </w:tc>
        <w:tc>
          <w:tcPr>
            <w:tcW w:w="748" w:type="dxa"/>
            <w:vMerge w:val="continue"/>
            <w:tcBorders>
              <w:top w:val="nil"/>
              <w:left w:val="nil"/>
              <w:bottom w:val="single" w:color="000000" w:sz="4" w:space="0"/>
              <w:right w:val="single" w:color="000000" w:sz="4" w:space="0"/>
            </w:tcBorders>
            <w:noWrap w:val="0"/>
            <w:tcMar>
              <w:left w:w="108" w:type="dxa"/>
              <w:right w:w="108" w:type="dxa"/>
            </w:tcMar>
            <w:vAlign w:val="center"/>
          </w:tcPr>
          <w:p w14:paraId="595519D9">
            <w:pPr>
              <w:rPr>
                <w:rFonts w:hint="eastAsia" w:ascii="宋体" w:hAnsi="宋体" w:eastAsia="宋体" w:cs="宋体"/>
                <w:color w:val="auto"/>
                <w:sz w:val="21"/>
                <w:szCs w:val="21"/>
                <w:highlight w:val="none"/>
              </w:rPr>
            </w:pPr>
          </w:p>
        </w:tc>
        <w:tc>
          <w:tcPr>
            <w:tcW w:w="2992"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271C49F1">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接受各岗的报告，协助处理各种突发情况</w:t>
            </w:r>
          </w:p>
        </w:tc>
        <w:tc>
          <w:tcPr>
            <w:tcW w:w="4886" w:type="dxa"/>
            <w:vMerge w:val="continue"/>
            <w:tcBorders>
              <w:top w:val="nil"/>
              <w:left w:val="nil"/>
              <w:bottom w:val="single" w:color="000000" w:sz="4" w:space="0"/>
              <w:right w:val="single" w:color="000000" w:sz="4" w:space="0"/>
            </w:tcBorders>
            <w:noWrap w:val="0"/>
            <w:tcMar>
              <w:left w:w="108" w:type="dxa"/>
              <w:right w:w="108" w:type="dxa"/>
            </w:tcMar>
            <w:vAlign w:val="center"/>
          </w:tcPr>
          <w:p w14:paraId="5535BB7C">
            <w:pPr>
              <w:rPr>
                <w:rFonts w:hint="eastAsia" w:ascii="宋体" w:hAnsi="宋体" w:eastAsia="宋体" w:cs="宋体"/>
                <w:color w:val="auto"/>
                <w:sz w:val="21"/>
                <w:szCs w:val="21"/>
                <w:highlight w:val="none"/>
              </w:rPr>
            </w:pPr>
          </w:p>
        </w:tc>
      </w:tr>
      <w:tr w14:paraId="069D3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400" w:hRule="atLeast"/>
          <w:jc w:val="center"/>
        </w:trPr>
        <w:tc>
          <w:tcPr>
            <w:tcW w:w="705" w:type="dxa"/>
            <w:tcBorders>
              <w:top w:val="single" w:color="000000" w:sz="4" w:space="0"/>
              <w:left w:val="single" w:color="000000" w:sz="4" w:space="0"/>
              <w:bottom w:val="single" w:color="000000" w:sz="4" w:space="0"/>
              <w:right w:val="single" w:color="000000" w:sz="4" w:space="0"/>
            </w:tcBorders>
            <w:noWrap w:val="0"/>
            <w:tcMar>
              <w:left w:w="108" w:type="dxa"/>
              <w:right w:w="108" w:type="dxa"/>
            </w:tcMar>
            <w:vAlign w:val="center"/>
          </w:tcPr>
          <w:p w14:paraId="62EFF25A">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3</w:t>
            </w:r>
          </w:p>
        </w:tc>
        <w:tc>
          <w:tcPr>
            <w:tcW w:w="748"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145842BC">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夜间巡视人员</w:t>
            </w:r>
          </w:p>
        </w:tc>
        <w:tc>
          <w:tcPr>
            <w:tcW w:w="2992"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42F67DDE">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配合夜间秩序维护员做好值守工作</w:t>
            </w:r>
          </w:p>
          <w:p w14:paraId="50E44FD2">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处理夜间突发事件</w:t>
            </w:r>
          </w:p>
          <w:p w14:paraId="4AE2BFF3">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做好楼内外卫生清洁</w:t>
            </w:r>
          </w:p>
        </w:tc>
        <w:tc>
          <w:tcPr>
            <w:tcW w:w="4886" w:type="dxa"/>
            <w:tcBorders>
              <w:top w:val="single" w:color="000000" w:sz="4" w:space="0"/>
              <w:left w:val="nil"/>
              <w:bottom w:val="single" w:color="000000" w:sz="4" w:space="0"/>
              <w:right w:val="single" w:color="000000" w:sz="4" w:space="0"/>
            </w:tcBorders>
            <w:noWrap w:val="0"/>
            <w:tcMar>
              <w:left w:w="108" w:type="dxa"/>
              <w:right w:w="108" w:type="dxa"/>
            </w:tcMar>
            <w:vAlign w:val="center"/>
          </w:tcPr>
          <w:p w14:paraId="561B1573">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配合秩序维护员做好岗位值守工作；</w:t>
            </w:r>
          </w:p>
          <w:p w14:paraId="56A55E60">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值班期间负责处理突发事件，遇到紧急情况及时汇报及时应对；</w:t>
            </w:r>
          </w:p>
          <w:p w14:paraId="66E670F7">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负责学生放学后校园彻底的清理工作，清除卫生死角，避开白天师生人员密集时段不方便操作的清洁消毒工作，进行彻底的清扫以及消毒等任务；</w:t>
            </w:r>
          </w:p>
          <w:p w14:paraId="07E0D519">
            <w:pPr>
              <w:keepNext w:val="0"/>
              <w:keepLines w:val="0"/>
              <w:widowControl w:val="0"/>
              <w:suppressLineNumbers w:val="0"/>
              <w:adjustRightInd w:val="0"/>
              <w:snapToGrid w:val="0"/>
              <w:spacing w:before="0" w:beforeAutospacing="0" w:after="0" w:afterAutospacing="0" w:line="360" w:lineRule="auto"/>
              <w:ind w:left="0" w:right="0"/>
              <w:jc w:val="both"/>
              <w:rPr>
                <w:rFonts w:hint="eastAsia" w:ascii="宋体" w:hAnsi="宋体" w:eastAsia="宋体" w:cs="宋体"/>
                <w:b w:val="0"/>
                <w:bCs/>
                <w:color w:val="auto"/>
                <w:kern w:val="0"/>
                <w:sz w:val="21"/>
                <w:szCs w:val="21"/>
                <w:highlight w:val="none"/>
              </w:rPr>
            </w:pPr>
            <w:r>
              <w:rPr>
                <w:rFonts w:hint="eastAsia" w:ascii="宋体" w:hAnsi="宋体" w:eastAsia="宋体" w:cs="宋体"/>
                <w:b w:val="0"/>
                <w:bCs/>
                <w:color w:val="auto"/>
                <w:kern w:val="0"/>
                <w:sz w:val="21"/>
                <w:szCs w:val="21"/>
                <w:highlight w:val="none"/>
                <w:lang w:val="en-US" w:eastAsia="zh-CN" w:bidi="ar"/>
              </w:rPr>
              <w:t>为白班日常保洁工作打好基础；</w:t>
            </w:r>
          </w:p>
        </w:tc>
      </w:tr>
    </w:tbl>
    <w:p w14:paraId="42B8C1B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以上操作标准，每日工作必须达标，建立联合例行检查制度，实施定点或不定点，定时或不定时抽查，每日必查。</w:t>
      </w:r>
    </w:p>
    <w:p w14:paraId="7384F70B">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在检查过程中，发现不达标，第一次严重警告并限期整改，第二次发现不达标，对当事人实行罚款处理，适情节进行100元罚款。如再发现第三次不达标操作行为，将当事人除名解聘。</w:t>
      </w:r>
    </w:p>
    <w:p w14:paraId="677A849B">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4.消防值守要求 </w:t>
      </w:r>
    </w:p>
    <w:p w14:paraId="01EB5573">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（1）遵守消防控制室的各项规章制度，认真履行岗位操作责任制，对各种消防控制室设备进行实时监控和操作，不得擅离职守。 </w:t>
      </w:r>
    </w:p>
    <w:p w14:paraId="64BBE379">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（2）熟悉和掌握校园消防设施的工作原理、功能和操作规程，熟悉各种按键的功能，熟练操作各种系统。 </w:t>
      </w:r>
    </w:p>
    <w:p w14:paraId="3D08DB8A">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（3）负责对消防设施进行每日检查，认真记录各种控制器的运行情况，并填写 《消防控制室值班记录表》、《消防设备检查记录表》，做好交接班工作。 </w:t>
      </w:r>
    </w:p>
    <w:p w14:paraId="4C2895AC">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（4）掌握和了解消防设施的运行、误报警、故障等有关情况，并填写《消防设施故障处理记录表》。 </w:t>
      </w:r>
    </w:p>
    <w:p w14:paraId="55268100">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（5）对消防控制室设备及通讯器材等进行经常性的检查，定期做好系统功能测验，协助技术人员做好修理、维护工作，不得挪用或擅自拆除、停用消防设施，保证设备正常运行。 </w:t>
      </w:r>
    </w:p>
    <w:p w14:paraId="2FB070FC">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（6）经常向单位负责人报告建筑消防的运行情况，协助有关领导做好防火、灭火工作。 </w:t>
      </w:r>
    </w:p>
    <w:p w14:paraId="2A3DBF47">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（7）熟练掌握本单位《消防应急处理预案》，火灾情况下能按照预案程序开展灭火救援工作。 </w:t>
      </w:r>
    </w:p>
    <w:p w14:paraId="1DEEBB98">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（8）积极学习贯彻消防法律法规、遵守消防安全管理制度，以高度的责任感去完成各项技术工作和日常管理工作。 </w:t>
      </w:r>
    </w:p>
    <w:p w14:paraId="7FFF0793">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（9）完成消防部门和上级领导布置的工作任务，积极参加消防专业培训，自觉接受公安消防机关的检查。</w:t>
      </w:r>
    </w:p>
    <w:p w14:paraId="4925F121">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五</w:t>
      </w:r>
      <w:r>
        <w:rPr>
          <w:rFonts w:hint="eastAsia" w:ascii="宋体" w:hAnsi="宋体" w:eastAsia="宋体" w:cs="宋体"/>
          <w:b/>
          <w:color w:val="auto"/>
          <w:sz w:val="21"/>
          <w:szCs w:val="21"/>
          <w:highlight w:val="none"/>
        </w:rPr>
        <w:t>、应急服务要求</w:t>
      </w:r>
    </w:p>
    <w:p w14:paraId="3ABE9BB9">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当出现不可预知紧急情况时（例如停水停电、极端天气、群体事件、自然灾害等，可根据项目具体情况列举），保证</w:t>
      </w:r>
      <w:r>
        <w:rPr>
          <w:rFonts w:hint="eastAsia" w:ascii="宋体" w:hAnsi="宋体" w:eastAsia="宋体" w:cs="宋体"/>
          <w:color w:val="auto"/>
          <w:sz w:val="21"/>
          <w:szCs w:val="21"/>
          <w:highlight w:val="none"/>
          <w:lang w:val="en-US" w:eastAsia="zh-CN"/>
        </w:rPr>
        <w:t>保安</w:t>
      </w:r>
      <w:r>
        <w:rPr>
          <w:rFonts w:hint="eastAsia" w:ascii="宋体" w:hAnsi="宋体" w:eastAsia="宋体" w:cs="宋体"/>
          <w:color w:val="auto"/>
          <w:sz w:val="21"/>
          <w:szCs w:val="21"/>
          <w:highlight w:val="none"/>
        </w:rPr>
        <w:t>服务正常运转的措施，包括但不限于临时增配人员、临时调集设备、现有人员岗位职责临时增加、与相关政府部门协调配合等。</w:t>
      </w:r>
    </w:p>
    <w:p w14:paraId="4BCA3F44">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六</w:t>
      </w:r>
      <w:r>
        <w:rPr>
          <w:rFonts w:hint="eastAsia" w:ascii="宋体" w:hAnsi="宋体" w:eastAsia="宋体" w:cs="宋体"/>
          <w:b/>
          <w:color w:val="auto"/>
          <w:sz w:val="21"/>
          <w:szCs w:val="21"/>
          <w:highlight w:val="none"/>
        </w:rPr>
        <w:t>、人员保密要求</w:t>
      </w:r>
    </w:p>
    <w:p w14:paraId="48A83120">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保证物业服务过程中有可能获取的保密信息不泄露的措施，包括但不限于制定保密制度、服务人员保密培训、重点岗位双人服务、泄密惩罚办法。</w:t>
      </w:r>
    </w:p>
    <w:p w14:paraId="41A911E8">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七</w:t>
      </w:r>
      <w:r>
        <w:rPr>
          <w:rFonts w:hint="eastAsia" w:ascii="宋体" w:hAnsi="宋体" w:eastAsia="宋体" w:cs="宋体"/>
          <w:b/>
          <w:color w:val="auto"/>
          <w:sz w:val="21"/>
          <w:szCs w:val="21"/>
          <w:highlight w:val="none"/>
        </w:rPr>
        <w:t>、人员稳定性要求</w:t>
      </w:r>
    </w:p>
    <w:p w14:paraId="00E2A49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在整个服务期内，人员更换率不得超过</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15</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%，更换人员不得低于采购需求，且应经采购人同意。</w:t>
      </w:r>
    </w:p>
    <w:p w14:paraId="0A319935">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八</w:t>
      </w:r>
      <w:r>
        <w:rPr>
          <w:rFonts w:hint="eastAsia" w:ascii="宋体" w:hAnsi="宋体" w:eastAsia="宋体" w:cs="宋体"/>
          <w:b/>
          <w:color w:val="auto"/>
          <w:sz w:val="21"/>
          <w:szCs w:val="21"/>
          <w:highlight w:val="none"/>
        </w:rPr>
        <w:t>、进驻和接管要求</w:t>
      </w:r>
    </w:p>
    <w:p w14:paraId="32638CAE">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25693926">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九</w:t>
      </w:r>
      <w:r>
        <w:rPr>
          <w:rFonts w:hint="eastAsia" w:ascii="宋体" w:hAnsi="宋体" w:eastAsia="宋体" w:cs="宋体"/>
          <w:b/>
          <w:color w:val="auto"/>
          <w:sz w:val="21"/>
          <w:szCs w:val="21"/>
          <w:highlight w:val="none"/>
        </w:rPr>
        <w:t>、费用分割</w:t>
      </w:r>
    </w:p>
    <w:p w14:paraId="66139E77">
      <w:pPr>
        <w:keepNext w:val="0"/>
        <w:keepLines w:val="0"/>
        <w:pageBreakBefore w:val="0"/>
        <w:widowControl w:val="0"/>
        <w:kinsoku/>
        <w:wordWrap/>
        <w:overflowPunct/>
        <w:topLinePunct w:val="0"/>
        <w:autoSpaceDE/>
        <w:autoSpaceDN/>
        <w:bidi w:val="0"/>
        <w:adjustRightInd/>
        <w:snapToGrid/>
        <w:spacing w:line="360" w:lineRule="auto"/>
        <w:ind w:left="0" w:leftChars="0" w:right="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 保安</w:t>
      </w:r>
      <w:r>
        <w:rPr>
          <w:rFonts w:hint="eastAsia" w:ascii="宋体" w:hAnsi="宋体" w:eastAsia="宋体" w:cs="宋体"/>
          <w:color w:val="auto"/>
          <w:szCs w:val="21"/>
          <w:highlight w:val="none"/>
        </w:rPr>
        <w:t>公司必须为员工上齐各种保险，如在双方合同执行期间发生人身安全事故，则由</w:t>
      </w:r>
      <w:r>
        <w:rPr>
          <w:rFonts w:hint="eastAsia" w:ascii="宋体" w:hAnsi="宋体" w:cs="宋体"/>
          <w:color w:val="auto"/>
          <w:szCs w:val="21"/>
          <w:highlight w:val="none"/>
          <w:lang w:val="en-US" w:eastAsia="zh-CN"/>
        </w:rPr>
        <w:t>成交供应商</w:t>
      </w:r>
      <w:r>
        <w:rPr>
          <w:rFonts w:hint="eastAsia" w:ascii="宋体" w:hAnsi="宋体" w:eastAsia="宋体" w:cs="宋体"/>
          <w:color w:val="auto"/>
          <w:szCs w:val="21"/>
          <w:highlight w:val="none"/>
        </w:rPr>
        <w:t>承担。</w:t>
      </w:r>
    </w:p>
    <w:p w14:paraId="1C9049B5">
      <w:pPr>
        <w:pStyle w:val="3"/>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所有</w:t>
      </w:r>
      <w:r>
        <w:rPr>
          <w:rFonts w:hint="eastAsia" w:ascii="宋体" w:hAnsi="宋体" w:eastAsia="宋体" w:cs="宋体"/>
          <w:color w:val="auto"/>
          <w:szCs w:val="21"/>
          <w:highlight w:val="none"/>
          <w:lang w:val="en-US" w:eastAsia="zh-CN"/>
        </w:rPr>
        <w:t>保安</w:t>
      </w:r>
      <w:r>
        <w:rPr>
          <w:rFonts w:hint="eastAsia" w:ascii="宋体" w:hAnsi="宋体" w:eastAsia="宋体" w:cs="宋体"/>
          <w:color w:val="auto"/>
          <w:szCs w:val="21"/>
          <w:highlight w:val="none"/>
        </w:rPr>
        <w:t>人员应统一着装，该</w:t>
      </w:r>
      <w:r>
        <w:rPr>
          <w:rFonts w:hint="eastAsia" w:ascii="宋体" w:hAnsi="宋体" w:cs="宋体"/>
          <w:color w:val="auto"/>
          <w:szCs w:val="21"/>
          <w:highlight w:val="none"/>
          <w:lang w:val="en-US" w:eastAsia="zh-CN"/>
        </w:rPr>
        <w:t>部分</w:t>
      </w:r>
      <w:r>
        <w:rPr>
          <w:rFonts w:hint="eastAsia" w:ascii="宋体" w:hAnsi="宋体" w:eastAsia="宋体" w:cs="宋体"/>
          <w:color w:val="auto"/>
          <w:szCs w:val="21"/>
          <w:highlight w:val="none"/>
        </w:rPr>
        <w:t>费用由</w:t>
      </w:r>
      <w:r>
        <w:rPr>
          <w:rFonts w:hint="eastAsia" w:ascii="宋体" w:hAnsi="宋体" w:eastAsia="宋体" w:cs="宋体"/>
          <w:color w:val="auto"/>
          <w:szCs w:val="21"/>
          <w:highlight w:val="none"/>
          <w:lang w:eastAsia="zh-CN"/>
        </w:rPr>
        <w:t>供应商自行</w:t>
      </w:r>
      <w:r>
        <w:rPr>
          <w:rFonts w:hint="eastAsia" w:ascii="宋体" w:hAnsi="宋体" w:eastAsia="宋体" w:cs="宋体"/>
          <w:color w:val="auto"/>
          <w:szCs w:val="21"/>
          <w:highlight w:val="none"/>
        </w:rPr>
        <w:t>承担。</w:t>
      </w:r>
    </w:p>
    <w:p w14:paraId="2E06D6EA">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 保安所用</w:t>
      </w:r>
      <w:r>
        <w:rPr>
          <w:rFonts w:hint="eastAsia" w:ascii="宋体" w:hAnsi="宋体" w:eastAsia="宋体" w:cs="宋体"/>
          <w:color w:val="auto"/>
          <w:sz w:val="21"/>
          <w:szCs w:val="21"/>
          <w:highlight w:val="none"/>
          <w:lang w:eastAsia="zh-CN"/>
        </w:rPr>
        <w:t>工具、设备、</w:t>
      </w:r>
      <w:r>
        <w:rPr>
          <w:rFonts w:hint="eastAsia" w:ascii="宋体" w:hAnsi="宋体" w:eastAsia="宋体" w:cs="宋体"/>
          <w:color w:val="auto"/>
          <w:sz w:val="21"/>
          <w:szCs w:val="21"/>
          <w:highlight w:val="none"/>
          <w:lang w:val="en-US" w:eastAsia="zh-CN"/>
        </w:rPr>
        <w:t>耗材</w:t>
      </w:r>
      <w:r>
        <w:rPr>
          <w:rFonts w:hint="eastAsia" w:ascii="宋体" w:hAnsi="宋体" w:eastAsia="宋体" w:cs="宋体"/>
          <w:color w:val="auto"/>
          <w:sz w:val="21"/>
          <w:szCs w:val="21"/>
          <w:highlight w:val="none"/>
          <w:lang w:eastAsia="zh-CN"/>
        </w:rPr>
        <w:t>由供应商自行承担。</w:t>
      </w:r>
    </w:p>
    <w:p w14:paraId="6D8CA4C5">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十、物业服务时间、服务地点及付款方式</w:t>
      </w:r>
    </w:p>
    <w:p w14:paraId="3EF4252A">
      <w:pPr>
        <w:spacing w:line="360" w:lineRule="auto"/>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服务时间：合同规定的服务起始之日起</w:t>
      </w:r>
      <w:r>
        <w:rPr>
          <w:rFonts w:hint="eastAsia" w:ascii="宋体" w:hAnsi="宋体" w:eastAsia="宋体" w:cs="宋体"/>
          <w:color w:val="auto"/>
          <w:sz w:val="21"/>
          <w:szCs w:val="21"/>
          <w:highlight w:val="none"/>
          <w:lang w:val="en-US" w:eastAsia="zh-CN"/>
        </w:rPr>
        <w:t>12个月</w:t>
      </w:r>
      <w:r>
        <w:rPr>
          <w:rFonts w:hint="eastAsia" w:ascii="宋体" w:hAnsi="宋体" w:eastAsia="宋体" w:cs="宋体"/>
          <w:color w:val="auto"/>
          <w:sz w:val="21"/>
          <w:szCs w:val="21"/>
          <w:highlight w:val="none"/>
        </w:rPr>
        <w:t>（具体情况以签订合同为准）</w:t>
      </w:r>
      <w:r>
        <w:rPr>
          <w:rFonts w:hint="eastAsia" w:ascii="宋体" w:hAnsi="宋体" w:eastAsia="宋体" w:cs="宋体"/>
          <w:color w:val="auto"/>
          <w:sz w:val="21"/>
          <w:szCs w:val="21"/>
          <w:highlight w:val="none"/>
          <w:lang w:eastAsia="zh-CN"/>
        </w:rPr>
        <w:t>；</w:t>
      </w:r>
    </w:p>
    <w:p w14:paraId="110FB320">
      <w:pPr>
        <w:spacing w:line="360" w:lineRule="auto"/>
        <w:ind w:firstLine="420" w:firstLineChars="200"/>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服务地点：</w:t>
      </w:r>
      <w:r>
        <w:rPr>
          <w:rFonts w:hint="eastAsia" w:ascii="宋体" w:hAnsi="宋体" w:eastAsia="宋体" w:cs="宋体"/>
          <w:color w:val="auto"/>
          <w:sz w:val="21"/>
          <w:szCs w:val="21"/>
          <w:highlight w:val="none"/>
          <w:lang w:val="en-US" w:eastAsia="zh-CN"/>
        </w:rPr>
        <w:t>天津市南开区</w:t>
      </w:r>
      <w:r>
        <w:rPr>
          <w:rFonts w:hint="eastAsia" w:ascii="宋体" w:hAnsi="宋体" w:eastAsia="宋体" w:cs="宋体"/>
          <w:color w:val="auto"/>
          <w:sz w:val="21"/>
          <w:szCs w:val="21"/>
          <w:highlight w:val="none"/>
          <w:lang w:val="en-US" w:eastAsia="zh-CN"/>
        </w:rPr>
        <w:t>水上小学</w:t>
      </w:r>
      <w:r>
        <w:rPr>
          <w:rFonts w:hint="eastAsia" w:ascii="宋体" w:hAnsi="宋体" w:eastAsia="宋体" w:cs="宋体"/>
          <w:color w:val="auto"/>
          <w:sz w:val="21"/>
          <w:szCs w:val="21"/>
          <w:highlight w:val="none"/>
          <w:lang w:val="en-US" w:eastAsia="zh-CN"/>
        </w:rPr>
        <w:t>（具体情况以签订合同为准）；</w:t>
      </w:r>
    </w:p>
    <w:p w14:paraId="3B879B1B">
      <w:pPr>
        <w:spacing w:line="360" w:lineRule="auto"/>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付款方式：按季度付款，每季度首月15日前支付上一季度服务费（具体情况以签订合同为准）</w:t>
      </w:r>
      <w:r>
        <w:rPr>
          <w:rFonts w:hint="eastAsia" w:ascii="宋体" w:hAnsi="宋体" w:eastAsia="宋体" w:cs="宋体"/>
          <w:color w:val="auto"/>
          <w:sz w:val="21"/>
          <w:szCs w:val="21"/>
          <w:highlight w:val="none"/>
          <w:lang w:eastAsia="zh-CN"/>
        </w:rPr>
        <w:t>。</w:t>
      </w:r>
    </w:p>
    <w:p w14:paraId="5CEFB8DE">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十</w:t>
      </w:r>
      <w:r>
        <w:rPr>
          <w:rFonts w:hint="eastAsia" w:ascii="宋体" w:hAnsi="宋体" w:eastAsia="宋体" w:cs="宋体"/>
          <w:b/>
          <w:color w:val="auto"/>
          <w:sz w:val="21"/>
          <w:szCs w:val="21"/>
          <w:highlight w:val="none"/>
          <w:lang w:val="en-US" w:eastAsia="zh-CN"/>
        </w:rPr>
        <w:t>一</w:t>
      </w:r>
      <w:r>
        <w:rPr>
          <w:rFonts w:hint="eastAsia" w:ascii="宋体" w:hAnsi="宋体" w:eastAsia="宋体" w:cs="宋体"/>
          <w:b/>
          <w:color w:val="auto"/>
          <w:sz w:val="21"/>
          <w:szCs w:val="21"/>
          <w:highlight w:val="none"/>
        </w:rPr>
        <w:t>、多包的项目是否接受兼投兼中</w:t>
      </w:r>
    </w:p>
    <w:p w14:paraId="31ED0E82">
      <w:pPr>
        <w:keepNext w:val="0"/>
        <w:keepLines w:val="0"/>
        <w:pageBreakBefore w:val="0"/>
        <w:widowControl w:val="0"/>
        <w:kinsoku/>
        <w:wordWrap/>
        <w:overflowPunct/>
        <w:topLinePunct w:val="0"/>
        <w:autoSpaceDE/>
        <w:autoSpaceDN/>
        <w:bidi w:val="0"/>
        <w:adjustRightInd/>
        <w:snapToGrid/>
        <w:spacing w:line="360" w:lineRule="auto"/>
        <w:ind w:left="0" w:leftChars="0" w:right="0" w:firstLine="420" w:firstLineChars="200"/>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不涉及</w:t>
      </w:r>
    </w:p>
    <w:p w14:paraId="142414FC">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十二、</w:t>
      </w:r>
      <w:r>
        <w:rPr>
          <w:rFonts w:hint="eastAsia" w:ascii="宋体" w:hAnsi="宋体" w:eastAsia="宋体" w:cs="宋体"/>
          <w:b/>
          <w:color w:val="auto"/>
          <w:sz w:val="21"/>
          <w:szCs w:val="21"/>
          <w:highlight w:val="none"/>
          <w:lang w:val="en-US" w:eastAsia="zh-CN"/>
        </w:rPr>
        <w:t>保安</w:t>
      </w:r>
      <w:r>
        <w:rPr>
          <w:rFonts w:hint="eastAsia" w:ascii="宋体" w:hAnsi="宋体" w:eastAsia="宋体" w:cs="宋体"/>
          <w:b/>
          <w:color w:val="auto"/>
          <w:sz w:val="21"/>
          <w:szCs w:val="21"/>
          <w:highlight w:val="none"/>
        </w:rPr>
        <w:t>服务过程中，对</w:t>
      </w:r>
      <w:r>
        <w:rPr>
          <w:rFonts w:hint="eastAsia" w:ascii="宋体" w:hAnsi="宋体" w:eastAsia="宋体" w:cs="宋体"/>
          <w:b/>
          <w:color w:val="auto"/>
          <w:sz w:val="21"/>
          <w:szCs w:val="21"/>
          <w:highlight w:val="none"/>
          <w:lang w:val="en-US" w:eastAsia="zh-CN"/>
        </w:rPr>
        <w:t>保安</w:t>
      </w:r>
      <w:r>
        <w:rPr>
          <w:rFonts w:hint="eastAsia" w:ascii="宋体" w:hAnsi="宋体" w:eastAsia="宋体" w:cs="宋体"/>
          <w:b/>
          <w:color w:val="auto"/>
          <w:sz w:val="21"/>
          <w:szCs w:val="21"/>
          <w:highlight w:val="none"/>
        </w:rPr>
        <w:t>公司评价考核验收标准</w:t>
      </w:r>
    </w:p>
    <w:p w14:paraId="458645B1">
      <w:pPr>
        <w:keepNext w:val="0"/>
        <w:keepLines w:val="0"/>
        <w:pageBreakBefore w:val="0"/>
        <w:widowControl w:val="0"/>
        <w:kinsoku/>
        <w:wordWrap/>
        <w:overflowPunct/>
        <w:topLinePunct w:val="0"/>
        <w:autoSpaceDE/>
        <w:autoSpaceDN/>
        <w:bidi w:val="0"/>
        <w:adjustRightInd/>
        <w:snapToGrid/>
        <w:spacing w:line="360" w:lineRule="auto"/>
        <w:ind w:left="0" w:leftChars="0" w:right="0" w:firstLine="420" w:firstLineChars="200"/>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 采购</w:t>
      </w:r>
      <w:r>
        <w:rPr>
          <w:rFonts w:hint="eastAsia" w:ascii="宋体" w:hAnsi="宋体" w:eastAsia="宋体" w:cs="宋体"/>
          <w:color w:val="auto"/>
          <w:szCs w:val="21"/>
          <w:highlight w:val="none"/>
          <w:lang w:eastAsia="zh-CN"/>
        </w:rPr>
        <w:t>人</w:t>
      </w:r>
      <w:r>
        <w:rPr>
          <w:rFonts w:hint="eastAsia" w:ascii="宋体" w:hAnsi="宋体" w:eastAsia="宋体" w:cs="宋体"/>
          <w:color w:val="auto"/>
          <w:szCs w:val="21"/>
          <w:highlight w:val="none"/>
          <w:lang w:val="en-US" w:eastAsia="zh-CN"/>
        </w:rPr>
        <w:t>对成交供应商的考核遵循每季度整体考核和每月考核相结合的原则。</w:t>
      </w:r>
    </w:p>
    <w:p w14:paraId="6E990791">
      <w:pPr>
        <w:keepNext w:val="0"/>
        <w:keepLines w:val="0"/>
        <w:pageBreakBefore w:val="0"/>
        <w:widowControl w:val="0"/>
        <w:kinsoku/>
        <w:wordWrap/>
        <w:overflowPunct/>
        <w:topLinePunct w:val="0"/>
        <w:autoSpaceDE/>
        <w:autoSpaceDN/>
        <w:bidi w:val="0"/>
        <w:adjustRightInd/>
        <w:snapToGrid/>
        <w:spacing w:line="360" w:lineRule="auto"/>
        <w:ind w:left="0" w:leftChars="0" w:right="0" w:firstLine="420" w:firstLineChars="200"/>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 月考核由采购单位保安监管部门成员日常巡查，在巡查过程中，如发现保安服务不达标或不符合相关要求的，提出限期整改意见并监督落实。</w:t>
      </w:r>
    </w:p>
    <w:p w14:paraId="00630314">
      <w:pPr>
        <w:keepNext w:val="0"/>
        <w:keepLines w:val="0"/>
        <w:pageBreakBefore w:val="0"/>
        <w:widowControl w:val="0"/>
        <w:kinsoku/>
        <w:wordWrap/>
        <w:overflowPunct/>
        <w:topLinePunct w:val="0"/>
        <w:autoSpaceDE/>
        <w:autoSpaceDN/>
        <w:bidi w:val="0"/>
        <w:adjustRightInd/>
        <w:snapToGrid/>
        <w:spacing w:line="360" w:lineRule="auto"/>
        <w:ind w:left="0" w:leftChars="0" w:right="0" w:firstLine="420" w:firstLineChars="20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3. 成交供应商严格配合采购单位开展保安相关工作，人员严格服从采购单位合理调配。</w:t>
      </w:r>
    </w:p>
    <w:p w14:paraId="7A043930">
      <w:p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十</w:t>
      </w:r>
      <w:r>
        <w:rPr>
          <w:rFonts w:hint="eastAsia" w:ascii="宋体" w:hAnsi="宋体" w:eastAsia="宋体" w:cs="宋体"/>
          <w:b/>
          <w:color w:val="auto"/>
          <w:sz w:val="21"/>
          <w:szCs w:val="21"/>
          <w:highlight w:val="none"/>
          <w:lang w:val="en-US" w:eastAsia="zh-CN"/>
        </w:rPr>
        <w:t>三</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val="en-US" w:eastAsia="zh-CN"/>
        </w:rPr>
        <w:t>保安</w:t>
      </w:r>
      <w:r>
        <w:rPr>
          <w:rFonts w:hint="eastAsia" w:ascii="宋体" w:hAnsi="宋体" w:eastAsia="宋体" w:cs="宋体"/>
          <w:b/>
          <w:color w:val="auto"/>
          <w:sz w:val="21"/>
          <w:szCs w:val="21"/>
          <w:highlight w:val="none"/>
        </w:rPr>
        <w:t>服务过程中须执行的国家相关标准、行业标准、地方标准或其他标准、规范</w:t>
      </w:r>
    </w:p>
    <w:p w14:paraId="49713D56">
      <w:pPr>
        <w:numPr>
          <w:ilvl w:val="0"/>
          <w:numId w:val="0"/>
        </w:numPr>
        <w:spacing w:line="360" w:lineRule="auto"/>
        <w:ind w:firstLine="420" w:firstLineChars="20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保安公司派驻保安员要经过政审合格，查清家庭背景。具体做到：思想是否端正，是否有上访记录、犯罪记录、治安处罚记录。经过体检合格，查身体是否健康，是否有精神病史、传染病史。对聘用保安员做到政审、体检合格后准许上岗。</w:t>
      </w:r>
    </w:p>
    <w:p w14:paraId="674FEDEB">
      <w:pPr>
        <w:numPr>
          <w:ilvl w:val="0"/>
          <w:numId w:val="0"/>
        </w:numPr>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kern w:val="2"/>
          <w:sz w:val="21"/>
          <w:szCs w:val="21"/>
          <w:highlight w:val="none"/>
          <w:lang w:val="en-US" w:eastAsia="zh-CN" w:bidi="ar-SA"/>
        </w:rPr>
        <w:t>十四、</w:t>
      </w:r>
      <w:r>
        <w:rPr>
          <w:rFonts w:hint="eastAsia" w:ascii="宋体" w:hAnsi="宋体" w:eastAsia="宋体" w:cs="宋体"/>
          <w:b/>
          <w:color w:val="auto"/>
          <w:sz w:val="21"/>
          <w:szCs w:val="21"/>
          <w:highlight w:val="none"/>
        </w:rPr>
        <w:t>其他要求</w:t>
      </w:r>
    </w:p>
    <w:p w14:paraId="7DF6E9F9">
      <w:pPr>
        <w:keepNext w:val="0"/>
        <w:keepLines w:val="0"/>
        <w:pageBreakBefore w:val="0"/>
        <w:widowControl w:val="0"/>
        <w:kinsoku/>
        <w:wordWrap/>
        <w:overflowPunct/>
        <w:topLinePunct w:val="0"/>
        <w:autoSpaceDE/>
        <w:autoSpaceDN/>
        <w:bidi w:val="0"/>
        <w:adjustRightInd/>
        <w:snapToGrid/>
        <w:spacing w:line="360" w:lineRule="auto"/>
        <w:ind w:left="0" w:leftChars="0" w:right="0" w:firstLine="420" w:firstLineChars="200"/>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1、须提供有效期内《保安服务许可证》，非天津注册供应商一旦成交，须在合同规定时间内到天津市公安机关进行备案，需提供备案承诺书。</w:t>
      </w:r>
    </w:p>
    <w:p w14:paraId="432FC7AE">
      <w:pPr>
        <w:keepNext w:val="0"/>
        <w:keepLines w:val="0"/>
        <w:pageBreakBefore w:val="0"/>
        <w:widowControl w:val="0"/>
        <w:kinsoku/>
        <w:wordWrap/>
        <w:overflowPunct/>
        <w:topLinePunct w:val="0"/>
        <w:autoSpaceDE/>
        <w:autoSpaceDN/>
        <w:bidi w:val="0"/>
        <w:adjustRightInd/>
        <w:snapToGrid/>
        <w:spacing w:line="360" w:lineRule="auto"/>
        <w:ind w:left="0" w:leftChars="0" w:right="0" w:firstLine="420" w:firstLineChars="200"/>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2、投标人具备质量管理体系认证、环境管理体系认证、职业健康安全管理体系认证。</w:t>
      </w:r>
    </w:p>
    <w:p w14:paraId="12354FBD">
      <w:pPr>
        <w:keepNext w:val="0"/>
        <w:keepLines w:val="0"/>
        <w:pageBreakBefore w:val="0"/>
        <w:widowControl w:val="0"/>
        <w:kinsoku/>
        <w:wordWrap/>
        <w:overflowPunct/>
        <w:topLinePunct w:val="0"/>
        <w:autoSpaceDE/>
        <w:autoSpaceDN/>
        <w:bidi w:val="0"/>
        <w:adjustRightInd/>
        <w:snapToGrid/>
        <w:spacing w:line="360" w:lineRule="auto"/>
        <w:ind w:left="0" w:leftChars="0" w:right="0" w:firstLine="420" w:firstLineChars="200"/>
        <w:textAlignment w:val="auto"/>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w:t>
      </w:r>
      <w:r>
        <w:rPr>
          <w:rFonts w:hint="default" w:ascii="宋体" w:hAnsi="宋体" w:eastAsia="宋体" w:cs="宋体"/>
          <w:color w:val="auto"/>
          <w:szCs w:val="21"/>
          <w:highlight w:val="none"/>
          <w:lang w:val="en-US" w:eastAsia="zh-CN"/>
        </w:rPr>
        <w:t>所有工作人员身体健康，</w:t>
      </w:r>
      <w:r>
        <w:rPr>
          <w:rFonts w:hint="eastAsia" w:ascii="宋体" w:hAnsi="宋体" w:eastAsia="宋体" w:cs="宋体"/>
          <w:color w:val="auto"/>
          <w:szCs w:val="21"/>
          <w:highlight w:val="none"/>
          <w:lang w:val="en-US" w:eastAsia="zh-CN"/>
        </w:rPr>
        <w:t>无心源性疾病，</w:t>
      </w:r>
      <w:r>
        <w:rPr>
          <w:rFonts w:hint="default" w:ascii="宋体" w:hAnsi="宋体" w:eastAsia="宋体" w:cs="宋体"/>
          <w:color w:val="auto"/>
          <w:szCs w:val="21"/>
          <w:highlight w:val="none"/>
          <w:lang w:val="en-US" w:eastAsia="zh-CN"/>
        </w:rPr>
        <w:t>能胜任工作要求。</w:t>
      </w:r>
    </w:p>
    <w:p w14:paraId="080824B3">
      <w:pPr>
        <w:keepNext w:val="0"/>
        <w:keepLines w:val="0"/>
        <w:pageBreakBefore w:val="0"/>
        <w:widowControl w:val="0"/>
        <w:kinsoku/>
        <w:wordWrap/>
        <w:overflowPunct/>
        <w:topLinePunct w:val="0"/>
        <w:autoSpaceDE/>
        <w:autoSpaceDN/>
        <w:bidi w:val="0"/>
        <w:adjustRightInd/>
        <w:snapToGrid/>
        <w:spacing w:line="360" w:lineRule="auto"/>
        <w:ind w:left="0" w:leftChars="0" w:right="0" w:firstLine="422" w:firstLineChars="200"/>
        <w:textAlignment w:val="auto"/>
        <w:rPr>
          <w:rFonts w:hint="eastAsia" w:ascii="宋体" w:hAnsi="宋体" w:eastAsia="宋体" w:cs="宋体"/>
          <w:b/>
          <w:bCs/>
          <w:color w:val="auto"/>
          <w:szCs w:val="21"/>
          <w:highlight w:val="none"/>
          <w:lang w:val="en-US" w:eastAsia="zh-CN"/>
        </w:rPr>
      </w:pPr>
      <w:r>
        <w:rPr>
          <w:rFonts w:hint="eastAsia" w:ascii="宋体" w:hAnsi="宋体" w:eastAsia="宋体" w:cs="宋体"/>
          <w:b/>
          <w:bCs/>
          <w:color w:val="auto"/>
          <w:szCs w:val="21"/>
          <w:highlight w:val="none"/>
          <w:lang w:val="en-US" w:eastAsia="zh-CN"/>
        </w:rPr>
        <w:t>4、投标人须承诺，本项目不得分包及转包。投标文件中须提供承诺书并加盖公章。</w:t>
      </w:r>
    </w:p>
    <w:p w14:paraId="7CA20E43">
      <w:pPr>
        <w:keepNext w:val="0"/>
        <w:keepLines w:val="0"/>
        <w:pageBreakBefore w:val="0"/>
        <w:widowControl w:val="0"/>
        <w:kinsoku/>
        <w:wordWrap/>
        <w:overflowPunct/>
        <w:topLinePunct w:val="0"/>
        <w:autoSpaceDE/>
        <w:autoSpaceDN/>
        <w:bidi w:val="0"/>
        <w:adjustRightInd/>
        <w:snapToGrid/>
        <w:spacing w:line="360" w:lineRule="auto"/>
        <w:ind w:left="0" w:leftChars="0" w:right="0" w:firstLine="422" w:firstLineChars="200"/>
        <w:textAlignment w:val="auto"/>
        <w:rPr>
          <w:rFonts w:hint="default" w:ascii="宋体" w:hAnsi="宋体" w:eastAsia="宋体" w:cs="宋体"/>
          <w:b/>
          <w:bCs/>
          <w:color w:val="auto"/>
          <w:szCs w:val="21"/>
          <w:highlight w:val="none"/>
          <w:lang w:val="en-US" w:eastAsia="zh-CN"/>
        </w:rPr>
      </w:pPr>
      <w:r>
        <w:rPr>
          <w:rFonts w:hint="eastAsia" w:ascii="宋体" w:hAnsi="宋体" w:eastAsia="宋体" w:cs="宋体"/>
          <w:b/>
          <w:bCs/>
          <w:color w:val="auto"/>
          <w:szCs w:val="21"/>
          <w:highlight w:val="none"/>
          <w:lang w:val="en-US" w:eastAsia="zh-CN"/>
        </w:rPr>
        <w:t>5、投标人须承诺，若我单位中标，所拟派的服务人员无心因性及心源性疾病，且在服务人员上岗前进行心因性及心源性疾病排查。投标文件中须提供承诺书并加盖公章。</w:t>
      </w:r>
    </w:p>
    <w:p w14:paraId="398739F3">
      <w:pPr>
        <w:ind w:firstLine="420"/>
        <w:rPr>
          <w:rFonts w:hint="default"/>
          <w:lang w:val="en-US" w:eastAsia="zh-CN"/>
        </w:rPr>
      </w:pPr>
      <w:bookmarkStart w:id="2" w:name="_GoBack"/>
      <w:bookmarkEnd w:id="2"/>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1023835"/>
      <w:docPartObj>
        <w:docPartGallery w:val="autotext"/>
      </w:docPartObj>
    </w:sdtPr>
    <w:sdtContent>
      <w:p w14:paraId="59A2F032">
        <w:pPr>
          <w:pStyle w:val="4"/>
          <w:jc w:val="center"/>
        </w:pPr>
        <w:r>
          <w:fldChar w:fldCharType="begin"/>
        </w:r>
        <w:r>
          <w:instrText xml:space="preserve">PAGE   \* MERGEFORMAT</w:instrText>
        </w:r>
        <w:r>
          <w:fldChar w:fldCharType="separate"/>
        </w:r>
        <w:r>
          <w:rPr>
            <w:lang w:val="zh-CN"/>
          </w:rPr>
          <w:t>4</w:t>
        </w:r>
        <w:r>
          <w:fldChar w:fldCharType="end"/>
        </w:r>
      </w:p>
    </w:sdtContent>
  </w:sdt>
  <w:p w14:paraId="28BF7D24">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7180"/>
    <w:rsid w:val="0000760C"/>
    <w:rsid w:val="00016F98"/>
    <w:rsid w:val="0003379E"/>
    <w:rsid w:val="000378B2"/>
    <w:rsid w:val="00041F8F"/>
    <w:rsid w:val="00051078"/>
    <w:rsid w:val="00085B00"/>
    <w:rsid w:val="000B04E8"/>
    <w:rsid w:val="000C3CED"/>
    <w:rsid w:val="000D0AB5"/>
    <w:rsid w:val="000D4A9C"/>
    <w:rsid w:val="000E3C50"/>
    <w:rsid w:val="000F0B61"/>
    <w:rsid w:val="00141664"/>
    <w:rsid w:val="0015324F"/>
    <w:rsid w:val="0016472D"/>
    <w:rsid w:val="001678B0"/>
    <w:rsid w:val="00193BCD"/>
    <w:rsid w:val="001A5C56"/>
    <w:rsid w:val="001C0D26"/>
    <w:rsid w:val="001D2ED7"/>
    <w:rsid w:val="001D357E"/>
    <w:rsid w:val="001E070E"/>
    <w:rsid w:val="001F403B"/>
    <w:rsid w:val="002274D7"/>
    <w:rsid w:val="0024212B"/>
    <w:rsid w:val="00263E55"/>
    <w:rsid w:val="002968A5"/>
    <w:rsid w:val="002B5F70"/>
    <w:rsid w:val="002C16D2"/>
    <w:rsid w:val="002D0E8F"/>
    <w:rsid w:val="002F02D8"/>
    <w:rsid w:val="00301469"/>
    <w:rsid w:val="00312673"/>
    <w:rsid w:val="00317684"/>
    <w:rsid w:val="00345DEB"/>
    <w:rsid w:val="00380063"/>
    <w:rsid w:val="003878A9"/>
    <w:rsid w:val="00394B36"/>
    <w:rsid w:val="003B2268"/>
    <w:rsid w:val="00416AFE"/>
    <w:rsid w:val="004223BD"/>
    <w:rsid w:val="00423894"/>
    <w:rsid w:val="00430DE2"/>
    <w:rsid w:val="00476843"/>
    <w:rsid w:val="00487896"/>
    <w:rsid w:val="004B4FD1"/>
    <w:rsid w:val="004B5CF6"/>
    <w:rsid w:val="004F0614"/>
    <w:rsid w:val="00512BA4"/>
    <w:rsid w:val="00527C21"/>
    <w:rsid w:val="0053398E"/>
    <w:rsid w:val="00533E55"/>
    <w:rsid w:val="00547D4D"/>
    <w:rsid w:val="00550616"/>
    <w:rsid w:val="0057368B"/>
    <w:rsid w:val="005978F7"/>
    <w:rsid w:val="005A2D13"/>
    <w:rsid w:val="005C1E3D"/>
    <w:rsid w:val="005C25CF"/>
    <w:rsid w:val="005D1D4A"/>
    <w:rsid w:val="005D3852"/>
    <w:rsid w:val="005D497B"/>
    <w:rsid w:val="005F297C"/>
    <w:rsid w:val="00604020"/>
    <w:rsid w:val="00613ECD"/>
    <w:rsid w:val="00625F1C"/>
    <w:rsid w:val="00634CD9"/>
    <w:rsid w:val="00652A1A"/>
    <w:rsid w:val="006534F9"/>
    <w:rsid w:val="00662743"/>
    <w:rsid w:val="00674640"/>
    <w:rsid w:val="006764CF"/>
    <w:rsid w:val="00680E10"/>
    <w:rsid w:val="00686BBC"/>
    <w:rsid w:val="006A1FE2"/>
    <w:rsid w:val="006A20EF"/>
    <w:rsid w:val="006A3081"/>
    <w:rsid w:val="006C4F76"/>
    <w:rsid w:val="006D2029"/>
    <w:rsid w:val="007033A5"/>
    <w:rsid w:val="007075F9"/>
    <w:rsid w:val="00710D9C"/>
    <w:rsid w:val="00714622"/>
    <w:rsid w:val="0072157E"/>
    <w:rsid w:val="00721FB8"/>
    <w:rsid w:val="0075407C"/>
    <w:rsid w:val="00782544"/>
    <w:rsid w:val="007966C0"/>
    <w:rsid w:val="007A58EF"/>
    <w:rsid w:val="007A7B78"/>
    <w:rsid w:val="007C388D"/>
    <w:rsid w:val="007C606E"/>
    <w:rsid w:val="007C675F"/>
    <w:rsid w:val="007D0938"/>
    <w:rsid w:val="007D4B79"/>
    <w:rsid w:val="007E42AB"/>
    <w:rsid w:val="007F0250"/>
    <w:rsid w:val="007F074C"/>
    <w:rsid w:val="008016EE"/>
    <w:rsid w:val="0085570C"/>
    <w:rsid w:val="00862638"/>
    <w:rsid w:val="00865C59"/>
    <w:rsid w:val="00875CD8"/>
    <w:rsid w:val="00883214"/>
    <w:rsid w:val="008901C0"/>
    <w:rsid w:val="008A1E8A"/>
    <w:rsid w:val="008A3B8A"/>
    <w:rsid w:val="008B0880"/>
    <w:rsid w:val="008D6B2D"/>
    <w:rsid w:val="008D79C9"/>
    <w:rsid w:val="008E1F93"/>
    <w:rsid w:val="008F1094"/>
    <w:rsid w:val="008F53DF"/>
    <w:rsid w:val="00930783"/>
    <w:rsid w:val="00947EC9"/>
    <w:rsid w:val="00954A38"/>
    <w:rsid w:val="00960592"/>
    <w:rsid w:val="00962475"/>
    <w:rsid w:val="00977FB6"/>
    <w:rsid w:val="0098214B"/>
    <w:rsid w:val="00993F3C"/>
    <w:rsid w:val="009B3625"/>
    <w:rsid w:val="009B6776"/>
    <w:rsid w:val="009E0796"/>
    <w:rsid w:val="009E0E52"/>
    <w:rsid w:val="009E7D35"/>
    <w:rsid w:val="00A10884"/>
    <w:rsid w:val="00A158E6"/>
    <w:rsid w:val="00A2459A"/>
    <w:rsid w:val="00A560B2"/>
    <w:rsid w:val="00A560CB"/>
    <w:rsid w:val="00A567D4"/>
    <w:rsid w:val="00A60CFE"/>
    <w:rsid w:val="00A92B69"/>
    <w:rsid w:val="00AA56EC"/>
    <w:rsid w:val="00AB748E"/>
    <w:rsid w:val="00AC2BCB"/>
    <w:rsid w:val="00B0010E"/>
    <w:rsid w:val="00B30F32"/>
    <w:rsid w:val="00B31B1F"/>
    <w:rsid w:val="00B61999"/>
    <w:rsid w:val="00B73F77"/>
    <w:rsid w:val="00BA05DA"/>
    <w:rsid w:val="00BA4D83"/>
    <w:rsid w:val="00BC3509"/>
    <w:rsid w:val="00BD2FB3"/>
    <w:rsid w:val="00BF4037"/>
    <w:rsid w:val="00C175A4"/>
    <w:rsid w:val="00C23E6E"/>
    <w:rsid w:val="00C323E1"/>
    <w:rsid w:val="00C604D7"/>
    <w:rsid w:val="00C6183A"/>
    <w:rsid w:val="00C82D44"/>
    <w:rsid w:val="00C960D2"/>
    <w:rsid w:val="00C975D7"/>
    <w:rsid w:val="00CC7180"/>
    <w:rsid w:val="00CD09E3"/>
    <w:rsid w:val="00CD5840"/>
    <w:rsid w:val="00CE4078"/>
    <w:rsid w:val="00CE4DAC"/>
    <w:rsid w:val="00CF0AA7"/>
    <w:rsid w:val="00D00BFE"/>
    <w:rsid w:val="00D0592C"/>
    <w:rsid w:val="00D26DDC"/>
    <w:rsid w:val="00D56790"/>
    <w:rsid w:val="00D57E7B"/>
    <w:rsid w:val="00D621E3"/>
    <w:rsid w:val="00DA3B07"/>
    <w:rsid w:val="00DB12D7"/>
    <w:rsid w:val="00DC2440"/>
    <w:rsid w:val="00DD760D"/>
    <w:rsid w:val="00DF37E7"/>
    <w:rsid w:val="00DF7D75"/>
    <w:rsid w:val="00E157A8"/>
    <w:rsid w:val="00E1733D"/>
    <w:rsid w:val="00E33574"/>
    <w:rsid w:val="00E37463"/>
    <w:rsid w:val="00E474C6"/>
    <w:rsid w:val="00E52652"/>
    <w:rsid w:val="00E569A8"/>
    <w:rsid w:val="00E62A68"/>
    <w:rsid w:val="00E67C04"/>
    <w:rsid w:val="00E73330"/>
    <w:rsid w:val="00E830FC"/>
    <w:rsid w:val="00EB1CB6"/>
    <w:rsid w:val="00EB1F35"/>
    <w:rsid w:val="00EB7EA7"/>
    <w:rsid w:val="00EC23CE"/>
    <w:rsid w:val="00EC7407"/>
    <w:rsid w:val="00ED37F7"/>
    <w:rsid w:val="00EF5154"/>
    <w:rsid w:val="00F013F2"/>
    <w:rsid w:val="00F05908"/>
    <w:rsid w:val="00F33DDF"/>
    <w:rsid w:val="00F5186B"/>
    <w:rsid w:val="00F60E3F"/>
    <w:rsid w:val="00F63EAD"/>
    <w:rsid w:val="00F66D70"/>
    <w:rsid w:val="00F722D5"/>
    <w:rsid w:val="00F82CC5"/>
    <w:rsid w:val="00FB6DC5"/>
    <w:rsid w:val="00FC4344"/>
    <w:rsid w:val="00FC776B"/>
    <w:rsid w:val="00FD2929"/>
    <w:rsid w:val="00FD2BB6"/>
    <w:rsid w:val="00FE1942"/>
    <w:rsid w:val="00FF4502"/>
    <w:rsid w:val="019F1377"/>
    <w:rsid w:val="027F3841"/>
    <w:rsid w:val="04F82B4C"/>
    <w:rsid w:val="050F05B1"/>
    <w:rsid w:val="05BC1DCB"/>
    <w:rsid w:val="06A21E2E"/>
    <w:rsid w:val="07427412"/>
    <w:rsid w:val="07B611C8"/>
    <w:rsid w:val="07D63618"/>
    <w:rsid w:val="0A48676E"/>
    <w:rsid w:val="0ADE147D"/>
    <w:rsid w:val="0B077F8D"/>
    <w:rsid w:val="0E1C5AFD"/>
    <w:rsid w:val="10937491"/>
    <w:rsid w:val="11AA34A1"/>
    <w:rsid w:val="151A7A7B"/>
    <w:rsid w:val="160D5411"/>
    <w:rsid w:val="17775075"/>
    <w:rsid w:val="19410B0E"/>
    <w:rsid w:val="1C8513AC"/>
    <w:rsid w:val="1DD50D1F"/>
    <w:rsid w:val="1E6F2058"/>
    <w:rsid w:val="20740B35"/>
    <w:rsid w:val="239A1557"/>
    <w:rsid w:val="26804A23"/>
    <w:rsid w:val="27BC5F2F"/>
    <w:rsid w:val="295D46B6"/>
    <w:rsid w:val="2A5B075A"/>
    <w:rsid w:val="2B013C59"/>
    <w:rsid w:val="2BCB6C93"/>
    <w:rsid w:val="2F932F4D"/>
    <w:rsid w:val="30861B2B"/>
    <w:rsid w:val="3D5C3A0F"/>
    <w:rsid w:val="3D826E7B"/>
    <w:rsid w:val="408074DD"/>
    <w:rsid w:val="40A565A2"/>
    <w:rsid w:val="42D9753D"/>
    <w:rsid w:val="45A76DD2"/>
    <w:rsid w:val="491F5EC6"/>
    <w:rsid w:val="49DF720F"/>
    <w:rsid w:val="4C0D46FC"/>
    <w:rsid w:val="4E5D6ED5"/>
    <w:rsid w:val="4E7C1F43"/>
    <w:rsid w:val="4F1B0EDE"/>
    <w:rsid w:val="4FF4658F"/>
    <w:rsid w:val="582C415B"/>
    <w:rsid w:val="588B432B"/>
    <w:rsid w:val="58E32A6C"/>
    <w:rsid w:val="5B046CCA"/>
    <w:rsid w:val="5B7976B8"/>
    <w:rsid w:val="5E823F43"/>
    <w:rsid w:val="607572A4"/>
    <w:rsid w:val="615C1D88"/>
    <w:rsid w:val="61A905CB"/>
    <w:rsid w:val="643A5543"/>
    <w:rsid w:val="65921AA2"/>
    <w:rsid w:val="65D11E9E"/>
    <w:rsid w:val="65DD4873"/>
    <w:rsid w:val="6645250B"/>
    <w:rsid w:val="666260B8"/>
    <w:rsid w:val="66A80E51"/>
    <w:rsid w:val="67351044"/>
    <w:rsid w:val="68B00491"/>
    <w:rsid w:val="69DB32EB"/>
    <w:rsid w:val="6B4751B5"/>
    <w:rsid w:val="6D8E2AD7"/>
    <w:rsid w:val="6DFB21AE"/>
    <w:rsid w:val="6E517ACC"/>
    <w:rsid w:val="6E80463B"/>
    <w:rsid w:val="71191BB7"/>
    <w:rsid w:val="75952EE8"/>
    <w:rsid w:val="75A0047D"/>
    <w:rsid w:val="764C5E0A"/>
    <w:rsid w:val="78006D3F"/>
    <w:rsid w:val="79271534"/>
    <w:rsid w:val="79393B8B"/>
    <w:rsid w:val="79694470"/>
    <w:rsid w:val="79993CD3"/>
    <w:rsid w:val="7B1F2074"/>
    <w:rsid w:val="7B5F6826"/>
    <w:rsid w:val="7BD6699F"/>
    <w:rsid w:val="7DAC0DCF"/>
    <w:rsid w:val="7E1F3C97"/>
    <w:rsid w:val="7EE051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ody Text"/>
    <w:basedOn w:val="1"/>
    <w:next w:val="1"/>
    <w:unhideWhenUsed/>
    <w:qFormat/>
    <w:uiPriority w:val="99"/>
    <w:pPr>
      <w:spacing w:after="120"/>
    </w:p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rPr>
      <w:sz w:val="24"/>
    </w:rPr>
  </w:style>
  <w:style w:type="paragraph" w:styleId="7">
    <w:name w:val="Title"/>
    <w:basedOn w:val="1"/>
    <w:next w:val="1"/>
    <w:link w:val="12"/>
    <w:qFormat/>
    <w:uiPriority w:val="10"/>
    <w:pPr>
      <w:spacing w:before="240" w:after="60"/>
      <w:jc w:val="center"/>
      <w:outlineLvl w:val="0"/>
    </w:pPr>
    <w:rPr>
      <w:rFonts w:eastAsia="宋体" w:asciiTheme="majorHAnsi" w:hAnsiTheme="majorHAnsi" w:cstheme="majorBidi"/>
      <w:b/>
      <w:bCs/>
      <w:sz w:val="32"/>
      <w:szCs w:val="32"/>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Hyperlink"/>
    <w:basedOn w:val="10"/>
    <w:unhideWhenUsed/>
    <w:qFormat/>
    <w:uiPriority w:val="99"/>
    <w:rPr>
      <w:color w:val="0000FF" w:themeColor="hyperlink"/>
      <w:u w:val="single"/>
      <w14:textFill>
        <w14:solidFill>
          <w14:schemeClr w14:val="hlink"/>
        </w14:solidFill>
      </w14:textFill>
    </w:rPr>
  </w:style>
  <w:style w:type="character" w:customStyle="1" w:styleId="12">
    <w:name w:val="标题 Char"/>
    <w:basedOn w:val="10"/>
    <w:link w:val="7"/>
    <w:qFormat/>
    <w:uiPriority w:val="10"/>
    <w:rPr>
      <w:rFonts w:eastAsia="宋体" w:asciiTheme="majorHAnsi" w:hAnsiTheme="majorHAnsi" w:cstheme="majorBidi"/>
      <w:b/>
      <w:bCs/>
      <w:sz w:val="32"/>
      <w:szCs w:val="32"/>
    </w:rPr>
  </w:style>
  <w:style w:type="character" w:customStyle="1" w:styleId="13">
    <w:name w:val="页眉 Char"/>
    <w:basedOn w:val="10"/>
    <w:link w:val="5"/>
    <w:qFormat/>
    <w:uiPriority w:val="99"/>
    <w:rPr>
      <w:sz w:val="18"/>
      <w:szCs w:val="18"/>
    </w:rPr>
  </w:style>
  <w:style w:type="character" w:customStyle="1" w:styleId="14">
    <w:name w:val="页脚 Char"/>
    <w:basedOn w:val="10"/>
    <w:link w:val="4"/>
    <w:qFormat/>
    <w:uiPriority w:val="99"/>
    <w:rPr>
      <w:sz w:val="18"/>
      <w:szCs w:val="18"/>
    </w:rPr>
  </w:style>
  <w:style w:type="paragraph" w:styleId="15">
    <w:name w:val="Intense Quote"/>
    <w:basedOn w:val="1"/>
    <w:next w:val="1"/>
    <w:autoRedefine/>
    <w:qFormat/>
    <w:uiPriority w:val="0"/>
    <w:pPr>
      <w:spacing w:before="360" w:after="360"/>
      <w:ind w:left="950" w:right="950" w:firstLine="0"/>
      <w:jc w:val="center"/>
    </w:pPr>
    <w:rPr>
      <w:rFonts w:ascii="宋体" w:hAnsi="宋体" w:eastAsia="Times New Roman" w:cs="Times New Roman"/>
      <w:i/>
      <w:sz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7</Pages>
  <Words>4140</Words>
  <Characters>4213</Characters>
  <Lines>12</Lines>
  <Paragraphs>3</Paragraphs>
  <TotalTime>0</TotalTime>
  <ScaleCrop>false</ScaleCrop>
  <LinksUpToDate>false</LinksUpToDate>
  <CharactersWithSpaces>4237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2023-10-24T01:48:00Z</dcterms:created>
  <dc:creator>未定义</dc:creator>
  <cp:lastModifiedBy>Mr an</cp:lastModifiedBy>
  <cp:lastPrinted>2026-04-22T02:15:00Z</cp:lastPrinted>
  <dcterms:modified xsi:type="dcterms:W3CDTF">2026-05-06T02:27:58Z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eyJoZGlkIjoiYjk4OGZhZmMzNmE4ZDE2MTdhM2ZlMzlkNjliMTc3MjIiLCJ1c2VySWQiOiI3NjA0ODM2MTMifQ==</vt:lpwstr>
  </property>
  <property fmtid="{D5CDD505-2E9C-101B-9397-08002B2CF9AE}" pid="4" name="ICV">
    <vt:lpwstr>58CC24FEC5AC471C8C7A1B0EFBC54897_13</vt:lpwstr>
  </property>
</Properties>
</file>