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F94CDB">
      <w:pPr>
        <w:jc w:val="center"/>
        <w:rPr>
          <w:rFonts w:hint="default" w:ascii="Times New Roman" w:hAnsi="Times New Roman" w:eastAsia="方正小标宋_GBK" w:cs="Times New Roman"/>
          <w:b w:val="0"/>
          <w:bCs/>
          <w:sz w:val="44"/>
          <w:szCs w:val="44"/>
          <w:highlight w:val="none"/>
          <w:lang w:val="en-US" w:eastAsia="zh-CN"/>
        </w:rPr>
      </w:pPr>
    </w:p>
    <w:p w14:paraId="75FD0736">
      <w:pPr>
        <w:jc w:val="center"/>
        <w:rPr>
          <w:rFonts w:hint="default" w:ascii="Times New Roman" w:hAnsi="Times New Roman" w:eastAsia="方正小标宋_GBK" w:cs="Times New Roman"/>
          <w:b w:val="0"/>
          <w:bCs/>
          <w:sz w:val="44"/>
          <w:szCs w:val="44"/>
          <w:highlight w:val="none"/>
          <w:lang w:eastAsia="zh-CN"/>
        </w:rPr>
      </w:pPr>
      <w:r>
        <w:rPr>
          <w:rFonts w:hint="default" w:ascii="Times New Roman" w:hAnsi="Times New Roman" w:eastAsia="方正小标宋_GBK" w:cs="Times New Roman"/>
          <w:b w:val="0"/>
          <w:bCs/>
          <w:sz w:val="44"/>
          <w:szCs w:val="44"/>
          <w:highlight w:val="none"/>
          <w:lang w:val="en-US" w:eastAsia="zh-CN"/>
        </w:rPr>
        <w:t>极端热辐射环境下森林消防防护装备整装评价平台--高温辐射热源及调控系统、标准热辐射假人防护评价系统</w:t>
      </w:r>
      <w:r>
        <w:rPr>
          <w:rFonts w:hint="eastAsia" w:ascii="Times New Roman" w:hAnsi="Times New Roman" w:eastAsia="方正小标宋_GBK" w:cs="Times New Roman"/>
          <w:b w:val="0"/>
          <w:bCs/>
          <w:sz w:val="44"/>
          <w:szCs w:val="44"/>
          <w:highlight w:val="none"/>
          <w:lang w:val="en-US" w:eastAsia="zh-CN"/>
        </w:rPr>
        <w:t xml:space="preserve"> </w:t>
      </w:r>
      <w:r>
        <w:rPr>
          <w:rFonts w:hint="default" w:ascii="Times New Roman" w:hAnsi="Times New Roman" w:eastAsia="方正小标宋_GBK" w:cs="Times New Roman"/>
          <w:b w:val="0"/>
          <w:bCs/>
          <w:sz w:val="44"/>
          <w:szCs w:val="44"/>
          <w:highlight w:val="none"/>
        </w:rPr>
        <w:t>项目需求</w:t>
      </w:r>
      <w:r>
        <w:rPr>
          <w:rFonts w:hint="default" w:ascii="Times New Roman" w:hAnsi="Times New Roman" w:eastAsia="方正小标宋_GBK" w:cs="Times New Roman"/>
          <w:b w:val="0"/>
          <w:bCs/>
          <w:sz w:val="44"/>
          <w:szCs w:val="44"/>
          <w:highlight w:val="none"/>
          <w:lang w:eastAsia="zh-CN"/>
        </w:rPr>
        <w:t>任务</w:t>
      </w:r>
      <w:r>
        <w:rPr>
          <w:rFonts w:hint="default" w:ascii="Times New Roman" w:hAnsi="Times New Roman" w:eastAsia="方正小标宋_GBK" w:cs="Times New Roman"/>
          <w:b w:val="0"/>
          <w:bCs/>
          <w:sz w:val="44"/>
          <w:szCs w:val="44"/>
          <w:highlight w:val="none"/>
        </w:rPr>
        <w:t>书</w:t>
      </w:r>
    </w:p>
    <w:p w14:paraId="25F7A669">
      <w:pPr>
        <w:spacing w:line="360" w:lineRule="auto"/>
        <w:ind w:firstLine="643" w:firstLineChars="200"/>
        <w:jc w:val="left"/>
        <w:rPr>
          <w:rFonts w:hint="default" w:ascii="Times New Roman" w:hAnsi="Times New Roman" w:eastAsia="方正小标宋简体" w:cs="Times New Roman"/>
          <w:b/>
          <w:sz w:val="32"/>
          <w:szCs w:val="32"/>
          <w:highlight w:val="none"/>
        </w:rPr>
      </w:pPr>
    </w:p>
    <w:p w14:paraId="5B0691AA">
      <w:pPr>
        <w:spacing w:line="360" w:lineRule="auto"/>
        <w:ind w:firstLine="640" w:firstLineChars="200"/>
        <w:jc w:val="left"/>
        <w:rPr>
          <w:rFonts w:hint="default" w:ascii="Times New Roman" w:hAnsi="Times New Roman" w:eastAsia="方正黑体_GBK" w:cs="Times New Roman"/>
          <w:b w:val="0"/>
          <w:bCs/>
          <w:sz w:val="32"/>
          <w:szCs w:val="32"/>
          <w:highlight w:val="none"/>
        </w:rPr>
      </w:pPr>
      <w:r>
        <w:rPr>
          <w:rFonts w:hint="default" w:ascii="Times New Roman" w:hAnsi="Times New Roman" w:eastAsia="方正黑体_GBK" w:cs="Times New Roman"/>
          <w:b w:val="0"/>
          <w:bCs/>
          <w:sz w:val="32"/>
          <w:szCs w:val="32"/>
          <w:highlight w:val="none"/>
        </w:rPr>
        <w:t>一、项目概况</w:t>
      </w:r>
    </w:p>
    <w:p w14:paraId="1963D3F4">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本项目为</w:t>
      </w:r>
      <w:r>
        <w:rPr>
          <w:rFonts w:hint="default" w:ascii="Times New Roman" w:hAnsi="Times New Roman" w:eastAsia="方正仿宋_GBK" w:cs="Times New Roman"/>
          <w:b w:val="0"/>
          <w:bCs/>
          <w:sz w:val="32"/>
          <w:szCs w:val="32"/>
          <w:highlight w:val="none"/>
          <w:lang w:val="en-US" w:eastAsia="zh-CN"/>
        </w:rPr>
        <w:t>极端热辐射环境下森林消防防护装备整装评价平台--高温辐射热源及调控系统、标准热辐射假人防护评价系统</w:t>
      </w:r>
      <w:r>
        <w:rPr>
          <w:rFonts w:hint="default" w:ascii="Times New Roman" w:hAnsi="Times New Roman" w:eastAsia="方正仿宋_GBK" w:cs="Times New Roman"/>
          <w:b w:val="0"/>
          <w:bCs/>
          <w:sz w:val="32"/>
          <w:szCs w:val="32"/>
          <w:highlight w:val="none"/>
        </w:rPr>
        <w:t>采购项目。主要设备包括</w:t>
      </w:r>
      <w:r>
        <w:rPr>
          <w:rFonts w:hint="default" w:ascii="Times New Roman" w:hAnsi="Times New Roman" w:eastAsia="方正仿宋_GBK" w:cs="Times New Roman"/>
          <w:b w:val="0"/>
          <w:bCs/>
          <w:sz w:val="32"/>
          <w:szCs w:val="32"/>
          <w:highlight w:val="none"/>
          <w:lang w:val="en-US" w:eastAsia="zh-CN"/>
        </w:rPr>
        <w:t>辐射</w:t>
      </w:r>
      <w:r>
        <w:rPr>
          <w:rFonts w:hint="eastAsia" w:ascii="Times New Roman" w:hAnsi="Times New Roman" w:eastAsia="方正仿宋_GBK" w:cs="Times New Roman"/>
          <w:b w:val="0"/>
          <w:bCs/>
          <w:sz w:val="32"/>
          <w:szCs w:val="32"/>
          <w:highlight w:val="none"/>
          <w:lang w:val="en-US" w:eastAsia="zh-CN"/>
        </w:rPr>
        <w:t>热源及调控系统、火焰热源及调控系统、</w:t>
      </w:r>
      <w:r>
        <w:rPr>
          <w:rFonts w:hint="default" w:ascii="Times New Roman" w:hAnsi="Times New Roman" w:eastAsia="方正仿宋_GBK" w:cs="Times New Roman"/>
          <w:b w:val="0"/>
          <w:bCs/>
          <w:sz w:val="32"/>
          <w:szCs w:val="32"/>
          <w:highlight w:val="none"/>
          <w:lang w:val="en-US" w:eastAsia="zh-CN"/>
        </w:rPr>
        <w:t>评价试验标准热辐射假人</w:t>
      </w:r>
      <w:r>
        <w:rPr>
          <w:rFonts w:hint="eastAsia" w:ascii="Times New Roman" w:hAnsi="Times New Roman" w:eastAsia="方正仿宋_GBK" w:cs="Times New Roman"/>
          <w:b w:val="0"/>
          <w:bCs/>
          <w:sz w:val="32"/>
          <w:szCs w:val="32"/>
          <w:highlight w:val="none"/>
          <w:lang w:val="en-US" w:eastAsia="zh-CN"/>
        </w:rPr>
        <w:t>、</w:t>
      </w:r>
      <w:r>
        <w:rPr>
          <w:rFonts w:hint="default" w:ascii="Times New Roman" w:hAnsi="Times New Roman" w:eastAsia="方正仿宋_GBK" w:cs="Times New Roman"/>
          <w:b w:val="0"/>
          <w:bCs/>
          <w:sz w:val="32"/>
          <w:szCs w:val="32"/>
          <w:highlight w:val="none"/>
          <w:lang w:val="en-US" w:eastAsia="zh-CN"/>
        </w:rPr>
        <w:t>热辐射</w:t>
      </w:r>
      <w:r>
        <w:rPr>
          <w:rFonts w:hint="eastAsia" w:ascii="Times New Roman" w:hAnsi="Times New Roman" w:eastAsia="方正仿宋_GBK" w:cs="Times New Roman"/>
          <w:b w:val="0"/>
          <w:bCs/>
          <w:sz w:val="32"/>
          <w:szCs w:val="32"/>
          <w:highlight w:val="none"/>
          <w:lang w:val="en-US" w:eastAsia="zh-CN"/>
        </w:rPr>
        <w:t>与</w:t>
      </w:r>
      <w:r>
        <w:rPr>
          <w:rFonts w:hint="default" w:ascii="Times New Roman" w:hAnsi="Times New Roman" w:eastAsia="方正仿宋_GBK" w:cs="Times New Roman"/>
          <w:b w:val="0"/>
          <w:bCs/>
          <w:sz w:val="32"/>
          <w:szCs w:val="32"/>
          <w:highlight w:val="none"/>
          <w:lang w:val="en-US" w:eastAsia="zh-CN"/>
        </w:rPr>
        <w:t>热灼烧防护性能评价系统，</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以</w:t>
      </w:r>
      <w:r>
        <w:rPr>
          <w:rFonts w:hint="default" w:ascii="Times New Roman" w:hAnsi="Times New Roman" w:eastAsia="方正仿宋_GBK" w:cs="Times New Roman"/>
          <w:b w:val="0"/>
          <w:bCs/>
          <w:sz w:val="32"/>
          <w:szCs w:val="32"/>
          <w:highlight w:val="none"/>
        </w:rPr>
        <w:t>及其它配套材料和安装调试。</w:t>
      </w:r>
    </w:p>
    <w:p w14:paraId="64AE1CC5">
      <w:pPr>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本项目预算经费为</w:t>
      </w:r>
      <w:r>
        <w:rPr>
          <w:rFonts w:hint="eastAsia" w:ascii="Times New Roman" w:hAnsi="Times New Roman" w:eastAsia="方正仿宋_GBK" w:cs="Times New Roman"/>
          <w:b w:val="0"/>
          <w:bCs/>
          <w:kern w:val="0"/>
          <w:sz w:val="32"/>
          <w:szCs w:val="32"/>
          <w:highlight w:val="none"/>
          <w:lang w:val="en-US" w:eastAsia="zh-CN"/>
        </w:rPr>
        <w:t>1180万</w:t>
      </w:r>
      <w:r>
        <w:rPr>
          <w:rFonts w:hint="default" w:ascii="Times New Roman" w:hAnsi="Times New Roman" w:eastAsia="方正仿宋_GBK" w:cs="Times New Roman"/>
          <w:b w:val="0"/>
          <w:bCs/>
          <w:sz w:val="32"/>
          <w:szCs w:val="32"/>
          <w:highlight w:val="none"/>
        </w:rPr>
        <w:t>元</w:t>
      </w:r>
      <w:r>
        <w:rPr>
          <w:rFonts w:hint="eastAsia" w:ascii="Times New Roman" w:hAnsi="Times New Roman" w:eastAsia="方正仿宋_GBK" w:cs="Times New Roman"/>
          <w:b w:val="0"/>
          <w:bCs/>
          <w:sz w:val="32"/>
          <w:szCs w:val="32"/>
          <w:highlight w:val="none"/>
          <w:lang w:eastAsia="zh-CN"/>
        </w:rPr>
        <w:t>，</w:t>
      </w:r>
      <w:r>
        <w:rPr>
          <w:rFonts w:hint="eastAsia" w:ascii="Times New Roman" w:hAnsi="Times New Roman" w:eastAsia="方正仿宋_GBK" w:cs="Times New Roman"/>
          <w:b w:val="0"/>
          <w:bCs/>
          <w:sz w:val="32"/>
          <w:szCs w:val="32"/>
          <w:highlight w:val="yellow"/>
          <w:lang w:val="en-US" w:eastAsia="zh-CN"/>
        </w:rPr>
        <w:t>拟采购进口设备已完成论证及审批</w:t>
      </w:r>
      <w:r>
        <w:rPr>
          <w:rFonts w:hint="default" w:ascii="Times New Roman" w:hAnsi="Times New Roman" w:eastAsia="方正仿宋_GBK" w:cs="Times New Roman"/>
          <w:b w:val="0"/>
          <w:bCs/>
          <w:sz w:val="32"/>
          <w:szCs w:val="32"/>
          <w:highlight w:val="yellow"/>
        </w:rPr>
        <w:t>。</w:t>
      </w:r>
    </w:p>
    <w:p w14:paraId="5356E139">
      <w:pPr>
        <w:ind w:firstLine="640" w:firstLineChars="200"/>
        <w:jc w:val="left"/>
        <w:rPr>
          <w:rFonts w:hint="default" w:ascii="Times New Roman" w:hAnsi="Times New Roman" w:eastAsia="方正仿宋_GBK" w:cs="Times New Roman"/>
          <w:b w:val="0"/>
          <w:bCs/>
          <w:sz w:val="32"/>
          <w:szCs w:val="32"/>
          <w:highlight w:val="none"/>
        </w:rPr>
      </w:pPr>
      <w:bookmarkStart w:id="3" w:name="_GoBack"/>
      <w:bookmarkEnd w:id="3"/>
    </w:p>
    <w:p w14:paraId="1E51D7B5">
      <w:pPr>
        <w:ind w:firstLine="640" w:firstLineChars="200"/>
        <w:jc w:val="left"/>
        <w:rPr>
          <w:rFonts w:hint="default" w:ascii="Times New Roman" w:hAnsi="Times New Roman" w:eastAsia="方正仿宋_GBK" w:cs="Times New Roman"/>
          <w:b w:val="0"/>
          <w:bCs/>
          <w:sz w:val="32"/>
          <w:szCs w:val="32"/>
          <w:highlight w:val="none"/>
        </w:rPr>
      </w:pPr>
    </w:p>
    <w:p w14:paraId="68CEE81D">
      <w:pPr>
        <w:spacing w:line="360" w:lineRule="auto"/>
        <w:ind w:firstLine="640" w:firstLineChars="200"/>
        <w:jc w:val="left"/>
        <w:rPr>
          <w:rFonts w:hint="default" w:ascii="Times New Roman" w:hAnsi="Times New Roman" w:eastAsia="方正黑体_GBK" w:cs="Times New Roman"/>
          <w:b w:val="0"/>
          <w:bCs/>
          <w:sz w:val="32"/>
          <w:szCs w:val="32"/>
          <w:highlight w:val="none"/>
        </w:rPr>
      </w:pPr>
      <w:r>
        <w:rPr>
          <w:rFonts w:hint="default" w:ascii="Times New Roman" w:hAnsi="Times New Roman" w:eastAsia="方正黑体_GBK" w:cs="Times New Roman"/>
          <w:b w:val="0"/>
          <w:bCs/>
          <w:sz w:val="32"/>
          <w:szCs w:val="32"/>
          <w:highlight w:val="none"/>
          <w:lang w:val="en-US" w:eastAsia="zh-CN"/>
        </w:rPr>
        <w:t>二</w:t>
      </w:r>
      <w:r>
        <w:rPr>
          <w:rFonts w:hint="default" w:ascii="Times New Roman" w:hAnsi="Times New Roman" w:eastAsia="方正黑体_GBK" w:cs="Times New Roman"/>
          <w:b w:val="0"/>
          <w:bCs/>
          <w:sz w:val="32"/>
          <w:szCs w:val="32"/>
          <w:highlight w:val="none"/>
        </w:rPr>
        <w:t>、采购清单</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
        <w:gridCol w:w="2494"/>
        <w:gridCol w:w="1171"/>
        <w:gridCol w:w="3054"/>
        <w:gridCol w:w="1268"/>
        <w:gridCol w:w="1005"/>
      </w:tblGrid>
      <w:tr w14:paraId="540E5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2" w:type="dxa"/>
            <w:vAlign w:val="center"/>
          </w:tcPr>
          <w:p w14:paraId="16C92223">
            <w:pPr>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序号</w:t>
            </w:r>
          </w:p>
        </w:tc>
        <w:tc>
          <w:tcPr>
            <w:tcW w:w="2494" w:type="dxa"/>
            <w:vAlign w:val="center"/>
          </w:tcPr>
          <w:p w14:paraId="72B3A149">
            <w:pPr>
              <w:jc w:val="center"/>
              <w:rPr>
                <w:rFonts w:hint="default" w:ascii="Times New Roman" w:hAnsi="Times New Roman" w:eastAsia="方正仿宋_GBK" w:cs="Times New Roman"/>
                <w:b w:val="0"/>
                <w:bCs/>
                <w:sz w:val="32"/>
                <w:szCs w:val="32"/>
                <w:highlight w:val="none"/>
                <w:lang w:val="en-US" w:eastAsia="zh-CN"/>
              </w:rPr>
            </w:pPr>
            <w:r>
              <w:rPr>
                <w:rFonts w:hint="default" w:ascii="Times New Roman" w:hAnsi="Times New Roman" w:eastAsia="方正仿宋_GBK" w:cs="Times New Roman"/>
                <w:b w:val="0"/>
                <w:bCs/>
                <w:sz w:val="32"/>
                <w:szCs w:val="32"/>
                <w:highlight w:val="none"/>
                <w:lang w:val="en-US" w:eastAsia="zh-CN"/>
              </w:rPr>
              <w:t>设备名称</w:t>
            </w:r>
          </w:p>
        </w:tc>
        <w:tc>
          <w:tcPr>
            <w:tcW w:w="1171" w:type="dxa"/>
            <w:vAlign w:val="center"/>
          </w:tcPr>
          <w:p w14:paraId="44438A23">
            <w:pPr>
              <w:jc w:val="center"/>
              <w:rPr>
                <w:rFonts w:hint="default" w:ascii="Times New Roman" w:hAnsi="Times New Roman" w:eastAsia="方正仿宋_GBK" w:cs="Times New Roman"/>
                <w:b w:val="0"/>
                <w:bCs/>
                <w:sz w:val="32"/>
                <w:szCs w:val="32"/>
                <w:highlight w:val="none"/>
                <w:lang w:val="en-US" w:eastAsia="zh-CN"/>
              </w:rPr>
            </w:pPr>
            <w:r>
              <w:rPr>
                <w:rFonts w:hint="default" w:ascii="Times New Roman" w:hAnsi="Times New Roman" w:eastAsia="方正仿宋_GBK" w:cs="Times New Roman"/>
                <w:b w:val="0"/>
                <w:bCs/>
                <w:sz w:val="32"/>
                <w:szCs w:val="32"/>
                <w:highlight w:val="none"/>
                <w:lang w:val="en-US" w:eastAsia="zh-CN"/>
              </w:rPr>
              <w:t>数量</w:t>
            </w:r>
            <w:r>
              <w:rPr>
                <w:rFonts w:hint="eastAsia" w:ascii="Times New Roman" w:hAnsi="Times New Roman" w:eastAsia="方正仿宋_GBK" w:cs="Times New Roman"/>
                <w:b w:val="0"/>
                <w:bCs/>
                <w:sz w:val="32"/>
                <w:szCs w:val="32"/>
                <w:highlight w:val="none"/>
                <w:lang w:val="en-US" w:eastAsia="zh-CN"/>
              </w:rPr>
              <w:t>（套）</w:t>
            </w:r>
          </w:p>
        </w:tc>
        <w:tc>
          <w:tcPr>
            <w:tcW w:w="3054" w:type="dxa"/>
            <w:vAlign w:val="center"/>
          </w:tcPr>
          <w:p w14:paraId="1DFA200B">
            <w:pPr>
              <w:jc w:val="center"/>
              <w:rPr>
                <w:rFonts w:hint="eastAsia"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主要</w:t>
            </w:r>
          </w:p>
          <w:p w14:paraId="4D6E854B">
            <w:pPr>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组件</w:t>
            </w:r>
          </w:p>
        </w:tc>
        <w:tc>
          <w:tcPr>
            <w:tcW w:w="1268" w:type="dxa"/>
            <w:vAlign w:val="center"/>
          </w:tcPr>
          <w:p w14:paraId="339F5D20">
            <w:pPr>
              <w:jc w:val="center"/>
              <w:rPr>
                <w:rFonts w:hint="default" w:ascii="Times New Roman" w:hAnsi="Times New Roman" w:eastAsia="方正仿宋_GBK" w:cs="Times New Roman"/>
                <w:b w:val="0"/>
                <w:bCs/>
                <w:sz w:val="32"/>
                <w:szCs w:val="32"/>
                <w:highlight w:val="none"/>
                <w:lang w:val="en-US" w:eastAsia="zh-CN"/>
              </w:rPr>
            </w:pPr>
            <w:r>
              <w:rPr>
                <w:rFonts w:hint="default" w:ascii="Times New Roman" w:hAnsi="Times New Roman" w:eastAsia="方正仿宋_GBK" w:cs="Times New Roman"/>
                <w:b w:val="0"/>
                <w:bCs/>
                <w:sz w:val="32"/>
                <w:szCs w:val="32"/>
                <w:highlight w:val="none"/>
                <w:lang w:val="en-US" w:eastAsia="zh-CN"/>
              </w:rPr>
              <w:t>预算</w:t>
            </w:r>
          </w:p>
          <w:p w14:paraId="47D5DB5A">
            <w:pPr>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（万元）</w:t>
            </w:r>
          </w:p>
        </w:tc>
        <w:tc>
          <w:tcPr>
            <w:tcW w:w="1005" w:type="dxa"/>
            <w:vAlign w:val="center"/>
          </w:tcPr>
          <w:p w14:paraId="5D056EAC">
            <w:pPr>
              <w:jc w:val="center"/>
              <w:rPr>
                <w:rFonts w:hint="default" w:ascii="Times New Roman" w:hAnsi="Times New Roman" w:eastAsia="方正仿宋_GBK" w:cs="Times New Roman"/>
                <w:b w:val="0"/>
                <w:bCs/>
                <w:sz w:val="32"/>
                <w:szCs w:val="32"/>
                <w:highlight w:val="none"/>
                <w:lang w:val="en-US" w:eastAsia="zh-CN"/>
              </w:rPr>
            </w:pPr>
            <w:r>
              <w:rPr>
                <w:rFonts w:hint="default" w:ascii="Times New Roman" w:hAnsi="Times New Roman" w:eastAsia="方正仿宋_GBK" w:cs="Times New Roman"/>
                <w:b w:val="0"/>
                <w:bCs/>
                <w:sz w:val="32"/>
                <w:szCs w:val="32"/>
                <w:highlight w:val="none"/>
                <w:lang w:val="en-US" w:eastAsia="zh-CN"/>
              </w:rPr>
              <w:t>是否</w:t>
            </w:r>
          </w:p>
          <w:p w14:paraId="441006C3">
            <w:pPr>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进口</w:t>
            </w:r>
          </w:p>
        </w:tc>
      </w:tr>
      <w:tr w14:paraId="7DCB6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2" w:type="dxa"/>
            <w:vMerge w:val="restart"/>
            <w:vAlign w:val="center"/>
          </w:tcPr>
          <w:p w14:paraId="5F1AFFB3">
            <w:pPr>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1</w:t>
            </w:r>
          </w:p>
        </w:tc>
        <w:tc>
          <w:tcPr>
            <w:tcW w:w="2494" w:type="dxa"/>
            <w:vMerge w:val="restart"/>
            <w:vAlign w:val="center"/>
          </w:tcPr>
          <w:p w14:paraId="322829E4">
            <w:pPr>
              <w:keepNext w:val="0"/>
              <w:keepLines w:val="0"/>
              <w:widowControl/>
              <w:suppressLineNumbers w:val="0"/>
              <w:jc w:val="center"/>
              <w:rPr>
                <w:rFonts w:hint="default" w:ascii="Times New Roman" w:hAnsi="Times New Roman" w:eastAsia="方正仿宋_GBK" w:cs="Times New Roman"/>
                <w:b w:val="0"/>
                <w:bCs/>
                <w:sz w:val="32"/>
                <w:szCs w:val="32"/>
                <w:highlight w:val="none"/>
                <w:lang w:val="en-US" w:eastAsia="zh-CN"/>
              </w:rPr>
            </w:pPr>
            <w:r>
              <w:rPr>
                <w:rFonts w:ascii="方正仿宋_GBK" w:hAnsi="方正仿宋_GBK" w:eastAsia="方正仿宋_GBK" w:cs="方正仿宋_GBK"/>
                <w:color w:val="000000"/>
                <w:kern w:val="0"/>
                <w:sz w:val="31"/>
                <w:szCs w:val="31"/>
                <w:lang w:val="en-US" w:eastAsia="zh-CN" w:bidi="ar"/>
              </w:rPr>
              <w:t>高温辐射热源及</w:t>
            </w:r>
            <w:r>
              <w:rPr>
                <w:rFonts w:hint="eastAsia" w:ascii="方正仿宋_GBK" w:hAnsi="方正仿宋_GBK" w:eastAsia="方正仿宋_GBK" w:cs="方正仿宋_GBK"/>
                <w:color w:val="000000"/>
                <w:kern w:val="0"/>
                <w:sz w:val="31"/>
                <w:szCs w:val="31"/>
                <w:lang w:val="en-US" w:eastAsia="zh-CN" w:bidi="ar"/>
              </w:rPr>
              <w:t>调控系统</w:t>
            </w:r>
          </w:p>
        </w:tc>
        <w:tc>
          <w:tcPr>
            <w:tcW w:w="1171" w:type="dxa"/>
            <w:vMerge w:val="restart"/>
            <w:vAlign w:val="center"/>
          </w:tcPr>
          <w:p w14:paraId="71F5B61F">
            <w:pPr>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1</w:t>
            </w:r>
          </w:p>
        </w:tc>
        <w:tc>
          <w:tcPr>
            <w:tcW w:w="3054" w:type="dxa"/>
            <w:vAlign w:val="center"/>
          </w:tcPr>
          <w:p w14:paraId="336A2BA8">
            <w:pPr>
              <w:keepNext w:val="0"/>
              <w:keepLines w:val="0"/>
              <w:widowControl/>
              <w:suppressLineNumbers w:val="0"/>
              <w:jc w:val="center"/>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辐射热源及调控系统</w:t>
            </w:r>
          </w:p>
        </w:tc>
        <w:tc>
          <w:tcPr>
            <w:tcW w:w="1268" w:type="dxa"/>
            <w:vMerge w:val="restart"/>
            <w:vAlign w:val="center"/>
          </w:tcPr>
          <w:p w14:paraId="13768E87">
            <w:pPr>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355</w:t>
            </w:r>
          </w:p>
        </w:tc>
        <w:tc>
          <w:tcPr>
            <w:tcW w:w="1005" w:type="dxa"/>
            <w:vMerge w:val="restart"/>
            <w:vAlign w:val="center"/>
          </w:tcPr>
          <w:p w14:paraId="0436CFE3">
            <w:pPr>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是</w:t>
            </w:r>
          </w:p>
        </w:tc>
      </w:tr>
      <w:tr w14:paraId="08204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2" w:type="dxa"/>
            <w:vMerge w:val="continue"/>
            <w:vAlign w:val="center"/>
          </w:tcPr>
          <w:p w14:paraId="24084DF8">
            <w:pPr>
              <w:jc w:val="center"/>
              <w:rPr>
                <w:rFonts w:hint="default" w:ascii="Times New Roman" w:hAnsi="Times New Roman" w:eastAsia="方正仿宋_GBK" w:cs="Times New Roman"/>
                <w:b w:val="0"/>
                <w:bCs/>
                <w:sz w:val="32"/>
                <w:szCs w:val="32"/>
                <w:highlight w:val="none"/>
                <w:lang w:val="en-US" w:eastAsia="zh-CN"/>
              </w:rPr>
            </w:pPr>
          </w:p>
        </w:tc>
        <w:tc>
          <w:tcPr>
            <w:tcW w:w="2494" w:type="dxa"/>
            <w:vMerge w:val="continue"/>
            <w:vAlign w:val="center"/>
          </w:tcPr>
          <w:p w14:paraId="69D47A6F">
            <w:pPr>
              <w:keepNext w:val="0"/>
              <w:keepLines w:val="0"/>
              <w:widowControl/>
              <w:suppressLineNumbers w:val="0"/>
              <w:jc w:val="center"/>
              <w:rPr>
                <w:rFonts w:hint="default" w:ascii="Times New Roman" w:hAnsi="Times New Roman" w:eastAsia="方正仿宋_GBK" w:cs="Times New Roman"/>
                <w:b w:val="0"/>
                <w:bCs/>
                <w:sz w:val="32"/>
                <w:szCs w:val="32"/>
                <w:highlight w:val="none"/>
                <w:lang w:val="en-US" w:eastAsia="zh-CN"/>
              </w:rPr>
            </w:pPr>
          </w:p>
        </w:tc>
        <w:tc>
          <w:tcPr>
            <w:tcW w:w="1171" w:type="dxa"/>
            <w:vMerge w:val="continue"/>
            <w:vAlign w:val="center"/>
          </w:tcPr>
          <w:p w14:paraId="01125E54">
            <w:pPr>
              <w:jc w:val="center"/>
              <w:rPr>
                <w:rFonts w:hint="default" w:ascii="Times New Roman" w:hAnsi="Times New Roman" w:eastAsia="方正仿宋_GBK" w:cs="Times New Roman"/>
                <w:b w:val="0"/>
                <w:bCs/>
                <w:sz w:val="32"/>
                <w:szCs w:val="32"/>
                <w:highlight w:val="none"/>
                <w:lang w:val="en-US" w:eastAsia="zh-CN"/>
              </w:rPr>
            </w:pPr>
          </w:p>
        </w:tc>
        <w:tc>
          <w:tcPr>
            <w:tcW w:w="3054" w:type="dxa"/>
            <w:vAlign w:val="center"/>
          </w:tcPr>
          <w:p w14:paraId="4C5D8099">
            <w:pPr>
              <w:keepNext w:val="0"/>
              <w:keepLines w:val="0"/>
              <w:widowControl/>
              <w:suppressLineNumbers w:val="0"/>
              <w:jc w:val="center"/>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火焰热源及调控系统</w:t>
            </w:r>
          </w:p>
        </w:tc>
        <w:tc>
          <w:tcPr>
            <w:tcW w:w="1268" w:type="dxa"/>
            <w:vMerge w:val="continue"/>
            <w:vAlign w:val="center"/>
          </w:tcPr>
          <w:p w14:paraId="7E8526B2">
            <w:pPr>
              <w:jc w:val="center"/>
              <w:rPr>
                <w:rFonts w:hint="default" w:ascii="Times New Roman" w:hAnsi="Times New Roman" w:eastAsia="方正仿宋_GBK" w:cs="Times New Roman"/>
                <w:b w:val="0"/>
                <w:bCs/>
                <w:sz w:val="32"/>
                <w:szCs w:val="32"/>
                <w:highlight w:val="none"/>
                <w:lang w:val="en-US" w:eastAsia="zh-CN"/>
              </w:rPr>
            </w:pPr>
          </w:p>
        </w:tc>
        <w:tc>
          <w:tcPr>
            <w:tcW w:w="1005" w:type="dxa"/>
            <w:vMerge w:val="continue"/>
            <w:vAlign w:val="center"/>
          </w:tcPr>
          <w:p w14:paraId="4945444E">
            <w:pPr>
              <w:jc w:val="center"/>
              <w:rPr>
                <w:rFonts w:hint="default" w:ascii="Times New Roman" w:hAnsi="Times New Roman" w:eastAsia="方正仿宋_GBK" w:cs="Times New Roman"/>
                <w:b w:val="0"/>
                <w:bCs/>
                <w:sz w:val="32"/>
                <w:szCs w:val="32"/>
                <w:highlight w:val="none"/>
                <w:lang w:val="en-US" w:eastAsia="zh-CN"/>
              </w:rPr>
            </w:pPr>
          </w:p>
        </w:tc>
      </w:tr>
      <w:tr w14:paraId="564CE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2" w:type="dxa"/>
            <w:vMerge w:val="restart"/>
            <w:vAlign w:val="center"/>
          </w:tcPr>
          <w:p w14:paraId="735EB1B2">
            <w:pPr>
              <w:jc w:val="center"/>
              <w:rPr>
                <w:rFonts w:hint="eastAsia"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2</w:t>
            </w:r>
          </w:p>
        </w:tc>
        <w:tc>
          <w:tcPr>
            <w:tcW w:w="2494" w:type="dxa"/>
            <w:vMerge w:val="restart"/>
            <w:vAlign w:val="center"/>
          </w:tcPr>
          <w:p w14:paraId="7383648D">
            <w:pPr>
              <w:keepNext w:val="0"/>
              <w:keepLines w:val="0"/>
              <w:widowControl/>
              <w:suppressLineNumbers w:val="0"/>
              <w:jc w:val="center"/>
              <w:rPr>
                <w:rFonts w:ascii="方正仿宋_GBK" w:hAnsi="方正仿宋_GBK" w:eastAsia="方正仿宋_GBK" w:cs="方正仿宋_GBK"/>
                <w:color w:val="000000"/>
                <w:kern w:val="0"/>
                <w:sz w:val="31"/>
                <w:szCs w:val="31"/>
                <w:lang w:val="en-US" w:eastAsia="zh-CN" w:bidi="ar"/>
              </w:rPr>
            </w:pPr>
            <w:r>
              <w:rPr>
                <w:rFonts w:ascii="方正仿宋_GBK" w:hAnsi="方正仿宋_GBK" w:eastAsia="方正仿宋_GBK" w:cs="方正仿宋_GBK"/>
                <w:color w:val="000000"/>
                <w:kern w:val="0"/>
                <w:sz w:val="31"/>
                <w:szCs w:val="31"/>
                <w:lang w:val="en-US" w:eastAsia="zh-CN" w:bidi="ar"/>
              </w:rPr>
              <w:t>标准热辐射假人</w:t>
            </w:r>
            <w:r>
              <w:rPr>
                <w:rFonts w:hint="eastAsia" w:ascii="方正仿宋_GBK" w:hAnsi="方正仿宋_GBK" w:eastAsia="方正仿宋_GBK" w:cs="方正仿宋_GBK"/>
                <w:color w:val="000000"/>
                <w:kern w:val="0"/>
                <w:sz w:val="31"/>
                <w:szCs w:val="31"/>
                <w:lang w:val="en-US" w:eastAsia="zh-CN" w:bidi="ar"/>
              </w:rPr>
              <w:t>防护评价系统</w:t>
            </w:r>
          </w:p>
        </w:tc>
        <w:tc>
          <w:tcPr>
            <w:tcW w:w="1171" w:type="dxa"/>
            <w:vMerge w:val="restart"/>
            <w:vAlign w:val="center"/>
          </w:tcPr>
          <w:p w14:paraId="7EA58FBD">
            <w:pPr>
              <w:jc w:val="center"/>
              <w:rPr>
                <w:rFonts w:hint="eastAsia"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1</w:t>
            </w:r>
          </w:p>
        </w:tc>
        <w:tc>
          <w:tcPr>
            <w:tcW w:w="3054" w:type="dxa"/>
            <w:vAlign w:val="center"/>
          </w:tcPr>
          <w:p w14:paraId="7E2E6B67">
            <w:pPr>
              <w:keepNext w:val="0"/>
              <w:keepLines w:val="0"/>
              <w:widowControl/>
              <w:suppressLineNumbers w:val="0"/>
              <w:jc w:val="center"/>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评价试验标准热辐射假人</w:t>
            </w:r>
          </w:p>
        </w:tc>
        <w:tc>
          <w:tcPr>
            <w:tcW w:w="1268" w:type="dxa"/>
            <w:vMerge w:val="restart"/>
            <w:vAlign w:val="center"/>
          </w:tcPr>
          <w:p w14:paraId="1CD6C1A7">
            <w:pPr>
              <w:jc w:val="center"/>
              <w:rPr>
                <w:rFonts w:hint="eastAsia"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825</w:t>
            </w:r>
          </w:p>
        </w:tc>
        <w:tc>
          <w:tcPr>
            <w:tcW w:w="1005" w:type="dxa"/>
            <w:vMerge w:val="restart"/>
            <w:vAlign w:val="center"/>
          </w:tcPr>
          <w:p w14:paraId="23DD0EA5">
            <w:pPr>
              <w:jc w:val="center"/>
              <w:rPr>
                <w:rFonts w:hint="eastAsia"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是</w:t>
            </w:r>
          </w:p>
        </w:tc>
      </w:tr>
      <w:tr w14:paraId="11CF1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2" w:type="dxa"/>
            <w:vMerge w:val="continue"/>
            <w:vAlign w:val="center"/>
          </w:tcPr>
          <w:p w14:paraId="4DF4CFA6">
            <w:pPr>
              <w:jc w:val="center"/>
              <w:rPr>
                <w:rFonts w:hint="eastAsia" w:ascii="Times New Roman" w:hAnsi="Times New Roman" w:eastAsia="方正仿宋_GBK" w:cs="Times New Roman"/>
                <w:b w:val="0"/>
                <w:bCs/>
                <w:sz w:val="32"/>
                <w:szCs w:val="32"/>
                <w:highlight w:val="none"/>
                <w:lang w:val="en-US" w:eastAsia="zh-CN"/>
              </w:rPr>
            </w:pPr>
          </w:p>
        </w:tc>
        <w:tc>
          <w:tcPr>
            <w:tcW w:w="2494" w:type="dxa"/>
            <w:vMerge w:val="continue"/>
            <w:vAlign w:val="center"/>
          </w:tcPr>
          <w:p w14:paraId="3EF06653">
            <w:pPr>
              <w:keepNext w:val="0"/>
              <w:keepLines w:val="0"/>
              <w:widowControl/>
              <w:suppressLineNumbers w:val="0"/>
              <w:jc w:val="center"/>
              <w:rPr>
                <w:rFonts w:ascii="方正仿宋_GBK" w:hAnsi="方正仿宋_GBK" w:eastAsia="方正仿宋_GBK" w:cs="方正仿宋_GBK"/>
                <w:color w:val="000000"/>
                <w:kern w:val="0"/>
                <w:sz w:val="31"/>
                <w:szCs w:val="31"/>
                <w:lang w:val="en-US" w:eastAsia="zh-CN" w:bidi="ar"/>
              </w:rPr>
            </w:pPr>
          </w:p>
        </w:tc>
        <w:tc>
          <w:tcPr>
            <w:tcW w:w="1171" w:type="dxa"/>
            <w:vMerge w:val="continue"/>
            <w:vAlign w:val="center"/>
          </w:tcPr>
          <w:p w14:paraId="62B4437C">
            <w:pPr>
              <w:jc w:val="center"/>
              <w:rPr>
                <w:rFonts w:hint="eastAsia" w:ascii="Times New Roman" w:hAnsi="Times New Roman" w:eastAsia="方正仿宋_GBK" w:cs="Times New Roman"/>
                <w:b w:val="0"/>
                <w:bCs/>
                <w:sz w:val="32"/>
                <w:szCs w:val="32"/>
                <w:highlight w:val="none"/>
                <w:lang w:val="en-US" w:eastAsia="zh-CN"/>
              </w:rPr>
            </w:pPr>
          </w:p>
        </w:tc>
        <w:tc>
          <w:tcPr>
            <w:tcW w:w="3054" w:type="dxa"/>
            <w:vAlign w:val="center"/>
          </w:tcPr>
          <w:p w14:paraId="2A89C8B0">
            <w:pPr>
              <w:keepNext w:val="0"/>
              <w:keepLines w:val="0"/>
              <w:widowControl/>
              <w:suppressLineNumbers w:val="0"/>
              <w:jc w:val="center"/>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热辐射假人信号检测及传输系统</w:t>
            </w:r>
          </w:p>
        </w:tc>
        <w:tc>
          <w:tcPr>
            <w:tcW w:w="1268" w:type="dxa"/>
            <w:vMerge w:val="continue"/>
            <w:vAlign w:val="center"/>
          </w:tcPr>
          <w:p w14:paraId="48231AC7">
            <w:pPr>
              <w:jc w:val="center"/>
              <w:rPr>
                <w:rFonts w:hint="eastAsia" w:ascii="Times New Roman" w:hAnsi="Times New Roman" w:eastAsia="方正仿宋_GBK" w:cs="Times New Roman"/>
                <w:b w:val="0"/>
                <w:bCs/>
                <w:sz w:val="32"/>
                <w:szCs w:val="32"/>
                <w:highlight w:val="none"/>
                <w:lang w:val="en-US" w:eastAsia="zh-CN"/>
              </w:rPr>
            </w:pPr>
          </w:p>
        </w:tc>
        <w:tc>
          <w:tcPr>
            <w:tcW w:w="1005" w:type="dxa"/>
            <w:vMerge w:val="continue"/>
            <w:vAlign w:val="center"/>
          </w:tcPr>
          <w:p w14:paraId="127113D8">
            <w:pPr>
              <w:jc w:val="center"/>
              <w:rPr>
                <w:rFonts w:hint="eastAsia" w:ascii="Times New Roman" w:hAnsi="Times New Roman" w:eastAsia="方正仿宋_GBK" w:cs="Times New Roman"/>
                <w:b w:val="0"/>
                <w:bCs/>
                <w:sz w:val="32"/>
                <w:szCs w:val="32"/>
                <w:highlight w:val="none"/>
                <w:lang w:val="en-US" w:eastAsia="zh-CN"/>
              </w:rPr>
            </w:pPr>
          </w:p>
        </w:tc>
      </w:tr>
      <w:tr w14:paraId="62A41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2" w:type="dxa"/>
            <w:vMerge w:val="continue"/>
            <w:vAlign w:val="center"/>
          </w:tcPr>
          <w:p w14:paraId="1EA77D08">
            <w:pPr>
              <w:jc w:val="center"/>
              <w:rPr>
                <w:rFonts w:hint="eastAsia" w:ascii="Times New Roman" w:hAnsi="Times New Roman" w:eastAsia="方正仿宋_GBK" w:cs="Times New Roman"/>
                <w:b w:val="0"/>
                <w:bCs/>
                <w:sz w:val="32"/>
                <w:szCs w:val="32"/>
                <w:highlight w:val="none"/>
                <w:lang w:val="en-US" w:eastAsia="zh-CN"/>
              </w:rPr>
            </w:pPr>
          </w:p>
        </w:tc>
        <w:tc>
          <w:tcPr>
            <w:tcW w:w="2494" w:type="dxa"/>
            <w:vMerge w:val="continue"/>
            <w:vAlign w:val="center"/>
          </w:tcPr>
          <w:p w14:paraId="24230BB7">
            <w:pPr>
              <w:keepNext w:val="0"/>
              <w:keepLines w:val="0"/>
              <w:widowControl/>
              <w:suppressLineNumbers w:val="0"/>
              <w:jc w:val="center"/>
              <w:rPr>
                <w:rFonts w:ascii="方正仿宋_GBK" w:hAnsi="方正仿宋_GBK" w:eastAsia="方正仿宋_GBK" w:cs="方正仿宋_GBK"/>
                <w:color w:val="000000"/>
                <w:kern w:val="0"/>
                <w:sz w:val="31"/>
                <w:szCs w:val="31"/>
                <w:lang w:val="en-US" w:eastAsia="zh-CN" w:bidi="ar"/>
              </w:rPr>
            </w:pPr>
          </w:p>
        </w:tc>
        <w:tc>
          <w:tcPr>
            <w:tcW w:w="1171" w:type="dxa"/>
            <w:vMerge w:val="continue"/>
            <w:vAlign w:val="center"/>
          </w:tcPr>
          <w:p w14:paraId="647BBB86">
            <w:pPr>
              <w:jc w:val="center"/>
              <w:rPr>
                <w:rFonts w:hint="eastAsia" w:ascii="Times New Roman" w:hAnsi="Times New Roman" w:eastAsia="方正仿宋_GBK" w:cs="Times New Roman"/>
                <w:b w:val="0"/>
                <w:bCs/>
                <w:sz w:val="32"/>
                <w:szCs w:val="32"/>
                <w:highlight w:val="none"/>
                <w:lang w:val="en-US" w:eastAsia="zh-CN"/>
              </w:rPr>
            </w:pPr>
          </w:p>
        </w:tc>
        <w:tc>
          <w:tcPr>
            <w:tcW w:w="3054" w:type="dxa"/>
            <w:vAlign w:val="center"/>
          </w:tcPr>
          <w:p w14:paraId="0279EC94">
            <w:pPr>
              <w:keepNext w:val="0"/>
              <w:keepLines w:val="0"/>
              <w:widowControl/>
              <w:suppressLineNumbers w:val="0"/>
              <w:jc w:val="center"/>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热辐射假人循环水冷系统</w:t>
            </w:r>
          </w:p>
        </w:tc>
        <w:tc>
          <w:tcPr>
            <w:tcW w:w="1268" w:type="dxa"/>
            <w:vMerge w:val="continue"/>
            <w:vAlign w:val="center"/>
          </w:tcPr>
          <w:p w14:paraId="7F8B2BF6">
            <w:pPr>
              <w:jc w:val="center"/>
              <w:rPr>
                <w:rFonts w:hint="eastAsia" w:ascii="Times New Roman" w:hAnsi="Times New Roman" w:eastAsia="方正仿宋_GBK" w:cs="Times New Roman"/>
                <w:b w:val="0"/>
                <w:bCs/>
                <w:sz w:val="32"/>
                <w:szCs w:val="32"/>
                <w:highlight w:val="none"/>
                <w:lang w:val="en-US" w:eastAsia="zh-CN"/>
              </w:rPr>
            </w:pPr>
          </w:p>
        </w:tc>
        <w:tc>
          <w:tcPr>
            <w:tcW w:w="1005" w:type="dxa"/>
            <w:vMerge w:val="continue"/>
            <w:vAlign w:val="center"/>
          </w:tcPr>
          <w:p w14:paraId="7CA41DC2">
            <w:pPr>
              <w:jc w:val="center"/>
              <w:rPr>
                <w:rFonts w:hint="eastAsia" w:ascii="Times New Roman" w:hAnsi="Times New Roman" w:eastAsia="方正仿宋_GBK" w:cs="Times New Roman"/>
                <w:b w:val="0"/>
                <w:bCs/>
                <w:sz w:val="32"/>
                <w:szCs w:val="32"/>
                <w:highlight w:val="none"/>
                <w:lang w:val="en-US" w:eastAsia="zh-CN"/>
              </w:rPr>
            </w:pPr>
          </w:p>
        </w:tc>
      </w:tr>
      <w:tr w14:paraId="7D3A4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2" w:type="dxa"/>
            <w:vMerge w:val="continue"/>
            <w:vAlign w:val="center"/>
          </w:tcPr>
          <w:p w14:paraId="412E17A4">
            <w:pPr>
              <w:jc w:val="center"/>
              <w:rPr>
                <w:rFonts w:hint="eastAsia" w:ascii="Times New Roman" w:hAnsi="Times New Roman" w:eastAsia="方正仿宋_GBK" w:cs="Times New Roman"/>
                <w:b w:val="0"/>
                <w:bCs/>
                <w:sz w:val="32"/>
                <w:szCs w:val="32"/>
                <w:highlight w:val="none"/>
                <w:lang w:val="en-US" w:eastAsia="zh-CN"/>
              </w:rPr>
            </w:pPr>
          </w:p>
        </w:tc>
        <w:tc>
          <w:tcPr>
            <w:tcW w:w="2494" w:type="dxa"/>
            <w:vMerge w:val="continue"/>
            <w:vAlign w:val="center"/>
          </w:tcPr>
          <w:p w14:paraId="746976EA">
            <w:pPr>
              <w:keepNext w:val="0"/>
              <w:keepLines w:val="0"/>
              <w:widowControl/>
              <w:suppressLineNumbers w:val="0"/>
              <w:jc w:val="center"/>
              <w:rPr>
                <w:rFonts w:ascii="方正仿宋_GBK" w:hAnsi="方正仿宋_GBK" w:eastAsia="方正仿宋_GBK" w:cs="方正仿宋_GBK"/>
                <w:color w:val="000000"/>
                <w:kern w:val="0"/>
                <w:sz w:val="31"/>
                <w:szCs w:val="31"/>
                <w:lang w:val="en-US" w:eastAsia="zh-CN" w:bidi="ar"/>
              </w:rPr>
            </w:pPr>
          </w:p>
        </w:tc>
        <w:tc>
          <w:tcPr>
            <w:tcW w:w="1171" w:type="dxa"/>
            <w:vMerge w:val="continue"/>
            <w:vAlign w:val="center"/>
          </w:tcPr>
          <w:p w14:paraId="3F8D6C11">
            <w:pPr>
              <w:jc w:val="center"/>
              <w:rPr>
                <w:rFonts w:hint="eastAsia" w:ascii="Times New Roman" w:hAnsi="Times New Roman" w:eastAsia="方正仿宋_GBK" w:cs="Times New Roman"/>
                <w:b w:val="0"/>
                <w:bCs/>
                <w:sz w:val="32"/>
                <w:szCs w:val="32"/>
                <w:highlight w:val="none"/>
                <w:lang w:val="en-US" w:eastAsia="zh-CN"/>
              </w:rPr>
            </w:pPr>
          </w:p>
        </w:tc>
        <w:tc>
          <w:tcPr>
            <w:tcW w:w="3054" w:type="dxa"/>
            <w:vAlign w:val="center"/>
          </w:tcPr>
          <w:p w14:paraId="4289252D">
            <w:pPr>
              <w:keepNext w:val="0"/>
              <w:keepLines w:val="0"/>
              <w:widowControl/>
              <w:suppressLineNumbers w:val="0"/>
              <w:jc w:val="center"/>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热辐射、热灼烧防护性能评价系统</w:t>
            </w:r>
          </w:p>
        </w:tc>
        <w:tc>
          <w:tcPr>
            <w:tcW w:w="1268" w:type="dxa"/>
            <w:vMerge w:val="continue"/>
            <w:vAlign w:val="center"/>
          </w:tcPr>
          <w:p w14:paraId="21D4EF62">
            <w:pPr>
              <w:jc w:val="center"/>
              <w:rPr>
                <w:rFonts w:hint="eastAsia" w:ascii="Times New Roman" w:hAnsi="Times New Roman" w:eastAsia="方正仿宋_GBK" w:cs="Times New Roman"/>
                <w:b w:val="0"/>
                <w:bCs/>
                <w:sz w:val="32"/>
                <w:szCs w:val="32"/>
                <w:highlight w:val="none"/>
                <w:lang w:val="en-US" w:eastAsia="zh-CN"/>
              </w:rPr>
            </w:pPr>
          </w:p>
        </w:tc>
        <w:tc>
          <w:tcPr>
            <w:tcW w:w="1005" w:type="dxa"/>
            <w:vMerge w:val="continue"/>
            <w:vAlign w:val="center"/>
          </w:tcPr>
          <w:p w14:paraId="2100C355">
            <w:pPr>
              <w:jc w:val="center"/>
              <w:rPr>
                <w:rFonts w:hint="eastAsia" w:ascii="Times New Roman" w:hAnsi="Times New Roman" w:eastAsia="方正仿宋_GBK" w:cs="Times New Roman"/>
                <w:b w:val="0"/>
                <w:bCs/>
                <w:sz w:val="32"/>
                <w:szCs w:val="32"/>
                <w:highlight w:val="none"/>
                <w:lang w:val="en-US" w:eastAsia="zh-CN"/>
              </w:rPr>
            </w:pPr>
          </w:p>
        </w:tc>
      </w:tr>
      <w:tr w14:paraId="3B9F7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2" w:type="dxa"/>
            <w:vMerge w:val="continue"/>
            <w:vAlign w:val="center"/>
          </w:tcPr>
          <w:p w14:paraId="70DA7885">
            <w:pPr>
              <w:jc w:val="center"/>
              <w:rPr>
                <w:rFonts w:hint="eastAsia" w:ascii="Times New Roman" w:hAnsi="Times New Roman" w:eastAsia="方正仿宋_GBK" w:cs="Times New Roman"/>
                <w:b w:val="0"/>
                <w:bCs/>
                <w:sz w:val="32"/>
                <w:szCs w:val="32"/>
                <w:highlight w:val="none"/>
                <w:lang w:val="en-US" w:eastAsia="zh-CN"/>
              </w:rPr>
            </w:pPr>
          </w:p>
        </w:tc>
        <w:tc>
          <w:tcPr>
            <w:tcW w:w="2494" w:type="dxa"/>
            <w:vMerge w:val="continue"/>
            <w:vAlign w:val="center"/>
          </w:tcPr>
          <w:p w14:paraId="6312DBDB">
            <w:pPr>
              <w:keepNext w:val="0"/>
              <w:keepLines w:val="0"/>
              <w:widowControl/>
              <w:suppressLineNumbers w:val="0"/>
              <w:jc w:val="center"/>
              <w:rPr>
                <w:rFonts w:ascii="方正仿宋_GBK" w:hAnsi="方正仿宋_GBK" w:eastAsia="方正仿宋_GBK" w:cs="方正仿宋_GBK"/>
                <w:color w:val="000000"/>
                <w:kern w:val="0"/>
                <w:sz w:val="31"/>
                <w:szCs w:val="31"/>
                <w:lang w:val="en-US" w:eastAsia="zh-CN" w:bidi="ar"/>
              </w:rPr>
            </w:pPr>
          </w:p>
        </w:tc>
        <w:tc>
          <w:tcPr>
            <w:tcW w:w="1171" w:type="dxa"/>
            <w:vMerge w:val="continue"/>
            <w:vAlign w:val="center"/>
          </w:tcPr>
          <w:p w14:paraId="786B4BCA">
            <w:pPr>
              <w:jc w:val="center"/>
              <w:rPr>
                <w:rFonts w:hint="eastAsia" w:ascii="Times New Roman" w:hAnsi="Times New Roman" w:eastAsia="方正仿宋_GBK" w:cs="Times New Roman"/>
                <w:b w:val="0"/>
                <w:bCs/>
                <w:sz w:val="32"/>
                <w:szCs w:val="32"/>
                <w:highlight w:val="none"/>
                <w:lang w:val="en-US" w:eastAsia="zh-CN"/>
              </w:rPr>
            </w:pPr>
          </w:p>
        </w:tc>
        <w:tc>
          <w:tcPr>
            <w:tcW w:w="3054" w:type="dxa"/>
            <w:vAlign w:val="center"/>
          </w:tcPr>
          <w:p w14:paraId="6CCC6863">
            <w:pPr>
              <w:keepNext w:val="0"/>
              <w:keepLines w:val="0"/>
              <w:widowControl/>
              <w:suppressLineNumbers w:val="0"/>
              <w:jc w:val="center"/>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热流传感校准及评估系统</w:t>
            </w:r>
          </w:p>
        </w:tc>
        <w:tc>
          <w:tcPr>
            <w:tcW w:w="1268" w:type="dxa"/>
            <w:vMerge w:val="continue"/>
            <w:vAlign w:val="center"/>
          </w:tcPr>
          <w:p w14:paraId="4240A457">
            <w:pPr>
              <w:jc w:val="center"/>
              <w:rPr>
                <w:rFonts w:hint="eastAsia" w:ascii="Times New Roman" w:hAnsi="Times New Roman" w:eastAsia="方正仿宋_GBK" w:cs="Times New Roman"/>
                <w:b w:val="0"/>
                <w:bCs/>
                <w:sz w:val="32"/>
                <w:szCs w:val="32"/>
                <w:highlight w:val="none"/>
                <w:lang w:val="en-US" w:eastAsia="zh-CN"/>
              </w:rPr>
            </w:pPr>
          </w:p>
        </w:tc>
        <w:tc>
          <w:tcPr>
            <w:tcW w:w="1005" w:type="dxa"/>
            <w:vMerge w:val="continue"/>
            <w:vAlign w:val="center"/>
          </w:tcPr>
          <w:p w14:paraId="132A2EE9">
            <w:pPr>
              <w:jc w:val="center"/>
              <w:rPr>
                <w:rFonts w:hint="eastAsia" w:ascii="Times New Roman" w:hAnsi="Times New Roman" w:eastAsia="方正仿宋_GBK" w:cs="Times New Roman"/>
                <w:b w:val="0"/>
                <w:bCs/>
                <w:sz w:val="32"/>
                <w:szCs w:val="32"/>
                <w:highlight w:val="none"/>
                <w:lang w:val="en-US" w:eastAsia="zh-CN"/>
              </w:rPr>
            </w:pPr>
          </w:p>
        </w:tc>
      </w:tr>
      <w:tr w14:paraId="4A6E9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2" w:type="dxa"/>
            <w:vMerge w:val="continue"/>
            <w:vAlign w:val="center"/>
          </w:tcPr>
          <w:p w14:paraId="485BF83E">
            <w:pPr>
              <w:jc w:val="center"/>
              <w:rPr>
                <w:rFonts w:hint="eastAsia" w:ascii="Times New Roman" w:hAnsi="Times New Roman" w:eastAsia="方正仿宋_GBK" w:cs="Times New Roman"/>
                <w:b w:val="0"/>
                <w:bCs/>
                <w:sz w:val="32"/>
                <w:szCs w:val="32"/>
                <w:highlight w:val="none"/>
                <w:lang w:val="en-US" w:eastAsia="zh-CN"/>
              </w:rPr>
            </w:pPr>
          </w:p>
        </w:tc>
        <w:tc>
          <w:tcPr>
            <w:tcW w:w="2494" w:type="dxa"/>
            <w:vMerge w:val="continue"/>
            <w:vAlign w:val="center"/>
          </w:tcPr>
          <w:p w14:paraId="2B1DD85F">
            <w:pPr>
              <w:keepNext w:val="0"/>
              <w:keepLines w:val="0"/>
              <w:widowControl/>
              <w:suppressLineNumbers w:val="0"/>
              <w:jc w:val="center"/>
              <w:rPr>
                <w:rFonts w:ascii="方正仿宋_GBK" w:hAnsi="方正仿宋_GBK" w:eastAsia="方正仿宋_GBK" w:cs="方正仿宋_GBK"/>
                <w:color w:val="000000"/>
                <w:kern w:val="0"/>
                <w:sz w:val="31"/>
                <w:szCs w:val="31"/>
                <w:lang w:val="en-US" w:eastAsia="zh-CN" w:bidi="ar"/>
              </w:rPr>
            </w:pPr>
          </w:p>
        </w:tc>
        <w:tc>
          <w:tcPr>
            <w:tcW w:w="1171" w:type="dxa"/>
            <w:vMerge w:val="continue"/>
            <w:vAlign w:val="center"/>
          </w:tcPr>
          <w:p w14:paraId="4D39DB83">
            <w:pPr>
              <w:jc w:val="center"/>
              <w:rPr>
                <w:rFonts w:hint="eastAsia" w:ascii="Times New Roman" w:hAnsi="Times New Roman" w:eastAsia="方正仿宋_GBK" w:cs="Times New Roman"/>
                <w:b w:val="0"/>
                <w:bCs/>
                <w:sz w:val="32"/>
                <w:szCs w:val="32"/>
                <w:highlight w:val="none"/>
                <w:lang w:val="en-US" w:eastAsia="zh-CN"/>
              </w:rPr>
            </w:pPr>
          </w:p>
        </w:tc>
        <w:tc>
          <w:tcPr>
            <w:tcW w:w="3054" w:type="dxa"/>
            <w:vAlign w:val="center"/>
          </w:tcPr>
          <w:p w14:paraId="4DC5FAF1">
            <w:pPr>
              <w:keepNext w:val="0"/>
              <w:keepLines w:val="0"/>
              <w:widowControl/>
              <w:suppressLineNumbers w:val="0"/>
              <w:jc w:val="center"/>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热辐射假人悬吊系统</w:t>
            </w:r>
          </w:p>
        </w:tc>
        <w:tc>
          <w:tcPr>
            <w:tcW w:w="1268" w:type="dxa"/>
            <w:vMerge w:val="continue"/>
            <w:vAlign w:val="center"/>
          </w:tcPr>
          <w:p w14:paraId="593E091E">
            <w:pPr>
              <w:jc w:val="center"/>
              <w:rPr>
                <w:rFonts w:hint="eastAsia" w:ascii="Times New Roman" w:hAnsi="Times New Roman" w:eastAsia="方正仿宋_GBK" w:cs="Times New Roman"/>
                <w:b w:val="0"/>
                <w:bCs/>
                <w:sz w:val="32"/>
                <w:szCs w:val="32"/>
                <w:highlight w:val="none"/>
                <w:lang w:val="en-US" w:eastAsia="zh-CN"/>
              </w:rPr>
            </w:pPr>
          </w:p>
        </w:tc>
        <w:tc>
          <w:tcPr>
            <w:tcW w:w="1005" w:type="dxa"/>
            <w:vMerge w:val="continue"/>
            <w:vAlign w:val="center"/>
          </w:tcPr>
          <w:p w14:paraId="187EBA0F">
            <w:pPr>
              <w:jc w:val="center"/>
              <w:rPr>
                <w:rFonts w:hint="eastAsia" w:ascii="Times New Roman" w:hAnsi="Times New Roman" w:eastAsia="方正仿宋_GBK" w:cs="Times New Roman"/>
                <w:b w:val="0"/>
                <w:bCs/>
                <w:sz w:val="32"/>
                <w:szCs w:val="32"/>
                <w:highlight w:val="none"/>
                <w:lang w:val="en-US" w:eastAsia="zh-CN"/>
              </w:rPr>
            </w:pPr>
          </w:p>
        </w:tc>
      </w:tr>
      <w:tr w14:paraId="664C4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2" w:type="dxa"/>
            <w:vMerge w:val="continue"/>
            <w:vAlign w:val="center"/>
          </w:tcPr>
          <w:p w14:paraId="1476A54F">
            <w:pPr>
              <w:jc w:val="center"/>
              <w:rPr>
                <w:rFonts w:hint="eastAsia" w:ascii="Times New Roman" w:hAnsi="Times New Roman" w:eastAsia="方正仿宋_GBK" w:cs="Times New Roman"/>
                <w:b w:val="0"/>
                <w:bCs/>
                <w:sz w:val="32"/>
                <w:szCs w:val="32"/>
                <w:highlight w:val="none"/>
                <w:lang w:val="en-US" w:eastAsia="zh-CN"/>
              </w:rPr>
            </w:pPr>
          </w:p>
        </w:tc>
        <w:tc>
          <w:tcPr>
            <w:tcW w:w="2494" w:type="dxa"/>
            <w:vMerge w:val="continue"/>
            <w:vAlign w:val="center"/>
          </w:tcPr>
          <w:p w14:paraId="5C4FEE49">
            <w:pPr>
              <w:keepNext w:val="0"/>
              <w:keepLines w:val="0"/>
              <w:widowControl/>
              <w:suppressLineNumbers w:val="0"/>
              <w:jc w:val="center"/>
              <w:rPr>
                <w:rFonts w:ascii="方正仿宋_GBK" w:hAnsi="方正仿宋_GBK" w:eastAsia="方正仿宋_GBK" w:cs="方正仿宋_GBK"/>
                <w:color w:val="000000"/>
                <w:kern w:val="0"/>
                <w:sz w:val="31"/>
                <w:szCs w:val="31"/>
                <w:lang w:val="en-US" w:eastAsia="zh-CN" w:bidi="ar"/>
              </w:rPr>
            </w:pPr>
          </w:p>
        </w:tc>
        <w:tc>
          <w:tcPr>
            <w:tcW w:w="1171" w:type="dxa"/>
            <w:vMerge w:val="continue"/>
            <w:vAlign w:val="center"/>
          </w:tcPr>
          <w:p w14:paraId="41CAC8E1">
            <w:pPr>
              <w:jc w:val="center"/>
              <w:rPr>
                <w:rFonts w:hint="eastAsia" w:ascii="Times New Roman" w:hAnsi="Times New Roman" w:eastAsia="方正仿宋_GBK" w:cs="Times New Roman"/>
                <w:b w:val="0"/>
                <w:bCs/>
                <w:sz w:val="32"/>
                <w:szCs w:val="32"/>
                <w:highlight w:val="none"/>
                <w:lang w:val="en-US" w:eastAsia="zh-CN"/>
              </w:rPr>
            </w:pPr>
          </w:p>
        </w:tc>
        <w:tc>
          <w:tcPr>
            <w:tcW w:w="3054" w:type="dxa"/>
            <w:vAlign w:val="center"/>
          </w:tcPr>
          <w:p w14:paraId="7006D3A7">
            <w:pPr>
              <w:keepNext w:val="0"/>
              <w:keepLines w:val="0"/>
              <w:widowControl/>
              <w:suppressLineNumbers w:val="0"/>
              <w:jc w:val="center"/>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综合测控耦合系统</w:t>
            </w:r>
          </w:p>
        </w:tc>
        <w:tc>
          <w:tcPr>
            <w:tcW w:w="1268" w:type="dxa"/>
            <w:vMerge w:val="continue"/>
            <w:vAlign w:val="center"/>
          </w:tcPr>
          <w:p w14:paraId="291EB612">
            <w:pPr>
              <w:jc w:val="center"/>
              <w:rPr>
                <w:rFonts w:hint="eastAsia" w:ascii="Times New Roman" w:hAnsi="Times New Roman" w:eastAsia="方正仿宋_GBK" w:cs="Times New Roman"/>
                <w:b w:val="0"/>
                <w:bCs/>
                <w:sz w:val="32"/>
                <w:szCs w:val="32"/>
                <w:highlight w:val="none"/>
                <w:lang w:val="en-US" w:eastAsia="zh-CN"/>
              </w:rPr>
            </w:pPr>
          </w:p>
        </w:tc>
        <w:tc>
          <w:tcPr>
            <w:tcW w:w="1005" w:type="dxa"/>
            <w:vMerge w:val="continue"/>
            <w:vAlign w:val="center"/>
          </w:tcPr>
          <w:p w14:paraId="657D9EB0">
            <w:pPr>
              <w:jc w:val="center"/>
              <w:rPr>
                <w:rFonts w:hint="eastAsia" w:ascii="Times New Roman" w:hAnsi="Times New Roman" w:eastAsia="方正仿宋_GBK" w:cs="Times New Roman"/>
                <w:b w:val="0"/>
                <w:bCs/>
                <w:sz w:val="32"/>
                <w:szCs w:val="32"/>
                <w:highlight w:val="none"/>
                <w:lang w:val="en-US" w:eastAsia="zh-CN"/>
              </w:rPr>
            </w:pPr>
          </w:p>
        </w:tc>
      </w:tr>
    </w:tbl>
    <w:p w14:paraId="2022B98C">
      <w:pPr>
        <w:spacing w:line="360" w:lineRule="auto"/>
        <w:ind w:firstLine="640" w:firstLineChars="200"/>
        <w:jc w:val="left"/>
        <w:rPr>
          <w:rFonts w:hint="eastAsia" w:ascii="Times New Roman" w:hAnsi="Times New Roman" w:eastAsia="方正黑体_GBK" w:cs="Times New Roman"/>
          <w:b w:val="0"/>
          <w:bCs/>
          <w:sz w:val="32"/>
          <w:szCs w:val="32"/>
          <w:highlight w:val="none"/>
          <w:lang w:eastAsia="zh-CN"/>
        </w:rPr>
      </w:pPr>
      <w:r>
        <w:rPr>
          <w:rFonts w:hint="default" w:ascii="Times New Roman" w:hAnsi="Times New Roman" w:eastAsia="方正黑体_GBK" w:cs="Times New Roman"/>
          <w:b w:val="0"/>
          <w:bCs/>
          <w:sz w:val="32"/>
          <w:szCs w:val="32"/>
          <w:highlight w:val="none"/>
          <w:lang w:val="en-US" w:eastAsia="zh-CN"/>
        </w:rPr>
        <w:t>三</w:t>
      </w:r>
      <w:r>
        <w:rPr>
          <w:rFonts w:hint="default" w:ascii="Times New Roman" w:hAnsi="Times New Roman" w:eastAsia="方正黑体_GBK" w:cs="Times New Roman"/>
          <w:b w:val="0"/>
          <w:bCs/>
          <w:sz w:val="32"/>
          <w:szCs w:val="32"/>
          <w:highlight w:val="none"/>
        </w:rPr>
        <w:t>、技术设备参数及功能要求</w:t>
      </w:r>
      <w:r>
        <w:rPr>
          <w:rFonts w:hint="eastAsia" w:ascii="Times New Roman" w:hAnsi="Times New Roman" w:eastAsia="方正黑体_GBK" w:cs="Times New Roman"/>
          <w:b w:val="0"/>
          <w:bCs/>
          <w:sz w:val="32"/>
          <w:szCs w:val="32"/>
          <w:highlight w:val="none"/>
          <w:lang w:eastAsia="zh-CN"/>
        </w:rPr>
        <w:t>（</w:t>
      </w:r>
      <w:r>
        <w:rPr>
          <w:rFonts w:hint="eastAsia" w:ascii="Times New Roman" w:hAnsi="Times New Roman" w:eastAsia="方正黑体_GBK" w:cs="Times New Roman"/>
          <w:b/>
          <w:bCs w:val="0"/>
          <w:sz w:val="32"/>
          <w:szCs w:val="32"/>
          <w:highlight w:val="yellow"/>
          <w:lang w:val="en-US" w:eastAsia="zh-CN"/>
        </w:rPr>
        <w:t>以下技术参数已完成专家评审</w:t>
      </w:r>
      <w:r>
        <w:rPr>
          <w:rFonts w:hint="eastAsia" w:ascii="Times New Roman" w:hAnsi="Times New Roman" w:eastAsia="方正黑体_GBK" w:cs="Times New Roman"/>
          <w:b w:val="0"/>
          <w:bCs/>
          <w:sz w:val="32"/>
          <w:szCs w:val="32"/>
          <w:highlight w:val="none"/>
          <w:lang w:eastAsia="zh-CN"/>
        </w:rPr>
        <w:t>）</w:t>
      </w:r>
    </w:p>
    <w:p w14:paraId="035F3C24">
      <w:pPr>
        <w:spacing w:line="360" w:lineRule="auto"/>
        <w:jc w:val="left"/>
        <w:outlineLvl w:val="0"/>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（一）高温辐射热源及调控系统</w:t>
      </w:r>
    </w:p>
    <w:p w14:paraId="39456C82">
      <w:pPr>
        <w:spacing w:line="360" w:lineRule="auto"/>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本系统包括</w:t>
      </w:r>
      <w:r>
        <w:rPr>
          <w:rFonts w:hint="eastAsia" w:ascii="方正仿宋_GBK" w:hAnsi="方正仿宋_GBK" w:eastAsia="方正仿宋_GBK" w:cs="方正仿宋_GBK"/>
          <w:bCs/>
          <w:color w:val="auto"/>
          <w:sz w:val="32"/>
          <w:szCs w:val="32"/>
        </w:rPr>
        <w:t>辐射热源及调控系统、火焰热源及调控系统两大部分，具体要求如下：</w:t>
      </w:r>
    </w:p>
    <w:p w14:paraId="282052D1">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1.1 辐射热源及调控系统</w:t>
      </w:r>
    </w:p>
    <w:p w14:paraId="073C2AFD">
      <w:pPr>
        <w:spacing w:line="360" w:lineRule="auto"/>
        <w:jc w:val="left"/>
        <w:outlineLvl w:val="2"/>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1.1.1 辐射热源系统 1套</w:t>
      </w:r>
    </w:p>
    <w:p w14:paraId="620E7479">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（1）辐射热源为板式，可移动面向热辐射假人周边进行热辐射。</w:t>
      </w:r>
    </w:p>
    <w:p w14:paraId="618631A7">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（2）单板辐射面积≥500*1200 mm</w:t>
      </w:r>
      <w:r>
        <w:rPr>
          <w:rFonts w:hint="eastAsia" w:ascii="方正仿宋_GBK" w:hAnsi="方正仿宋_GBK" w:eastAsia="方正仿宋_GBK" w:cs="方正仿宋_GBK"/>
          <w:color w:val="auto"/>
          <w:sz w:val="32"/>
          <w:szCs w:val="32"/>
          <w:vertAlign w:val="superscript"/>
        </w:rPr>
        <w:t>2</w:t>
      </w:r>
      <w:r>
        <w:rPr>
          <w:rFonts w:hint="eastAsia" w:ascii="方正仿宋_GBK" w:hAnsi="方正仿宋_GBK" w:eastAsia="方正仿宋_GBK" w:cs="方正仿宋_GBK"/>
          <w:color w:val="auto"/>
          <w:sz w:val="32"/>
          <w:szCs w:val="32"/>
        </w:rPr>
        <w:t>，数量≥2块。</w:t>
      </w:r>
    </w:p>
    <w:p w14:paraId="5C2CE406">
      <w:pPr>
        <w:spacing w:line="360" w:lineRule="auto"/>
        <w:ind w:firstLine="640" w:firstLineChars="200"/>
        <w:jc w:val="left"/>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rPr>
        <w:t>（3）</w:t>
      </w:r>
      <w:r>
        <w:rPr>
          <w:rFonts w:hint="eastAsia" w:ascii="方正仿宋_GBK" w:hAnsi="方正仿宋_GBK" w:eastAsia="方正仿宋_GBK" w:cs="方正仿宋_GBK"/>
          <w:color w:val="auto"/>
          <w:sz w:val="32"/>
          <w:szCs w:val="32"/>
          <w:highlight w:val="none"/>
        </w:rPr>
        <w:t>每块单板</w:t>
      </w:r>
      <w:r>
        <w:rPr>
          <w:rFonts w:hint="eastAsia" w:ascii="方正仿宋_GBK" w:hAnsi="方正仿宋_GBK" w:eastAsia="方正仿宋_GBK" w:cs="方正仿宋_GBK"/>
          <w:color w:val="auto"/>
          <w:sz w:val="32"/>
          <w:szCs w:val="32"/>
          <w:highlight w:val="none"/>
          <w:lang w:val="en-US" w:eastAsia="zh-CN"/>
        </w:rPr>
        <w:t>由</w:t>
      </w:r>
      <w:r>
        <w:rPr>
          <w:rFonts w:hint="eastAsia" w:ascii="方正仿宋_GBK" w:hAnsi="方正仿宋_GBK" w:eastAsia="方正仿宋_GBK" w:cs="方正仿宋_GBK"/>
          <w:color w:val="auto"/>
          <w:sz w:val="32"/>
          <w:szCs w:val="32"/>
          <w:highlight w:val="none"/>
        </w:rPr>
        <w:t>多个区域组成，</w:t>
      </w:r>
      <w:r>
        <w:rPr>
          <w:rFonts w:hint="eastAsia" w:ascii="方正仿宋_GBK" w:hAnsi="方正仿宋_GBK" w:eastAsia="方正仿宋_GBK" w:cs="方正仿宋_GBK"/>
          <w:color w:val="auto"/>
          <w:sz w:val="32"/>
          <w:szCs w:val="32"/>
          <w:highlight w:val="none"/>
          <w:lang w:val="en-US" w:eastAsia="zh-CN"/>
        </w:rPr>
        <w:t>利用标准辐射热流计验证各区</w:t>
      </w:r>
      <w:r>
        <w:rPr>
          <w:rFonts w:hint="eastAsia" w:ascii="方正仿宋_GBK" w:hAnsi="方正仿宋_GBK" w:eastAsia="方正仿宋_GBK" w:cs="方正仿宋_GBK"/>
          <w:color w:val="auto"/>
          <w:sz w:val="32"/>
          <w:szCs w:val="32"/>
          <w:highlight w:val="none"/>
        </w:rPr>
        <w:t>域单位面积产生的平均表面热流量密度</w:t>
      </w:r>
      <w:r>
        <w:rPr>
          <w:rFonts w:hint="eastAsia" w:ascii="方正仿宋_GBK" w:hAnsi="方正仿宋_GBK" w:eastAsia="方正仿宋_GBK" w:cs="方正仿宋_GBK"/>
          <w:color w:val="auto"/>
          <w:sz w:val="32"/>
          <w:szCs w:val="32"/>
          <w:highlight w:val="none"/>
          <w:lang w:val="en-US" w:eastAsia="zh-CN"/>
        </w:rPr>
        <w:t>应</w:t>
      </w:r>
      <w:r>
        <w:rPr>
          <w:rFonts w:hint="eastAsia" w:ascii="方正仿宋_GBK" w:hAnsi="方正仿宋_GBK" w:eastAsia="方正仿宋_GBK" w:cs="方正仿宋_GBK"/>
          <w:color w:val="auto"/>
          <w:sz w:val="32"/>
          <w:szCs w:val="32"/>
          <w:highlight w:val="none"/>
        </w:rPr>
        <w:t>在±10%内。</w:t>
      </w:r>
    </w:p>
    <w:p w14:paraId="450DE8FE">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（4）热辐射控制精度可以达到±5% ，在辐射区域内，在辐照基准面上，780 ~3000 nm波长的</w:t>
      </w:r>
      <w:bookmarkStart w:id="0" w:name="OLE_LINK2"/>
      <w:bookmarkStart w:id="1" w:name="OLE_LINK1"/>
      <w:r>
        <w:rPr>
          <w:rFonts w:hint="eastAsia" w:ascii="方正仿宋_GBK" w:hAnsi="方正仿宋_GBK" w:eastAsia="方正仿宋_GBK" w:cs="方正仿宋_GBK"/>
          <w:color w:val="auto"/>
          <w:sz w:val="32"/>
          <w:szCs w:val="32"/>
        </w:rPr>
        <w:t>辐照强度</w:t>
      </w:r>
      <w:bookmarkEnd w:id="0"/>
      <w:bookmarkEnd w:id="1"/>
      <w:r>
        <w:rPr>
          <w:rFonts w:hint="eastAsia" w:ascii="方正仿宋_GBK" w:hAnsi="方正仿宋_GBK" w:eastAsia="方正仿宋_GBK" w:cs="方正仿宋_GBK"/>
          <w:color w:val="auto"/>
          <w:sz w:val="32"/>
          <w:szCs w:val="32"/>
        </w:rPr>
        <w:t>应能控制</w:t>
      </w:r>
      <w:bookmarkStart w:id="2" w:name="OLE_LINK3"/>
      <w:r>
        <w:rPr>
          <w:rFonts w:hint="eastAsia" w:ascii="方正仿宋_GBK" w:hAnsi="方正仿宋_GBK" w:eastAsia="方正仿宋_GBK" w:cs="方正仿宋_GBK"/>
          <w:color w:val="auto"/>
          <w:sz w:val="32"/>
          <w:szCs w:val="32"/>
        </w:rPr>
        <w:t xml:space="preserve">≥20 </w:t>
      </w:r>
      <w:bookmarkEnd w:id="2"/>
      <w:r>
        <w:rPr>
          <w:rFonts w:hint="eastAsia" w:ascii="方正仿宋_GBK" w:hAnsi="方正仿宋_GBK" w:eastAsia="方正仿宋_GBK" w:cs="方正仿宋_GBK"/>
          <w:color w:val="auto"/>
          <w:sz w:val="32"/>
          <w:szCs w:val="32"/>
        </w:rPr>
        <w:t>kW/m</w:t>
      </w:r>
      <w:r>
        <w:rPr>
          <w:rFonts w:hint="eastAsia" w:ascii="方正仿宋_GBK" w:hAnsi="方正仿宋_GBK" w:eastAsia="方正仿宋_GBK" w:cs="方正仿宋_GBK"/>
          <w:color w:val="auto"/>
          <w:sz w:val="32"/>
          <w:szCs w:val="32"/>
          <w:vertAlign w:val="superscript"/>
        </w:rPr>
        <w:t>2</w:t>
      </w:r>
      <w:r>
        <w:rPr>
          <w:rFonts w:hint="eastAsia" w:ascii="方正仿宋_GBK" w:hAnsi="方正仿宋_GBK" w:eastAsia="方正仿宋_GBK" w:cs="方正仿宋_GBK"/>
          <w:color w:val="auto"/>
          <w:sz w:val="32"/>
          <w:szCs w:val="32"/>
        </w:rPr>
        <w:t>。</w:t>
      </w:r>
    </w:p>
    <w:p w14:paraId="04AE089F">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（5）辐照基准面±100 mm的持续调节时，780~3000 nm波长的辐照强度应能控制≥20 kW/m</w:t>
      </w:r>
      <w:r>
        <w:rPr>
          <w:rFonts w:hint="eastAsia" w:ascii="方正仿宋_GBK" w:hAnsi="方正仿宋_GBK" w:eastAsia="方正仿宋_GBK" w:cs="方正仿宋_GBK"/>
          <w:color w:val="auto"/>
          <w:sz w:val="32"/>
          <w:szCs w:val="32"/>
          <w:vertAlign w:val="superscript"/>
        </w:rPr>
        <w:t>2</w:t>
      </w:r>
      <w:r>
        <w:rPr>
          <w:rFonts w:hint="eastAsia" w:ascii="方正仿宋_GBK" w:hAnsi="方正仿宋_GBK" w:eastAsia="方正仿宋_GBK" w:cs="方正仿宋_GBK"/>
          <w:color w:val="auto"/>
          <w:sz w:val="32"/>
          <w:szCs w:val="32"/>
        </w:rPr>
        <w:t>，软件采样信息中辐照强度分辨率为5%。</w:t>
      </w:r>
    </w:p>
    <w:p w14:paraId="7B121F24">
      <w:pPr>
        <w:spacing w:line="360" w:lineRule="auto"/>
        <w:jc w:val="left"/>
        <w:rPr>
          <w:rFonts w:hint="eastAsia" w:ascii="方正仿宋_GBK" w:hAnsi="方正仿宋_GBK" w:eastAsia="方正仿宋_GBK" w:cs="方正仿宋_GBK"/>
          <w:color w:val="auto"/>
          <w:sz w:val="32"/>
          <w:szCs w:val="32"/>
        </w:rPr>
      </w:pPr>
    </w:p>
    <w:p w14:paraId="7FA1FB9A">
      <w:pPr>
        <w:spacing w:line="360" w:lineRule="auto"/>
        <w:jc w:val="left"/>
        <w:outlineLvl w:val="2"/>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1.1.2 热源水冷及快门系统 1套</w:t>
      </w:r>
    </w:p>
    <w:p w14:paraId="73560A32">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（1）热辐射水冷系统，提升辐射热源散热量，保护辐射热源及装置。</w:t>
      </w:r>
    </w:p>
    <w:p w14:paraId="5DDAA8B2">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（2）热辐射快门系统，控制对热假人的稳定辐射热流、可调辐射时间。</w:t>
      </w:r>
    </w:p>
    <w:p w14:paraId="60FD5490">
      <w:pPr>
        <w:spacing w:line="360" w:lineRule="auto"/>
        <w:jc w:val="left"/>
        <w:rPr>
          <w:rFonts w:hint="eastAsia" w:ascii="方正仿宋_GBK" w:hAnsi="方正仿宋_GBK" w:eastAsia="方正仿宋_GBK" w:cs="方正仿宋_GBK"/>
          <w:color w:val="auto"/>
          <w:sz w:val="32"/>
          <w:szCs w:val="32"/>
        </w:rPr>
      </w:pPr>
    </w:p>
    <w:p w14:paraId="65C26D74">
      <w:pPr>
        <w:spacing w:line="360" w:lineRule="auto"/>
        <w:jc w:val="left"/>
        <w:outlineLvl w:val="2"/>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1.1.3辐射热源测控集成系统 1套</w:t>
      </w:r>
    </w:p>
    <w:p w14:paraId="079A295F">
      <w:pPr>
        <w:spacing w:line="360" w:lineRule="auto"/>
        <w:ind w:firstLine="640" w:firstLineChars="200"/>
        <w:jc w:val="both"/>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（1）辐射热源下热辐射假人信号检测及传输系统、辐射热源输配系统等控制单元集成到控制箱系统，多个系统的相关监控及通讯仪表集中设置在</w:t>
      </w:r>
      <w:r>
        <w:rPr>
          <w:rFonts w:hint="eastAsia" w:ascii="方正仿宋_GBK" w:hAnsi="方正仿宋_GBK" w:eastAsia="方正仿宋_GBK" w:cs="方正仿宋_GBK"/>
          <w:color w:val="auto"/>
          <w:sz w:val="32"/>
          <w:szCs w:val="32"/>
          <w:lang w:val="en-US" w:eastAsia="zh-CN"/>
        </w:rPr>
        <w:t>标识</w:t>
      </w:r>
      <w:r>
        <w:rPr>
          <w:rFonts w:hint="eastAsia" w:ascii="方正仿宋_GBK" w:hAnsi="方正仿宋_GBK" w:eastAsia="方正仿宋_GBK" w:cs="方正仿宋_GBK"/>
          <w:color w:val="auto"/>
          <w:sz w:val="32"/>
          <w:szCs w:val="32"/>
        </w:rPr>
        <w:t>明确、分布合理的控制箱内或控制面板上。</w:t>
      </w:r>
    </w:p>
    <w:p w14:paraId="1BAB9CA5">
      <w:pPr>
        <w:spacing w:line="360" w:lineRule="auto"/>
        <w:ind w:firstLine="640" w:firstLineChars="200"/>
        <w:jc w:val="both"/>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（2）具有安全检查的提示和操作核查程式。包括</w:t>
      </w:r>
      <w:r>
        <w:rPr>
          <w:rFonts w:hint="eastAsia" w:ascii="方正仿宋_GBK" w:hAnsi="方正仿宋_GBK" w:eastAsia="方正仿宋_GBK" w:cs="方正仿宋_GBK"/>
          <w:color w:val="auto"/>
          <w:sz w:val="32"/>
          <w:szCs w:val="32"/>
          <w:lang w:val="en-US" w:eastAsia="zh-CN"/>
        </w:rPr>
        <w:t>与热环境模拟舱体</w:t>
      </w:r>
      <w:r>
        <w:rPr>
          <w:rFonts w:hint="eastAsia" w:ascii="方正仿宋_GBK" w:hAnsi="方正仿宋_GBK" w:eastAsia="方正仿宋_GBK" w:cs="方正仿宋_GBK"/>
          <w:color w:val="auto"/>
          <w:sz w:val="32"/>
          <w:szCs w:val="32"/>
        </w:rPr>
        <w:t>排气系统的测试、安全引导、辐射热源开始时确认实验室无人、测试实验室的隔绝性能、试验后的实验室通风等。</w:t>
      </w:r>
    </w:p>
    <w:p w14:paraId="491D5E4A">
      <w:pPr>
        <w:spacing w:line="360" w:lineRule="auto"/>
        <w:ind w:firstLine="640" w:firstLineChars="200"/>
        <w:jc w:val="both"/>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*（3）辐射热源与热防护性能评价系统及其他子系统匹配对接使用。</w:t>
      </w:r>
    </w:p>
    <w:p w14:paraId="78EAB043">
      <w:pPr>
        <w:spacing w:line="360" w:lineRule="auto"/>
        <w:jc w:val="left"/>
        <w:rPr>
          <w:rFonts w:hint="eastAsia" w:ascii="方正仿宋_GBK" w:hAnsi="方正仿宋_GBK" w:eastAsia="方正仿宋_GBK" w:cs="方正仿宋_GBK"/>
          <w:color w:val="auto"/>
          <w:sz w:val="32"/>
          <w:szCs w:val="32"/>
        </w:rPr>
      </w:pPr>
    </w:p>
    <w:p w14:paraId="7F335757">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1.2  火焰热源及调控系统</w:t>
      </w:r>
    </w:p>
    <w:p w14:paraId="49CD89DA">
      <w:pPr>
        <w:spacing w:line="360" w:lineRule="auto"/>
        <w:jc w:val="left"/>
        <w:outlineLvl w:val="2"/>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1.2.1火焰热源系统  1套</w:t>
      </w:r>
    </w:p>
    <w:p w14:paraId="4E96A1AE">
      <w:pPr>
        <w:spacing w:line="360" w:lineRule="auto"/>
        <w:ind w:firstLine="640" w:firstLineChars="200"/>
        <w:jc w:val="left"/>
        <w:rPr>
          <w:rFonts w:hint="eastAsia" w:ascii="方正仿宋_GBK" w:hAnsi="方正仿宋_GBK" w:eastAsia="方正仿宋_GBK" w:cs="方正仿宋_GBK"/>
          <w:color w:val="auto"/>
          <w:sz w:val="32"/>
          <w:szCs w:val="32"/>
          <w:highlight w:val="none"/>
        </w:rPr>
      </w:pPr>
      <w:r>
        <w:rPr>
          <w:rFonts w:hint="eastAsia" w:ascii="方正仿宋_GBK" w:hAnsi="方正仿宋_GBK" w:eastAsia="方正仿宋_GBK" w:cs="方正仿宋_GBK"/>
          <w:color w:val="auto"/>
          <w:sz w:val="32"/>
          <w:szCs w:val="32"/>
          <w:highlight w:val="none"/>
        </w:rPr>
        <w:t>（1）每组2支喷火器，6组共计12支，均匀分布在假人本体四周。</w:t>
      </w:r>
    </w:p>
    <w:p w14:paraId="3882B4AC">
      <w:pPr>
        <w:spacing w:line="360" w:lineRule="auto"/>
        <w:ind w:firstLine="640" w:firstLineChars="200"/>
        <w:jc w:val="left"/>
        <w:rPr>
          <w:rFonts w:hint="eastAsia" w:ascii="方正仿宋_GBK" w:hAnsi="方正仿宋_GBK" w:eastAsia="方正仿宋_GBK" w:cs="方正仿宋_GBK"/>
          <w:color w:val="auto"/>
          <w:sz w:val="32"/>
          <w:szCs w:val="32"/>
          <w:highlight w:val="none"/>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highlight w:val="none"/>
        </w:rPr>
        <w:t>（2）喷火器固定在支架上，垂直高度、角度和朝向均可调节，安装高度调整在10~80 cm之间，可调角度不小于±30°。</w:t>
      </w:r>
    </w:p>
    <w:p w14:paraId="4F8866A4">
      <w:pPr>
        <w:spacing w:line="360" w:lineRule="auto"/>
        <w:ind w:firstLine="640" w:firstLineChars="200"/>
        <w:jc w:val="left"/>
        <w:rPr>
          <w:rFonts w:hint="eastAsia" w:ascii="方正仿宋_GBK" w:hAnsi="方正仿宋_GBK" w:eastAsia="方正仿宋_GBK" w:cs="方正仿宋_GBK"/>
          <w:color w:val="auto"/>
          <w:sz w:val="32"/>
          <w:szCs w:val="32"/>
          <w:highlight w:val="none"/>
        </w:rPr>
      </w:pPr>
      <w:r>
        <w:rPr>
          <w:rFonts w:hint="eastAsia" w:ascii="方正仿宋_GBK" w:hAnsi="方正仿宋_GBK" w:eastAsia="方正仿宋_GBK" w:cs="方正仿宋_GBK"/>
          <w:color w:val="auto"/>
          <w:sz w:val="32"/>
          <w:szCs w:val="32"/>
          <w:highlight w:val="none"/>
        </w:rPr>
        <w:t>（3）</w:t>
      </w:r>
      <w:r>
        <w:rPr>
          <w:rFonts w:hint="eastAsia" w:ascii="方正仿宋_GBK" w:hAnsi="方正仿宋_GBK" w:eastAsia="方正仿宋_GBK" w:cs="方正仿宋_GBK"/>
          <w:color w:val="auto"/>
          <w:sz w:val="32"/>
          <w:szCs w:val="32"/>
          <w:highlight w:val="none"/>
          <w:lang w:val="en-US" w:eastAsia="zh-CN"/>
        </w:rPr>
        <w:t>假人裸烧</w:t>
      </w:r>
      <w:r>
        <w:rPr>
          <w:rFonts w:hint="eastAsia" w:ascii="方正仿宋_GBK" w:hAnsi="方正仿宋_GBK" w:eastAsia="方正仿宋_GBK" w:cs="方正仿宋_GBK"/>
          <w:strike w:val="0"/>
          <w:dstrike w:val="0"/>
          <w:color w:val="auto"/>
          <w:sz w:val="32"/>
          <w:szCs w:val="32"/>
          <w:highlight w:val="none"/>
          <w:lang w:val="en-US" w:eastAsia="zh-CN"/>
        </w:rPr>
        <w:t>4s时</w:t>
      </w:r>
      <w:r>
        <w:rPr>
          <w:rFonts w:hint="eastAsia" w:ascii="方正仿宋_GBK" w:hAnsi="方正仿宋_GBK" w:eastAsia="方正仿宋_GBK" w:cs="方正仿宋_GBK"/>
          <w:color w:val="auto"/>
          <w:sz w:val="32"/>
          <w:szCs w:val="32"/>
          <w:highlight w:val="none"/>
          <w:lang w:val="en-US" w:eastAsia="zh-CN"/>
        </w:rPr>
        <w:t>的热通量验证，满足</w:t>
      </w:r>
      <w:r>
        <w:rPr>
          <w:rFonts w:hint="eastAsia" w:ascii="方正仿宋_GBK" w:hAnsi="方正仿宋_GBK" w:eastAsia="方正仿宋_GBK" w:cs="方正仿宋_GBK"/>
          <w:color w:val="auto"/>
          <w:sz w:val="32"/>
          <w:szCs w:val="32"/>
          <w:highlight w:val="none"/>
        </w:rPr>
        <w:t>ASTM F1930-2023</w:t>
      </w:r>
      <w:r>
        <w:rPr>
          <w:rFonts w:hint="eastAsia" w:ascii="方正仿宋_GBK" w:hAnsi="方正仿宋_GBK" w:eastAsia="方正仿宋_GBK" w:cs="方正仿宋_GBK"/>
          <w:color w:val="auto"/>
          <w:sz w:val="32"/>
          <w:szCs w:val="32"/>
          <w:highlight w:val="none"/>
          <w:lang w:eastAsia="zh-CN"/>
        </w:rPr>
        <w:t>、</w:t>
      </w:r>
      <w:r>
        <w:rPr>
          <w:rFonts w:hint="eastAsia" w:ascii="方正仿宋_GBK" w:hAnsi="方正仿宋_GBK" w:eastAsia="方正仿宋_GBK" w:cs="方正仿宋_GBK"/>
          <w:color w:val="auto"/>
          <w:sz w:val="32"/>
          <w:szCs w:val="32"/>
          <w:highlight w:val="none"/>
        </w:rPr>
        <w:t>ISO13506-1-2024</w:t>
      </w:r>
      <w:r>
        <w:rPr>
          <w:rFonts w:hint="eastAsia" w:ascii="方正仿宋_GBK" w:hAnsi="方正仿宋_GBK" w:eastAsia="方正仿宋_GBK" w:cs="方正仿宋_GBK"/>
          <w:color w:val="auto"/>
          <w:sz w:val="32"/>
          <w:szCs w:val="32"/>
          <w:highlight w:val="none"/>
          <w:lang w:eastAsia="zh-CN"/>
        </w:rPr>
        <w:t>、</w:t>
      </w:r>
      <w:r>
        <w:rPr>
          <w:rFonts w:hint="eastAsia" w:ascii="方正仿宋_GBK" w:hAnsi="方正仿宋_GBK" w:eastAsia="方正仿宋_GBK" w:cs="方正仿宋_GBK"/>
          <w:color w:val="auto"/>
          <w:sz w:val="32"/>
          <w:szCs w:val="32"/>
          <w:highlight w:val="none"/>
        </w:rPr>
        <w:t>GB/T 38302-2025</w:t>
      </w:r>
      <w:r>
        <w:rPr>
          <w:rFonts w:hint="eastAsia" w:ascii="方正仿宋_GBK" w:hAnsi="方正仿宋_GBK" w:eastAsia="方正仿宋_GBK" w:cs="方正仿宋_GBK"/>
          <w:color w:val="auto"/>
          <w:sz w:val="32"/>
          <w:szCs w:val="32"/>
          <w:highlight w:val="none"/>
          <w:lang w:val="en-US" w:eastAsia="zh-CN"/>
        </w:rPr>
        <w:t>标准要求</w:t>
      </w:r>
      <w:r>
        <w:rPr>
          <w:rFonts w:hint="eastAsia" w:ascii="方正仿宋_GBK" w:hAnsi="方正仿宋_GBK" w:eastAsia="方正仿宋_GBK" w:cs="方正仿宋_GBK"/>
          <w:color w:val="auto"/>
          <w:sz w:val="32"/>
          <w:szCs w:val="32"/>
          <w:highlight w:val="none"/>
        </w:rPr>
        <w:t>。</w:t>
      </w:r>
    </w:p>
    <w:p w14:paraId="5AB29F36">
      <w:pPr>
        <w:spacing w:line="360" w:lineRule="auto"/>
        <w:ind w:firstLine="640" w:firstLineChars="200"/>
        <w:jc w:val="left"/>
        <w:rPr>
          <w:rFonts w:hint="eastAsia" w:ascii="方正仿宋_GBK" w:hAnsi="方正仿宋_GBK" w:eastAsia="方正仿宋_GBK" w:cs="方正仿宋_GBK"/>
          <w:color w:val="auto"/>
          <w:sz w:val="32"/>
          <w:szCs w:val="32"/>
          <w:highlight w:val="none"/>
        </w:rPr>
      </w:pPr>
      <w:r>
        <w:rPr>
          <w:rFonts w:hint="eastAsia" w:ascii="方正仿宋_GBK" w:hAnsi="方正仿宋_GBK" w:eastAsia="方正仿宋_GBK" w:cs="方正仿宋_GBK"/>
          <w:color w:val="auto"/>
          <w:sz w:val="32"/>
          <w:szCs w:val="32"/>
          <w:highlight w:val="none"/>
        </w:rPr>
        <w:t>（</w:t>
      </w:r>
      <w:r>
        <w:rPr>
          <w:rFonts w:hint="eastAsia" w:ascii="方正仿宋_GBK" w:hAnsi="方正仿宋_GBK" w:eastAsia="方正仿宋_GBK" w:cs="方正仿宋_GBK"/>
          <w:color w:val="auto"/>
          <w:sz w:val="32"/>
          <w:szCs w:val="32"/>
          <w:highlight w:val="none"/>
          <w:lang w:val="en-US" w:eastAsia="zh-CN"/>
        </w:rPr>
        <w:t>4</w:t>
      </w:r>
      <w:r>
        <w:rPr>
          <w:rFonts w:hint="eastAsia" w:ascii="方正仿宋_GBK" w:hAnsi="方正仿宋_GBK" w:eastAsia="方正仿宋_GBK" w:cs="方正仿宋_GBK"/>
          <w:color w:val="auto"/>
          <w:sz w:val="32"/>
          <w:szCs w:val="32"/>
          <w:highlight w:val="none"/>
        </w:rPr>
        <w:t>）火焰热源系统</w:t>
      </w:r>
      <w:r>
        <w:rPr>
          <w:rFonts w:hint="eastAsia" w:ascii="方正仿宋_GBK" w:hAnsi="方正仿宋_GBK" w:eastAsia="方正仿宋_GBK" w:cs="方正仿宋_GBK"/>
          <w:color w:val="auto"/>
          <w:sz w:val="32"/>
          <w:szCs w:val="32"/>
          <w:highlight w:val="none"/>
          <w:lang w:val="en-US" w:eastAsia="zh-CN"/>
        </w:rPr>
        <w:t>具备</w:t>
      </w:r>
      <w:r>
        <w:rPr>
          <w:rFonts w:hint="eastAsia" w:ascii="方正仿宋_GBK" w:hAnsi="方正仿宋_GBK" w:eastAsia="方正仿宋_GBK" w:cs="方正仿宋_GBK"/>
          <w:color w:val="auto"/>
          <w:sz w:val="32"/>
          <w:szCs w:val="32"/>
          <w:highlight w:val="none"/>
        </w:rPr>
        <w:t>控制燃烧环境的热流、火焰分布和持续时间，</w:t>
      </w:r>
      <w:r>
        <w:rPr>
          <w:rFonts w:hint="eastAsia" w:ascii="方正仿宋_GBK" w:hAnsi="方正仿宋_GBK" w:eastAsia="方正仿宋_GBK" w:cs="方正仿宋_GBK"/>
          <w:color w:val="auto"/>
          <w:sz w:val="32"/>
          <w:szCs w:val="32"/>
          <w:highlight w:val="none"/>
          <w:lang w:val="en-US" w:eastAsia="zh-CN"/>
        </w:rPr>
        <w:t>及</w:t>
      </w:r>
      <w:r>
        <w:rPr>
          <w:rFonts w:hint="eastAsia" w:ascii="方正仿宋_GBK" w:hAnsi="方正仿宋_GBK" w:eastAsia="方正仿宋_GBK" w:cs="方正仿宋_GBK"/>
          <w:color w:val="auto"/>
          <w:sz w:val="32"/>
          <w:szCs w:val="32"/>
          <w:highlight w:val="none"/>
        </w:rPr>
        <w:t>自动测试定序</w:t>
      </w:r>
      <w:r>
        <w:rPr>
          <w:rFonts w:hint="eastAsia" w:ascii="方正仿宋_GBK" w:hAnsi="方正仿宋_GBK" w:eastAsia="方正仿宋_GBK" w:cs="方正仿宋_GBK"/>
          <w:color w:val="auto"/>
          <w:sz w:val="32"/>
          <w:szCs w:val="32"/>
          <w:highlight w:val="none"/>
          <w:lang w:val="en-US" w:eastAsia="zh-CN"/>
        </w:rPr>
        <w:t>能力，</w:t>
      </w:r>
      <w:r>
        <w:rPr>
          <w:rFonts w:hint="eastAsia" w:ascii="方正仿宋_GBK" w:hAnsi="方正仿宋_GBK" w:eastAsia="方正仿宋_GBK" w:cs="方正仿宋_GBK"/>
          <w:color w:val="auto"/>
          <w:sz w:val="32"/>
          <w:szCs w:val="32"/>
          <w:highlight w:val="none"/>
        </w:rPr>
        <w:t>并</w:t>
      </w:r>
      <w:r>
        <w:rPr>
          <w:rFonts w:hint="eastAsia" w:ascii="方正仿宋_GBK" w:hAnsi="方正仿宋_GBK" w:eastAsia="方正仿宋_GBK" w:cs="方正仿宋_GBK"/>
          <w:color w:val="auto"/>
          <w:sz w:val="32"/>
          <w:szCs w:val="32"/>
          <w:highlight w:val="none"/>
          <w:lang w:val="en-US" w:eastAsia="zh-CN"/>
        </w:rPr>
        <w:t>可通过</w:t>
      </w:r>
      <w:r>
        <w:rPr>
          <w:rFonts w:hint="eastAsia" w:ascii="方正仿宋_GBK" w:hAnsi="方正仿宋_GBK" w:eastAsia="方正仿宋_GBK" w:cs="方正仿宋_GBK"/>
          <w:color w:val="auto"/>
          <w:sz w:val="32"/>
          <w:szCs w:val="32"/>
          <w:highlight w:val="none"/>
        </w:rPr>
        <w:t>操作联动</w:t>
      </w:r>
      <w:r>
        <w:rPr>
          <w:rFonts w:hint="eastAsia" w:ascii="方正仿宋_GBK" w:hAnsi="方正仿宋_GBK" w:eastAsia="方正仿宋_GBK" w:cs="方正仿宋_GBK"/>
          <w:color w:val="auto"/>
          <w:sz w:val="32"/>
          <w:szCs w:val="32"/>
          <w:highlight w:val="none"/>
          <w:lang w:val="en-US" w:eastAsia="zh-CN"/>
        </w:rPr>
        <w:t>实现</w:t>
      </w:r>
      <w:r>
        <w:rPr>
          <w:rFonts w:hint="eastAsia" w:ascii="方正仿宋_GBK" w:hAnsi="方正仿宋_GBK" w:eastAsia="方正仿宋_GBK" w:cs="方正仿宋_GBK"/>
          <w:color w:val="auto"/>
          <w:sz w:val="32"/>
          <w:szCs w:val="32"/>
          <w:highlight w:val="none"/>
        </w:rPr>
        <w:t>安全保障。</w:t>
      </w:r>
    </w:p>
    <w:p w14:paraId="3C85D010">
      <w:pPr>
        <w:spacing w:line="360" w:lineRule="auto"/>
        <w:ind w:firstLine="640" w:firstLineChars="200"/>
        <w:jc w:val="left"/>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rPr>
        <w:t>（</w:t>
      </w:r>
      <w:r>
        <w:rPr>
          <w:rFonts w:hint="eastAsia" w:ascii="方正仿宋_GBK" w:hAnsi="方正仿宋_GBK" w:eastAsia="方正仿宋_GBK" w:cs="方正仿宋_GBK"/>
          <w:color w:val="auto"/>
          <w:sz w:val="32"/>
          <w:szCs w:val="32"/>
          <w:highlight w:val="none"/>
          <w:lang w:val="en-US" w:eastAsia="zh-CN"/>
        </w:rPr>
        <w:t>5</w:t>
      </w:r>
      <w:r>
        <w:rPr>
          <w:rFonts w:hint="eastAsia" w:ascii="方正仿宋_GBK" w:hAnsi="方正仿宋_GBK" w:eastAsia="方正仿宋_GBK" w:cs="方正仿宋_GBK"/>
          <w:color w:val="auto"/>
          <w:sz w:val="32"/>
          <w:szCs w:val="32"/>
          <w:highlight w:val="none"/>
        </w:rPr>
        <w:t>）每个喷火器配有安全引导火焰装置，操作运行、功能配置、热流量及火焰分布</w:t>
      </w:r>
      <w:r>
        <w:rPr>
          <w:rFonts w:hint="eastAsia" w:ascii="方正仿宋_GBK" w:hAnsi="方正仿宋_GBK" w:eastAsia="方正仿宋_GBK" w:cs="方正仿宋_GBK"/>
          <w:color w:val="auto"/>
          <w:sz w:val="32"/>
          <w:szCs w:val="32"/>
          <w:highlight w:val="none"/>
          <w:lang w:val="en-US" w:eastAsia="zh-CN"/>
        </w:rPr>
        <w:t>均符合</w:t>
      </w:r>
      <w:r>
        <w:rPr>
          <w:rFonts w:hint="eastAsia" w:ascii="方正仿宋_GBK" w:hAnsi="方正仿宋_GBK" w:eastAsia="方正仿宋_GBK" w:cs="方正仿宋_GBK"/>
          <w:color w:val="auto"/>
          <w:sz w:val="32"/>
          <w:szCs w:val="32"/>
          <w:highlight w:val="none"/>
        </w:rPr>
        <w:t>ASTM F1930-2023</w:t>
      </w:r>
      <w:r>
        <w:rPr>
          <w:rFonts w:hint="eastAsia" w:ascii="方正仿宋_GBK" w:hAnsi="方正仿宋_GBK" w:eastAsia="方正仿宋_GBK" w:cs="方正仿宋_GBK"/>
          <w:color w:val="auto"/>
          <w:sz w:val="32"/>
          <w:szCs w:val="32"/>
          <w:highlight w:val="none"/>
          <w:lang w:eastAsia="zh-CN"/>
        </w:rPr>
        <w:t>、</w:t>
      </w:r>
      <w:r>
        <w:rPr>
          <w:rFonts w:hint="eastAsia" w:ascii="方正仿宋_GBK" w:hAnsi="方正仿宋_GBK" w:eastAsia="方正仿宋_GBK" w:cs="方正仿宋_GBK"/>
          <w:color w:val="auto"/>
          <w:sz w:val="32"/>
          <w:szCs w:val="32"/>
          <w:highlight w:val="none"/>
        </w:rPr>
        <w:t>ISO13506-1-2024</w:t>
      </w:r>
      <w:r>
        <w:rPr>
          <w:rFonts w:hint="eastAsia" w:ascii="方正仿宋_GBK" w:hAnsi="方正仿宋_GBK" w:eastAsia="方正仿宋_GBK" w:cs="方正仿宋_GBK"/>
          <w:color w:val="auto"/>
          <w:sz w:val="32"/>
          <w:szCs w:val="32"/>
          <w:highlight w:val="none"/>
          <w:lang w:eastAsia="zh-CN"/>
        </w:rPr>
        <w:t>、</w:t>
      </w:r>
      <w:r>
        <w:rPr>
          <w:rFonts w:hint="eastAsia" w:ascii="方正仿宋_GBK" w:hAnsi="方正仿宋_GBK" w:eastAsia="方正仿宋_GBK" w:cs="方正仿宋_GBK"/>
          <w:color w:val="auto"/>
          <w:sz w:val="32"/>
          <w:szCs w:val="32"/>
          <w:highlight w:val="none"/>
        </w:rPr>
        <w:t>GB/T 38302-2025</w:t>
      </w:r>
      <w:r>
        <w:rPr>
          <w:rFonts w:hint="eastAsia" w:ascii="方正仿宋_GBK" w:hAnsi="方正仿宋_GBK" w:eastAsia="方正仿宋_GBK" w:cs="方正仿宋_GBK"/>
          <w:color w:val="auto"/>
          <w:sz w:val="32"/>
          <w:szCs w:val="32"/>
          <w:highlight w:val="none"/>
          <w:lang w:val="en-US" w:eastAsia="zh-CN"/>
        </w:rPr>
        <w:t>标准要求</w:t>
      </w:r>
      <w:r>
        <w:rPr>
          <w:rFonts w:hint="eastAsia" w:ascii="方正仿宋_GBK" w:hAnsi="方正仿宋_GBK" w:eastAsia="方正仿宋_GBK" w:cs="方正仿宋_GBK"/>
          <w:color w:val="auto"/>
          <w:sz w:val="32"/>
          <w:szCs w:val="32"/>
          <w:highlight w:val="none"/>
          <w:lang w:eastAsia="zh-CN"/>
        </w:rPr>
        <w:t>。</w:t>
      </w:r>
    </w:p>
    <w:p w14:paraId="22C2A7E4">
      <w:pPr>
        <w:spacing w:line="360" w:lineRule="auto"/>
        <w:jc w:val="left"/>
        <w:rPr>
          <w:rFonts w:hint="eastAsia" w:ascii="方正仿宋_GBK" w:hAnsi="方正仿宋_GBK" w:eastAsia="方正仿宋_GBK" w:cs="方正仿宋_GBK"/>
          <w:color w:val="auto"/>
          <w:sz w:val="32"/>
          <w:szCs w:val="32"/>
        </w:rPr>
      </w:pPr>
    </w:p>
    <w:p w14:paraId="311FF5A9">
      <w:pPr>
        <w:spacing w:line="360" w:lineRule="auto"/>
        <w:jc w:val="left"/>
        <w:outlineLvl w:val="2"/>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1.2.2 燃气输配及控制系统 1套</w:t>
      </w:r>
    </w:p>
    <w:p w14:paraId="037993D9">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（1）丙烷气瓶、管道设计、管道材料、控制阀门应满足设计压力、设计温度及介质特性、使用寿命、环境条件的国家标准要求。</w:t>
      </w:r>
    </w:p>
    <w:p w14:paraId="4F98F547">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（2）具备丙烷调压功能，提供相关防护措施，</w:t>
      </w:r>
      <w:r>
        <w:rPr>
          <w:rFonts w:hint="eastAsia" w:ascii="方正仿宋_GBK" w:hAnsi="方正仿宋_GBK" w:eastAsia="方正仿宋_GBK" w:cs="方正仿宋_GBK"/>
          <w:color w:val="auto"/>
          <w:sz w:val="32"/>
          <w:szCs w:val="32"/>
          <w:lang w:val="en-US" w:eastAsia="zh-CN"/>
        </w:rPr>
        <w:t>确保</w:t>
      </w:r>
      <w:r>
        <w:rPr>
          <w:rFonts w:hint="eastAsia" w:ascii="方正仿宋_GBK" w:hAnsi="方正仿宋_GBK" w:eastAsia="方正仿宋_GBK" w:cs="方正仿宋_GBK"/>
          <w:color w:val="auto"/>
          <w:sz w:val="32"/>
          <w:szCs w:val="32"/>
        </w:rPr>
        <w:t>安全分配和输送丙烷气体燃料到喷火器。</w:t>
      </w:r>
    </w:p>
    <w:p w14:paraId="2A2411B0">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w:t>
      </w:r>
      <w:r>
        <w:rPr>
          <w:rFonts w:hint="eastAsia" w:ascii="方正仿宋_GBK" w:hAnsi="方正仿宋_GBK" w:eastAsia="方正仿宋_GBK" w:cs="方正仿宋_GBK"/>
          <w:color w:val="auto"/>
          <w:sz w:val="32"/>
          <w:szCs w:val="32"/>
          <w:lang w:val="en-US" w:eastAsia="zh-CN"/>
        </w:rPr>
        <w:t>输配</w:t>
      </w:r>
      <w:r>
        <w:rPr>
          <w:rFonts w:hint="eastAsia" w:ascii="方正仿宋_GBK" w:hAnsi="方正仿宋_GBK" w:eastAsia="方正仿宋_GBK" w:cs="方正仿宋_GBK"/>
          <w:color w:val="auto"/>
          <w:sz w:val="32"/>
          <w:szCs w:val="32"/>
        </w:rPr>
        <w:t>系统输送的燃气应能提供3 s到20 s均匀的至少为84 kW/m²热通量（容差为5 %）</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其他均满足</w:t>
      </w:r>
      <w:r>
        <w:rPr>
          <w:rFonts w:hint="eastAsia" w:ascii="方正仿宋_GBK" w:hAnsi="方正仿宋_GBK" w:eastAsia="方正仿宋_GBK" w:cs="方正仿宋_GBK"/>
          <w:color w:val="auto"/>
          <w:sz w:val="32"/>
          <w:szCs w:val="32"/>
        </w:rPr>
        <w:t>ISO13506-1-2024</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GB/T 38302-2025</w:t>
      </w:r>
      <w:r>
        <w:rPr>
          <w:rFonts w:hint="eastAsia" w:ascii="方正仿宋_GBK" w:hAnsi="方正仿宋_GBK" w:eastAsia="方正仿宋_GBK" w:cs="方正仿宋_GBK"/>
          <w:color w:val="auto"/>
          <w:sz w:val="32"/>
          <w:szCs w:val="32"/>
          <w:lang w:val="en-US" w:eastAsia="zh-CN"/>
        </w:rPr>
        <w:t>要求</w:t>
      </w:r>
      <w:r>
        <w:rPr>
          <w:rFonts w:hint="eastAsia" w:ascii="方正仿宋_GBK" w:hAnsi="方正仿宋_GBK" w:eastAsia="方正仿宋_GBK" w:cs="方正仿宋_GBK"/>
          <w:color w:val="auto"/>
          <w:sz w:val="32"/>
          <w:szCs w:val="32"/>
        </w:rPr>
        <w:t>。</w:t>
      </w:r>
    </w:p>
    <w:p w14:paraId="44CE74B1">
      <w:pPr>
        <w:spacing w:line="360" w:lineRule="auto"/>
        <w:ind w:firstLine="640" w:firstLineChars="200"/>
        <w:jc w:val="left"/>
        <w:rPr>
          <w:rFonts w:hint="eastAsia" w:ascii="方正仿宋_GBK" w:hAnsi="方正仿宋_GBK" w:eastAsia="方正仿宋_GBK" w:cs="方正仿宋_GBK"/>
          <w:color w:val="auto"/>
          <w:sz w:val="32"/>
          <w:szCs w:val="32"/>
          <w:lang w:val="en-US" w:eastAsia="zh-CN"/>
        </w:rPr>
      </w:pPr>
    </w:p>
    <w:p w14:paraId="554EBE30">
      <w:pPr>
        <w:spacing w:line="360" w:lineRule="auto"/>
        <w:jc w:val="left"/>
        <w:outlineLvl w:val="2"/>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1.2.3热灼烧测控集成系统  1套</w:t>
      </w:r>
    </w:p>
    <w:p w14:paraId="1F8C7AA6">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（1）灼烧热源下热假人信号检测及传输系统、防护气体输配系统等控制单元集成到控制箱系统，多个系统的相关监控及通讯仪表集中设置在</w:t>
      </w:r>
      <w:r>
        <w:rPr>
          <w:rFonts w:hint="eastAsia" w:ascii="方正仿宋_GBK" w:hAnsi="方正仿宋_GBK" w:eastAsia="方正仿宋_GBK" w:cs="方正仿宋_GBK"/>
          <w:color w:val="auto"/>
          <w:sz w:val="32"/>
          <w:szCs w:val="32"/>
          <w:lang w:val="en-US" w:eastAsia="zh-CN"/>
        </w:rPr>
        <w:t>标识</w:t>
      </w:r>
      <w:r>
        <w:rPr>
          <w:rFonts w:hint="eastAsia" w:ascii="方正仿宋_GBK" w:hAnsi="方正仿宋_GBK" w:eastAsia="方正仿宋_GBK" w:cs="方正仿宋_GBK"/>
          <w:color w:val="auto"/>
          <w:sz w:val="32"/>
          <w:szCs w:val="32"/>
        </w:rPr>
        <w:t>明确、分布合理的控制箱内或控制面板上。</w:t>
      </w:r>
    </w:p>
    <w:p w14:paraId="7E6FEDC0">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（2）具有安全检查的提示和操作核查程式。包括</w:t>
      </w:r>
      <w:r>
        <w:rPr>
          <w:rFonts w:hint="eastAsia" w:ascii="方正仿宋_GBK" w:hAnsi="方正仿宋_GBK" w:eastAsia="方正仿宋_GBK" w:cs="方正仿宋_GBK"/>
          <w:color w:val="auto"/>
          <w:sz w:val="32"/>
          <w:szCs w:val="32"/>
          <w:lang w:val="en-US" w:eastAsia="zh-CN"/>
        </w:rPr>
        <w:t>热环境模拟舱</w:t>
      </w:r>
      <w:r>
        <w:rPr>
          <w:rFonts w:hint="eastAsia" w:ascii="方正仿宋_GBK" w:hAnsi="方正仿宋_GBK" w:eastAsia="方正仿宋_GBK" w:cs="方正仿宋_GBK"/>
          <w:color w:val="auto"/>
          <w:sz w:val="32"/>
          <w:szCs w:val="32"/>
        </w:rPr>
        <w:t>排气系统的测试、安全引导火焰的点燃、避免集聚的混合燃料爆炸、点火系统开始时确认</w:t>
      </w:r>
      <w:r>
        <w:rPr>
          <w:rFonts w:hint="eastAsia" w:ascii="方正仿宋_GBK" w:hAnsi="方正仿宋_GBK" w:eastAsia="方正仿宋_GBK" w:cs="方正仿宋_GBK"/>
          <w:color w:val="auto"/>
          <w:sz w:val="32"/>
          <w:szCs w:val="32"/>
          <w:lang w:val="en-US" w:eastAsia="zh-CN"/>
        </w:rPr>
        <w:t>热环境模拟舱</w:t>
      </w:r>
      <w:r>
        <w:rPr>
          <w:rFonts w:hint="eastAsia" w:ascii="方正仿宋_GBK" w:hAnsi="方正仿宋_GBK" w:eastAsia="方正仿宋_GBK" w:cs="方正仿宋_GBK"/>
          <w:color w:val="auto"/>
          <w:sz w:val="32"/>
          <w:szCs w:val="32"/>
        </w:rPr>
        <w:t>无人、</w:t>
      </w:r>
      <w:r>
        <w:rPr>
          <w:rFonts w:hint="eastAsia" w:ascii="方正仿宋_GBK" w:hAnsi="方正仿宋_GBK" w:eastAsia="方正仿宋_GBK" w:cs="方正仿宋_GBK"/>
          <w:color w:val="auto"/>
          <w:sz w:val="32"/>
          <w:szCs w:val="32"/>
          <w:lang w:val="en-US" w:eastAsia="zh-CN"/>
        </w:rPr>
        <w:t>舱</w:t>
      </w:r>
      <w:r>
        <w:rPr>
          <w:rFonts w:hint="eastAsia" w:ascii="方正仿宋_GBK" w:hAnsi="方正仿宋_GBK" w:eastAsia="方正仿宋_GBK" w:cs="方正仿宋_GBK"/>
          <w:color w:val="auto"/>
          <w:sz w:val="32"/>
          <w:szCs w:val="32"/>
        </w:rPr>
        <w:t>的隔绝性能、试验后的通风等。</w:t>
      </w:r>
    </w:p>
    <w:p w14:paraId="4E67649B">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（3）灼烧热源与热防护性能评价系统及其他子系统匹配对接使用。</w:t>
      </w:r>
    </w:p>
    <w:p w14:paraId="0B864BC8">
      <w:pPr>
        <w:spacing w:line="360" w:lineRule="auto"/>
        <w:jc w:val="left"/>
        <w:rPr>
          <w:rFonts w:hint="eastAsia" w:ascii="方正仿宋_GBK" w:hAnsi="方正仿宋_GBK" w:eastAsia="方正仿宋_GBK" w:cs="方正仿宋_GBK"/>
          <w:color w:val="auto"/>
          <w:sz w:val="32"/>
          <w:szCs w:val="32"/>
        </w:rPr>
      </w:pPr>
    </w:p>
    <w:p w14:paraId="6C67B805">
      <w:pPr>
        <w:spacing w:line="360" w:lineRule="auto"/>
        <w:jc w:val="left"/>
        <w:outlineLvl w:val="0"/>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（二）标准热辐射假人及热防护评价系统</w:t>
      </w:r>
    </w:p>
    <w:p w14:paraId="128C093F">
      <w:pPr>
        <w:spacing w:line="360" w:lineRule="auto"/>
        <w:jc w:val="left"/>
        <w:rPr>
          <w:rFonts w:hint="eastAsia" w:ascii="方正仿宋_GBK" w:hAnsi="方正仿宋_GBK" w:eastAsia="方正仿宋_GBK" w:cs="方正仿宋_GBK"/>
          <w:color w:val="auto"/>
          <w:sz w:val="32"/>
          <w:szCs w:val="32"/>
        </w:rPr>
      </w:pPr>
    </w:p>
    <w:p w14:paraId="7F32A6DA">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2.1 评价试验标准热辐射假人  1套</w:t>
      </w:r>
    </w:p>
    <w:p w14:paraId="013647BF">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*（1）假人本体的主体部分为陶瓷纤维复合材料，要求永久阻燃耐高温，能够承受不低于1100℃（且持续</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rPr>
        <w:t>6秒）火焰温度的间歇暴露，表面烧蚀不退化，本体为黑色。提供第三方机构检测报告复印件或其他证明材料复印件。</w:t>
      </w:r>
    </w:p>
    <w:p w14:paraId="4F813106">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*（2）假人壳体厚度为</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rPr>
        <w:t>5mm±1mm，提供假人壳体厚度的第三方机构检测报告复印件或其他证明材料复印件。</w:t>
      </w:r>
    </w:p>
    <w:p w14:paraId="6603C08A">
      <w:pPr>
        <w:spacing w:line="360" w:lineRule="auto"/>
        <w:ind w:firstLine="640" w:firstLineChars="200"/>
        <w:jc w:val="both"/>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rPr>
        <w:t>（3）造型为成年男性、直立站姿，身高1810±60mm</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主要部位尺寸</w:t>
      </w:r>
      <w:r>
        <w:rPr>
          <w:rFonts w:hint="eastAsia" w:ascii="方正仿宋_GBK" w:hAnsi="方正仿宋_GBK" w:eastAsia="方正仿宋_GBK" w:cs="方正仿宋_GBK"/>
          <w:color w:val="auto"/>
          <w:sz w:val="32"/>
          <w:szCs w:val="32"/>
          <w:lang w:val="en-US" w:eastAsia="zh-CN"/>
        </w:rPr>
        <w:t>满足</w:t>
      </w:r>
      <w:r>
        <w:rPr>
          <w:rFonts w:hint="eastAsia" w:ascii="方正仿宋_GBK" w:hAnsi="方正仿宋_GBK" w:eastAsia="方正仿宋_GBK" w:cs="方正仿宋_GBK"/>
          <w:color w:val="auto"/>
          <w:sz w:val="32"/>
          <w:szCs w:val="32"/>
        </w:rPr>
        <w:t>ISO13506-1-2024、ASTM F1930-2023、GB 38302-2025</w:t>
      </w:r>
      <w:r>
        <w:rPr>
          <w:rFonts w:hint="eastAsia" w:ascii="方正仿宋_GBK" w:hAnsi="方正仿宋_GBK" w:eastAsia="方正仿宋_GBK" w:cs="方正仿宋_GBK"/>
          <w:color w:val="auto"/>
          <w:sz w:val="32"/>
          <w:szCs w:val="32"/>
          <w:lang w:val="en-US" w:eastAsia="zh-CN"/>
        </w:rPr>
        <w:t>要求。</w:t>
      </w:r>
    </w:p>
    <w:p w14:paraId="1B936AD9">
      <w:pPr>
        <w:spacing w:line="360" w:lineRule="auto"/>
        <w:ind w:firstLine="48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Cs/>
          <w:snapToGrid w:val="0"/>
          <w:color w:val="auto"/>
          <w:sz w:val="24"/>
          <w:szCs w:val="28"/>
          <w:highlight w:val="none"/>
        </w:rPr>
        <w:t>★</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关节（至少包括肩、肘、髋、膝、踝）在可动角度范畴内无需外力可自行固定姿势（如，肩-30到90度，肘0到45度，髋-15到60度，膝0到60度，踝±15度），且可模拟跑动、抬腿、摆臂等多种着装姿势，且符合ISO 13506规定的固定姿势。须提供不少于3张关节活动的证明材料。</w:t>
      </w:r>
    </w:p>
    <w:p w14:paraId="379976B9">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*（5）热流传感器分布于假人全身，包括头部、躯干、手部、脚部等。须提供头部、躯干、手部、脚部布置热流传感器的证明材料。</w:t>
      </w:r>
    </w:p>
    <w:p w14:paraId="0242A222">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（6）假人在后颈部或头顶部有一处可供燃烧假人信号检测及传输系统、水冷系统接入的接插口。</w:t>
      </w:r>
    </w:p>
    <w:p w14:paraId="4288D736">
      <w:pPr>
        <w:spacing w:line="360" w:lineRule="auto"/>
        <w:jc w:val="left"/>
        <w:rPr>
          <w:rFonts w:hint="eastAsia" w:ascii="方正仿宋_GBK" w:hAnsi="方正仿宋_GBK" w:eastAsia="方正仿宋_GBK" w:cs="方正仿宋_GBK"/>
          <w:color w:val="auto"/>
          <w:sz w:val="32"/>
          <w:szCs w:val="32"/>
        </w:rPr>
      </w:pPr>
    </w:p>
    <w:p w14:paraId="3DC82118">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2.2 热辐射假人信号检测及传输系统</w:t>
      </w:r>
    </w:p>
    <w:p w14:paraId="09C8F517">
      <w:pPr>
        <w:spacing w:line="360" w:lineRule="auto"/>
        <w:jc w:val="left"/>
        <w:outlineLvl w:val="2"/>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2.2.1 热流传感器≥134个</w:t>
      </w:r>
    </w:p>
    <w:p w14:paraId="3DAEA64C">
      <w:pPr>
        <w:spacing w:line="360" w:lineRule="auto"/>
        <w:ind w:firstLine="640" w:firstLineChars="200"/>
        <w:jc w:val="both"/>
        <w:rPr>
          <w:rFonts w:hint="eastAsia" w:ascii="方正仿宋_GBK" w:hAnsi="方正仿宋_GBK" w:eastAsia="方正仿宋_GBK" w:cs="方正仿宋_GBK"/>
          <w:color w:val="auto"/>
          <w:sz w:val="32"/>
          <w:szCs w:val="32"/>
          <w:highlight w:val="none"/>
        </w:rPr>
      </w:pPr>
      <w:r>
        <w:rPr>
          <w:rFonts w:hint="eastAsia" w:ascii="方正仿宋_GBK" w:hAnsi="方正仿宋_GBK" w:eastAsia="方正仿宋_GBK" w:cs="方正仿宋_GBK"/>
          <w:color w:val="auto"/>
          <w:sz w:val="32"/>
          <w:szCs w:val="32"/>
          <w:highlight w:val="none"/>
        </w:rPr>
        <w:t>*（1）假人本体表面均匀划分为≥134个区域，包含手脚部位，且每只手、脚各不少于2个区域；热流传感器分布优于</w:t>
      </w:r>
      <w:r>
        <w:rPr>
          <w:rFonts w:hint="eastAsia" w:ascii="方正仿宋_GBK" w:hAnsi="方正仿宋_GBK" w:eastAsia="方正仿宋_GBK" w:cs="方正仿宋_GBK"/>
          <w:color w:val="auto"/>
          <w:sz w:val="32"/>
          <w:szCs w:val="32"/>
        </w:rPr>
        <w:t>ASTM F1930-2023、</w:t>
      </w:r>
      <w:r>
        <w:rPr>
          <w:rFonts w:hint="eastAsia" w:ascii="方正仿宋_GBK" w:hAnsi="方正仿宋_GBK" w:eastAsia="方正仿宋_GBK" w:cs="方正仿宋_GBK"/>
          <w:color w:val="auto"/>
          <w:sz w:val="32"/>
          <w:szCs w:val="32"/>
          <w:highlight w:val="none"/>
        </w:rPr>
        <w:t>ISO 13506-1-2024、GB 38302-2025的数量及分布要求。 须提供热流传感器分布的</w:t>
      </w:r>
      <w:r>
        <w:rPr>
          <w:rFonts w:hint="eastAsia" w:ascii="方正仿宋_GBK" w:hAnsi="方正仿宋_GBK" w:eastAsia="方正仿宋_GBK" w:cs="方正仿宋_GBK"/>
          <w:color w:val="auto"/>
          <w:sz w:val="32"/>
          <w:szCs w:val="32"/>
          <w:highlight w:val="none"/>
          <w:lang w:val="en-US" w:eastAsia="zh-CN"/>
        </w:rPr>
        <w:t>图文</w:t>
      </w:r>
      <w:r>
        <w:rPr>
          <w:rFonts w:hint="eastAsia" w:ascii="方正仿宋_GBK" w:hAnsi="方正仿宋_GBK" w:eastAsia="方正仿宋_GBK" w:cs="方正仿宋_GBK"/>
          <w:color w:val="auto"/>
          <w:sz w:val="32"/>
          <w:szCs w:val="32"/>
          <w:highlight w:val="none"/>
        </w:rPr>
        <w:t>证明材料。</w:t>
      </w:r>
    </w:p>
    <w:p w14:paraId="639B3390">
      <w:pPr>
        <w:spacing w:line="360" w:lineRule="auto"/>
        <w:ind w:firstLine="640" w:firstLineChars="200"/>
        <w:jc w:val="both"/>
        <w:rPr>
          <w:rFonts w:hint="eastAsia" w:ascii="方正仿宋_GBK" w:hAnsi="方正仿宋_GBK" w:eastAsia="方正仿宋_GBK" w:cs="方正仿宋_GBK"/>
          <w:color w:val="auto"/>
          <w:sz w:val="32"/>
          <w:szCs w:val="32"/>
          <w:highlight w:val="none"/>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highlight w:val="none"/>
        </w:rPr>
        <w:t>（2）每个区域设置1个高温传感器（均匀分布的热流传感器），传感器精确度（修正后）误差不高于3%。须提供第三方检测机构出具的检测报告复印件或其他证明材料。</w:t>
      </w:r>
    </w:p>
    <w:p w14:paraId="7C9E38F6">
      <w:pPr>
        <w:spacing w:line="360" w:lineRule="auto"/>
        <w:ind w:firstLine="640" w:firstLineChars="200"/>
        <w:jc w:val="both"/>
        <w:rPr>
          <w:rFonts w:hint="eastAsia" w:ascii="方正仿宋_GBK" w:hAnsi="方正仿宋_GBK" w:eastAsia="方正仿宋_GBK" w:cs="方正仿宋_GBK"/>
          <w:color w:val="auto"/>
          <w:sz w:val="32"/>
          <w:szCs w:val="32"/>
          <w:highlight w:val="none"/>
        </w:rPr>
      </w:pPr>
      <w:r>
        <w:rPr>
          <w:rFonts w:hint="eastAsia" w:ascii="方正仿宋_GBK" w:hAnsi="方正仿宋_GBK" w:eastAsia="方正仿宋_GBK" w:cs="方正仿宋_GBK"/>
          <w:color w:val="auto"/>
          <w:sz w:val="32"/>
          <w:szCs w:val="32"/>
          <w:highlight w:val="none"/>
        </w:rPr>
        <w:t>（</w:t>
      </w:r>
      <w:r>
        <w:rPr>
          <w:rFonts w:hint="eastAsia" w:ascii="方正仿宋_GBK" w:hAnsi="方正仿宋_GBK" w:eastAsia="方正仿宋_GBK" w:cs="方正仿宋_GBK"/>
          <w:color w:val="auto"/>
          <w:sz w:val="32"/>
          <w:szCs w:val="32"/>
          <w:highlight w:val="none"/>
          <w:lang w:val="en-US" w:eastAsia="zh-CN"/>
        </w:rPr>
        <w:t>3</w:t>
      </w:r>
      <w:r>
        <w:rPr>
          <w:rFonts w:hint="eastAsia" w:ascii="方正仿宋_GBK" w:hAnsi="方正仿宋_GBK" w:eastAsia="方正仿宋_GBK" w:cs="方正仿宋_GBK"/>
          <w:color w:val="auto"/>
          <w:sz w:val="32"/>
          <w:szCs w:val="32"/>
          <w:highlight w:val="none"/>
        </w:rPr>
        <w:t>）传感器为热电偶式热流传感器，精确测量热流量，测量范围</w:t>
      </w:r>
      <w:r>
        <w:rPr>
          <w:rFonts w:hint="eastAsia" w:ascii="方正仿宋_GBK" w:hAnsi="方正仿宋_GBK" w:eastAsia="方正仿宋_GBK" w:cs="方正仿宋_GBK"/>
          <w:color w:val="auto"/>
          <w:sz w:val="32"/>
          <w:szCs w:val="32"/>
          <w:highlight w:val="none"/>
          <w:lang w:val="en-US" w:eastAsia="zh-CN"/>
        </w:rPr>
        <w:t>至少满足</w:t>
      </w:r>
      <w:r>
        <w:rPr>
          <w:rFonts w:hint="eastAsia" w:ascii="方正仿宋_GBK" w:hAnsi="方正仿宋_GBK" w:eastAsia="方正仿宋_GBK" w:cs="方正仿宋_GBK"/>
          <w:color w:val="auto"/>
          <w:sz w:val="32"/>
          <w:szCs w:val="32"/>
          <w:highlight w:val="none"/>
        </w:rPr>
        <w:t>0.0到4.0 cal/cm</w:t>
      </w:r>
      <w:r>
        <w:rPr>
          <w:rFonts w:hint="eastAsia" w:ascii="方正仿宋_GBK" w:hAnsi="方正仿宋_GBK" w:eastAsia="方正仿宋_GBK" w:cs="方正仿宋_GBK"/>
          <w:color w:val="auto"/>
          <w:sz w:val="32"/>
          <w:szCs w:val="32"/>
          <w:highlight w:val="none"/>
          <w:vertAlign w:val="superscript"/>
        </w:rPr>
        <w:t>2</w:t>
      </w:r>
      <w:r>
        <w:rPr>
          <w:rFonts w:hint="eastAsia" w:ascii="方正仿宋_GBK" w:hAnsi="方正仿宋_GBK" w:eastAsia="方正仿宋_GBK" w:cs="方正仿宋_GBK"/>
          <w:color w:val="auto"/>
          <w:sz w:val="32"/>
          <w:szCs w:val="32"/>
          <w:highlight w:val="none"/>
        </w:rPr>
        <w:t>·s (16</w:t>
      </w:r>
      <w:r>
        <w:rPr>
          <w:rFonts w:hint="eastAsia" w:ascii="方正仿宋_GBK" w:hAnsi="方正仿宋_GBK" w:eastAsia="方正仿宋_GBK" w:cs="方正仿宋_GBK"/>
          <w:color w:val="auto"/>
          <w:sz w:val="32"/>
          <w:szCs w:val="32"/>
          <w:highlight w:val="none"/>
          <w:lang w:val="en-US" w:eastAsia="zh-CN"/>
        </w:rPr>
        <w:t>5</w:t>
      </w:r>
      <w:r>
        <w:rPr>
          <w:rFonts w:hint="eastAsia" w:ascii="方正仿宋_GBK" w:hAnsi="方正仿宋_GBK" w:eastAsia="方正仿宋_GBK" w:cs="方正仿宋_GBK"/>
          <w:color w:val="auto"/>
          <w:sz w:val="32"/>
          <w:szCs w:val="32"/>
          <w:highlight w:val="none"/>
        </w:rPr>
        <w:t>kW/m</w:t>
      </w:r>
      <w:r>
        <w:rPr>
          <w:rFonts w:hint="eastAsia" w:ascii="方正仿宋_GBK" w:hAnsi="方正仿宋_GBK" w:eastAsia="方正仿宋_GBK" w:cs="方正仿宋_GBK"/>
          <w:color w:val="auto"/>
          <w:sz w:val="32"/>
          <w:szCs w:val="32"/>
          <w:highlight w:val="none"/>
          <w:vertAlign w:val="superscript"/>
        </w:rPr>
        <w:t>2</w:t>
      </w:r>
      <w:r>
        <w:rPr>
          <w:rFonts w:hint="eastAsia" w:ascii="方正仿宋_GBK" w:hAnsi="方正仿宋_GBK" w:eastAsia="方正仿宋_GBK" w:cs="方正仿宋_GBK"/>
          <w:color w:val="auto"/>
          <w:sz w:val="32"/>
          <w:szCs w:val="32"/>
          <w:highlight w:val="none"/>
        </w:rPr>
        <w:t>)。</w:t>
      </w:r>
    </w:p>
    <w:p w14:paraId="1AD4B0C6">
      <w:pPr>
        <w:spacing w:line="360" w:lineRule="auto"/>
        <w:ind w:firstLine="640" w:firstLineChars="200"/>
        <w:jc w:val="both"/>
        <w:rPr>
          <w:rFonts w:hint="eastAsia" w:ascii="方正仿宋_GBK" w:hAnsi="方正仿宋_GBK" w:eastAsia="方正仿宋_GBK" w:cs="方正仿宋_GBK"/>
          <w:color w:val="auto"/>
          <w:sz w:val="32"/>
          <w:szCs w:val="32"/>
          <w:highlight w:val="none"/>
        </w:rPr>
      </w:pPr>
      <w:r>
        <w:rPr>
          <w:rFonts w:hint="eastAsia" w:ascii="方正仿宋_GBK" w:hAnsi="方正仿宋_GBK" w:eastAsia="方正仿宋_GBK" w:cs="方正仿宋_GBK"/>
          <w:color w:val="auto"/>
          <w:sz w:val="32"/>
          <w:szCs w:val="32"/>
          <w:highlight w:val="none"/>
        </w:rPr>
        <w:t>（</w:t>
      </w:r>
      <w:r>
        <w:rPr>
          <w:rFonts w:hint="eastAsia" w:ascii="方正仿宋_GBK" w:hAnsi="方正仿宋_GBK" w:eastAsia="方正仿宋_GBK" w:cs="方正仿宋_GBK"/>
          <w:color w:val="auto"/>
          <w:sz w:val="32"/>
          <w:szCs w:val="32"/>
          <w:highlight w:val="none"/>
          <w:lang w:val="en-US" w:eastAsia="zh-CN"/>
        </w:rPr>
        <w:t>4</w:t>
      </w:r>
      <w:r>
        <w:rPr>
          <w:rFonts w:hint="eastAsia" w:ascii="方正仿宋_GBK" w:hAnsi="方正仿宋_GBK" w:eastAsia="方正仿宋_GBK" w:cs="方正仿宋_GBK"/>
          <w:color w:val="auto"/>
          <w:sz w:val="32"/>
          <w:szCs w:val="32"/>
          <w:highlight w:val="none"/>
        </w:rPr>
        <w:t>）传感器由耐温300℃的材料制成，如果传感器温度达到250℃，系统要启动安全警报系同并停止测试来保护。</w:t>
      </w:r>
    </w:p>
    <w:p w14:paraId="06D52945">
      <w:pPr>
        <w:spacing w:line="360" w:lineRule="auto"/>
        <w:jc w:val="left"/>
        <w:rPr>
          <w:rFonts w:hint="eastAsia" w:ascii="方正仿宋_GBK" w:hAnsi="方正仿宋_GBK" w:eastAsia="方正仿宋_GBK" w:cs="方正仿宋_GBK"/>
          <w:color w:val="auto"/>
          <w:sz w:val="32"/>
          <w:szCs w:val="32"/>
        </w:rPr>
      </w:pPr>
    </w:p>
    <w:p w14:paraId="17B83C16">
      <w:pPr>
        <w:spacing w:line="360" w:lineRule="auto"/>
        <w:jc w:val="left"/>
        <w:outlineLvl w:val="2"/>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2.2.2 数据信号检测及传输电缆  1套</w:t>
      </w:r>
    </w:p>
    <w:p w14:paraId="3909C398">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（1）能够将传感器的信号与计算机监控系统实现通讯控制，实时反映燃烧假人表面的热流量信息。传输电缆具备良好的阻燃、耐高温、抗干扰及稳定性能，通过阻燃耐高温的金属软管连通到综合测控计算系统。</w:t>
      </w:r>
    </w:p>
    <w:p w14:paraId="6599B8D4">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（2）传感器数据以</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rPr>
        <w:t>10 Hz的频率高速采集、以</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rPr>
        <w:t>20位A/D转换器的数字化处理，并传送到热防护性能评价系统</w:t>
      </w:r>
      <w:r>
        <w:rPr>
          <w:rFonts w:hint="eastAsia" w:ascii="方正仿宋_GBK" w:hAnsi="方正仿宋_GBK" w:eastAsia="方正仿宋_GBK" w:cs="方正仿宋_GBK"/>
          <w:color w:val="auto"/>
          <w:sz w:val="32"/>
          <w:szCs w:val="32"/>
          <w:lang w:val="en-US" w:eastAsia="zh-CN"/>
        </w:rPr>
        <w:t>中</w:t>
      </w:r>
      <w:r>
        <w:rPr>
          <w:rFonts w:hint="eastAsia" w:ascii="方正仿宋_GBK" w:hAnsi="方正仿宋_GBK" w:eastAsia="方正仿宋_GBK" w:cs="方正仿宋_GBK"/>
          <w:color w:val="auto"/>
          <w:sz w:val="32"/>
          <w:szCs w:val="32"/>
        </w:rPr>
        <w:t>的燃烧模型模拟软件。该系统每个传感器探头至少在2s内存储一次测试结果，数据采集存储间隔可由用户编程定义。</w:t>
      </w:r>
    </w:p>
    <w:p w14:paraId="41614EE1">
      <w:pPr>
        <w:spacing w:line="360" w:lineRule="auto"/>
        <w:jc w:val="left"/>
        <w:rPr>
          <w:rFonts w:hint="eastAsia" w:ascii="方正仿宋_GBK" w:hAnsi="方正仿宋_GBK" w:eastAsia="方正仿宋_GBK" w:cs="方正仿宋_GBK"/>
          <w:color w:val="auto"/>
          <w:sz w:val="32"/>
          <w:szCs w:val="32"/>
        </w:rPr>
      </w:pPr>
    </w:p>
    <w:p w14:paraId="2AF292DF">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2.3 热辐射假人循环水冷系统</w:t>
      </w:r>
    </w:p>
    <w:p w14:paraId="60CB95A2">
      <w:pPr>
        <w:spacing w:line="360" w:lineRule="auto"/>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   包含水冷却系统 1套、空气-水热交换器 1套。</w:t>
      </w:r>
    </w:p>
    <w:p w14:paraId="422ED7D7">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 假人壳体内部核心部位均匀布置水冷却系统，短时间内迅速降低假人内部温度，提高实验效率。投标文件中须提供不少于3张描述内部水冷却系统细节的照片，并附以相关的文字说明。</w:t>
      </w:r>
    </w:p>
    <w:p w14:paraId="622B9B25">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（2）对假人内部核心核心元器件和控制系统提供低温水冷保护，防止温度过高造成各种损坏，影响实验进度和数据准确性。</w:t>
      </w:r>
    </w:p>
    <w:p w14:paraId="03050CA1">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（3）空气-水热交换器交换容量≥11L，可使用过滤自来水或蒸馏水。</w:t>
      </w:r>
    </w:p>
    <w:p w14:paraId="2BF86092">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2.4 热辐射、热灼烧防护性能评价系统 1套</w:t>
      </w:r>
    </w:p>
    <w:p w14:paraId="11F13E2E">
      <w:pPr>
        <w:spacing w:line="360" w:lineRule="auto"/>
        <w:ind w:firstLine="640" w:firstLineChars="200"/>
        <w:jc w:val="left"/>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rPr>
        <w:t>通过热流、热源分布和持续时间等数据，基于烧伤模型开展测量着装假人在热辐射及热灼烧环境下的热伤害评价。要满足以下要求</w:t>
      </w:r>
      <w:r>
        <w:rPr>
          <w:rFonts w:hint="eastAsia" w:ascii="方正仿宋_GBK" w:hAnsi="方正仿宋_GBK" w:eastAsia="方正仿宋_GBK" w:cs="方正仿宋_GBK"/>
          <w:color w:val="auto"/>
          <w:sz w:val="32"/>
          <w:szCs w:val="32"/>
          <w:lang w:eastAsia="zh-CN"/>
        </w:rPr>
        <w:t>：</w:t>
      </w:r>
    </w:p>
    <w:p w14:paraId="735D709A">
      <w:pPr>
        <w:spacing w:line="360" w:lineRule="auto"/>
        <w:ind w:firstLine="640" w:firstLineChars="200"/>
        <w:jc w:val="left"/>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整套系统包括热辐射、热灼烧防护性能评价两套子系统、预装正版操作系统的工作站壹台，两套子系统集成安装于工作站。</w:t>
      </w:r>
    </w:p>
    <w:p w14:paraId="214551C1">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strike w:val="0"/>
          <w:dstrike w:val="0"/>
          <w:color w:val="auto"/>
          <w:sz w:val="32"/>
          <w:szCs w:val="32"/>
        </w:rPr>
        <w:t>兼容</w:t>
      </w:r>
      <w:r>
        <w:rPr>
          <w:rFonts w:hint="eastAsia" w:ascii="方正仿宋_GBK" w:hAnsi="方正仿宋_GBK" w:eastAsia="方正仿宋_GBK" w:cs="方正仿宋_GBK"/>
          <w:color w:val="auto"/>
          <w:sz w:val="32"/>
          <w:szCs w:val="32"/>
        </w:rPr>
        <w:t>满足ASTM F1930-2023、ISO13506-2024、GB/T 38302-2025等标准的相关要求，满足森林消防防护装备评估要求。</w:t>
      </w:r>
    </w:p>
    <w:p w14:paraId="41AB933B">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3</w:t>
      </w:r>
      <w:r>
        <w:rPr>
          <w:rFonts w:hint="eastAsia" w:ascii="方正仿宋_GBK" w:hAnsi="方正仿宋_GBK" w:eastAsia="方正仿宋_GBK" w:cs="方正仿宋_GBK"/>
          <w:color w:val="auto"/>
          <w:sz w:val="32"/>
          <w:szCs w:val="32"/>
        </w:rPr>
        <w:t>）能进行数据分析和直观显示，实时统计和数据分析，以及诊断和标定校准功能；能显示和储存每个传感器的按时序分布的数据记录。</w:t>
      </w:r>
    </w:p>
    <w:p w14:paraId="7C1629E5">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strike w:val="0"/>
          <w:dstrike w:val="0"/>
          <w:color w:val="auto"/>
          <w:sz w:val="32"/>
          <w:szCs w:val="32"/>
        </w:rPr>
        <w:t>兼容</w:t>
      </w:r>
      <w:r>
        <w:rPr>
          <w:rFonts w:hint="eastAsia" w:ascii="方正仿宋_GBK" w:hAnsi="方正仿宋_GBK" w:eastAsia="方正仿宋_GBK" w:cs="方正仿宋_GBK"/>
          <w:color w:val="auto"/>
          <w:sz w:val="32"/>
          <w:szCs w:val="32"/>
        </w:rPr>
        <w:t>满足ASTM F1930-2023、ISO13506-2024、GB/T 38302-2025等标准的要求，能够针对传感器，以及由传感器、数据信号采集和燃烧模型的组合实施标定校准；能够实施对暴露火焰的标定，并进行相关调节处置。</w:t>
      </w:r>
    </w:p>
    <w:p w14:paraId="5A23823E">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5</w:t>
      </w:r>
      <w:r>
        <w:rPr>
          <w:rFonts w:hint="eastAsia" w:ascii="方正仿宋_GBK" w:hAnsi="方正仿宋_GBK" w:eastAsia="方正仿宋_GBK" w:cs="方正仿宋_GBK"/>
          <w:color w:val="auto"/>
          <w:sz w:val="32"/>
          <w:szCs w:val="32"/>
        </w:rPr>
        <w:t>）自动接收和显示所有传感器的输出数据，计算热流量，预报每个传感器所在皮肤表面的烧伤级别、烧伤总面积、构成一</w:t>
      </w:r>
      <w:r>
        <w:rPr>
          <w:rFonts w:hint="eastAsia" w:ascii="方正仿宋_GBK" w:hAnsi="方正仿宋_GBK" w:eastAsia="方正仿宋_GBK" w:cs="方正仿宋_GBK"/>
          <w:color w:val="auto"/>
          <w:sz w:val="32"/>
          <w:szCs w:val="32"/>
          <w:lang w:val="en-US" w:eastAsia="zh-CN"/>
        </w:rPr>
        <w:t>度</w:t>
      </w:r>
      <w:r>
        <w:rPr>
          <w:rFonts w:hint="eastAsia" w:ascii="方正仿宋_GBK" w:hAnsi="方正仿宋_GBK" w:eastAsia="方正仿宋_GBK" w:cs="方正仿宋_GBK"/>
          <w:color w:val="auto"/>
          <w:sz w:val="32"/>
          <w:szCs w:val="32"/>
        </w:rPr>
        <w:t>、二</w:t>
      </w:r>
      <w:r>
        <w:rPr>
          <w:rFonts w:hint="eastAsia" w:ascii="方正仿宋_GBK" w:hAnsi="方正仿宋_GBK" w:eastAsia="方正仿宋_GBK" w:cs="方正仿宋_GBK"/>
          <w:color w:val="auto"/>
          <w:sz w:val="32"/>
          <w:szCs w:val="32"/>
          <w:lang w:val="en-US" w:eastAsia="zh-CN"/>
        </w:rPr>
        <w:t>度</w:t>
      </w:r>
      <w:r>
        <w:rPr>
          <w:rFonts w:hint="eastAsia" w:ascii="方正仿宋_GBK" w:hAnsi="方正仿宋_GBK" w:eastAsia="方正仿宋_GBK" w:cs="方正仿宋_GBK"/>
          <w:color w:val="auto"/>
          <w:sz w:val="32"/>
          <w:szCs w:val="32"/>
        </w:rPr>
        <w:t>烧伤和三</w:t>
      </w:r>
      <w:r>
        <w:rPr>
          <w:rFonts w:hint="eastAsia" w:ascii="方正仿宋_GBK" w:hAnsi="方正仿宋_GBK" w:eastAsia="方正仿宋_GBK" w:cs="方正仿宋_GBK"/>
          <w:color w:val="auto"/>
          <w:sz w:val="32"/>
          <w:szCs w:val="32"/>
          <w:lang w:val="en-US" w:eastAsia="zh-CN"/>
        </w:rPr>
        <w:t>度</w:t>
      </w:r>
      <w:r>
        <w:rPr>
          <w:rFonts w:hint="eastAsia" w:ascii="方正仿宋_GBK" w:hAnsi="方正仿宋_GBK" w:eastAsia="方正仿宋_GBK" w:cs="方正仿宋_GBK"/>
          <w:color w:val="auto"/>
          <w:sz w:val="32"/>
          <w:szCs w:val="32"/>
        </w:rPr>
        <w:t>烧伤的时间。</w:t>
      </w:r>
    </w:p>
    <w:p w14:paraId="2337AE5F">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6</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可360°展示并</w:t>
      </w:r>
      <w:r>
        <w:rPr>
          <w:rFonts w:hint="eastAsia" w:ascii="方正仿宋_GBK" w:hAnsi="方正仿宋_GBK" w:eastAsia="方正仿宋_GBK" w:cs="方正仿宋_GBK"/>
          <w:color w:val="auto"/>
          <w:sz w:val="32"/>
          <w:szCs w:val="32"/>
        </w:rPr>
        <w:t>预告人体模型烧伤总面积：①预告人体模型二度烧伤的百分比；②预告人体模型三度烧伤的百分比；③预告人体模型二、三度烧伤总面积(二、三度烧伤百分比总计和各种统计结合起来产生的标准偏差)。</w:t>
      </w:r>
    </w:p>
    <w:p w14:paraId="02560FC2">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7</w:t>
      </w:r>
      <w:r>
        <w:rPr>
          <w:rFonts w:hint="eastAsia" w:ascii="方正仿宋_GBK" w:hAnsi="方正仿宋_GBK" w:eastAsia="方正仿宋_GBK" w:cs="方正仿宋_GBK"/>
          <w:color w:val="auto"/>
          <w:sz w:val="32"/>
          <w:szCs w:val="32"/>
        </w:rPr>
        <w:t>）根据被测试验防护服覆盖人体模型的总面积预告二度烧伤面积：①预告二度烧伤覆盖面积的百分比(%)；②预告三度烧伤覆盖面积的百分比(%)；③预告总烧伤覆盖面积(二、三度烧伤面积的总合百分比，把各种统计结合起来产生的标准偏差)。</w:t>
      </w:r>
    </w:p>
    <w:p w14:paraId="403F0CB2">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8</w:t>
      </w:r>
      <w:r>
        <w:rPr>
          <w:rFonts w:hint="eastAsia" w:ascii="方正仿宋_GBK" w:hAnsi="方正仿宋_GBK" w:eastAsia="方正仿宋_GBK" w:cs="方正仿宋_GBK"/>
          <w:color w:val="auto"/>
          <w:sz w:val="32"/>
          <w:szCs w:val="32"/>
        </w:rPr>
        <w:t xml:space="preserve">）满足的要求提供相应的数据、资料记录和分析功能。包括：记录与测试有关的信息如①测试目的；②测试过程；③测试样品确认；④测试样品特征；⑤测试条件；⑥测试评论；⑦暴露持续时间；⑧数据处理时间；⑨人员观察测试情况；⑩任何与测试过程有关的其它情况。 </w:t>
      </w:r>
    </w:p>
    <w:p w14:paraId="22AA1C44">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9</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可</w:t>
      </w:r>
      <w:r>
        <w:rPr>
          <w:rFonts w:hint="eastAsia" w:ascii="方正仿宋_GBK" w:hAnsi="方正仿宋_GBK" w:eastAsia="方正仿宋_GBK" w:cs="方正仿宋_GBK"/>
          <w:color w:val="auto"/>
          <w:sz w:val="32"/>
          <w:szCs w:val="32"/>
        </w:rPr>
        <w:t>根据指定试验标准规范，生成烧伤评估报告，并评估数据差异性。可溯源以前试验原始数据，无需重复试验，根据指定假人优化区域和烧伤模型重新生成烧伤评估报告。</w:t>
      </w:r>
    </w:p>
    <w:p w14:paraId="21B8B41F">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w:t>
      </w:r>
      <w:r>
        <w:rPr>
          <w:rFonts w:hint="eastAsia" w:ascii="方正仿宋_GBK" w:hAnsi="方正仿宋_GBK" w:eastAsia="方正仿宋_GBK" w:cs="方正仿宋_GBK"/>
          <w:color w:val="auto"/>
          <w:sz w:val="32"/>
          <w:szCs w:val="32"/>
          <w:lang w:val="en-US" w:eastAsia="zh-CN"/>
        </w:rPr>
        <w:t>0</w:t>
      </w:r>
      <w:r>
        <w:rPr>
          <w:rFonts w:hint="eastAsia" w:ascii="方正仿宋_GBK" w:hAnsi="方正仿宋_GBK" w:eastAsia="方正仿宋_GBK" w:cs="方正仿宋_GBK"/>
          <w:color w:val="auto"/>
          <w:sz w:val="32"/>
          <w:szCs w:val="32"/>
        </w:rPr>
        <w:t>）控制软件系统免费升级。</w:t>
      </w:r>
    </w:p>
    <w:p w14:paraId="23744C01">
      <w:pPr>
        <w:spacing w:line="360" w:lineRule="auto"/>
        <w:jc w:val="left"/>
        <w:rPr>
          <w:rFonts w:hint="eastAsia" w:ascii="方正仿宋_GBK" w:hAnsi="方正仿宋_GBK" w:eastAsia="方正仿宋_GBK" w:cs="方正仿宋_GBK"/>
          <w:color w:val="auto"/>
          <w:sz w:val="32"/>
          <w:szCs w:val="32"/>
        </w:rPr>
      </w:pPr>
    </w:p>
    <w:p w14:paraId="6B984C90">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2.5 热流传感校准及评估系统 1套</w:t>
      </w:r>
    </w:p>
    <w:p w14:paraId="77AADBCD">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*（1）提供带有可朔源的手持式热流传感器标定装置，用于人体模型传感器的现场校准。投标文件中须提供可溯源校准热流传感器的校准证书复印件或其他证明材料。</w:t>
      </w:r>
    </w:p>
    <w:p w14:paraId="247BD803">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（2）传感器标定装置能提供在0.2到2.0 cal/cm</w:t>
      </w:r>
      <w:r>
        <w:rPr>
          <w:rFonts w:hint="eastAsia" w:ascii="方正仿宋_GBK" w:hAnsi="方正仿宋_GBK" w:eastAsia="方正仿宋_GBK" w:cs="方正仿宋_GBK"/>
          <w:color w:val="auto"/>
          <w:sz w:val="32"/>
          <w:szCs w:val="32"/>
          <w:vertAlign w:val="superscript"/>
        </w:rPr>
        <w:t>2</w:t>
      </w:r>
      <w:r>
        <w:rPr>
          <w:rFonts w:hint="eastAsia" w:ascii="方正仿宋_GBK" w:hAnsi="方正仿宋_GBK" w:eastAsia="方正仿宋_GBK" w:cs="方正仿宋_GBK"/>
          <w:color w:val="auto"/>
          <w:sz w:val="32"/>
          <w:szCs w:val="32"/>
        </w:rPr>
        <w:t>·s范围内的对流热或（和）辐射热流量，用来标定传感器。</w:t>
      </w:r>
    </w:p>
    <w:p w14:paraId="0CBE97D5">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（3）校准系统内置于系统内，满足ISO13506-2024、ASTM F1930-2023标准要求。</w:t>
      </w:r>
    </w:p>
    <w:p w14:paraId="30957D8B">
      <w:pPr>
        <w:spacing w:line="360" w:lineRule="auto"/>
        <w:jc w:val="left"/>
        <w:rPr>
          <w:rFonts w:hint="eastAsia" w:ascii="方正仿宋_GBK" w:hAnsi="方正仿宋_GBK" w:eastAsia="方正仿宋_GBK" w:cs="方正仿宋_GBK"/>
          <w:color w:val="auto"/>
          <w:sz w:val="32"/>
          <w:szCs w:val="32"/>
        </w:rPr>
      </w:pPr>
    </w:p>
    <w:p w14:paraId="1A41C24A">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2.6 热辐射假人悬吊系统 1套</w:t>
      </w:r>
    </w:p>
    <w:p w14:paraId="2D1F3CBD">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*（1）假人整体依靠悬吊装置固定，不会发生晃动，悬吊装置要求承受温度</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rPr>
        <w:t>1100℃，暴露持续</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rPr>
        <w:t>6秒。须提供第三方机构检测报告复印件或其他证明材料。</w:t>
      </w:r>
    </w:p>
    <w:p w14:paraId="38C23080">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（2）悬吊装置可固定在燃烧模拟环境实验室顶部的滑槽内，可以沿着滑槽轨道移动，可手动调节假人朝向方位，可面向任何方位固定。</w:t>
      </w:r>
    </w:p>
    <w:p w14:paraId="39CB050E">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*（3）悬吊系统与多功能热辐射试验舱中的火场模拟移动系统匹配衔接，实现假人火场穿行。须提供不少于3张描述热辐射假人移动的证明材料。</w:t>
      </w:r>
    </w:p>
    <w:p w14:paraId="363FBD0B">
      <w:pPr>
        <w:spacing w:line="360" w:lineRule="auto"/>
        <w:jc w:val="left"/>
        <w:rPr>
          <w:rFonts w:hint="eastAsia" w:ascii="方正仿宋_GBK" w:hAnsi="方正仿宋_GBK" w:eastAsia="方正仿宋_GBK" w:cs="方正仿宋_GBK"/>
          <w:color w:val="auto"/>
          <w:sz w:val="32"/>
          <w:szCs w:val="32"/>
        </w:rPr>
      </w:pPr>
    </w:p>
    <w:p w14:paraId="1577D944">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2.7 综合测控耦合系统</w:t>
      </w:r>
    </w:p>
    <w:p w14:paraId="22ED0347">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w:t>
      </w:r>
      <w:r>
        <w:rPr>
          <w:rFonts w:hint="eastAsia" w:ascii="方正仿宋_GBK" w:hAnsi="方正仿宋_GBK" w:eastAsia="方正仿宋_GBK" w:cs="方正仿宋_GBK"/>
          <w:color w:val="auto"/>
          <w:sz w:val="32"/>
          <w:szCs w:val="32"/>
          <w:lang w:val="en-US" w:eastAsia="zh-CN"/>
        </w:rPr>
        <w:t>要求</w:t>
      </w:r>
      <w:r>
        <w:rPr>
          <w:rFonts w:hint="eastAsia" w:ascii="方正仿宋_GBK" w:hAnsi="方正仿宋_GBK" w:eastAsia="方正仿宋_GBK" w:cs="方正仿宋_GBK"/>
          <w:color w:val="auto"/>
          <w:sz w:val="32"/>
          <w:szCs w:val="32"/>
        </w:rPr>
        <w:t>热防护性能评价系统（辐射热）匹配耦合辐射热源下热假人信号检测、传输、安全防护等多个系统。</w:t>
      </w:r>
    </w:p>
    <w:p w14:paraId="31C7F913">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w:t>
      </w:r>
      <w:r>
        <w:rPr>
          <w:rFonts w:hint="eastAsia" w:ascii="方正仿宋_GBK" w:hAnsi="方正仿宋_GBK" w:eastAsia="方正仿宋_GBK" w:cs="方正仿宋_GBK"/>
          <w:color w:val="auto"/>
          <w:sz w:val="32"/>
          <w:szCs w:val="32"/>
          <w:lang w:val="en-US" w:eastAsia="zh-CN"/>
        </w:rPr>
        <w:t>要求</w:t>
      </w:r>
      <w:r>
        <w:rPr>
          <w:rFonts w:hint="eastAsia" w:ascii="方正仿宋_GBK" w:hAnsi="方正仿宋_GBK" w:eastAsia="方正仿宋_GBK" w:cs="方正仿宋_GBK"/>
          <w:color w:val="auto"/>
          <w:sz w:val="32"/>
          <w:szCs w:val="32"/>
        </w:rPr>
        <w:t>热防护性能评价系统（灼烧热）匹配耦合灼烧热源下热假人信号检测、传输、安全防护等多个系统。</w:t>
      </w:r>
    </w:p>
    <w:p w14:paraId="4F004C65">
      <w:pPr>
        <w:spacing w:line="360" w:lineRule="auto"/>
        <w:ind w:firstLine="480" w:firstLineChars="200"/>
        <w:jc w:val="left"/>
        <w:rPr>
          <w:rFonts w:hint="default" w:ascii="Times New Roman" w:hAnsi="Times New Roman" w:eastAsia="方正仿宋_GBK" w:cs="Times New Roman"/>
          <w:b w:val="0"/>
          <w:bCs/>
          <w:color w:val="000000" w:themeColor="text1"/>
          <w:sz w:val="32"/>
          <w:szCs w:val="32"/>
          <w:highlight w:val="yellow"/>
          <w:lang w:val="en-US" w:eastAsia="zh-CN"/>
          <w14:textFill>
            <w14:solidFill>
              <w14:schemeClr w14:val="tx1"/>
            </w14:solidFill>
          </w14:textFill>
        </w:rPr>
      </w:pPr>
      <w:r>
        <w:rPr>
          <w:rFonts w:hint="eastAsia" w:ascii="方正仿宋_GBK" w:hAnsi="方正仿宋_GBK" w:eastAsia="方正仿宋_GBK" w:cs="方正仿宋_GBK"/>
          <w:bCs/>
          <w:snapToGrid w:val="0"/>
          <w:color w:val="auto"/>
          <w:sz w:val="24"/>
          <w:szCs w:val="28"/>
          <w:highlight w:val="yellow"/>
        </w:rPr>
        <w:t>★</w:t>
      </w:r>
      <w:r>
        <w:rPr>
          <w:rFonts w:hint="eastAsia" w:ascii="方正仿宋_GBK" w:hAnsi="方正仿宋_GBK" w:eastAsia="方正仿宋_GBK" w:cs="方正仿宋_GBK"/>
          <w:bCs/>
          <w:snapToGrid w:val="0"/>
          <w:color w:val="auto"/>
          <w:sz w:val="24"/>
          <w:szCs w:val="28"/>
          <w:highlight w:val="yellow"/>
          <w:lang w:val="en-US" w:eastAsia="zh-CN"/>
        </w:rPr>
        <w:t>为废标项</w:t>
      </w:r>
    </w:p>
    <w:p w14:paraId="33AB894A">
      <w:pPr>
        <w:spacing w:line="360" w:lineRule="auto"/>
        <w:ind w:firstLine="640" w:firstLineChars="200"/>
        <w:jc w:val="left"/>
        <w:rPr>
          <w:rFonts w:hint="default" w:ascii="Times New Roman" w:hAnsi="Times New Roman" w:eastAsia="方正黑体_GBK" w:cs="Times New Roman"/>
          <w:b w:val="0"/>
          <w:bCs/>
          <w:sz w:val="32"/>
          <w:szCs w:val="32"/>
          <w:highlight w:val="none"/>
        </w:rPr>
      </w:pPr>
      <w:r>
        <w:rPr>
          <w:rFonts w:hint="default" w:ascii="Times New Roman" w:hAnsi="Times New Roman" w:eastAsia="方正黑体_GBK" w:cs="Times New Roman"/>
          <w:b w:val="0"/>
          <w:bCs/>
          <w:sz w:val="32"/>
          <w:szCs w:val="32"/>
          <w:highlight w:val="none"/>
          <w:lang w:val="en-US" w:eastAsia="zh-CN"/>
        </w:rPr>
        <w:t>四</w:t>
      </w:r>
      <w:r>
        <w:rPr>
          <w:rFonts w:hint="default" w:ascii="Times New Roman" w:hAnsi="Times New Roman" w:eastAsia="方正黑体_GBK" w:cs="Times New Roman"/>
          <w:b w:val="0"/>
          <w:bCs/>
          <w:sz w:val="32"/>
          <w:szCs w:val="32"/>
          <w:highlight w:val="none"/>
        </w:rPr>
        <w:t>、实施要求或标准</w:t>
      </w:r>
    </w:p>
    <w:p w14:paraId="1B6D0675">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该工程项目主要是</w:t>
      </w:r>
      <w:r>
        <w:rPr>
          <w:rFonts w:hint="default" w:ascii="Times New Roman" w:hAnsi="Times New Roman" w:eastAsia="方正仿宋_GBK" w:cs="Times New Roman"/>
          <w:b w:val="0"/>
          <w:bCs/>
          <w:sz w:val="32"/>
          <w:szCs w:val="32"/>
          <w:highlight w:val="none"/>
          <w:lang w:val="en-US" w:eastAsia="zh-CN"/>
        </w:rPr>
        <w:t>高温辐射热源及调控系统、标准热辐射假人防护评价系统</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的施工安装</w:t>
      </w:r>
      <w:r>
        <w:rPr>
          <w:rFonts w:hint="default" w:ascii="Times New Roman" w:hAnsi="Times New Roman" w:eastAsia="方正仿宋_GBK" w:cs="Times New Roman"/>
          <w:b w:val="0"/>
          <w:bCs/>
          <w:sz w:val="32"/>
          <w:szCs w:val="32"/>
          <w:highlight w:val="none"/>
        </w:rPr>
        <w:t>，工程结束后，</w:t>
      </w:r>
      <w:r>
        <w:rPr>
          <w:rFonts w:hint="default" w:ascii="Times New Roman" w:hAnsi="Times New Roman" w:eastAsia="方正仿宋_GBK" w:cs="Times New Roman"/>
          <w:b w:val="0"/>
          <w:bCs/>
          <w:sz w:val="32"/>
          <w:szCs w:val="32"/>
          <w:highlight w:val="none"/>
          <w:lang w:val="en-US" w:eastAsia="zh-CN"/>
        </w:rPr>
        <w:t>业主</w:t>
      </w:r>
      <w:r>
        <w:rPr>
          <w:rFonts w:hint="default" w:ascii="Times New Roman" w:hAnsi="Times New Roman" w:eastAsia="方正仿宋_GBK" w:cs="Times New Roman"/>
          <w:b w:val="0"/>
          <w:bCs/>
          <w:sz w:val="32"/>
          <w:szCs w:val="32"/>
          <w:highlight w:val="none"/>
        </w:rPr>
        <w:t>部门要进行检测验收。应当做到：</w:t>
      </w:r>
    </w:p>
    <w:p w14:paraId="4E41B589">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default"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1</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w:t>
      </w:r>
      <w:r>
        <w:rPr>
          <w:rFonts w:hint="default" w:ascii="Times New Roman" w:hAnsi="Times New Roman" w:eastAsia="方正仿宋_GBK" w:cs="Times New Roman"/>
          <w:b w:val="0"/>
          <w:bCs/>
          <w:sz w:val="32"/>
          <w:szCs w:val="32"/>
          <w:highlight w:val="none"/>
          <w:lang w:val="en-US" w:eastAsia="zh-CN"/>
        </w:rPr>
        <w:t>高温辐射热源及调控系统、标准热辐射假人防护评价系统</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在指定位置安装完毕后，</w:t>
      </w: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确保系统平稳运转</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w:t>
      </w:r>
    </w:p>
    <w:p w14:paraId="3E56C318">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2、设备安装应牢固。设备上的各种零件不得脱落或碰坏，各种标志应完整、清晰。</w:t>
      </w:r>
    </w:p>
    <w:p w14:paraId="49965097">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3、</w:t>
      </w: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假人材质和分区等均满足技术要求，现场演示实验采集</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w:t>
      </w:r>
    </w:p>
    <w:p w14:paraId="4DB9A976">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4、缆线的型式、规格应与设计规定相符。缆线的布放应自然平直，不得产生扭绞、打圈接头等现象，不应受到外力的挤压和损伤。缆线两端应贴有标签，应标明编号，标签书写应清晰、端正和正确。标签应选用不易损坏的材料。</w:t>
      </w:r>
    </w:p>
    <w:p w14:paraId="6AC70087">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5、</w:t>
      </w: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控制箱</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、综合布线系统缆线应分隔布放</w:t>
      </w:r>
      <w:r>
        <w:rPr>
          <w:rFonts w:hint="eastAsia" w:ascii="Times New Roman" w:hAnsi="Times New Roman" w:eastAsia="方正仿宋_GBK" w:cs="Times New Roman"/>
          <w:b w:val="0"/>
          <w:bCs/>
          <w:color w:val="000000" w:themeColor="text1"/>
          <w:sz w:val="32"/>
          <w:szCs w:val="32"/>
          <w:highlight w:val="none"/>
          <w:lang w:eastAsia="zh-CN"/>
          <w14:textFill>
            <w14:solidFill>
              <w14:schemeClr w14:val="tx1"/>
            </w14:solidFill>
          </w14:textFill>
        </w:rPr>
        <w:t>，</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缆线中间不允许有接头；</w:t>
      </w:r>
    </w:p>
    <w:p w14:paraId="7D39B0E1">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6</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w:t>
      </w: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设备运行复合用户要求，并按要求完成个人防护装备测试分析</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w:t>
      </w:r>
    </w:p>
    <w:p w14:paraId="2AD965CD">
      <w:pPr>
        <w:spacing w:line="360" w:lineRule="auto"/>
        <w:ind w:firstLine="640" w:firstLineChars="200"/>
        <w:jc w:val="left"/>
        <w:rPr>
          <w:rFonts w:hint="default" w:ascii="Times New Roman" w:hAnsi="Times New Roman" w:eastAsia="方正黑体_GBK" w:cs="Times New Roman"/>
          <w:b w:val="0"/>
          <w:bCs/>
          <w:sz w:val="32"/>
          <w:szCs w:val="32"/>
          <w:highlight w:val="none"/>
        </w:rPr>
      </w:pPr>
      <w:r>
        <w:rPr>
          <w:rFonts w:hint="default" w:ascii="Times New Roman" w:hAnsi="Times New Roman" w:eastAsia="方正黑体_GBK" w:cs="Times New Roman"/>
          <w:b w:val="0"/>
          <w:bCs/>
          <w:sz w:val="32"/>
          <w:szCs w:val="32"/>
          <w:highlight w:val="none"/>
          <w:lang w:val="en-US" w:eastAsia="zh-CN"/>
        </w:rPr>
        <w:t>五</w:t>
      </w:r>
      <w:r>
        <w:rPr>
          <w:rFonts w:hint="default" w:ascii="Times New Roman" w:hAnsi="Times New Roman" w:eastAsia="方正黑体_GBK" w:cs="Times New Roman"/>
          <w:b w:val="0"/>
          <w:bCs/>
          <w:sz w:val="32"/>
          <w:szCs w:val="32"/>
          <w:highlight w:val="none"/>
        </w:rPr>
        <w:t>、商务需求</w:t>
      </w:r>
    </w:p>
    <w:p w14:paraId="4D30FE7D">
      <w:pPr>
        <w:spacing w:line="360" w:lineRule="auto"/>
        <w:ind w:firstLine="643" w:firstLineChars="200"/>
        <w:jc w:val="left"/>
        <w:rPr>
          <w:rFonts w:hint="eastAsia" w:ascii="Times New Roman" w:hAnsi="Times New Roman" w:eastAsia="方正仿宋_GBK"/>
          <w:b/>
          <w:bCs w:val="0"/>
          <w:sz w:val="32"/>
          <w:szCs w:val="32"/>
          <w:lang w:val="en-US" w:eastAsia="zh-CN"/>
        </w:rPr>
      </w:pPr>
      <w:r>
        <w:rPr>
          <w:rFonts w:hint="eastAsia" w:ascii="Times New Roman" w:hAnsi="Times New Roman" w:eastAsia="方正仿宋_GBK"/>
          <w:b/>
          <w:bCs w:val="0"/>
          <w:sz w:val="32"/>
          <w:szCs w:val="32"/>
          <w:lang w:val="en-US" w:eastAsia="zh-CN"/>
        </w:rPr>
        <w:t>不单独面向中小微企业</w:t>
      </w:r>
    </w:p>
    <w:p w14:paraId="7093CB49">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供应商资格条件</w:t>
      </w:r>
    </w:p>
    <w:p w14:paraId="3AA5043D">
      <w:pPr>
        <w:spacing w:line="360" w:lineRule="auto"/>
        <w:ind w:firstLine="640" w:firstLineChars="200"/>
        <w:jc w:val="left"/>
        <w:rPr>
          <w:rFonts w:hint="default" w:ascii="Times New Roman" w:hAnsi="Times New Roman" w:eastAsia="方正楷体_GBK" w:cs="Times New Roman"/>
          <w:b w:val="0"/>
          <w:bCs/>
          <w:sz w:val="32"/>
          <w:szCs w:val="32"/>
          <w:highlight w:val="none"/>
        </w:rPr>
      </w:pPr>
      <w:r>
        <w:rPr>
          <w:rFonts w:hint="default" w:ascii="Times New Roman" w:hAnsi="Times New Roman" w:eastAsia="方正楷体_GBK" w:cs="Times New Roman"/>
          <w:b w:val="0"/>
          <w:bCs/>
          <w:sz w:val="32"/>
          <w:szCs w:val="32"/>
          <w:highlight w:val="none"/>
        </w:rPr>
        <w:t>1、供货要求</w:t>
      </w:r>
    </w:p>
    <w:p w14:paraId="1CEFC614">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pPr>
      <w:r>
        <w:rPr>
          <w:rFonts w:hint="default" w:ascii="Times New Roman" w:hAnsi="Times New Roman" w:eastAsia="方正仿宋_GBK" w:cs="Times New Roman"/>
          <w:b w:val="0"/>
          <w:bCs/>
          <w:sz w:val="32"/>
          <w:szCs w:val="32"/>
          <w:highlight w:val="none"/>
        </w:rPr>
        <w:t>交货期：</w:t>
      </w:r>
      <w:r>
        <w:rPr>
          <w:rFonts w:hint="eastAsia" w:ascii="Times New Roman" w:hAnsi="Times New Roman" w:eastAsia="方正仿宋_GBK" w:cs="Times New Roman"/>
          <w:b w:val="0"/>
          <w:bCs/>
          <w:sz w:val="32"/>
          <w:szCs w:val="32"/>
          <w:highlight w:val="none"/>
          <w:lang w:val="en-US" w:eastAsia="zh-CN"/>
        </w:rPr>
        <w:t>签订合同后</w:t>
      </w: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18个月内。</w:t>
      </w:r>
    </w:p>
    <w:p w14:paraId="2D163A7B">
      <w:pPr>
        <w:spacing w:line="360" w:lineRule="auto"/>
        <w:ind w:firstLine="640" w:firstLineChars="200"/>
        <w:jc w:val="left"/>
        <w:rPr>
          <w:rFonts w:hint="default" w:ascii="Times New Roman" w:hAnsi="Times New Roman" w:eastAsia="方正仿宋_GBK" w:cs="Times New Roman"/>
          <w:b w:val="0"/>
          <w:bCs/>
          <w:color w:val="A6A6A6" w:themeColor="background1" w:themeShade="A6"/>
          <w:sz w:val="32"/>
          <w:szCs w:val="32"/>
          <w:highlight w:val="none"/>
          <w:lang w:val="en-US" w:eastAsia="zh-CN"/>
        </w:rPr>
      </w:pPr>
      <w:r>
        <w:rPr>
          <w:rFonts w:hint="default" w:ascii="Times New Roman" w:hAnsi="Times New Roman" w:eastAsia="方正仿宋_GBK" w:cs="Times New Roman"/>
          <w:b w:val="0"/>
          <w:bCs/>
          <w:sz w:val="32"/>
          <w:szCs w:val="32"/>
          <w:highlight w:val="none"/>
        </w:rPr>
        <w:t>交货方式：</w:t>
      </w: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供应商送货上门并承担运输风险。</w:t>
      </w:r>
    </w:p>
    <w:p w14:paraId="74CB2B24">
      <w:pPr>
        <w:spacing w:line="360" w:lineRule="auto"/>
        <w:ind w:firstLine="640" w:firstLineChars="200"/>
        <w:jc w:val="left"/>
        <w:rPr>
          <w:rFonts w:hint="default" w:ascii="Times New Roman" w:hAnsi="Times New Roman" w:eastAsia="方正楷体_GBK" w:cs="Times New Roman"/>
          <w:b w:val="0"/>
          <w:bCs/>
          <w:sz w:val="32"/>
          <w:szCs w:val="32"/>
          <w:highlight w:val="none"/>
        </w:rPr>
      </w:pPr>
      <w:r>
        <w:rPr>
          <w:rFonts w:hint="default" w:ascii="Times New Roman" w:hAnsi="Times New Roman" w:eastAsia="方正楷体_GBK" w:cs="Times New Roman"/>
          <w:b w:val="0"/>
          <w:bCs/>
          <w:sz w:val="32"/>
          <w:szCs w:val="32"/>
          <w:highlight w:val="none"/>
        </w:rPr>
        <w:t>2、安装调试</w:t>
      </w:r>
    </w:p>
    <w:p w14:paraId="1B5C9282">
      <w:pPr>
        <w:spacing w:line="360" w:lineRule="auto"/>
        <w:ind w:firstLine="640" w:firstLineChars="200"/>
        <w:jc w:val="left"/>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设备到货时，由供应商技术人员上门进行设备的安转调试。具体时间需要提前与用户单位协商安排。</w:t>
      </w:r>
    </w:p>
    <w:p w14:paraId="25393877">
      <w:pPr>
        <w:spacing w:line="360" w:lineRule="auto"/>
        <w:ind w:firstLine="640" w:firstLineChars="200"/>
        <w:jc w:val="left"/>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供应商需委派具备相应资质与经验的专业技术人员在客户现场进行设备的安装调试。</w:t>
      </w:r>
    </w:p>
    <w:p w14:paraId="0AABE710">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安装调试的一切费用，均已包含在合同总价款中，用户单位不再另行支付其他培训费用。</w:t>
      </w:r>
    </w:p>
    <w:p w14:paraId="63BD4446">
      <w:pPr>
        <w:spacing w:line="360" w:lineRule="auto"/>
        <w:ind w:firstLine="640" w:firstLineChars="200"/>
        <w:jc w:val="left"/>
        <w:rPr>
          <w:rFonts w:hint="default" w:ascii="Times New Roman" w:hAnsi="Times New Roman" w:eastAsia="方正楷体_GBK" w:cs="Times New Roman"/>
          <w:b w:val="0"/>
          <w:bCs/>
          <w:sz w:val="32"/>
          <w:szCs w:val="32"/>
          <w:highlight w:val="none"/>
        </w:rPr>
      </w:pPr>
      <w:r>
        <w:rPr>
          <w:rFonts w:hint="default" w:ascii="Times New Roman" w:hAnsi="Times New Roman" w:eastAsia="方正楷体_GBK" w:cs="Times New Roman"/>
          <w:b w:val="0"/>
          <w:bCs/>
          <w:sz w:val="32"/>
          <w:szCs w:val="32"/>
          <w:highlight w:val="none"/>
        </w:rPr>
        <w:t>3、检测验收</w:t>
      </w:r>
    </w:p>
    <w:p w14:paraId="53D3D75F">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本项目完工后，采购单位根据规定组织验收小组按照国家有关规定组织验收并填写“合格验收单”，完成货物所有权的移交工作。</w:t>
      </w:r>
    </w:p>
    <w:p w14:paraId="21F039E6">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（1）质量验收标准：招标文件规定部分，按招标文件规定要求验收，招标文件未规定部分，严格按照国家权威部门质检标准组织验收。</w:t>
      </w:r>
    </w:p>
    <w:p w14:paraId="66DDD19F">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（2）</w:t>
      </w:r>
      <w:r>
        <w:rPr>
          <w:rFonts w:hint="eastAsia" w:ascii="Times New Roman" w:hAnsi="Times New Roman" w:eastAsia="方正仿宋_GBK" w:cs="Times New Roman"/>
          <w:b w:val="0"/>
          <w:bCs/>
          <w:sz w:val="32"/>
          <w:szCs w:val="32"/>
          <w:highlight w:val="none"/>
          <w:lang w:val="en-US" w:eastAsia="zh-CN"/>
        </w:rPr>
        <w:t>供应商</w:t>
      </w:r>
      <w:r>
        <w:rPr>
          <w:rFonts w:hint="default" w:ascii="Times New Roman" w:hAnsi="Times New Roman" w:eastAsia="方正仿宋_GBK" w:cs="Times New Roman"/>
          <w:b w:val="0"/>
          <w:bCs/>
          <w:sz w:val="32"/>
          <w:szCs w:val="32"/>
          <w:highlight w:val="none"/>
        </w:rPr>
        <w:t>应保证所有货物质量符合技术标准和验收标准。</w:t>
      </w:r>
    </w:p>
    <w:p w14:paraId="38D81C70">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（3）</w:t>
      </w:r>
      <w:r>
        <w:rPr>
          <w:rFonts w:hint="eastAsia" w:ascii="Times New Roman" w:hAnsi="Times New Roman" w:eastAsia="方正仿宋_GBK" w:cs="Times New Roman"/>
          <w:b w:val="0"/>
          <w:bCs/>
          <w:sz w:val="32"/>
          <w:szCs w:val="32"/>
          <w:highlight w:val="none"/>
          <w:lang w:val="en-US" w:eastAsia="zh-CN"/>
        </w:rPr>
        <w:t>供应商</w:t>
      </w:r>
      <w:r>
        <w:rPr>
          <w:rFonts w:hint="default" w:ascii="Times New Roman" w:hAnsi="Times New Roman" w:eastAsia="方正仿宋_GBK" w:cs="Times New Roman"/>
          <w:b w:val="0"/>
          <w:bCs/>
          <w:sz w:val="32"/>
          <w:szCs w:val="32"/>
          <w:highlight w:val="none"/>
        </w:rPr>
        <w:t>应选派专业人员到采购单位配合采购方对所有货物逐个查验，并对设备的性能进行实验和验收。该项目全部验收完毕后成交</w:t>
      </w:r>
      <w:r>
        <w:rPr>
          <w:rFonts w:hint="eastAsia" w:ascii="Times New Roman" w:hAnsi="Times New Roman" w:eastAsia="方正仿宋_GBK" w:cs="Times New Roman"/>
          <w:b w:val="0"/>
          <w:bCs/>
          <w:sz w:val="32"/>
          <w:szCs w:val="32"/>
          <w:highlight w:val="none"/>
          <w:lang w:val="en-US" w:eastAsia="zh-CN"/>
        </w:rPr>
        <w:t>供应商</w:t>
      </w:r>
      <w:r>
        <w:rPr>
          <w:rFonts w:hint="default" w:ascii="Times New Roman" w:hAnsi="Times New Roman" w:eastAsia="方正仿宋_GBK" w:cs="Times New Roman"/>
          <w:b w:val="0"/>
          <w:bCs/>
          <w:sz w:val="32"/>
          <w:szCs w:val="32"/>
          <w:highlight w:val="none"/>
        </w:rPr>
        <w:t>应提交一份完整的测试报告。验收人员逐个验收后填写验收报告。</w:t>
      </w:r>
    </w:p>
    <w:p w14:paraId="57882463">
      <w:pPr>
        <w:spacing w:line="360" w:lineRule="auto"/>
        <w:ind w:firstLine="640" w:firstLineChars="200"/>
        <w:jc w:val="left"/>
        <w:rPr>
          <w:rFonts w:hint="default" w:ascii="Times New Roman" w:hAnsi="Times New Roman" w:eastAsia="方正楷体_GBK" w:cs="Times New Roman"/>
          <w:b w:val="0"/>
          <w:bCs/>
          <w:sz w:val="32"/>
          <w:szCs w:val="32"/>
          <w:highlight w:val="none"/>
        </w:rPr>
      </w:pPr>
      <w:r>
        <w:rPr>
          <w:rFonts w:hint="default" w:ascii="Times New Roman" w:hAnsi="Times New Roman" w:eastAsia="方正楷体_GBK" w:cs="Times New Roman"/>
          <w:b w:val="0"/>
          <w:bCs/>
          <w:sz w:val="32"/>
          <w:szCs w:val="32"/>
          <w:highlight w:val="none"/>
        </w:rPr>
        <w:t>4、售后服务</w:t>
      </w:r>
    </w:p>
    <w:p w14:paraId="29905870">
      <w:pPr>
        <w:spacing w:line="360" w:lineRule="auto"/>
        <w:ind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质保期内因产品质量问题造成的配件更换、人工服务卖方均免费提供。故障响应时间不大于2小时，上门维修时间不大于24小时。质保期内如有内置程序更新情况，卖方负责免费调试升级，质保期外如有零件更换或维修，卖方以市场优惠价格提供终身维修服务。</w:t>
      </w:r>
    </w:p>
    <w:p w14:paraId="41A73D59">
      <w:pPr>
        <w:spacing w:line="360" w:lineRule="auto"/>
        <w:ind w:firstLine="640" w:firstLineChars="200"/>
        <w:jc w:val="left"/>
        <w:rPr>
          <w:rFonts w:hint="default" w:ascii="Times New Roman" w:hAnsi="Times New Roman" w:eastAsia="方正楷体_GBK" w:cs="Times New Roman"/>
          <w:b w:val="0"/>
          <w:bCs/>
          <w:sz w:val="32"/>
          <w:szCs w:val="32"/>
          <w:highlight w:val="none"/>
        </w:rPr>
      </w:pPr>
      <w:r>
        <w:rPr>
          <w:rFonts w:hint="default" w:ascii="Times New Roman" w:hAnsi="Times New Roman" w:eastAsia="方正楷体_GBK" w:cs="Times New Roman"/>
          <w:b w:val="0"/>
          <w:bCs/>
          <w:sz w:val="32"/>
          <w:szCs w:val="32"/>
          <w:highlight w:val="none"/>
          <w:lang w:val="en-US" w:eastAsia="zh-CN"/>
        </w:rPr>
        <w:t>5、</w:t>
      </w:r>
      <w:r>
        <w:rPr>
          <w:rFonts w:hint="default" w:ascii="Times New Roman" w:hAnsi="Times New Roman" w:eastAsia="方正楷体_GBK" w:cs="Times New Roman"/>
          <w:b w:val="0"/>
          <w:bCs/>
          <w:sz w:val="32"/>
          <w:szCs w:val="32"/>
          <w:highlight w:val="none"/>
        </w:rPr>
        <w:t>质保期</w:t>
      </w:r>
    </w:p>
    <w:p w14:paraId="336F5CE1">
      <w:pPr>
        <w:spacing w:line="360" w:lineRule="auto"/>
        <w:ind w:firstLineChars="200"/>
        <w:jc w:val="left"/>
        <w:rPr>
          <w:rFonts w:hint="default"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pPr>
      <w:r>
        <w:rPr>
          <w:rFonts w:hint="eastAsia" w:ascii="Times New Roman" w:hAnsi="Times New Roman" w:eastAsia="方正仿宋_GBK"/>
          <w:bCs/>
          <w:sz w:val="32"/>
          <w:szCs w:val="32"/>
        </w:rPr>
        <w:t>质保期自安装调试合格开始计算，质保期不少于1年。</w:t>
      </w:r>
    </w:p>
    <w:p w14:paraId="11586BC1">
      <w:pPr>
        <w:spacing w:line="360" w:lineRule="auto"/>
        <w:ind w:firstLine="640" w:firstLineChars="200"/>
        <w:jc w:val="left"/>
        <w:rPr>
          <w:rFonts w:hint="default" w:ascii="Times New Roman" w:hAnsi="Times New Roman" w:eastAsia="方正楷体_GBK" w:cs="Times New Roman"/>
          <w:b w:val="0"/>
          <w:bCs/>
          <w:sz w:val="32"/>
          <w:szCs w:val="32"/>
          <w:highlight w:val="none"/>
          <w:lang w:val="en-US" w:eastAsia="zh-CN"/>
        </w:rPr>
      </w:pPr>
      <w:r>
        <w:rPr>
          <w:rFonts w:hint="default" w:ascii="Times New Roman" w:hAnsi="Times New Roman" w:eastAsia="方正楷体_GBK" w:cs="Times New Roman"/>
          <w:b w:val="0"/>
          <w:bCs/>
          <w:sz w:val="32"/>
          <w:szCs w:val="32"/>
          <w:highlight w:val="none"/>
          <w:lang w:val="en-US" w:eastAsia="zh-CN"/>
        </w:rPr>
        <w:t>6、培训</w:t>
      </w:r>
    </w:p>
    <w:p w14:paraId="301006C8">
      <w:pPr>
        <w:spacing w:line="360" w:lineRule="auto"/>
        <w:ind w:firstLineChars="200"/>
        <w:jc w:val="left"/>
        <w:rPr>
          <w:rFonts w:ascii="Times New Roman" w:hAnsi="Times New Roman" w:eastAsia="方正仿宋_GBK"/>
          <w:bCs/>
          <w:sz w:val="32"/>
          <w:szCs w:val="32"/>
        </w:rPr>
      </w:pPr>
      <w:r>
        <w:rPr>
          <w:rFonts w:hint="eastAsia" w:ascii="Times New Roman" w:hAnsi="Times New Roman" w:eastAsia="方正仿宋_GBK" w:cs="Times New Roman"/>
          <w:b w:val="0"/>
          <w:bCs/>
          <w:sz w:val="32"/>
          <w:szCs w:val="32"/>
          <w:highlight w:val="none"/>
          <w:lang w:val="en-US" w:eastAsia="zh-CN"/>
        </w:rPr>
        <w:t>供应商</w:t>
      </w:r>
      <w:r>
        <w:rPr>
          <w:rFonts w:hint="eastAsia" w:ascii="Times New Roman" w:hAnsi="Times New Roman" w:eastAsia="方正仿宋_GBK"/>
          <w:bCs/>
          <w:sz w:val="32"/>
          <w:szCs w:val="32"/>
        </w:rPr>
        <w:t>须委派具备相应资质与经验的专业技术人员，提供仪器设备培训服务；培训内容涵盖设备理论知识、操作技能、维护保养、故障处理等，培训地点为用户单位指定场所，培训时间为设备安装验收后进行，具体时间供货方需提前与用户单位协商具体安排。培训相关的一切费用，包括讲师费用、培训资料费、场地布置费等，均已包含在合同总价款中，用户单位不再另行支付其他培训费用。</w:t>
      </w:r>
    </w:p>
    <w:p w14:paraId="4BCC0019">
      <w:pPr>
        <w:spacing w:line="360" w:lineRule="auto"/>
        <w:ind w:firstLine="640" w:firstLineChars="200"/>
        <w:jc w:val="left"/>
        <w:rPr>
          <w:rFonts w:hint="default" w:ascii="Times New Roman" w:hAnsi="Times New Roman" w:eastAsia="方正楷体_GBK" w:cs="Times New Roman"/>
          <w:b w:val="0"/>
          <w:bCs/>
          <w:sz w:val="32"/>
          <w:szCs w:val="32"/>
          <w:highlight w:val="none"/>
          <w:lang w:val="en-US" w:eastAsia="zh-CN"/>
        </w:rPr>
      </w:pPr>
      <w:r>
        <w:rPr>
          <w:rFonts w:hint="default" w:ascii="Times New Roman" w:hAnsi="Times New Roman" w:eastAsia="方正楷体_GBK" w:cs="Times New Roman"/>
          <w:b w:val="0"/>
          <w:bCs/>
          <w:sz w:val="32"/>
          <w:szCs w:val="32"/>
          <w:highlight w:val="none"/>
          <w:lang w:val="en-US" w:eastAsia="zh-CN"/>
        </w:rPr>
        <w:t>7、付款方式</w:t>
      </w:r>
    </w:p>
    <w:p w14:paraId="7F13F2C2">
      <w:pPr>
        <w:spacing w:line="360" w:lineRule="auto"/>
        <w:ind w:firstLineChars="200"/>
        <w:jc w:val="left"/>
        <w:rPr>
          <w:rFonts w:hint="default" w:ascii="Times New Roman" w:hAnsi="Times New Roman" w:eastAsia="方正仿宋_GBK"/>
          <w:bCs/>
          <w:sz w:val="32"/>
          <w:szCs w:val="32"/>
          <w:lang w:val="en-US" w:eastAsia="zh-CN"/>
        </w:rPr>
      </w:pPr>
      <w:r>
        <w:rPr>
          <w:rFonts w:hint="eastAsia" w:ascii="Times New Roman" w:hAnsi="Times New Roman" w:eastAsia="方正仿宋_GBK"/>
          <w:bCs/>
          <w:sz w:val="32"/>
          <w:szCs w:val="32"/>
        </w:rPr>
        <w:t>合同签订后支付合同额30%的预付款，产品发货前支付合同额的 60%，验收合格后支付合同额的10%。</w:t>
      </w:r>
      <w:r>
        <w:rPr>
          <w:rFonts w:hint="eastAsia" w:ascii="Times New Roman" w:hAnsi="Times New Roman" w:eastAsia="方正仿宋_GBK"/>
          <w:bCs/>
          <w:sz w:val="32"/>
          <w:szCs w:val="32"/>
          <w:lang w:val="en-US" w:eastAsia="zh-CN"/>
        </w:rPr>
        <w:t>进口设备采购时可根据实际协商付款方式。</w:t>
      </w:r>
    </w:p>
    <w:p w14:paraId="5EE84B8E">
      <w:pPr>
        <w:spacing w:line="360" w:lineRule="auto"/>
        <w:ind w:firstLine="640" w:firstLineChars="200"/>
        <w:jc w:val="left"/>
        <w:rPr>
          <w:rFonts w:hint="default" w:ascii="Times New Roman" w:hAnsi="Times New Roman" w:eastAsia="方正楷体_GBK" w:cs="Times New Roman"/>
          <w:b w:val="0"/>
          <w:bCs/>
          <w:sz w:val="32"/>
          <w:szCs w:val="32"/>
          <w:highlight w:val="none"/>
          <w:lang w:val="en-US" w:eastAsia="zh-CN"/>
        </w:rPr>
      </w:pPr>
      <w:r>
        <w:rPr>
          <w:rFonts w:hint="default" w:ascii="Times New Roman" w:hAnsi="Times New Roman" w:eastAsia="方正楷体_GBK" w:cs="Times New Roman"/>
          <w:b w:val="0"/>
          <w:bCs/>
          <w:sz w:val="32"/>
          <w:szCs w:val="32"/>
          <w:highlight w:val="none"/>
          <w:lang w:val="en-US" w:eastAsia="zh-CN"/>
        </w:rPr>
        <w:t>8、其他要求</w:t>
      </w:r>
    </w:p>
    <w:p w14:paraId="1B374B3C">
      <w:pPr>
        <w:spacing w:line="360" w:lineRule="auto"/>
        <w:ind w:firstLine="640" w:firstLineChars="200"/>
        <w:jc w:val="left"/>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无</w:t>
      </w:r>
    </w:p>
    <w:sectPr>
      <w:footerReference r:id="rId3" w:type="default"/>
      <w:pgSz w:w="11906" w:h="16838"/>
      <w:pgMar w:top="1440" w:right="1134" w:bottom="1440"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embedRegular r:id="rId1" w:fontKey="{CA7DF36F-091B-4500-AE7F-A809EE8FC6FA}"/>
  </w:font>
  <w:font w:name="方正小标宋简体">
    <w:panose1 w:val="02000000000000000000"/>
    <w:charset w:val="86"/>
    <w:family w:val="auto"/>
    <w:pitch w:val="default"/>
    <w:sig w:usb0="00000001" w:usb1="08000000" w:usb2="00000000" w:usb3="00000000" w:csb0="00040000" w:csb1="00000000"/>
    <w:embedRegular r:id="rId2" w:fontKey="{2D30EF74-13E4-485E-9067-08D92449F3D1}"/>
  </w:font>
  <w:font w:name="方正黑体_GBK">
    <w:panose1 w:val="02010600010101010101"/>
    <w:charset w:val="86"/>
    <w:family w:val="auto"/>
    <w:pitch w:val="default"/>
    <w:sig w:usb0="00000001" w:usb1="080E0000" w:usb2="00000000" w:usb3="00000000" w:csb0="00040000" w:csb1="00000000"/>
    <w:embedRegular r:id="rId3" w:fontKey="{8C432D58-2CBE-4316-8E51-C99F0E0D8FE2}"/>
  </w:font>
  <w:font w:name="方正仿宋_GBK">
    <w:panose1 w:val="02000000000000000000"/>
    <w:charset w:val="86"/>
    <w:family w:val="auto"/>
    <w:pitch w:val="default"/>
    <w:sig w:usb0="A00002BF" w:usb1="38CF7CFA" w:usb2="00082016" w:usb3="00000000" w:csb0="00040001" w:csb1="00000000"/>
    <w:embedRegular r:id="rId4" w:fontKey="{4372EDF5-1374-4547-82F7-FD56459209FF}"/>
  </w:font>
  <w:font w:name="方正楷体_GBK">
    <w:panose1 w:val="02000000000000000000"/>
    <w:charset w:val="86"/>
    <w:family w:val="auto"/>
    <w:pitch w:val="default"/>
    <w:sig w:usb0="800002BF" w:usb1="38CF7CFA" w:usb2="00000016" w:usb3="00000000" w:csb0="00040000" w:csb1="00000000"/>
    <w:embedRegular r:id="rId5" w:fontKey="{693BA007-8A29-4885-A79E-A1B0CAED71EB}"/>
  </w:font>
  <w:font w:name="WPSEMBED12">
    <w:panose1 w:val="02010600010101010101"/>
    <w:charset w:val="86"/>
    <w:family w:val="auto"/>
    <w:pitch w:val="default"/>
    <w:sig w:usb0="00000001" w:usb1="080E0000" w:usb2="00000000" w:usb3="00000000" w:csb0="00040000" w:csb1="00000000"/>
  </w:font>
  <w:font w:name="WPSEMBED11">
    <w:panose1 w:val="02000000000000000000"/>
    <w:charset w:val="86"/>
    <w:family w:val="auto"/>
    <w:pitch w:val="default"/>
    <w:sig w:usb0="00000001" w:usb1="08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DB859E">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5E483D0C">
                          <w:pPr>
                            <w:pStyle w:val="5"/>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ECVGuwBAADVAwAADgAAAGRycy9lMm9Eb2MueG1srVPNjtMwEL4j8Q6W&#10;7zRppUUlarpaqBYhIUBaeADXcRpL/tOM26Q8ALwBJy7cea4+x46dtIuWyx72ksx4Zr6Z7/N4dT1Y&#10;ww4KUHtX8/ms5Ew56RvtdjX/9vX21ZIzjMI1wninan5UyK/XL1+s+lCphe+8aRQwAnFY9aHmXYyh&#10;KgqUnbICZz4oR8HWgxWRXNgVDYie0K0pFmX5uug9NAG8VIh0uhmDfEKEpwD6ttVSbbzcW+XiiArK&#10;iEiUsNMB+TpP27ZKxs9tiyoyU3NiGvOXmpC9Td9ivRLVDkTotJxGEE8Z4REnK7SjpheojYiC7UH/&#10;B2W1BI++jTPpbTESyYoQi3n5SJu7TgSVuZDUGC6i4/PByk+HL8B0Q5vAmROWLvz06+fp99/Tnx9s&#10;nuTpA1aUdRcoLw5v/ZBSp3Okw8R6aMGmP/FhFCdxjxdx1RCZTEXLxXJZUkhS7OwQTvFQHgDje+Ut&#10;S0bNgW4viyoOHzGOqeeU1M35W20MnYvKONbX/M3V4ioXXCIEblxKUHkXJphEaRw9WXHYDhOfrW+O&#10;RJNeB7XvPHznrKfdqLmjp8CZ+eBI+rRGZwPOxvZsCCepsOaRs9F8F8d12wfQuy4vYBoIw80+EoHM&#10;K40x9iY9kkO3nZWZNjOt079+znp4jet7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zql5uc8AAAAF&#10;AQAADwAAAAAAAAABACAAAAAiAAAAZHJzL2Rvd25yZXYueG1sUEsBAhQAFAAAAAgAh07iQPBAlRrs&#10;AQAA1QMAAA4AAAAAAAAAAQAgAAAAHgEAAGRycy9lMm9Eb2MueG1sUEsFBgAAAAAGAAYAWQEAAHwF&#10;AAAAAA==&#10;">
              <v:fill on="f" focussize="0,0"/>
              <v:stroke on="f"/>
              <v:imagedata o:title=""/>
              <o:lock v:ext="edit" aspectratio="f"/>
              <v:textbox inset="0mm,0mm,0mm,0mm" style="mso-fit-shape-to-text:t;">
                <w:txbxContent>
                  <w:p w14:paraId="5E483D0C">
                    <w:pPr>
                      <w:pStyle w:val="5"/>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doNotDisplayPageBoundaries w:val="1"/>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wZTQwNDI4NWQyMzYzZmYwMzMzZDM5MjEwMzYyYjIifQ=="/>
  </w:docVars>
  <w:rsids>
    <w:rsidRoot w:val="00255921"/>
    <w:rsid w:val="00034ABB"/>
    <w:rsid w:val="0006542A"/>
    <w:rsid w:val="00077925"/>
    <w:rsid w:val="00097581"/>
    <w:rsid w:val="000A650C"/>
    <w:rsid w:val="00126F87"/>
    <w:rsid w:val="00146CA6"/>
    <w:rsid w:val="001729D5"/>
    <w:rsid w:val="001C22C8"/>
    <w:rsid w:val="00255921"/>
    <w:rsid w:val="002D7F26"/>
    <w:rsid w:val="0035294E"/>
    <w:rsid w:val="003B31B3"/>
    <w:rsid w:val="003C668A"/>
    <w:rsid w:val="004551A0"/>
    <w:rsid w:val="004C305A"/>
    <w:rsid w:val="004E2683"/>
    <w:rsid w:val="005B1251"/>
    <w:rsid w:val="005B3010"/>
    <w:rsid w:val="005C3120"/>
    <w:rsid w:val="005D21A2"/>
    <w:rsid w:val="00615A50"/>
    <w:rsid w:val="00674AAE"/>
    <w:rsid w:val="006D6063"/>
    <w:rsid w:val="006E4100"/>
    <w:rsid w:val="00763A2E"/>
    <w:rsid w:val="007A0BEA"/>
    <w:rsid w:val="007A70C0"/>
    <w:rsid w:val="007C1FAF"/>
    <w:rsid w:val="007F039F"/>
    <w:rsid w:val="008034B2"/>
    <w:rsid w:val="00867145"/>
    <w:rsid w:val="00875462"/>
    <w:rsid w:val="008D7984"/>
    <w:rsid w:val="008F687C"/>
    <w:rsid w:val="009353C0"/>
    <w:rsid w:val="0098722C"/>
    <w:rsid w:val="009963F9"/>
    <w:rsid w:val="009C2FB8"/>
    <w:rsid w:val="00A26BBC"/>
    <w:rsid w:val="00A461FE"/>
    <w:rsid w:val="00A77A8A"/>
    <w:rsid w:val="00A82E9B"/>
    <w:rsid w:val="00AC1229"/>
    <w:rsid w:val="00AC37A8"/>
    <w:rsid w:val="00B2654B"/>
    <w:rsid w:val="00B90374"/>
    <w:rsid w:val="00C8205B"/>
    <w:rsid w:val="00CB6FBE"/>
    <w:rsid w:val="00CD7554"/>
    <w:rsid w:val="00D60C71"/>
    <w:rsid w:val="00D6132B"/>
    <w:rsid w:val="00DD5704"/>
    <w:rsid w:val="00DF34BE"/>
    <w:rsid w:val="00E00491"/>
    <w:rsid w:val="00E307AF"/>
    <w:rsid w:val="03286D69"/>
    <w:rsid w:val="03D6180E"/>
    <w:rsid w:val="0954566D"/>
    <w:rsid w:val="0BFB1311"/>
    <w:rsid w:val="0E381B81"/>
    <w:rsid w:val="0ECB5548"/>
    <w:rsid w:val="11557CA8"/>
    <w:rsid w:val="1456516A"/>
    <w:rsid w:val="159C2E2F"/>
    <w:rsid w:val="1B1D4C32"/>
    <w:rsid w:val="1B7869F9"/>
    <w:rsid w:val="1D31607A"/>
    <w:rsid w:val="20983611"/>
    <w:rsid w:val="22C26FD6"/>
    <w:rsid w:val="265E21C1"/>
    <w:rsid w:val="27FD4173"/>
    <w:rsid w:val="2D73270B"/>
    <w:rsid w:val="2D7B7AE7"/>
    <w:rsid w:val="2E113792"/>
    <w:rsid w:val="30A6233E"/>
    <w:rsid w:val="31056B4B"/>
    <w:rsid w:val="31353752"/>
    <w:rsid w:val="31CA3EF1"/>
    <w:rsid w:val="329F0927"/>
    <w:rsid w:val="33036EBE"/>
    <w:rsid w:val="36B9188B"/>
    <w:rsid w:val="37230B9E"/>
    <w:rsid w:val="388F06B2"/>
    <w:rsid w:val="3C6B7ACC"/>
    <w:rsid w:val="3C962E97"/>
    <w:rsid w:val="41FB6646"/>
    <w:rsid w:val="43E27087"/>
    <w:rsid w:val="46A23EED"/>
    <w:rsid w:val="47471A77"/>
    <w:rsid w:val="474C341E"/>
    <w:rsid w:val="481D1460"/>
    <w:rsid w:val="49C43E11"/>
    <w:rsid w:val="4B392BA3"/>
    <w:rsid w:val="5047000F"/>
    <w:rsid w:val="53C5471E"/>
    <w:rsid w:val="57AC4DA9"/>
    <w:rsid w:val="58AD0DF8"/>
    <w:rsid w:val="59333331"/>
    <w:rsid w:val="59FD5DAF"/>
    <w:rsid w:val="5A73789E"/>
    <w:rsid w:val="5F554F7F"/>
    <w:rsid w:val="620F525D"/>
    <w:rsid w:val="641542E0"/>
    <w:rsid w:val="650B21A5"/>
    <w:rsid w:val="65EE07C8"/>
    <w:rsid w:val="6B01710D"/>
    <w:rsid w:val="6FA7331D"/>
    <w:rsid w:val="71FC6AD4"/>
    <w:rsid w:val="748035FC"/>
    <w:rsid w:val="7614278B"/>
    <w:rsid w:val="791571C9"/>
    <w:rsid w:val="794C1B10"/>
    <w:rsid w:val="7CEB1442"/>
    <w:rsid w:val="7CFD48F1"/>
    <w:rsid w:val="7D74485B"/>
    <w:rsid w:val="7E1B5582"/>
    <w:rsid w:val="7FAC26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2"/>
      <w:lang w:val="en-US" w:eastAsia="zh-CN" w:bidi="ar-SA"/>
    </w:rPr>
  </w:style>
  <w:style w:type="character" w:default="1" w:styleId="9">
    <w:name w:val="Default Paragraph Font"/>
    <w:unhideWhenUsed/>
    <w:qFormat/>
    <w:uiPriority w:val="1"/>
  </w:style>
  <w:style w:type="table" w:default="1" w:styleId="7">
    <w:name w:val="Normal Table"/>
    <w:autoRedefine/>
    <w:unhideWhenUsed/>
    <w:qFormat/>
    <w:uiPriority w:val="99"/>
    <w:tblPr>
      <w:tblCellMar>
        <w:top w:w="0" w:type="dxa"/>
        <w:left w:w="108" w:type="dxa"/>
        <w:bottom w:w="0" w:type="dxa"/>
        <w:right w:w="108" w:type="dxa"/>
      </w:tblCellMar>
    </w:tblPr>
  </w:style>
  <w:style w:type="paragraph" w:styleId="2">
    <w:name w:val="annotation text"/>
    <w:basedOn w:val="1"/>
    <w:autoRedefine/>
    <w:unhideWhenUsed/>
    <w:qFormat/>
    <w:uiPriority w:val="99"/>
    <w:pPr>
      <w:jc w:val="left"/>
    </w:pPr>
  </w:style>
  <w:style w:type="paragraph" w:styleId="3">
    <w:name w:val="Body Text"/>
    <w:basedOn w:val="1"/>
    <w:next w:val="1"/>
    <w:qFormat/>
    <w:uiPriority w:val="0"/>
    <w:pPr>
      <w:spacing w:after="120"/>
    </w:pPr>
    <w:rPr>
      <w:rFonts w:cs="仿宋"/>
      <w:kern w:val="0"/>
      <w:sz w:val="22"/>
    </w:rPr>
  </w:style>
  <w:style w:type="paragraph" w:styleId="4">
    <w:name w:val="Balloon Text"/>
    <w:basedOn w:val="1"/>
    <w:link w:val="11"/>
    <w:autoRedefine/>
    <w:unhideWhenUsed/>
    <w:qFormat/>
    <w:uiPriority w:val="99"/>
    <w:rPr>
      <w:sz w:val="18"/>
      <w:szCs w:val="18"/>
    </w:rPr>
  </w:style>
  <w:style w:type="paragraph" w:styleId="5">
    <w:name w:val="footer"/>
    <w:basedOn w:val="1"/>
    <w:link w:val="12"/>
    <w:autoRedefine/>
    <w:unhideWhenUsed/>
    <w:qFormat/>
    <w:uiPriority w:val="99"/>
    <w:pPr>
      <w:tabs>
        <w:tab w:val="center" w:pos="4153"/>
        <w:tab w:val="right" w:pos="8306"/>
      </w:tabs>
      <w:snapToGrid w:val="0"/>
      <w:jc w:val="left"/>
    </w:pPr>
    <w:rPr>
      <w:sz w:val="18"/>
      <w:szCs w:val="18"/>
    </w:rPr>
  </w:style>
  <w:style w:type="paragraph" w:styleId="6">
    <w:name w:val="header"/>
    <w:basedOn w:val="1"/>
    <w:link w:val="13"/>
    <w:autoRedefine/>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autoRedefine/>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0">
    <w:name w:val="annotation reference"/>
    <w:basedOn w:val="9"/>
    <w:autoRedefine/>
    <w:unhideWhenUsed/>
    <w:qFormat/>
    <w:uiPriority w:val="99"/>
    <w:rPr>
      <w:sz w:val="21"/>
      <w:szCs w:val="21"/>
    </w:rPr>
  </w:style>
  <w:style w:type="character" w:customStyle="1" w:styleId="11">
    <w:name w:val="批注框文本 Char"/>
    <w:basedOn w:val="9"/>
    <w:link w:val="4"/>
    <w:autoRedefine/>
    <w:semiHidden/>
    <w:qFormat/>
    <w:uiPriority w:val="99"/>
    <w:rPr>
      <w:rFonts w:ascii="Calibri" w:hAnsi="Calibri" w:eastAsia="宋体" w:cs="Times New Roman"/>
      <w:kern w:val="2"/>
      <w:sz w:val="18"/>
      <w:szCs w:val="18"/>
    </w:rPr>
  </w:style>
  <w:style w:type="character" w:customStyle="1" w:styleId="12">
    <w:name w:val="页脚 Char"/>
    <w:basedOn w:val="9"/>
    <w:link w:val="5"/>
    <w:autoRedefine/>
    <w:semiHidden/>
    <w:qFormat/>
    <w:uiPriority w:val="99"/>
    <w:rPr>
      <w:sz w:val="18"/>
      <w:szCs w:val="18"/>
    </w:rPr>
  </w:style>
  <w:style w:type="character" w:customStyle="1" w:styleId="13">
    <w:name w:val="页眉 Char"/>
    <w:basedOn w:val="9"/>
    <w:link w:val="6"/>
    <w:autoRedefine/>
    <w:semiHidden/>
    <w:qFormat/>
    <w:uiPriority w:val="99"/>
    <w:rPr>
      <w:sz w:val="18"/>
      <w:szCs w:val="18"/>
    </w:rPr>
  </w:style>
  <w:style w:type="paragraph" w:styleId="14">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13</Pages>
  <Words>5320</Words>
  <Characters>5732</Characters>
  <Lines>28</Lines>
  <Paragraphs>8</Paragraphs>
  <TotalTime>11</TotalTime>
  <ScaleCrop>false</ScaleCrop>
  <LinksUpToDate>false</LinksUpToDate>
  <CharactersWithSpaces>5808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2020-08-28T02:28:00Z</dcterms:created>
  <dc:creator>个人用户</dc:creator>
  <cp:lastModifiedBy>none</cp:lastModifiedBy>
  <dcterms:modified xsi:type="dcterms:W3CDTF">2026-04-27T07:52:48Z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37624581F11E48C08F06B192D70EF608</vt:lpwstr>
  </property>
  <property fmtid="{D5CDD505-2E9C-101B-9397-08002B2CF9AE}" pid="4" name="KSOTemplateDocerSaveRecord">
    <vt:lpwstr>eyJoZGlkIjoiZDQ3MjIwNDAwZWFjZGNiYWFiNzJhNzVhYmY5YTc4MTAiLCJ1c2VySWQiOiI2MDQ5Mzc4MjkifQ==</vt:lpwstr>
  </property>
</Properties>
</file>