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8EE3A4">
      <w:pPr>
        <w:rPr>
          <w:b/>
          <w:sz w:val="28"/>
          <w:szCs w:val="28"/>
          <w:lang w:eastAsia="zh-CN"/>
        </w:rPr>
      </w:pPr>
      <w:bookmarkStart w:id="19" w:name="_GoBack"/>
      <w:bookmarkEnd w:id="19"/>
      <w:r>
        <w:rPr>
          <w:rFonts w:hint="eastAsia"/>
          <w:b/>
          <w:sz w:val="28"/>
          <w:szCs w:val="28"/>
          <w:lang w:eastAsia="zh-CN"/>
        </w:rPr>
        <w:t>一、项目背景：</w:t>
      </w:r>
    </w:p>
    <w:p w14:paraId="238EE3A5">
      <w:pPr>
        <w:widowControl/>
        <w:spacing w:line="360" w:lineRule="auto"/>
        <w:ind w:firstLine="480" w:firstLineChars="200"/>
        <w:rPr>
          <w:color w:val="000000"/>
          <w:sz w:val="24"/>
          <w:lang w:eastAsia="zh-CN"/>
        </w:rPr>
      </w:pPr>
      <w:r>
        <w:rPr>
          <w:rFonts w:hint="eastAsia"/>
          <w:color w:val="000000"/>
          <w:sz w:val="24"/>
          <w:lang w:eastAsia="zh-CN"/>
        </w:rPr>
        <w:t>我院西青院区自建设后投入使用以来，网络信息系统已安全运行十多年时间，其中弱电间UPS电源及蓄电池由于使用年限较长，蓄电池已经老化，储电能力下降，加上弱电间网络设备的不断增加，现有UPS电源已经超载，已无法满足断电延时的要求，UPS电源设备对于医院信息化安全至关重要，为了保障整体网络的安全运行，维护关键系统并确保业务联系性，需要更换</w:t>
      </w:r>
      <w:r>
        <w:rPr>
          <w:color w:val="000000"/>
          <w:sz w:val="24"/>
          <w:lang w:eastAsia="zh-CN"/>
        </w:rPr>
        <w:t>UPS电源及蓄电池，并对现有弱电间供电条件进行合理化规划和改造</w:t>
      </w:r>
      <w:r>
        <w:rPr>
          <w:rFonts w:hint="eastAsia"/>
          <w:color w:val="000000"/>
          <w:sz w:val="24"/>
          <w:lang w:eastAsia="zh-CN"/>
        </w:rPr>
        <w:t>。</w:t>
      </w:r>
    </w:p>
    <w:p w14:paraId="238EE4AF">
      <w:pPr>
        <w:spacing w:line="360" w:lineRule="auto"/>
        <w:ind w:left="440" w:leftChars="200" w:firstLine="278" w:firstLineChars="99"/>
        <w:rPr>
          <w:lang w:eastAsia="zh-CN"/>
        </w:rPr>
      </w:pPr>
      <w:r>
        <w:rPr>
          <w:rFonts w:hint="eastAsia"/>
          <w:b/>
          <w:sz w:val="28"/>
          <w:szCs w:val="28"/>
          <w:lang w:eastAsia="zh-CN"/>
        </w:rPr>
        <w:t>二、技术要求：</w:t>
      </w:r>
      <w:r>
        <w:rPr>
          <w:b/>
          <w:sz w:val="28"/>
          <w:szCs w:val="28"/>
          <w:lang w:eastAsia="zh-CN"/>
        </w:rPr>
        <w:br w:type="textWrapping"/>
      </w:r>
    </w:p>
    <w:tbl>
      <w:tblPr>
        <w:tblStyle w:val="3"/>
        <w:tblW w:w="558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
        <w:gridCol w:w="793"/>
        <w:gridCol w:w="604"/>
        <w:gridCol w:w="484"/>
        <w:gridCol w:w="6417"/>
        <w:gridCol w:w="786"/>
      </w:tblGrid>
      <w:tr w14:paraId="5DAEB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24" w:type="pct"/>
            <w:tcBorders>
              <w:top w:val="single" w:color="auto" w:sz="4" w:space="0"/>
              <w:left w:val="single" w:color="auto" w:sz="4" w:space="0"/>
              <w:bottom w:val="single" w:color="auto" w:sz="4" w:space="0"/>
              <w:right w:val="single" w:color="auto" w:sz="4" w:space="0"/>
            </w:tcBorders>
            <w:noWrap w:val="0"/>
            <w:vAlign w:val="center"/>
          </w:tcPr>
          <w:p w14:paraId="7684ED61">
            <w:pPr>
              <w:widowControl/>
              <w:jc w:val="center"/>
              <w:rPr>
                <w:rFonts w:ascii="宋体" w:hAnsi="宋体" w:cs="宋体"/>
                <w:kern w:val="0"/>
                <w:sz w:val="24"/>
              </w:rPr>
            </w:pPr>
            <w:r>
              <w:rPr>
                <w:rFonts w:ascii="宋体" w:hAnsi="宋体" w:cs="宋体"/>
                <w:kern w:val="0"/>
                <w:sz w:val="24"/>
                <w:szCs w:val="20"/>
              </w:rPr>
              <w:t>序号</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0B1950A1">
            <w:pPr>
              <w:widowControl/>
              <w:jc w:val="center"/>
              <w:rPr>
                <w:rFonts w:ascii="宋体" w:hAnsi="宋体" w:cs="宋体"/>
                <w:kern w:val="0"/>
                <w:sz w:val="24"/>
              </w:rPr>
            </w:pPr>
            <w:r>
              <w:rPr>
                <w:rFonts w:ascii="宋体" w:hAnsi="宋体" w:cs="宋体"/>
                <w:kern w:val="0"/>
                <w:sz w:val="24"/>
                <w:szCs w:val="20"/>
              </w:rPr>
              <w:t>标的名称</w:t>
            </w:r>
          </w:p>
        </w:tc>
        <w:tc>
          <w:tcPr>
            <w:tcW w:w="317" w:type="pct"/>
            <w:tcBorders>
              <w:top w:val="single" w:color="auto" w:sz="4" w:space="0"/>
              <w:left w:val="single" w:color="auto" w:sz="4" w:space="0"/>
              <w:bottom w:val="single" w:color="auto" w:sz="4" w:space="0"/>
              <w:right w:val="single" w:color="auto" w:sz="4" w:space="0"/>
            </w:tcBorders>
            <w:noWrap w:val="0"/>
            <w:vAlign w:val="center"/>
          </w:tcPr>
          <w:p w14:paraId="77EAE1F7">
            <w:pPr>
              <w:widowControl/>
              <w:jc w:val="center"/>
              <w:rPr>
                <w:rFonts w:ascii="宋体" w:hAnsi="宋体" w:cs="宋体"/>
                <w:kern w:val="0"/>
                <w:sz w:val="24"/>
              </w:rPr>
            </w:pPr>
            <w:r>
              <w:rPr>
                <w:rFonts w:ascii="宋体" w:hAnsi="宋体" w:cs="宋体"/>
                <w:kern w:val="0"/>
                <w:sz w:val="24"/>
              </w:rPr>
              <w:t>单位</w:t>
            </w:r>
          </w:p>
        </w:tc>
        <w:tc>
          <w:tcPr>
            <w:tcW w:w="254" w:type="pct"/>
            <w:tcBorders>
              <w:top w:val="single" w:color="auto" w:sz="4" w:space="0"/>
              <w:left w:val="single" w:color="auto" w:sz="4" w:space="0"/>
              <w:bottom w:val="single" w:color="auto" w:sz="4" w:space="0"/>
              <w:right w:val="single" w:color="auto" w:sz="4" w:space="0"/>
            </w:tcBorders>
            <w:noWrap w:val="0"/>
            <w:vAlign w:val="center"/>
          </w:tcPr>
          <w:p w14:paraId="17947ECD">
            <w:pPr>
              <w:widowControl/>
              <w:jc w:val="center"/>
              <w:rPr>
                <w:rFonts w:ascii="宋体" w:hAnsi="宋体" w:cs="宋体"/>
                <w:kern w:val="0"/>
                <w:sz w:val="24"/>
                <w:szCs w:val="20"/>
              </w:rPr>
            </w:pPr>
            <w:r>
              <w:rPr>
                <w:rFonts w:ascii="宋体" w:hAnsi="宋体" w:cs="宋体"/>
                <w:kern w:val="0"/>
                <w:sz w:val="24"/>
                <w:szCs w:val="20"/>
              </w:rPr>
              <w:t>数量</w:t>
            </w:r>
          </w:p>
        </w:tc>
        <w:tc>
          <w:tcPr>
            <w:tcW w:w="3372" w:type="pct"/>
            <w:tcBorders>
              <w:top w:val="single" w:color="auto" w:sz="4" w:space="0"/>
              <w:left w:val="single" w:color="auto" w:sz="4" w:space="0"/>
              <w:bottom w:val="single" w:color="auto" w:sz="4" w:space="0"/>
              <w:right w:val="single" w:color="auto" w:sz="4" w:space="0"/>
            </w:tcBorders>
            <w:noWrap w:val="0"/>
            <w:vAlign w:val="center"/>
          </w:tcPr>
          <w:p w14:paraId="18B8FCBB">
            <w:pPr>
              <w:widowControl/>
              <w:jc w:val="center"/>
              <w:rPr>
                <w:rFonts w:ascii="宋体" w:hAnsi="宋体" w:cs="宋体"/>
                <w:kern w:val="0"/>
                <w:sz w:val="24"/>
              </w:rPr>
            </w:pPr>
            <w:r>
              <w:rPr>
                <w:rFonts w:ascii="宋体" w:hAnsi="宋体" w:cs="宋体"/>
                <w:kern w:val="0"/>
                <w:sz w:val="24"/>
                <w:szCs w:val="20"/>
              </w:rPr>
              <w:t>需求条款</w:t>
            </w:r>
          </w:p>
        </w:tc>
        <w:tc>
          <w:tcPr>
            <w:tcW w:w="413" w:type="pct"/>
            <w:tcBorders>
              <w:top w:val="single" w:color="auto" w:sz="4" w:space="0"/>
              <w:left w:val="single" w:color="auto" w:sz="4" w:space="0"/>
              <w:bottom w:val="single" w:color="auto" w:sz="4" w:space="0"/>
              <w:right w:val="single" w:color="auto" w:sz="4" w:space="0"/>
            </w:tcBorders>
            <w:noWrap w:val="0"/>
            <w:vAlign w:val="top"/>
          </w:tcPr>
          <w:p w14:paraId="434A48FF">
            <w:pPr>
              <w:widowControl/>
              <w:rPr>
                <w:rFonts w:ascii="宋体" w:hAnsi="宋体" w:cs="宋体"/>
                <w:kern w:val="0"/>
                <w:sz w:val="24"/>
                <w:szCs w:val="20"/>
              </w:rPr>
            </w:pPr>
            <w:r>
              <w:rPr>
                <w:rFonts w:ascii="宋体" w:hAnsi="宋体" w:cs="宋体"/>
                <w:kern w:val="0"/>
                <w:sz w:val="24"/>
                <w:szCs w:val="20"/>
              </w:rPr>
              <w:t>是否属于集采目录</w:t>
            </w:r>
          </w:p>
        </w:tc>
      </w:tr>
      <w:tr w14:paraId="77381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224" w:type="pct"/>
            <w:tcBorders>
              <w:top w:val="single" w:color="auto" w:sz="4" w:space="0"/>
              <w:left w:val="single" w:color="auto" w:sz="4" w:space="0"/>
              <w:bottom w:val="single" w:color="auto" w:sz="4" w:space="0"/>
              <w:right w:val="single" w:color="auto" w:sz="4" w:space="0"/>
            </w:tcBorders>
            <w:noWrap w:val="0"/>
            <w:vAlign w:val="center"/>
          </w:tcPr>
          <w:p w14:paraId="36965CE8">
            <w:pPr>
              <w:widowControl/>
              <w:jc w:val="center"/>
              <w:rPr>
                <w:rFonts w:ascii="宋体" w:hAnsi="宋体" w:cs="宋体"/>
                <w:color w:val="000000"/>
                <w:kern w:val="0"/>
                <w:sz w:val="24"/>
                <w:szCs w:val="21"/>
              </w:rPr>
            </w:pPr>
            <w:r>
              <w:rPr>
                <w:rFonts w:ascii="宋体" w:hAnsi="宋体" w:cs="宋体"/>
                <w:color w:val="000000"/>
                <w:kern w:val="0"/>
                <w:sz w:val="24"/>
                <w:szCs w:val="21"/>
              </w:rPr>
              <w:t>1</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6B95D84C">
            <w:pPr>
              <w:adjustRightInd w:val="0"/>
              <w:snapToGrid w:val="0"/>
              <w:rPr>
                <w:rFonts w:hint="eastAsia" w:ascii="宋体" w:hAnsi="宋体"/>
                <w:iCs/>
                <w:color w:val="000000"/>
                <w:sz w:val="24"/>
                <w:szCs w:val="20"/>
              </w:rPr>
            </w:pPr>
            <w:r>
              <w:rPr>
                <w:rFonts w:ascii="宋体" w:hAnsi="宋体"/>
                <w:iCs/>
                <w:color w:val="000000"/>
                <w:sz w:val="24"/>
                <w:szCs w:val="20"/>
              </w:rPr>
              <w:t>弱电间配电系统升级改造</w:t>
            </w:r>
          </w:p>
        </w:tc>
        <w:tc>
          <w:tcPr>
            <w:tcW w:w="317" w:type="pct"/>
            <w:tcBorders>
              <w:top w:val="single" w:color="auto" w:sz="4" w:space="0"/>
              <w:left w:val="single" w:color="auto" w:sz="4" w:space="0"/>
              <w:bottom w:val="single" w:color="auto" w:sz="4" w:space="0"/>
              <w:right w:val="single" w:color="auto" w:sz="4" w:space="0"/>
            </w:tcBorders>
            <w:noWrap w:val="0"/>
            <w:vAlign w:val="center"/>
          </w:tcPr>
          <w:p w14:paraId="15D4921E">
            <w:pPr>
              <w:adjustRightInd w:val="0"/>
              <w:snapToGrid w:val="0"/>
              <w:jc w:val="center"/>
              <w:rPr>
                <w:rFonts w:hint="eastAsia" w:ascii="宋体" w:hAnsi="宋体"/>
                <w:color w:val="000000"/>
                <w:sz w:val="24"/>
                <w:szCs w:val="20"/>
              </w:rPr>
            </w:pPr>
            <w:r>
              <w:rPr>
                <w:rFonts w:hint="eastAsia" w:ascii="宋体" w:hAnsi="宋体"/>
                <w:color w:val="000000"/>
                <w:sz w:val="24"/>
                <w:szCs w:val="20"/>
              </w:rPr>
              <w:t>项</w:t>
            </w:r>
          </w:p>
        </w:tc>
        <w:tc>
          <w:tcPr>
            <w:tcW w:w="254" w:type="pct"/>
            <w:tcBorders>
              <w:top w:val="single" w:color="auto" w:sz="4" w:space="0"/>
              <w:left w:val="single" w:color="auto" w:sz="4" w:space="0"/>
              <w:bottom w:val="single" w:color="auto" w:sz="4" w:space="0"/>
              <w:right w:val="single" w:color="auto" w:sz="4" w:space="0"/>
            </w:tcBorders>
            <w:noWrap w:val="0"/>
            <w:vAlign w:val="center"/>
          </w:tcPr>
          <w:p w14:paraId="0066EF37">
            <w:pPr>
              <w:adjustRightInd w:val="0"/>
              <w:snapToGrid w:val="0"/>
              <w:jc w:val="center"/>
              <w:rPr>
                <w:rFonts w:ascii="宋体" w:hAnsi="宋体"/>
                <w:color w:val="000000"/>
                <w:sz w:val="24"/>
                <w:szCs w:val="20"/>
              </w:rPr>
            </w:pPr>
            <w:r>
              <w:rPr>
                <w:rFonts w:ascii="宋体" w:hAnsi="宋体"/>
                <w:color w:val="000000"/>
                <w:sz w:val="24"/>
                <w:szCs w:val="20"/>
              </w:rPr>
              <w:t>1</w:t>
            </w:r>
          </w:p>
        </w:tc>
        <w:tc>
          <w:tcPr>
            <w:tcW w:w="3372" w:type="pct"/>
            <w:tcBorders>
              <w:top w:val="single" w:color="auto" w:sz="4" w:space="0"/>
              <w:left w:val="single" w:color="auto" w:sz="4" w:space="0"/>
              <w:bottom w:val="single" w:color="auto" w:sz="4" w:space="0"/>
              <w:right w:val="single" w:color="auto" w:sz="4" w:space="0"/>
            </w:tcBorders>
            <w:noWrap w:val="0"/>
            <w:vAlign w:val="center"/>
          </w:tcPr>
          <w:p w14:paraId="5077F0F1">
            <w:pPr>
              <w:jc w:val="left"/>
              <w:rPr>
                <w:rFonts w:hint="eastAsia" w:ascii="宋体" w:hAnsi="宋体"/>
                <w:sz w:val="24"/>
                <w:szCs w:val="21"/>
              </w:rPr>
            </w:pPr>
            <w:r>
              <w:rPr>
                <w:rFonts w:hint="eastAsia" w:ascii="宋体" w:hAnsi="宋体"/>
                <w:sz w:val="24"/>
                <w:szCs w:val="21"/>
              </w:rPr>
              <w:t>1、需拆除原有UPS电源，根据现场需求增加配电箱和PDU等设备。</w:t>
            </w:r>
          </w:p>
          <w:p w14:paraId="02BA995F">
            <w:pPr>
              <w:jc w:val="left"/>
              <w:rPr>
                <w:rFonts w:hint="eastAsia" w:ascii="宋体" w:hAnsi="宋体"/>
                <w:sz w:val="24"/>
                <w:szCs w:val="21"/>
              </w:rPr>
            </w:pPr>
            <w:r>
              <w:rPr>
                <w:rFonts w:hint="eastAsia" w:ascii="宋体" w:hAnsi="宋体"/>
                <w:sz w:val="24"/>
                <w:szCs w:val="21"/>
              </w:rPr>
              <w:t>2、本次配电改造所需要的配电箱必须具有3C认证，需提供产品认证证书。所用配件为国内一线品牌。</w:t>
            </w:r>
          </w:p>
          <w:p w14:paraId="3B36CCB3">
            <w:pPr>
              <w:jc w:val="left"/>
              <w:rPr>
                <w:rFonts w:hint="eastAsia" w:ascii="宋体" w:hAnsi="宋体"/>
                <w:sz w:val="24"/>
                <w:szCs w:val="21"/>
              </w:rPr>
            </w:pPr>
            <w:r>
              <w:rPr>
                <w:rFonts w:hint="eastAsia" w:ascii="宋体" w:hAnsi="宋体"/>
                <w:sz w:val="24"/>
                <w:szCs w:val="21"/>
              </w:rPr>
              <w:t>3、配电改造所需线缆必须是正标足方的线缆、本次改造包括电缆敷设费用，包含跨层布线所需费用，施工质量必须符合国家标准。</w:t>
            </w:r>
          </w:p>
          <w:p w14:paraId="013C931B">
            <w:pPr>
              <w:jc w:val="left"/>
              <w:rPr>
                <w:rFonts w:hint="eastAsia" w:ascii="宋体" w:hAnsi="宋体"/>
                <w:sz w:val="24"/>
                <w:szCs w:val="21"/>
              </w:rPr>
            </w:pPr>
            <w:r>
              <w:rPr>
                <w:rFonts w:hint="eastAsia" w:ascii="宋体" w:hAnsi="宋体"/>
                <w:sz w:val="24"/>
                <w:szCs w:val="21"/>
              </w:rPr>
              <w:t>4、本次改造所用PDU必须采用知名品牌，且符合现场需求。</w:t>
            </w:r>
          </w:p>
          <w:p w14:paraId="2AE884BD">
            <w:pPr>
              <w:jc w:val="left"/>
              <w:rPr>
                <w:rFonts w:hint="eastAsia" w:ascii="宋体" w:hAnsi="宋体"/>
                <w:sz w:val="24"/>
                <w:szCs w:val="21"/>
              </w:rPr>
            </w:pPr>
            <w:r>
              <w:rPr>
                <w:rFonts w:hint="eastAsia" w:ascii="宋体" w:hAnsi="宋体"/>
                <w:sz w:val="24"/>
                <w:szCs w:val="21"/>
              </w:rPr>
              <w:t>5、要求提供配电改造的具体实施方案，要求贴合我院现实使用情况，能够解决现在使用中的痛点问题，要求规划合理、安全可靠。</w:t>
            </w:r>
          </w:p>
        </w:tc>
        <w:tc>
          <w:tcPr>
            <w:tcW w:w="413" w:type="pct"/>
            <w:tcBorders>
              <w:top w:val="single" w:color="auto" w:sz="4" w:space="0"/>
              <w:left w:val="single" w:color="auto" w:sz="4" w:space="0"/>
              <w:bottom w:val="single" w:color="auto" w:sz="4" w:space="0"/>
              <w:right w:val="single" w:color="auto" w:sz="4" w:space="0"/>
            </w:tcBorders>
            <w:noWrap w:val="0"/>
            <w:vAlign w:val="center"/>
          </w:tcPr>
          <w:p w14:paraId="5EF63C17">
            <w:pPr>
              <w:jc w:val="center"/>
              <w:rPr>
                <w:rFonts w:hint="eastAsia" w:ascii="宋体" w:hAnsi="宋体"/>
                <w:sz w:val="24"/>
                <w:szCs w:val="21"/>
              </w:rPr>
            </w:pPr>
            <w:r>
              <w:rPr>
                <w:rFonts w:hint="eastAsia" w:ascii="宋体" w:hAnsi="宋体"/>
                <w:sz w:val="24"/>
                <w:szCs w:val="21"/>
              </w:rPr>
              <w:t>否</w:t>
            </w:r>
          </w:p>
        </w:tc>
      </w:tr>
      <w:tr w14:paraId="70B15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 w:type="pct"/>
            <w:tcBorders>
              <w:top w:val="single" w:color="auto" w:sz="4" w:space="0"/>
              <w:left w:val="single" w:color="auto" w:sz="4" w:space="0"/>
              <w:bottom w:val="single" w:color="auto" w:sz="4" w:space="0"/>
              <w:right w:val="single" w:color="auto" w:sz="4" w:space="0"/>
            </w:tcBorders>
            <w:noWrap w:val="0"/>
            <w:vAlign w:val="center"/>
          </w:tcPr>
          <w:p w14:paraId="48EB967D">
            <w:pPr>
              <w:widowControl/>
              <w:jc w:val="center"/>
              <w:rPr>
                <w:rFonts w:ascii="宋体" w:hAnsi="宋体" w:cs="宋体"/>
                <w:color w:val="000000"/>
                <w:kern w:val="0"/>
                <w:sz w:val="24"/>
                <w:szCs w:val="21"/>
              </w:rPr>
            </w:pPr>
            <w:r>
              <w:rPr>
                <w:rFonts w:ascii="宋体" w:hAnsi="宋体" w:cs="宋体"/>
                <w:color w:val="000000"/>
                <w:kern w:val="0"/>
                <w:sz w:val="24"/>
                <w:szCs w:val="21"/>
              </w:rPr>
              <w:t>2</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29D04A45">
            <w:pPr>
              <w:adjustRightInd w:val="0"/>
              <w:snapToGrid w:val="0"/>
              <w:rPr>
                <w:rFonts w:hint="eastAsia" w:ascii="宋体" w:hAnsi="宋体"/>
                <w:color w:val="000000"/>
                <w:sz w:val="24"/>
                <w:szCs w:val="20"/>
              </w:rPr>
            </w:pPr>
            <w:r>
              <w:rPr>
                <w:rFonts w:hint="eastAsia" w:ascii="宋体" w:hAnsi="宋体"/>
                <w:color w:val="000000"/>
                <w:sz w:val="24"/>
                <w:szCs w:val="20"/>
              </w:rPr>
              <w:t>三年维保服务</w:t>
            </w:r>
          </w:p>
        </w:tc>
        <w:tc>
          <w:tcPr>
            <w:tcW w:w="317" w:type="pct"/>
            <w:tcBorders>
              <w:top w:val="single" w:color="auto" w:sz="4" w:space="0"/>
              <w:left w:val="single" w:color="auto" w:sz="4" w:space="0"/>
              <w:bottom w:val="single" w:color="auto" w:sz="4" w:space="0"/>
              <w:right w:val="single" w:color="auto" w:sz="4" w:space="0"/>
            </w:tcBorders>
            <w:noWrap w:val="0"/>
            <w:vAlign w:val="center"/>
          </w:tcPr>
          <w:p w14:paraId="540C6B1B">
            <w:pPr>
              <w:adjustRightInd w:val="0"/>
              <w:snapToGrid w:val="0"/>
              <w:jc w:val="center"/>
              <w:rPr>
                <w:rFonts w:hint="eastAsia" w:ascii="宋体" w:hAnsi="宋体"/>
                <w:color w:val="000000"/>
                <w:sz w:val="24"/>
                <w:szCs w:val="20"/>
              </w:rPr>
            </w:pPr>
            <w:r>
              <w:rPr>
                <w:rFonts w:hint="eastAsia" w:ascii="宋体" w:hAnsi="宋体"/>
                <w:color w:val="000000"/>
                <w:sz w:val="24"/>
                <w:szCs w:val="20"/>
              </w:rPr>
              <w:t>项</w:t>
            </w:r>
          </w:p>
        </w:tc>
        <w:tc>
          <w:tcPr>
            <w:tcW w:w="254" w:type="pct"/>
            <w:tcBorders>
              <w:top w:val="single" w:color="auto" w:sz="4" w:space="0"/>
              <w:left w:val="single" w:color="auto" w:sz="4" w:space="0"/>
              <w:bottom w:val="single" w:color="auto" w:sz="4" w:space="0"/>
              <w:right w:val="single" w:color="auto" w:sz="4" w:space="0"/>
            </w:tcBorders>
            <w:noWrap w:val="0"/>
            <w:vAlign w:val="center"/>
          </w:tcPr>
          <w:p w14:paraId="29C093D1">
            <w:pPr>
              <w:adjustRightInd w:val="0"/>
              <w:snapToGrid w:val="0"/>
              <w:jc w:val="center"/>
              <w:rPr>
                <w:rFonts w:ascii="宋体" w:hAnsi="宋体"/>
                <w:color w:val="000000"/>
                <w:sz w:val="24"/>
                <w:szCs w:val="20"/>
              </w:rPr>
            </w:pPr>
            <w:r>
              <w:rPr>
                <w:rFonts w:hint="eastAsia" w:ascii="宋体" w:hAnsi="宋体"/>
                <w:color w:val="000000"/>
                <w:sz w:val="24"/>
                <w:szCs w:val="20"/>
              </w:rPr>
              <w:t>1</w:t>
            </w:r>
          </w:p>
        </w:tc>
        <w:tc>
          <w:tcPr>
            <w:tcW w:w="3372" w:type="pct"/>
            <w:tcBorders>
              <w:top w:val="single" w:color="auto" w:sz="4" w:space="0"/>
              <w:left w:val="single" w:color="auto" w:sz="4" w:space="0"/>
              <w:bottom w:val="single" w:color="auto" w:sz="4" w:space="0"/>
              <w:right w:val="single" w:color="auto" w:sz="4" w:space="0"/>
            </w:tcBorders>
            <w:noWrap w:val="0"/>
            <w:vAlign w:val="center"/>
          </w:tcPr>
          <w:p w14:paraId="2ADCB188">
            <w:pPr>
              <w:jc w:val="left"/>
              <w:rPr>
                <w:rFonts w:hint="eastAsia" w:ascii="宋体" w:hAnsi="宋体"/>
                <w:sz w:val="24"/>
                <w:szCs w:val="21"/>
              </w:rPr>
            </w:pPr>
            <w:r>
              <w:rPr>
                <w:rFonts w:hint="eastAsia" w:ascii="宋体" w:hAnsi="宋体"/>
                <w:sz w:val="24"/>
                <w:szCs w:val="21"/>
              </w:rPr>
              <w:t>1、本项目要求保修期为三年。（在产品使用说明书要求的正常使用条件下，非人为或外界不可抗因素），保修期内免费更换故障部件。</w:t>
            </w:r>
          </w:p>
          <w:p w14:paraId="0F4071A4">
            <w:pPr>
              <w:jc w:val="left"/>
              <w:rPr>
                <w:rFonts w:hint="eastAsia" w:ascii="宋体" w:hAnsi="宋体"/>
                <w:sz w:val="24"/>
                <w:szCs w:val="21"/>
              </w:rPr>
            </w:pPr>
            <w:r>
              <w:rPr>
                <w:rFonts w:hint="eastAsia" w:ascii="宋体" w:hAnsi="宋体"/>
                <w:sz w:val="24"/>
                <w:szCs w:val="21"/>
              </w:rPr>
              <w:t>2、投标人设立7×24小时热线电话，及时受理故障申告及投诉。</w:t>
            </w:r>
          </w:p>
          <w:p w14:paraId="7BC6C7C5">
            <w:pPr>
              <w:jc w:val="left"/>
              <w:rPr>
                <w:rFonts w:hint="eastAsia" w:ascii="宋体" w:hAnsi="宋体"/>
                <w:sz w:val="24"/>
                <w:szCs w:val="21"/>
              </w:rPr>
            </w:pPr>
            <w:r>
              <w:rPr>
                <w:rFonts w:hint="eastAsia" w:ascii="宋体" w:hAnsi="宋体"/>
                <w:sz w:val="24"/>
                <w:szCs w:val="21"/>
              </w:rPr>
              <w:t>2、维修响应：制造商在天津设有直属服务网点，更方便、更快捷的为用户进行售后服务、技术支持提供保障。要求提供制造商在天津服务网点的租赁合同或房产证明。</w:t>
            </w:r>
          </w:p>
          <w:p w14:paraId="0A42FC4C">
            <w:pPr>
              <w:jc w:val="left"/>
              <w:rPr>
                <w:rFonts w:hint="eastAsia" w:ascii="宋体" w:hAnsi="宋体"/>
                <w:sz w:val="24"/>
                <w:szCs w:val="21"/>
              </w:rPr>
            </w:pPr>
            <w:r>
              <w:rPr>
                <w:rFonts w:hint="eastAsia" w:ascii="宋体" w:hAnsi="宋体"/>
                <w:sz w:val="24"/>
                <w:szCs w:val="21"/>
              </w:rPr>
              <w:t>3、客户现场出现设备故障，如需现场服务，制造商提供24*365天服务热线支持，电话保障20分钟内响应，远程故障诊断时间不超过20分钟，如远程不能解决，及时派遣工程技术人员及时赶到现场：市区1.5小时内到达，滨海新区2小时到达，并于到达当日8小时之内排除故障，如不能正常工作，则应采取更换备机等应急措施，保证业务正常开展。工程师对服务工作进行记录，由服务中心统一存档。</w:t>
            </w:r>
          </w:p>
          <w:p w14:paraId="4A809604">
            <w:pPr>
              <w:jc w:val="left"/>
              <w:rPr>
                <w:rFonts w:hint="eastAsia" w:ascii="宋体" w:hAnsi="宋体"/>
                <w:sz w:val="24"/>
                <w:szCs w:val="21"/>
              </w:rPr>
            </w:pPr>
            <w:r>
              <w:rPr>
                <w:rFonts w:hint="eastAsia" w:ascii="宋体" w:hAnsi="宋体"/>
                <w:sz w:val="24"/>
                <w:szCs w:val="21"/>
              </w:rPr>
              <w:t>4、投标人在对新设备或系统进行软件升级时，应及时通知用户并对用户设备或系统免费提供软件升级。</w:t>
            </w:r>
          </w:p>
          <w:p w14:paraId="3949FBD0">
            <w:pPr>
              <w:jc w:val="left"/>
              <w:rPr>
                <w:rFonts w:hint="eastAsia" w:ascii="宋体" w:hAnsi="宋体"/>
                <w:sz w:val="24"/>
                <w:szCs w:val="21"/>
              </w:rPr>
            </w:pPr>
            <w:r>
              <w:rPr>
                <w:rFonts w:hint="eastAsia" w:ascii="宋体" w:hAnsi="宋体"/>
                <w:sz w:val="24"/>
                <w:szCs w:val="21"/>
              </w:rPr>
              <w:t>6、维护、维修和紧急故障任务完成后，投标人应当场向采购人提交详细的技术服务报告，该报告将作为采购人对投标人的工作的考核依据。</w:t>
            </w:r>
          </w:p>
          <w:p w14:paraId="4C68BA8C">
            <w:pPr>
              <w:jc w:val="left"/>
              <w:rPr>
                <w:rFonts w:hint="eastAsia" w:ascii="宋体" w:hAnsi="宋体"/>
                <w:sz w:val="24"/>
                <w:szCs w:val="21"/>
              </w:rPr>
            </w:pPr>
            <w:r>
              <w:rPr>
                <w:rFonts w:hint="eastAsia" w:ascii="宋体" w:hAnsi="宋体"/>
                <w:sz w:val="24"/>
                <w:szCs w:val="21"/>
              </w:rPr>
              <w:t>7、备品备件库情况：要求制造商在天津常年备有充足的维修配件和常驻经培训考核合格的工程师，进行日常维护工作，在服务中若不能通过维修配件解决问题，则可以提供备机，以便及时解决故障，保证用户系统正常运转。</w:t>
            </w:r>
          </w:p>
          <w:p w14:paraId="1B08AE8D">
            <w:pPr>
              <w:jc w:val="left"/>
              <w:rPr>
                <w:rFonts w:hint="eastAsia" w:ascii="宋体" w:hAnsi="宋体"/>
                <w:sz w:val="24"/>
                <w:szCs w:val="21"/>
              </w:rPr>
            </w:pPr>
            <w:r>
              <w:rPr>
                <w:rFonts w:hint="eastAsia" w:ascii="宋体" w:hAnsi="宋体"/>
                <w:sz w:val="24"/>
                <w:szCs w:val="21"/>
              </w:rPr>
              <w:t>8、定期巡检：</w:t>
            </w:r>
          </w:p>
          <w:p w14:paraId="77AF520F">
            <w:pPr>
              <w:jc w:val="left"/>
              <w:rPr>
                <w:rFonts w:hint="eastAsia" w:ascii="宋体" w:hAnsi="宋体"/>
                <w:sz w:val="24"/>
                <w:szCs w:val="21"/>
              </w:rPr>
            </w:pPr>
            <w:r>
              <w:rPr>
                <w:rFonts w:hint="eastAsia" w:ascii="宋体" w:hAnsi="宋体"/>
                <w:sz w:val="24"/>
                <w:szCs w:val="21"/>
              </w:rPr>
              <w:t>要求为每一台UPS建立安装档案，并可根据合同规定，进行定期巡检，检查UPS的运行情况，了解用户使用条件和负载是否合理，及时向用户建议改进和纠正措施，提供必要的技术支持，保证设备的安全可靠运行。对使用和管理UPS的人员进行现场指导培训，确保UPS稳定正常地工作，并向用户提供完整的巡检报告和巡检记录。</w:t>
            </w:r>
          </w:p>
          <w:p w14:paraId="4751F33F">
            <w:pPr>
              <w:jc w:val="left"/>
              <w:rPr>
                <w:rFonts w:hint="eastAsia" w:ascii="宋体" w:hAnsi="宋体"/>
                <w:sz w:val="24"/>
                <w:szCs w:val="21"/>
              </w:rPr>
            </w:pPr>
            <w:r>
              <w:rPr>
                <w:rFonts w:hint="eastAsia" w:ascii="宋体" w:hAnsi="宋体"/>
                <w:sz w:val="24"/>
                <w:szCs w:val="21"/>
              </w:rPr>
              <w:t>提供周期性的电话回访，了解设备的运行情况及电网环境等，及时对设备的运行及维护提出建议及纠正措施，确保设备安全运行，为用户提供可靠的电源保护。</w:t>
            </w:r>
          </w:p>
          <w:p w14:paraId="287338BA">
            <w:pPr>
              <w:jc w:val="left"/>
              <w:rPr>
                <w:rFonts w:hint="eastAsia" w:ascii="宋体" w:hAnsi="宋体"/>
                <w:sz w:val="24"/>
                <w:szCs w:val="21"/>
              </w:rPr>
            </w:pPr>
            <w:r>
              <w:rPr>
                <w:rFonts w:hint="eastAsia" w:ascii="宋体" w:hAnsi="宋体"/>
                <w:sz w:val="24"/>
                <w:szCs w:val="21"/>
              </w:rPr>
              <w:t>9、终身维护：保修期过后，将为所售UPS提供终身有偿维修服务，服务方式及响应时间同保修期内。一旦机器出现故障，技术服务工程师则首先提供经济有效的措施解决故障，恢复设备正常工作。</w:t>
            </w:r>
          </w:p>
          <w:p w14:paraId="407F81E0">
            <w:pPr>
              <w:jc w:val="left"/>
              <w:rPr>
                <w:rFonts w:hint="eastAsia" w:ascii="宋体" w:hAnsi="宋体"/>
                <w:sz w:val="24"/>
                <w:szCs w:val="21"/>
              </w:rPr>
            </w:pPr>
            <w:r>
              <w:rPr>
                <w:rFonts w:hint="eastAsia" w:ascii="宋体" w:hAnsi="宋体"/>
                <w:sz w:val="24"/>
                <w:szCs w:val="21"/>
              </w:rPr>
              <w:t>10、软硬件升级：对用户要求硬件或软件升级的响应时间为48小时内。</w:t>
            </w:r>
          </w:p>
          <w:p w14:paraId="7A28E69E">
            <w:pPr>
              <w:jc w:val="left"/>
              <w:rPr>
                <w:rFonts w:hint="eastAsia" w:ascii="宋体" w:hAnsi="宋体"/>
                <w:sz w:val="24"/>
                <w:szCs w:val="21"/>
              </w:rPr>
            </w:pPr>
            <w:r>
              <w:rPr>
                <w:rFonts w:hint="eastAsia" w:ascii="宋体" w:hAnsi="宋体"/>
                <w:sz w:val="24"/>
                <w:szCs w:val="21"/>
              </w:rPr>
              <w:t>11、保修期内服务价格不单独报价，包含在本次设备报价中。</w:t>
            </w:r>
          </w:p>
          <w:p w14:paraId="06AB4D7A">
            <w:pPr>
              <w:jc w:val="left"/>
              <w:rPr>
                <w:rFonts w:hint="eastAsia" w:ascii="宋体" w:hAnsi="宋体"/>
                <w:sz w:val="24"/>
                <w:szCs w:val="21"/>
              </w:rPr>
            </w:pPr>
            <w:r>
              <w:rPr>
                <w:rFonts w:hint="eastAsia" w:ascii="宋体" w:hAnsi="宋体"/>
                <w:sz w:val="24"/>
                <w:szCs w:val="21"/>
              </w:rPr>
              <w:t>12、培训计划</w:t>
            </w:r>
          </w:p>
          <w:p w14:paraId="70B1D4BB">
            <w:pPr>
              <w:jc w:val="left"/>
              <w:rPr>
                <w:rFonts w:hint="eastAsia" w:ascii="宋体" w:hAnsi="宋体"/>
                <w:sz w:val="24"/>
                <w:szCs w:val="21"/>
              </w:rPr>
            </w:pPr>
            <w:r>
              <w:rPr>
                <w:rFonts w:hint="eastAsia" w:ascii="宋体" w:hAnsi="宋体"/>
                <w:sz w:val="24"/>
                <w:szCs w:val="21"/>
              </w:rPr>
              <w:t>本次投标要求供应商为贵单位免费提供现场培训和专业技术培训，主要培训教员都有相应的专业资格和实际工作经历并至少有三年以上的教学经验。所有培训均使用中文教学。各种技术培训的师资和培训资料（培训设备、系统环境、文字资料和讲义等相关用品）均免费提供，所有的资料都是中文书写，</w:t>
            </w:r>
          </w:p>
        </w:tc>
        <w:tc>
          <w:tcPr>
            <w:tcW w:w="413" w:type="pct"/>
            <w:tcBorders>
              <w:top w:val="single" w:color="auto" w:sz="4" w:space="0"/>
              <w:left w:val="single" w:color="auto" w:sz="4" w:space="0"/>
              <w:bottom w:val="single" w:color="auto" w:sz="4" w:space="0"/>
              <w:right w:val="single" w:color="auto" w:sz="4" w:space="0"/>
            </w:tcBorders>
            <w:noWrap w:val="0"/>
            <w:vAlign w:val="center"/>
          </w:tcPr>
          <w:p w14:paraId="42AEC65F">
            <w:pPr>
              <w:jc w:val="center"/>
              <w:rPr>
                <w:rFonts w:ascii="宋体" w:hAnsi="宋体"/>
                <w:sz w:val="24"/>
                <w:szCs w:val="21"/>
              </w:rPr>
            </w:pPr>
            <w:r>
              <w:rPr>
                <w:rFonts w:ascii="宋体" w:hAnsi="宋体"/>
                <w:sz w:val="24"/>
                <w:szCs w:val="21"/>
              </w:rPr>
              <w:t>否</w:t>
            </w:r>
          </w:p>
        </w:tc>
      </w:tr>
      <w:tr w14:paraId="3E33A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9" w:hRule="atLeast"/>
          <w:jc w:val="center"/>
        </w:trPr>
        <w:tc>
          <w:tcPr>
            <w:tcW w:w="224" w:type="pct"/>
            <w:tcBorders>
              <w:top w:val="single" w:color="auto" w:sz="4" w:space="0"/>
              <w:left w:val="single" w:color="auto" w:sz="4" w:space="0"/>
              <w:bottom w:val="single" w:color="auto" w:sz="4" w:space="0"/>
              <w:right w:val="single" w:color="auto" w:sz="4" w:space="0"/>
            </w:tcBorders>
            <w:noWrap w:val="0"/>
            <w:vAlign w:val="center"/>
          </w:tcPr>
          <w:p w14:paraId="2659F97A">
            <w:pPr>
              <w:widowControl/>
              <w:jc w:val="center"/>
              <w:rPr>
                <w:rFonts w:ascii="宋体" w:hAnsi="宋体" w:cs="宋体"/>
                <w:color w:val="000000"/>
                <w:kern w:val="0"/>
                <w:sz w:val="24"/>
                <w:szCs w:val="21"/>
              </w:rPr>
            </w:pPr>
            <w:r>
              <w:rPr>
                <w:rFonts w:ascii="宋体" w:hAnsi="宋体" w:cs="宋体"/>
                <w:color w:val="000000"/>
                <w:kern w:val="0"/>
                <w:sz w:val="24"/>
                <w:szCs w:val="21"/>
              </w:rPr>
              <w:t>3</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7B55CDF0">
            <w:pPr>
              <w:adjustRightInd w:val="0"/>
              <w:snapToGrid w:val="0"/>
              <w:jc w:val="center"/>
              <w:rPr>
                <w:rFonts w:hint="eastAsia" w:ascii="宋体" w:hAnsi="宋体"/>
                <w:i/>
                <w:color w:val="000000"/>
                <w:sz w:val="24"/>
                <w:szCs w:val="20"/>
                <w:u w:val="single"/>
              </w:rPr>
            </w:pPr>
            <w:r>
              <w:rPr>
                <w:rFonts w:ascii="宋体" w:hAnsi="宋体"/>
                <w:iCs/>
                <w:color w:val="000000"/>
                <w:sz w:val="24"/>
                <w:szCs w:val="20"/>
              </w:rPr>
              <w:t>▲</w:t>
            </w:r>
            <w:r>
              <w:rPr>
                <w:rFonts w:hint="eastAsia" w:ascii="宋体" w:hAnsi="宋体"/>
                <w:iCs/>
                <w:color w:val="000000"/>
                <w:sz w:val="24"/>
                <w:szCs w:val="20"/>
              </w:rPr>
              <w:t>不间断电源</w:t>
            </w:r>
          </w:p>
        </w:tc>
        <w:tc>
          <w:tcPr>
            <w:tcW w:w="317" w:type="pct"/>
            <w:tcBorders>
              <w:top w:val="single" w:color="auto" w:sz="4" w:space="0"/>
              <w:left w:val="single" w:color="auto" w:sz="4" w:space="0"/>
              <w:bottom w:val="single" w:color="auto" w:sz="4" w:space="0"/>
              <w:right w:val="single" w:color="auto" w:sz="4" w:space="0"/>
            </w:tcBorders>
            <w:noWrap w:val="0"/>
            <w:vAlign w:val="center"/>
          </w:tcPr>
          <w:p w14:paraId="67CA306D">
            <w:pPr>
              <w:adjustRightInd w:val="0"/>
              <w:snapToGrid w:val="0"/>
              <w:jc w:val="center"/>
              <w:rPr>
                <w:rFonts w:hint="eastAsia" w:ascii="宋体" w:hAnsi="宋体"/>
                <w:color w:val="000000"/>
                <w:sz w:val="24"/>
                <w:szCs w:val="20"/>
              </w:rPr>
            </w:pPr>
            <w:r>
              <w:rPr>
                <w:rFonts w:hint="eastAsia" w:ascii="宋体" w:hAnsi="宋体"/>
                <w:color w:val="000000"/>
                <w:sz w:val="24"/>
                <w:szCs w:val="20"/>
              </w:rPr>
              <w:t>套</w:t>
            </w:r>
          </w:p>
        </w:tc>
        <w:tc>
          <w:tcPr>
            <w:tcW w:w="254" w:type="pct"/>
            <w:tcBorders>
              <w:top w:val="single" w:color="auto" w:sz="4" w:space="0"/>
              <w:left w:val="single" w:color="auto" w:sz="4" w:space="0"/>
              <w:bottom w:val="single" w:color="auto" w:sz="4" w:space="0"/>
              <w:right w:val="single" w:color="auto" w:sz="4" w:space="0"/>
            </w:tcBorders>
            <w:noWrap w:val="0"/>
            <w:vAlign w:val="center"/>
          </w:tcPr>
          <w:p w14:paraId="0CEE032D">
            <w:pPr>
              <w:adjustRightInd w:val="0"/>
              <w:snapToGrid w:val="0"/>
              <w:jc w:val="center"/>
              <w:rPr>
                <w:rFonts w:hint="eastAsia" w:ascii="宋体" w:hAnsi="宋体"/>
                <w:color w:val="000000"/>
                <w:sz w:val="24"/>
                <w:szCs w:val="20"/>
              </w:rPr>
            </w:pPr>
            <w:r>
              <w:rPr>
                <w:rFonts w:hint="eastAsia" w:ascii="宋体" w:hAnsi="宋体"/>
                <w:color w:val="000000"/>
                <w:sz w:val="24"/>
                <w:szCs w:val="20"/>
              </w:rPr>
              <w:t>42</w:t>
            </w:r>
          </w:p>
        </w:tc>
        <w:tc>
          <w:tcPr>
            <w:tcW w:w="3372" w:type="pct"/>
            <w:tcBorders>
              <w:top w:val="single" w:color="auto" w:sz="4" w:space="0"/>
              <w:left w:val="single" w:color="auto" w:sz="4" w:space="0"/>
              <w:bottom w:val="single" w:color="auto" w:sz="4" w:space="0"/>
              <w:right w:val="single" w:color="auto" w:sz="4" w:space="0"/>
            </w:tcBorders>
            <w:noWrap w:val="0"/>
            <w:vAlign w:val="center"/>
          </w:tcPr>
          <w:p w14:paraId="38967B25">
            <w:pPr>
              <w:rPr>
                <w:rFonts w:hint="eastAsia" w:ascii="宋体" w:hAnsi="宋体"/>
                <w:sz w:val="24"/>
                <w:szCs w:val="21"/>
              </w:rPr>
            </w:pPr>
            <w:r>
              <w:rPr>
                <w:rFonts w:hint="eastAsia" w:ascii="宋体" w:hAnsi="宋体"/>
                <w:sz w:val="24"/>
                <w:szCs w:val="21"/>
              </w:rPr>
              <w:t>UPS主机基本要求为：单进单出，双变换纯在线式，功率6kVA，断电延时时间60分钟</w:t>
            </w:r>
          </w:p>
          <w:p w14:paraId="0D214E65">
            <w:pPr>
              <w:rPr>
                <w:rFonts w:hint="eastAsia" w:ascii="宋体" w:hAnsi="宋体"/>
                <w:sz w:val="24"/>
                <w:szCs w:val="21"/>
              </w:rPr>
            </w:pPr>
            <w:r>
              <w:rPr>
                <w:rFonts w:hint="eastAsia" w:ascii="宋体" w:hAnsi="宋体"/>
                <w:sz w:val="24"/>
                <w:szCs w:val="21"/>
              </w:rPr>
              <w:t>1、 UPS产品应采用数字化控制技术、三电平技术和高频电源变换技术，具有体积小、性能高、可靠性高等特点，使得节能效益显著，大幅减少运营成本。投标方需提供原厂盖章所投产品的彩页 资料。</w:t>
            </w:r>
          </w:p>
          <w:p w14:paraId="636FD4C1">
            <w:pPr>
              <w:rPr>
                <w:rFonts w:hint="eastAsia" w:ascii="宋体" w:hAnsi="宋体"/>
                <w:sz w:val="24"/>
                <w:szCs w:val="21"/>
              </w:rPr>
            </w:pPr>
            <w:r>
              <w:rPr>
                <w:rFonts w:hint="eastAsia" w:ascii="宋体" w:hAnsi="宋体"/>
                <w:sz w:val="24"/>
                <w:szCs w:val="21"/>
              </w:rPr>
              <w:t>要求所选产品为制造商主流销售产品，可在制造商官网查询，如官网资料与投标所提供资料技术指标不符合，则判断为不符合技术要求。</w:t>
            </w:r>
          </w:p>
          <w:p w14:paraId="402FA0F5">
            <w:pPr>
              <w:rPr>
                <w:rFonts w:hint="eastAsia" w:ascii="宋体" w:hAnsi="宋体"/>
                <w:sz w:val="24"/>
                <w:szCs w:val="21"/>
              </w:rPr>
            </w:pPr>
            <w:r>
              <w:rPr>
                <w:rFonts w:hint="eastAsia" w:ascii="宋体" w:hAnsi="宋体"/>
                <w:sz w:val="24"/>
                <w:szCs w:val="21"/>
              </w:rPr>
              <w:t>2、 ★输入电压范围 ：80-275Vac，投标方需提供原厂盖章所投产品的彩页或样本证明。</w:t>
            </w:r>
          </w:p>
          <w:p w14:paraId="20693F77">
            <w:pPr>
              <w:rPr>
                <w:rFonts w:hint="eastAsia" w:ascii="宋体" w:hAnsi="宋体"/>
                <w:sz w:val="24"/>
                <w:szCs w:val="21"/>
              </w:rPr>
            </w:pPr>
            <w:r>
              <w:rPr>
                <w:rFonts w:hint="eastAsia" w:ascii="宋体" w:hAnsi="宋体"/>
                <w:sz w:val="24"/>
                <w:szCs w:val="21"/>
              </w:rPr>
              <w:t>3 、输入功率因数：100%非线性负载：≥0.99</w:t>
            </w:r>
          </w:p>
          <w:p w14:paraId="736872F6">
            <w:pPr>
              <w:rPr>
                <w:rFonts w:hint="eastAsia" w:ascii="宋体" w:hAnsi="宋体"/>
                <w:sz w:val="24"/>
                <w:szCs w:val="21"/>
              </w:rPr>
            </w:pPr>
            <w:r>
              <w:rPr>
                <w:rFonts w:hint="eastAsia" w:ascii="宋体" w:hAnsi="宋体"/>
                <w:sz w:val="24"/>
                <w:szCs w:val="21"/>
              </w:rPr>
              <w:t>输入电流谐波：100%非线性负载：＜5%，投标方需提供泰尔检测报告证明。</w:t>
            </w:r>
          </w:p>
          <w:p w14:paraId="5FC677F6">
            <w:pPr>
              <w:rPr>
                <w:rFonts w:hint="eastAsia" w:ascii="宋体" w:hAnsi="宋体"/>
                <w:sz w:val="24"/>
                <w:szCs w:val="21"/>
              </w:rPr>
            </w:pPr>
            <w:r>
              <w:rPr>
                <w:rFonts w:hint="eastAsia" w:ascii="宋体" w:hAnsi="宋体"/>
                <w:sz w:val="24"/>
                <w:szCs w:val="21"/>
              </w:rPr>
              <w:t xml:space="preserve">    4、 整机输入频率要求适应50Hz/60Hz的电源频率输入，无需增加任何技术升级收费及选配件，即可满足现场应用要求。投标方需提供原厂盖章所投产品的彩页或样本证明。</w:t>
            </w:r>
          </w:p>
          <w:p w14:paraId="58C2EA7B">
            <w:pPr>
              <w:rPr>
                <w:rFonts w:hint="eastAsia" w:ascii="宋体" w:hAnsi="宋体"/>
                <w:sz w:val="24"/>
                <w:szCs w:val="21"/>
              </w:rPr>
            </w:pPr>
            <w:r>
              <w:rPr>
                <w:rFonts w:hint="eastAsia" w:ascii="宋体" w:hAnsi="宋体"/>
                <w:sz w:val="24"/>
                <w:szCs w:val="21"/>
              </w:rPr>
              <w:t xml:space="preserve">    5、 输出电压精度：220±1%。</w:t>
            </w:r>
          </w:p>
          <w:p w14:paraId="253CC5D7">
            <w:pPr>
              <w:rPr>
                <w:rFonts w:hint="eastAsia" w:ascii="宋体" w:hAnsi="宋体"/>
                <w:sz w:val="24"/>
                <w:szCs w:val="21"/>
              </w:rPr>
            </w:pPr>
            <w:r>
              <w:rPr>
                <w:rFonts w:hint="eastAsia" w:ascii="宋体" w:hAnsi="宋体"/>
                <w:sz w:val="24"/>
                <w:szCs w:val="21"/>
              </w:rPr>
              <w:t xml:space="preserve">    6 、 ★输出有功功率应 ≥额定容量×0.9 kW/kVA即输出PF ≥0.9，输出端可带更多负载；要求提供泰尔检验报告证明。</w:t>
            </w:r>
          </w:p>
          <w:p w14:paraId="16ACC71D">
            <w:pPr>
              <w:rPr>
                <w:rFonts w:hint="eastAsia" w:ascii="宋体" w:hAnsi="宋体"/>
                <w:sz w:val="24"/>
                <w:szCs w:val="21"/>
              </w:rPr>
            </w:pPr>
            <w:r>
              <w:rPr>
                <w:rFonts w:hint="eastAsia" w:ascii="宋体" w:hAnsi="宋体"/>
                <w:sz w:val="24"/>
                <w:szCs w:val="21"/>
              </w:rPr>
              <w:t>7、★过载能力 ：125%维持≥1分钟，投标方需要提供泰尔检测报告证明。</w:t>
            </w:r>
          </w:p>
          <w:p w14:paraId="6D14AFA2">
            <w:pPr>
              <w:rPr>
                <w:rFonts w:hint="eastAsia" w:ascii="宋体" w:hAnsi="宋体"/>
                <w:sz w:val="24"/>
                <w:szCs w:val="21"/>
              </w:rPr>
            </w:pPr>
            <w:r>
              <w:rPr>
                <w:rFonts w:hint="eastAsia" w:ascii="宋体" w:hAnsi="宋体"/>
                <w:sz w:val="24"/>
                <w:szCs w:val="21"/>
              </w:rPr>
              <w:t xml:space="preserve">    8、★整机UPS效率 ：100%阻性负载：≥90%，要求提供泰尔检验报告证明。</w:t>
            </w:r>
          </w:p>
          <w:p w14:paraId="0E7272E3">
            <w:pPr>
              <w:rPr>
                <w:rFonts w:hint="eastAsia" w:ascii="宋体" w:hAnsi="宋体"/>
                <w:sz w:val="24"/>
                <w:szCs w:val="21"/>
              </w:rPr>
            </w:pPr>
            <w:r>
              <w:rPr>
                <w:rFonts w:hint="eastAsia" w:ascii="宋体" w:hAnsi="宋体"/>
                <w:sz w:val="24"/>
                <w:szCs w:val="21"/>
              </w:rPr>
              <w:t>9、为了现场安装方便，6kVA UPS产品应采用接线排，便于安装。</w:t>
            </w:r>
          </w:p>
          <w:p w14:paraId="61FFD40F">
            <w:pPr>
              <w:rPr>
                <w:rFonts w:hint="eastAsia" w:ascii="宋体" w:hAnsi="宋体"/>
                <w:sz w:val="24"/>
                <w:szCs w:val="21"/>
              </w:rPr>
            </w:pPr>
            <w:r>
              <w:rPr>
                <w:rFonts w:hint="eastAsia" w:ascii="宋体" w:hAnsi="宋体"/>
                <w:sz w:val="24"/>
                <w:szCs w:val="21"/>
              </w:rPr>
              <w:t xml:space="preserve">    10、人机操作界面：6kVA产品应具有LCD蓝色背光宽屏液晶显示屏，可流程化显示UPS主机的工作模式、工作参数与用户的负载量、电池剩余容量等状态，方便用户对设备进行管理。</w:t>
            </w:r>
          </w:p>
          <w:p w14:paraId="098FC69E">
            <w:pPr>
              <w:rPr>
                <w:rFonts w:hint="eastAsia" w:ascii="宋体" w:hAnsi="宋体"/>
                <w:sz w:val="24"/>
                <w:szCs w:val="21"/>
              </w:rPr>
            </w:pPr>
            <w:r>
              <w:rPr>
                <w:rFonts w:hint="eastAsia" w:ascii="宋体" w:hAnsi="宋体"/>
                <w:sz w:val="24"/>
                <w:szCs w:val="21"/>
              </w:rPr>
              <w:t xml:space="preserve">    11、UPS输入保护：6kVA产品应配备有市电输入和旁路输入微型断路器；</w:t>
            </w:r>
          </w:p>
          <w:p w14:paraId="241755D3">
            <w:pPr>
              <w:rPr>
                <w:rFonts w:hint="eastAsia" w:ascii="宋体" w:hAnsi="宋体"/>
                <w:sz w:val="24"/>
                <w:szCs w:val="21"/>
              </w:rPr>
            </w:pPr>
            <w:r>
              <w:rPr>
                <w:rFonts w:hint="eastAsia" w:ascii="宋体" w:hAnsi="宋体"/>
                <w:sz w:val="24"/>
                <w:szCs w:val="21"/>
              </w:rPr>
              <w:t>保护设备运行安全可靠，投标方需提供原厂盖章所投产品的图片证明。</w:t>
            </w:r>
          </w:p>
          <w:p w14:paraId="443816BF">
            <w:pPr>
              <w:rPr>
                <w:rFonts w:hint="eastAsia" w:ascii="宋体" w:hAnsi="宋体"/>
                <w:sz w:val="24"/>
                <w:szCs w:val="21"/>
              </w:rPr>
            </w:pPr>
            <w:r>
              <w:rPr>
                <w:rFonts w:hint="eastAsia" w:ascii="宋体" w:hAnsi="宋体"/>
                <w:sz w:val="24"/>
                <w:szCs w:val="21"/>
              </w:rPr>
              <w:t xml:space="preserve">    12、★所投产品标配RS232通信，能够实现通信互联；还可以选配USB通信、SNMP卡、干接点等多类型接口，以实现ups主机监控需求。投标方需提供原厂盖章所投产品的彩页或样本证明。</w:t>
            </w:r>
          </w:p>
          <w:p w14:paraId="284B037E">
            <w:pPr>
              <w:rPr>
                <w:rFonts w:hint="eastAsia" w:ascii="宋体" w:hAnsi="宋体"/>
                <w:sz w:val="24"/>
                <w:szCs w:val="21"/>
              </w:rPr>
            </w:pPr>
            <w:r>
              <w:rPr>
                <w:rFonts w:hint="eastAsia" w:ascii="宋体" w:hAnsi="宋体"/>
                <w:sz w:val="24"/>
                <w:szCs w:val="21"/>
              </w:rPr>
              <w:t xml:space="preserve">    13、 ★主机具有EPO接口，可在紧急情况实现远程控制，切断ups交流输出，确保安全；投标方需提供原厂盖章所投产品的彩页或样本证明。</w:t>
            </w:r>
          </w:p>
          <w:p w14:paraId="26483C8C">
            <w:pPr>
              <w:rPr>
                <w:rFonts w:hint="eastAsia" w:ascii="宋体" w:hAnsi="宋体"/>
                <w:sz w:val="24"/>
                <w:szCs w:val="21"/>
              </w:rPr>
            </w:pPr>
            <w:r>
              <w:rPr>
                <w:rFonts w:hint="eastAsia" w:ascii="宋体" w:hAnsi="宋体"/>
                <w:sz w:val="24"/>
                <w:szCs w:val="21"/>
              </w:rPr>
              <w:t xml:space="preserve">    14、报警功能：具备电池低压、市电异常、UPS故障、输出过载、输出短路报警功能。</w:t>
            </w:r>
          </w:p>
          <w:p w14:paraId="1087C2D4">
            <w:pPr>
              <w:rPr>
                <w:rFonts w:hint="eastAsia" w:ascii="宋体" w:hAnsi="宋体"/>
                <w:sz w:val="24"/>
                <w:szCs w:val="21"/>
              </w:rPr>
            </w:pPr>
            <w:r>
              <w:rPr>
                <w:rFonts w:hint="eastAsia" w:ascii="宋体" w:hAnsi="宋体"/>
                <w:sz w:val="24"/>
                <w:szCs w:val="21"/>
              </w:rPr>
              <w:t xml:space="preserve">    15、★ 主机输出电压有四个档位，分别为208V、220V、230V、240V输出可调，适应不同负载应用；投标方需提供原厂盖章所投产品的彩页或样本证明。</w:t>
            </w:r>
          </w:p>
          <w:p w14:paraId="6C232D14">
            <w:pPr>
              <w:rPr>
                <w:rFonts w:hint="eastAsia" w:ascii="宋体" w:hAnsi="宋体"/>
                <w:sz w:val="24"/>
                <w:szCs w:val="21"/>
              </w:rPr>
            </w:pPr>
            <w:r>
              <w:rPr>
                <w:rFonts w:hint="eastAsia" w:ascii="宋体" w:hAnsi="宋体"/>
                <w:sz w:val="24"/>
                <w:szCs w:val="21"/>
              </w:rPr>
              <w:t xml:space="preserve">    16、★ 6-10kVA产品电池节数调节范围不小于16~20节，且单节可调，防止单节电池出现故障，能快速去除该电池并最大程度保证系统后备时间。投标方需提供原厂盖章所投产品的彩页或样本证明。</w:t>
            </w:r>
          </w:p>
          <w:p w14:paraId="78912CF9">
            <w:pPr>
              <w:rPr>
                <w:rFonts w:hint="eastAsia" w:ascii="宋体" w:hAnsi="宋体"/>
                <w:sz w:val="24"/>
                <w:szCs w:val="21"/>
              </w:rPr>
            </w:pPr>
            <w:r>
              <w:rPr>
                <w:rFonts w:hint="eastAsia" w:ascii="宋体" w:hAnsi="宋体"/>
                <w:sz w:val="24"/>
                <w:szCs w:val="21"/>
              </w:rPr>
              <w:t xml:space="preserve">  ★ 17、要求制造商提供项目专项授权书和原厂三年质保证明。</w:t>
            </w:r>
          </w:p>
          <w:p w14:paraId="14089DD9">
            <w:pPr>
              <w:rPr>
                <w:rFonts w:hint="eastAsia" w:ascii="宋体" w:hAnsi="宋体"/>
                <w:sz w:val="24"/>
                <w:szCs w:val="21"/>
              </w:rPr>
            </w:pPr>
            <w:r>
              <w:rPr>
                <w:rFonts w:hint="eastAsia" w:ascii="宋体" w:hAnsi="宋体"/>
                <w:sz w:val="24"/>
                <w:szCs w:val="21"/>
              </w:rPr>
              <w:t xml:space="preserve">  ★ 18、要求制造商必须具有ISO质量管理体系认证证书、环境管理体系认证证书、职业健康管理体系认证证书，提供证书复印件且在有效期内。</w:t>
            </w:r>
          </w:p>
          <w:p w14:paraId="70EE3F13">
            <w:pPr>
              <w:rPr>
                <w:rFonts w:hint="eastAsia" w:ascii="宋体" w:hAnsi="宋体"/>
                <w:sz w:val="24"/>
                <w:szCs w:val="21"/>
              </w:rPr>
            </w:pPr>
            <w:r>
              <w:rPr>
                <w:rFonts w:hint="eastAsia" w:ascii="宋体" w:hAnsi="宋体"/>
                <w:sz w:val="24"/>
                <w:szCs w:val="21"/>
              </w:rPr>
              <w:t xml:space="preserve">  ★19、要求制造商具有绿色之星证书和两化融合证书。</w:t>
            </w:r>
            <w:r>
              <w:rPr>
                <w:rFonts w:ascii="宋体" w:hAnsi="宋体"/>
                <w:sz w:val="24"/>
                <w:szCs w:val="21"/>
              </w:rPr>
              <w:br w:type="textWrapping"/>
            </w:r>
          </w:p>
          <w:p w14:paraId="68C679D0">
            <w:pPr>
              <w:ind w:left="220" w:leftChars="100"/>
              <w:rPr>
                <w:rFonts w:hint="eastAsia" w:ascii="宋体" w:hAnsi="宋体"/>
                <w:sz w:val="24"/>
                <w:szCs w:val="21"/>
              </w:rPr>
            </w:pPr>
            <w:r>
              <w:rPr>
                <w:rFonts w:hint="eastAsia" w:ascii="宋体" w:hAnsi="宋体"/>
                <w:sz w:val="24"/>
                <w:szCs w:val="21"/>
              </w:rPr>
              <w:t>蓄电池要求：</w:t>
            </w:r>
            <w:r>
              <w:rPr>
                <w:rFonts w:ascii="宋体" w:hAnsi="宋体"/>
                <w:sz w:val="24"/>
                <w:szCs w:val="21"/>
              </w:rPr>
              <w:br w:type="textWrapping"/>
            </w:r>
            <w:r>
              <w:rPr>
                <w:rFonts w:hint="eastAsia" w:ascii="宋体" w:hAnsi="宋体"/>
                <w:sz w:val="24"/>
                <w:szCs w:val="21"/>
              </w:rPr>
              <w:t>由于现场空间狭小，要求提供的电池柜占地面积小且散热良好，满足现场空间和散热需求。</w:t>
            </w:r>
          </w:p>
          <w:p w14:paraId="7B7C2F50">
            <w:pPr>
              <w:rPr>
                <w:rFonts w:hint="eastAsia" w:ascii="宋体" w:hAnsi="宋体"/>
                <w:sz w:val="24"/>
                <w:szCs w:val="21"/>
              </w:rPr>
            </w:pPr>
            <w:r>
              <w:rPr>
                <w:rFonts w:hint="eastAsia" w:ascii="宋体" w:hAnsi="宋体"/>
                <w:sz w:val="24"/>
                <w:szCs w:val="21"/>
              </w:rPr>
              <w:t>★20、蓄电池生产企业所提供产品必须为该企业所生产的原厂产品，不接受OEM代加工生产的产品，并在投标文件中提供加盖公章的承诺函，及原产地证明文件。</w:t>
            </w:r>
            <w:r>
              <w:rPr>
                <w:rFonts w:ascii="宋体" w:hAnsi="宋体"/>
                <w:sz w:val="24"/>
                <w:szCs w:val="21"/>
              </w:rPr>
              <w:br w:type="textWrapping"/>
            </w:r>
            <w:r>
              <w:rPr>
                <w:rFonts w:ascii="宋体" w:hAnsi="宋体"/>
                <w:sz w:val="24"/>
                <w:szCs w:val="21"/>
              </w:rPr>
              <w:t>★</w:t>
            </w:r>
            <w:r>
              <w:rPr>
                <w:rFonts w:hint="eastAsia" w:ascii="宋体" w:hAnsi="宋体"/>
                <w:sz w:val="24"/>
                <w:szCs w:val="21"/>
              </w:rPr>
              <w:t>21、</w:t>
            </w:r>
            <w:r>
              <w:rPr>
                <w:rFonts w:ascii="宋体" w:hAnsi="宋体"/>
                <w:sz w:val="24"/>
                <w:szCs w:val="21"/>
              </w:rPr>
              <w:t>热失控敏感性：经完全充电后，在 25℃±5℃环境中， 以（2.45V±0.1V）/单体的恒定电压（不限流）连续充电 168h。蓄电池温度≤32℃；每24小时的电流增长率≤2%。</w:t>
            </w:r>
            <w:r>
              <w:rPr>
                <w:rFonts w:hint="eastAsia" w:ascii="宋体" w:hAnsi="宋体"/>
                <w:sz w:val="24"/>
                <w:szCs w:val="21"/>
              </w:rPr>
              <w:t>要求提供泰尔认证报告证明</w:t>
            </w:r>
          </w:p>
        </w:tc>
        <w:tc>
          <w:tcPr>
            <w:tcW w:w="413" w:type="pct"/>
            <w:tcBorders>
              <w:top w:val="single" w:color="auto" w:sz="4" w:space="0"/>
              <w:left w:val="single" w:color="auto" w:sz="4" w:space="0"/>
              <w:bottom w:val="single" w:color="auto" w:sz="4" w:space="0"/>
              <w:right w:val="single" w:color="auto" w:sz="4" w:space="0"/>
            </w:tcBorders>
            <w:noWrap w:val="0"/>
            <w:vAlign w:val="center"/>
          </w:tcPr>
          <w:p w14:paraId="34F2E132">
            <w:pPr>
              <w:jc w:val="center"/>
              <w:rPr>
                <w:rFonts w:hint="eastAsia" w:ascii="宋体" w:hAnsi="宋体"/>
                <w:sz w:val="24"/>
                <w:szCs w:val="21"/>
              </w:rPr>
            </w:pPr>
            <w:r>
              <w:rPr>
                <w:rFonts w:hint="eastAsia" w:ascii="宋体" w:hAnsi="宋体"/>
                <w:sz w:val="24"/>
                <w:szCs w:val="21"/>
              </w:rPr>
              <w:t>是</w:t>
            </w:r>
          </w:p>
        </w:tc>
      </w:tr>
      <w:tr w14:paraId="3618F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6" w:hRule="atLeast"/>
          <w:jc w:val="center"/>
        </w:trPr>
        <w:tc>
          <w:tcPr>
            <w:tcW w:w="224" w:type="pct"/>
            <w:tcBorders>
              <w:top w:val="single" w:color="auto" w:sz="4" w:space="0"/>
              <w:left w:val="single" w:color="auto" w:sz="4" w:space="0"/>
              <w:bottom w:val="single" w:color="auto" w:sz="4" w:space="0"/>
              <w:right w:val="single" w:color="auto" w:sz="4" w:space="0"/>
            </w:tcBorders>
            <w:noWrap w:val="0"/>
            <w:vAlign w:val="center"/>
          </w:tcPr>
          <w:p w14:paraId="3B6D4A6A">
            <w:pPr>
              <w:widowControl/>
              <w:jc w:val="center"/>
              <w:rPr>
                <w:rFonts w:ascii="宋体" w:hAnsi="宋体" w:cs="宋体"/>
                <w:color w:val="000000"/>
                <w:kern w:val="0"/>
                <w:sz w:val="24"/>
                <w:szCs w:val="21"/>
              </w:rPr>
            </w:pPr>
            <w:r>
              <w:rPr>
                <w:rFonts w:ascii="宋体" w:hAnsi="宋体" w:cs="宋体"/>
                <w:color w:val="000000"/>
                <w:kern w:val="0"/>
                <w:sz w:val="24"/>
                <w:szCs w:val="21"/>
              </w:rPr>
              <w:t>4</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01394F4F">
            <w:pPr>
              <w:adjustRightInd w:val="0"/>
              <w:snapToGrid w:val="0"/>
              <w:jc w:val="center"/>
              <w:rPr>
                <w:rFonts w:ascii="宋体" w:hAnsi="宋体"/>
                <w:i/>
                <w:color w:val="000000"/>
                <w:sz w:val="24"/>
                <w:szCs w:val="20"/>
                <w:u w:val="single"/>
              </w:rPr>
            </w:pPr>
            <w:r>
              <w:rPr>
                <w:rFonts w:ascii="宋体" w:hAnsi="宋体"/>
                <w:iCs/>
                <w:color w:val="000000"/>
                <w:sz w:val="24"/>
                <w:szCs w:val="20"/>
              </w:rPr>
              <w:t>▲</w:t>
            </w:r>
            <w:r>
              <w:rPr>
                <w:rFonts w:hint="eastAsia" w:ascii="宋体" w:hAnsi="宋体"/>
                <w:iCs/>
                <w:color w:val="000000"/>
                <w:sz w:val="24"/>
                <w:szCs w:val="20"/>
              </w:rPr>
              <w:t>不间断电源</w:t>
            </w:r>
          </w:p>
        </w:tc>
        <w:tc>
          <w:tcPr>
            <w:tcW w:w="317" w:type="pct"/>
            <w:tcBorders>
              <w:top w:val="single" w:color="auto" w:sz="4" w:space="0"/>
              <w:left w:val="single" w:color="auto" w:sz="4" w:space="0"/>
              <w:bottom w:val="single" w:color="auto" w:sz="4" w:space="0"/>
              <w:right w:val="single" w:color="auto" w:sz="4" w:space="0"/>
            </w:tcBorders>
            <w:noWrap w:val="0"/>
            <w:vAlign w:val="center"/>
          </w:tcPr>
          <w:p w14:paraId="7F2255A5">
            <w:pPr>
              <w:adjustRightInd w:val="0"/>
              <w:snapToGrid w:val="0"/>
              <w:jc w:val="center"/>
              <w:rPr>
                <w:rFonts w:hint="eastAsia" w:ascii="宋体" w:hAnsi="宋体"/>
                <w:color w:val="000000"/>
                <w:sz w:val="24"/>
                <w:szCs w:val="20"/>
              </w:rPr>
            </w:pPr>
            <w:r>
              <w:rPr>
                <w:rFonts w:hint="eastAsia" w:ascii="宋体" w:hAnsi="宋体"/>
                <w:color w:val="000000"/>
                <w:sz w:val="24"/>
                <w:szCs w:val="20"/>
              </w:rPr>
              <w:t>套</w:t>
            </w:r>
          </w:p>
        </w:tc>
        <w:tc>
          <w:tcPr>
            <w:tcW w:w="254" w:type="pct"/>
            <w:tcBorders>
              <w:top w:val="single" w:color="auto" w:sz="4" w:space="0"/>
              <w:left w:val="single" w:color="auto" w:sz="4" w:space="0"/>
              <w:bottom w:val="single" w:color="auto" w:sz="4" w:space="0"/>
              <w:right w:val="single" w:color="auto" w:sz="4" w:space="0"/>
            </w:tcBorders>
            <w:noWrap w:val="0"/>
            <w:vAlign w:val="center"/>
          </w:tcPr>
          <w:p w14:paraId="135BF21A">
            <w:pPr>
              <w:adjustRightInd w:val="0"/>
              <w:snapToGrid w:val="0"/>
              <w:jc w:val="center"/>
              <w:rPr>
                <w:rFonts w:ascii="宋体" w:hAnsi="宋体"/>
                <w:color w:val="000000"/>
                <w:sz w:val="24"/>
                <w:szCs w:val="20"/>
              </w:rPr>
            </w:pPr>
            <w:r>
              <w:rPr>
                <w:rFonts w:hint="eastAsia" w:ascii="宋体" w:hAnsi="宋体"/>
                <w:color w:val="000000"/>
                <w:sz w:val="24"/>
                <w:szCs w:val="20"/>
              </w:rPr>
              <w:t>4</w:t>
            </w:r>
          </w:p>
        </w:tc>
        <w:tc>
          <w:tcPr>
            <w:tcW w:w="3372" w:type="pct"/>
            <w:tcBorders>
              <w:top w:val="single" w:color="auto" w:sz="4" w:space="0"/>
              <w:left w:val="single" w:color="auto" w:sz="4" w:space="0"/>
              <w:bottom w:val="single" w:color="auto" w:sz="4" w:space="0"/>
              <w:right w:val="single" w:color="auto" w:sz="4" w:space="0"/>
            </w:tcBorders>
            <w:noWrap w:val="0"/>
            <w:vAlign w:val="center"/>
          </w:tcPr>
          <w:p w14:paraId="6C734314">
            <w:pPr>
              <w:rPr>
                <w:rFonts w:hint="eastAsia" w:ascii="宋体" w:hAnsi="宋体"/>
                <w:sz w:val="24"/>
                <w:szCs w:val="21"/>
              </w:rPr>
            </w:pPr>
            <w:r>
              <w:rPr>
                <w:rFonts w:hint="eastAsia" w:ascii="宋体" w:hAnsi="宋体"/>
                <w:sz w:val="24"/>
                <w:szCs w:val="21"/>
              </w:rPr>
              <w:t>单进单出，双变换纯在线式，功率3kVA，</w:t>
            </w:r>
          </w:p>
          <w:p w14:paraId="0A222C8B">
            <w:pPr>
              <w:rPr>
                <w:rFonts w:hint="eastAsia" w:ascii="宋体" w:hAnsi="宋体"/>
                <w:sz w:val="24"/>
                <w:szCs w:val="21"/>
              </w:rPr>
            </w:pPr>
            <w:r>
              <w:rPr>
                <w:rFonts w:hint="eastAsia" w:ascii="宋体" w:hAnsi="宋体"/>
                <w:sz w:val="24"/>
                <w:szCs w:val="21"/>
              </w:rPr>
              <w:t>1、 UPS产品应采用数字化控制技术、三电平技术和高频电源变换技术，具有体积小、性能高、可靠性高等特点，使得节能效益显著，大幅减少运营成本。投标方需提供原厂盖章所投产品的彩页 资料。</w:t>
            </w:r>
          </w:p>
          <w:p w14:paraId="28874D19">
            <w:pPr>
              <w:rPr>
                <w:rFonts w:hint="eastAsia" w:ascii="宋体" w:hAnsi="宋体"/>
                <w:sz w:val="24"/>
                <w:szCs w:val="21"/>
              </w:rPr>
            </w:pPr>
            <w:r>
              <w:rPr>
                <w:rFonts w:hint="eastAsia" w:ascii="宋体" w:hAnsi="宋体"/>
                <w:sz w:val="24"/>
                <w:szCs w:val="21"/>
              </w:rPr>
              <w:t>要求所选产品为制造商主流销售产品，可在制造商官网查询，如官网资料与投标所提供资料技术指标不符合，则判断为不符合技术要求。</w:t>
            </w:r>
          </w:p>
          <w:p w14:paraId="74F6B8F0">
            <w:pPr>
              <w:rPr>
                <w:rFonts w:hint="eastAsia" w:ascii="宋体" w:hAnsi="宋体"/>
                <w:sz w:val="24"/>
                <w:szCs w:val="21"/>
              </w:rPr>
            </w:pPr>
            <w:r>
              <w:rPr>
                <w:rFonts w:hint="eastAsia" w:ascii="宋体" w:hAnsi="宋体"/>
                <w:sz w:val="24"/>
                <w:szCs w:val="21"/>
              </w:rPr>
              <w:t>2、 ★输入电压范围 ：3KVA：120～275Vac，投标方需提供原厂盖章所投产品的彩页或样本证明。</w:t>
            </w:r>
          </w:p>
          <w:p w14:paraId="5B154DFC">
            <w:pPr>
              <w:rPr>
                <w:rFonts w:hint="eastAsia" w:ascii="宋体" w:hAnsi="宋体"/>
                <w:sz w:val="24"/>
                <w:szCs w:val="21"/>
              </w:rPr>
            </w:pPr>
            <w:r>
              <w:rPr>
                <w:rFonts w:hint="eastAsia" w:ascii="宋体" w:hAnsi="宋体"/>
                <w:sz w:val="24"/>
                <w:szCs w:val="21"/>
              </w:rPr>
              <w:t>3 、输入功率因数：100%非线性负载：≥0.99</w:t>
            </w:r>
          </w:p>
          <w:p w14:paraId="49BBD2C2">
            <w:pPr>
              <w:rPr>
                <w:rFonts w:hint="eastAsia" w:ascii="宋体" w:hAnsi="宋体"/>
                <w:sz w:val="24"/>
                <w:szCs w:val="21"/>
              </w:rPr>
            </w:pPr>
            <w:r>
              <w:rPr>
                <w:rFonts w:hint="eastAsia" w:ascii="宋体" w:hAnsi="宋体"/>
                <w:sz w:val="24"/>
                <w:szCs w:val="21"/>
              </w:rPr>
              <w:t>输入电流谐波：100%非线性负载：＜5%，投标方需提供泰尔检测报告证明。</w:t>
            </w:r>
          </w:p>
          <w:p w14:paraId="054495DC">
            <w:pPr>
              <w:rPr>
                <w:rFonts w:hint="eastAsia" w:ascii="宋体" w:hAnsi="宋体"/>
                <w:sz w:val="24"/>
                <w:szCs w:val="21"/>
              </w:rPr>
            </w:pPr>
            <w:r>
              <w:rPr>
                <w:rFonts w:hint="eastAsia" w:ascii="宋体" w:hAnsi="宋体"/>
                <w:sz w:val="24"/>
                <w:szCs w:val="21"/>
              </w:rPr>
              <w:t xml:space="preserve"> 4、 整机输入频率要求适应50Hz/60Hz的电源频率输入，无需增加任何技术升级收费及选配件，即可满足现场应用要求。投标方需提供原厂盖章所投产品的彩页或样本证明。</w:t>
            </w:r>
          </w:p>
          <w:p w14:paraId="751813BE">
            <w:pPr>
              <w:rPr>
                <w:rFonts w:hint="eastAsia" w:ascii="宋体" w:hAnsi="宋体"/>
                <w:sz w:val="24"/>
                <w:szCs w:val="21"/>
              </w:rPr>
            </w:pPr>
            <w:r>
              <w:rPr>
                <w:rFonts w:hint="eastAsia" w:ascii="宋体" w:hAnsi="宋体"/>
                <w:sz w:val="24"/>
                <w:szCs w:val="21"/>
              </w:rPr>
              <w:t xml:space="preserve"> 5、 输出电压精度：220±1%。</w:t>
            </w:r>
          </w:p>
          <w:p w14:paraId="56CB653C">
            <w:pPr>
              <w:rPr>
                <w:rFonts w:hint="eastAsia" w:ascii="宋体" w:hAnsi="宋体"/>
                <w:sz w:val="24"/>
                <w:szCs w:val="21"/>
              </w:rPr>
            </w:pPr>
            <w:r>
              <w:rPr>
                <w:rFonts w:hint="eastAsia" w:ascii="宋体" w:hAnsi="宋体"/>
                <w:sz w:val="24"/>
                <w:szCs w:val="21"/>
              </w:rPr>
              <w:t>6 、 ★输出有功功率应 ≥额定容量×0.9 kW/kVA即输出PF ≥0.9，输出端可带更多负载；要求提供泰尔检验报告证明。</w:t>
            </w:r>
          </w:p>
          <w:p w14:paraId="6A2CFB29">
            <w:pPr>
              <w:rPr>
                <w:rFonts w:hint="eastAsia" w:ascii="宋体" w:hAnsi="宋体"/>
                <w:sz w:val="24"/>
                <w:szCs w:val="21"/>
              </w:rPr>
            </w:pPr>
            <w:r>
              <w:rPr>
                <w:rFonts w:hint="eastAsia" w:ascii="宋体" w:hAnsi="宋体"/>
                <w:sz w:val="24"/>
                <w:szCs w:val="21"/>
              </w:rPr>
              <w:t>7、★过载能力 ：125%维持≥1分钟，投标方需要提供泰尔检测报告证明。</w:t>
            </w:r>
          </w:p>
          <w:p w14:paraId="75DF5349">
            <w:pPr>
              <w:rPr>
                <w:rFonts w:hint="eastAsia" w:ascii="宋体" w:hAnsi="宋体"/>
                <w:sz w:val="24"/>
                <w:szCs w:val="21"/>
              </w:rPr>
            </w:pPr>
            <w:r>
              <w:rPr>
                <w:rFonts w:hint="eastAsia" w:ascii="宋体" w:hAnsi="宋体"/>
                <w:sz w:val="24"/>
                <w:szCs w:val="21"/>
              </w:rPr>
              <w:t>8、★整机UPS效率 ：100%阻性负载：≥90%，要求提供泰尔检验报告证明。</w:t>
            </w:r>
          </w:p>
          <w:p w14:paraId="36C97EC3">
            <w:pPr>
              <w:rPr>
                <w:rFonts w:hint="eastAsia" w:ascii="宋体" w:hAnsi="宋体"/>
                <w:sz w:val="24"/>
                <w:szCs w:val="21"/>
              </w:rPr>
            </w:pPr>
            <w:r>
              <w:rPr>
                <w:rFonts w:hint="eastAsia" w:ascii="宋体" w:hAnsi="宋体"/>
                <w:sz w:val="24"/>
                <w:szCs w:val="21"/>
              </w:rPr>
              <w:t>9、为了现场安装方便，1-3kVA产品应配套原厂输入电源线，应标配原厂电池扩展线材，方便现场快速安装</w:t>
            </w:r>
          </w:p>
          <w:p w14:paraId="0DC45798">
            <w:pPr>
              <w:rPr>
                <w:rFonts w:hint="eastAsia" w:ascii="宋体" w:hAnsi="宋体"/>
                <w:sz w:val="24"/>
                <w:szCs w:val="21"/>
              </w:rPr>
            </w:pPr>
            <w:r>
              <w:rPr>
                <w:rFonts w:hint="eastAsia" w:ascii="宋体" w:hAnsi="宋体"/>
                <w:sz w:val="24"/>
                <w:szCs w:val="21"/>
              </w:rPr>
              <w:t xml:space="preserve"> 10、人机操作界面：3kVA产品应具有LED工作状态指示，流程化显示UPS主机的工作模式；</w:t>
            </w:r>
          </w:p>
          <w:p w14:paraId="32CB1A8E">
            <w:pPr>
              <w:rPr>
                <w:rFonts w:hint="eastAsia" w:ascii="宋体" w:hAnsi="宋体"/>
                <w:sz w:val="24"/>
                <w:szCs w:val="21"/>
              </w:rPr>
            </w:pPr>
            <w:r>
              <w:rPr>
                <w:rFonts w:hint="eastAsia" w:ascii="宋体" w:hAnsi="宋体"/>
                <w:sz w:val="24"/>
                <w:szCs w:val="21"/>
              </w:rPr>
              <w:t>11、UPS输入保护：1-3kVA产品应配备具有快速可恢复的过流保护装置；</w:t>
            </w:r>
          </w:p>
          <w:p w14:paraId="728D9A04">
            <w:pPr>
              <w:rPr>
                <w:rFonts w:hint="eastAsia" w:ascii="宋体" w:hAnsi="宋体"/>
                <w:sz w:val="24"/>
                <w:szCs w:val="21"/>
              </w:rPr>
            </w:pPr>
            <w:r>
              <w:rPr>
                <w:rFonts w:hint="eastAsia" w:ascii="宋体" w:hAnsi="宋体"/>
                <w:sz w:val="24"/>
                <w:szCs w:val="21"/>
              </w:rPr>
              <w:t>投标方需提供原厂盖章所投产品的图片证明。</w:t>
            </w:r>
          </w:p>
          <w:p w14:paraId="447A859D">
            <w:pPr>
              <w:rPr>
                <w:rFonts w:hint="eastAsia" w:ascii="宋体" w:hAnsi="宋体"/>
                <w:sz w:val="24"/>
                <w:szCs w:val="21"/>
              </w:rPr>
            </w:pPr>
            <w:r>
              <w:rPr>
                <w:rFonts w:hint="eastAsia" w:ascii="宋体" w:hAnsi="宋体"/>
                <w:sz w:val="24"/>
                <w:szCs w:val="21"/>
              </w:rPr>
              <w:t xml:space="preserve">    12、★所投产品标配RS232通信，能够实现通信互联；还可以选配USB通信、SNMP卡、干接点等多类型接口，以实现ups主机监控需求。投标方需提供原厂盖章所投产品的彩页或样本证明。</w:t>
            </w:r>
          </w:p>
          <w:p w14:paraId="2EBE0CB6">
            <w:pPr>
              <w:rPr>
                <w:rFonts w:hint="eastAsia" w:ascii="宋体" w:hAnsi="宋体"/>
                <w:sz w:val="24"/>
                <w:szCs w:val="21"/>
              </w:rPr>
            </w:pPr>
            <w:r>
              <w:rPr>
                <w:rFonts w:hint="eastAsia" w:ascii="宋体" w:hAnsi="宋体"/>
                <w:sz w:val="24"/>
                <w:szCs w:val="21"/>
              </w:rPr>
              <w:t xml:space="preserve">    13、 ★主机具有EPO接口，可在紧急情况实现远程控制，切断ups交流输出，确保安全；投标方需提供原厂盖章所投产品的彩页或样本证明。</w:t>
            </w:r>
          </w:p>
          <w:p w14:paraId="41EDA1D7">
            <w:pPr>
              <w:rPr>
                <w:rFonts w:hint="eastAsia" w:ascii="宋体" w:hAnsi="宋体"/>
                <w:sz w:val="24"/>
                <w:szCs w:val="21"/>
              </w:rPr>
            </w:pPr>
            <w:r>
              <w:rPr>
                <w:rFonts w:hint="eastAsia" w:ascii="宋体" w:hAnsi="宋体"/>
                <w:sz w:val="24"/>
                <w:szCs w:val="21"/>
              </w:rPr>
              <w:t xml:space="preserve">    14、报警功能：具备电池低压、市电异常、UPS故障、输出过载、输出短路报警功能。</w:t>
            </w:r>
          </w:p>
          <w:p w14:paraId="69B4DC44">
            <w:pPr>
              <w:rPr>
                <w:rFonts w:hint="eastAsia" w:ascii="宋体" w:hAnsi="宋体"/>
                <w:sz w:val="24"/>
                <w:szCs w:val="21"/>
              </w:rPr>
            </w:pPr>
            <w:r>
              <w:rPr>
                <w:rFonts w:hint="eastAsia" w:ascii="宋体" w:hAnsi="宋体"/>
                <w:sz w:val="24"/>
                <w:szCs w:val="21"/>
              </w:rPr>
              <w:t xml:space="preserve">    15、★ 主机输出电压有四个档位，分别为208V、220V、230V、240V输出可调，适应不同负载应用；投标方需提供原厂盖章所投产品的彩页或样本证明。</w:t>
            </w:r>
          </w:p>
          <w:p w14:paraId="07FAB266">
            <w:pPr>
              <w:rPr>
                <w:rFonts w:hint="eastAsia" w:ascii="宋体" w:hAnsi="宋体"/>
                <w:sz w:val="24"/>
                <w:szCs w:val="21"/>
              </w:rPr>
            </w:pPr>
            <w:r>
              <w:rPr>
                <w:rFonts w:hint="eastAsia" w:ascii="宋体" w:hAnsi="宋体"/>
                <w:sz w:val="24"/>
                <w:szCs w:val="21"/>
              </w:rPr>
              <w:t xml:space="preserve">  ★ 16、要求制造商提供项目专项授权书和原厂三年质保证明。</w:t>
            </w:r>
          </w:p>
          <w:p w14:paraId="45985AF5">
            <w:pPr>
              <w:rPr>
                <w:rFonts w:hint="eastAsia" w:ascii="宋体" w:hAnsi="宋体"/>
                <w:sz w:val="24"/>
                <w:szCs w:val="21"/>
              </w:rPr>
            </w:pPr>
            <w:r>
              <w:rPr>
                <w:rFonts w:hint="eastAsia" w:ascii="宋体" w:hAnsi="宋体"/>
                <w:sz w:val="24"/>
                <w:szCs w:val="21"/>
              </w:rPr>
              <w:t xml:space="preserve">  ★ 17、要求制造商必须具有ISO质量管理体系认证证书、环境管理体系认证证书、职业健康管理体系认证证书，提供证书复印件且在有效期内。蓄电池要求：</w:t>
            </w:r>
          </w:p>
          <w:p w14:paraId="1133B00F">
            <w:pPr>
              <w:rPr>
                <w:rFonts w:hint="eastAsia" w:ascii="宋体" w:hAnsi="宋体"/>
                <w:sz w:val="24"/>
                <w:szCs w:val="21"/>
              </w:rPr>
            </w:pPr>
            <w:r>
              <w:rPr>
                <w:rFonts w:hint="eastAsia" w:ascii="宋体" w:hAnsi="宋体"/>
                <w:sz w:val="24"/>
                <w:szCs w:val="21"/>
              </w:rPr>
              <w:t>由于现场空间狭小，要求提供的电池柜占地面积小且散热良好，满足现场空间和散热需求。</w:t>
            </w:r>
          </w:p>
          <w:p w14:paraId="4748D93C">
            <w:pPr>
              <w:rPr>
                <w:rFonts w:hint="eastAsia" w:ascii="宋体" w:hAnsi="宋体"/>
                <w:sz w:val="24"/>
                <w:szCs w:val="21"/>
              </w:rPr>
            </w:pPr>
            <w:r>
              <w:rPr>
                <w:rFonts w:hint="eastAsia" w:ascii="宋体" w:hAnsi="宋体"/>
                <w:sz w:val="24"/>
                <w:szCs w:val="21"/>
              </w:rPr>
              <w:t>★18、蓄电池生产企业所提供产品必须为该企业所生产的原厂产品，不接受OEM代加工生产的产品，并在投标文件中提供加盖公章的承诺函，及原产地证明文件。</w:t>
            </w:r>
          </w:p>
          <w:p w14:paraId="1FD9BFC9">
            <w:pPr>
              <w:rPr>
                <w:rFonts w:hint="eastAsia" w:ascii="宋体" w:hAnsi="宋体"/>
                <w:sz w:val="24"/>
                <w:szCs w:val="21"/>
              </w:rPr>
            </w:pPr>
            <w:r>
              <w:rPr>
                <w:rFonts w:hint="eastAsia" w:ascii="宋体" w:hAnsi="宋体"/>
                <w:sz w:val="24"/>
                <w:szCs w:val="21"/>
              </w:rPr>
              <w:t>★19、热失控敏感性：经完全充电后，在 25℃±5℃环境中， 以（2.45V±0.1V）/单体的恒定电压（不限流）连续充电 168h。蓄电池温度≤32℃；每24小时的电流增长率≤2%。要求提供泰尔认证报告证明</w:t>
            </w:r>
            <w:r>
              <w:rPr>
                <w:rFonts w:ascii="宋体" w:hAnsi="宋体"/>
                <w:sz w:val="24"/>
                <w:szCs w:val="21"/>
              </w:rPr>
              <w:br w:type="textWrapping"/>
            </w:r>
          </w:p>
        </w:tc>
        <w:tc>
          <w:tcPr>
            <w:tcW w:w="413" w:type="pct"/>
            <w:tcBorders>
              <w:top w:val="single" w:color="auto" w:sz="4" w:space="0"/>
              <w:left w:val="single" w:color="auto" w:sz="4" w:space="0"/>
              <w:bottom w:val="single" w:color="auto" w:sz="4" w:space="0"/>
              <w:right w:val="single" w:color="auto" w:sz="4" w:space="0"/>
            </w:tcBorders>
            <w:noWrap w:val="0"/>
            <w:vAlign w:val="center"/>
          </w:tcPr>
          <w:p w14:paraId="13257049">
            <w:pPr>
              <w:jc w:val="center"/>
              <w:rPr>
                <w:rFonts w:hint="eastAsia" w:ascii="宋体" w:hAnsi="宋体"/>
                <w:sz w:val="24"/>
                <w:szCs w:val="21"/>
              </w:rPr>
            </w:pPr>
            <w:r>
              <w:rPr>
                <w:rFonts w:hint="eastAsia" w:ascii="宋体" w:hAnsi="宋体"/>
                <w:sz w:val="24"/>
                <w:szCs w:val="21"/>
              </w:rPr>
              <w:t>是</w:t>
            </w:r>
          </w:p>
        </w:tc>
      </w:tr>
      <w:tr w14:paraId="49BF7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jc w:val="center"/>
        </w:trPr>
        <w:tc>
          <w:tcPr>
            <w:tcW w:w="224" w:type="pct"/>
            <w:tcBorders>
              <w:top w:val="single" w:color="auto" w:sz="4" w:space="0"/>
              <w:left w:val="single" w:color="auto" w:sz="4" w:space="0"/>
              <w:bottom w:val="single" w:color="auto" w:sz="4" w:space="0"/>
              <w:right w:val="single" w:color="auto" w:sz="4" w:space="0"/>
            </w:tcBorders>
            <w:noWrap w:val="0"/>
            <w:vAlign w:val="center"/>
          </w:tcPr>
          <w:p w14:paraId="3BCAEB8C">
            <w:pPr>
              <w:widowControl/>
              <w:jc w:val="center"/>
              <w:rPr>
                <w:rFonts w:ascii="宋体" w:hAnsi="宋体" w:cs="宋体"/>
                <w:color w:val="000000"/>
                <w:kern w:val="0"/>
                <w:sz w:val="24"/>
                <w:szCs w:val="21"/>
              </w:rPr>
            </w:pPr>
            <w:r>
              <w:rPr>
                <w:rFonts w:ascii="宋体" w:hAnsi="宋体" w:cs="宋体"/>
                <w:color w:val="000000"/>
                <w:kern w:val="0"/>
                <w:sz w:val="24"/>
                <w:szCs w:val="21"/>
              </w:rPr>
              <w:t>5</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51303697">
            <w:pPr>
              <w:adjustRightInd w:val="0"/>
              <w:snapToGrid w:val="0"/>
              <w:jc w:val="center"/>
              <w:rPr>
                <w:rFonts w:hint="eastAsia" w:ascii="宋体" w:hAnsi="宋体"/>
                <w:iCs/>
                <w:color w:val="000000"/>
                <w:sz w:val="24"/>
                <w:szCs w:val="20"/>
              </w:rPr>
            </w:pPr>
            <w:r>
              <w:rPr>
                <w:rFonts w:hint="eastAsia" w:ascii="宋体" w:hAnsi="宋体"/>
                <w:iCs/>
                <w:color w:val="000000"/>
                <w:sz w:val="24"/>
                <w:szCs w:val="20"/>
              </w:rPr>
              <w:t>动力环境监控系统</w:t>
            </w:r>
          </w:p>
        </w:tc>
        <w:tc>
          <w:tcPr>
            <w:tcW w:w="317" w:type="pct"/>
            <w:tcBorders>
              <w:top w:val="single" w:color="auto" w:sz="4" w:space="0"/>
              <w:left w:val="single" w:color="auto" w:sz="4" w:space="0"/>
              <w:bottom w:val="single" w:color="auto" w:sz="4" w:space="0"/>
              <w:right w:val="single" w:color="auto" w:sz="4" w:space="0"/>
            </w:tcBorders>
            <w:noWrap w:val="0"/>
            <w:vAlign w:val="center"/>
          </w:tcPr>
          <w:p w14:paraId="01E2FA8F">
            <w:pPr>
              <w:adjustRightInd w:val="0"/>
              <w:snapToGrid w:val="0"/>
              <w:jc w:val="center"/>
              <w:rPr>
                <w:rFonts w:hint="eastAsia" w:ascii="宋体" w:hAnsi="宋体"/>
                <w:color w:val="000000"/>
                <w:sz w:val="24"/>
                <w:szCs w:val="20"/>
              </w:rPr>
            </w:pPr>
            <w:r>
              <w:rPr>
                <w:rFonts w:hint="eastAsia" w:ascii="宋体" w:hAnsi="宋体"/>
                <w:color w:val="000000"/>
                <w:sz w:val="24"/>
                <w:szCs w:val="20"/>
              </w:rPr>
              <w:t>项</w:t>
            </w:r>
          </w:p>
        </w:tc>
        <w:tc>
          <w:tcPr>
            <w:tcW w:w="254" w:type="pct"/>
            <w:tcBorders>
              <w:top w:val="single" w:color="auto" w:sz="4" w:space="0"/>
              <w:left w:val="single" w:color="auto" w:sz="4" w:space="0"/>
              <w:bottom w:val="single" w:color="auto" w:sz="4" w:space="0"/>
              <w:right w:val="single" w:color="auto" w:sz="4" w:space="0"/>
            </w:tcBorders>
            <w:noWrap w:val="0"/>
            <w:vAlign w:val="center"/>
          </w:tcPr>
          <w:p w14:paraId="7EAA37ED">
            <w:pPr>
              <w:adjustRightInd w:val="0"/>
              <w:snapToGrid w:val="0"/>
              <w:jc w:val="center"/>
              <w:rPr>
                <w:rFonts w:ascii="宋体" w:hAnsi="宋体"/>
                <w:color w:val="000000"/>
                <w:sz w:val="24"/>
                <w:szCs w:val="20"/>
              </w:rPr>
            </w:pPr>
            <w:r>
              <w:rPr>
                <w:rFonts w:ascii="宋体" w:hAnsi="宋体"/>
                <w:color w:val="000000"/>
                <w:sz w:val="24"/>
                <w:szCs w:val="20"/>
              </w:rPr>
              <w:t>1</w:t>
            </w:r>
          </w:p>
        </w:tc>
        <w:tc>
          <w:tcPr>
            <w:tcW w:w="3372" w:type="pct"/>
            <w:tcBorders>
              <w:top w:val="single" w:color="auto" w:sz="4" w:space="0"/>
              <w:left w:val="single" w:color="auto" w:sz="4" w:space="0"/>
              <w:bottom w:val="single" w:color="auto" w:sz="4" w:space="0"/>
              <w:right w:val="single" w:color="auto" w:sz="4" w:space="0"/>
            </w:tcBorders>
            <w:noWrap w:val="0"/>
            <w:vAlign w:val="center"/>
          </w:tcPr>
          <w:p w14:paraId="2A7A8477">
            <w:pPr>
              <w:rPr>
                <w:rFonts w:hint="eastAsia" w:ascii="宋体" w:hAnsi="宋体"/>
                <w:sz w:val="24"/>
                <w:szCs w:val="21"/>
              </w:rPr>
            </w:pPr>
            <w:r>
              <w:rPr>
                <w:rFonts w:hint="eastAsia" w:ascii="宋体" w:hAnsi="宋体"/>
                <w:sz w:val="24"/>
                <w:szCs w:val="21"/>
              </w:rPr>
              <w:t>为满足本机房运营及运维的需要，本期工程新建一套DCIM系统，实现机房配电、UPS、蓄电池、精密空调、温湿度、烟感、水浸、门禁等多个设备的接入，实现基础设施的集中化管理。</w:t>
            </w:r>
          </w:p>
          <w:p w14:paraId="347C2CC2">
            <w:pPr>
              <w:rPr>
                <w:rFonts w:hint="eastAsia" w:ascii="宋体" w:hAnsi="宋体"/>
                <w:sz w:val="24"/>
                <w:szCs w:val="21"/>
              </w:rPr>
            </w:pPr>
            <w:r>
              <w:rPr>
                <w:rFonts w:hint="eastAsia" w:ascii="宋体" w:hAnsi="宋体"/>
                <w:sz w:val="24"/>
                <w:szCs w:val="21"/>
              </w:rPr>
              <w:t xml:space="preserve"> DCIM管理系统应能根据系统厂家提供的协议，获取全部数据，并能进行完整的展示。</w:t>
            </w:r>
          </w:p>
          <w:p w14:paraId="6AB3B8EE">
            <w:pPr>
              <w:rPr>
                <w:rFonts w:hint="eastAsia" w:ascii="宋体" w:hAnsi="宋体"/>
                <w:sz w:val="24"/>
                <w:szCs w:val="21"/>
              </w:rPr>
            </w:pPr>
            <w:r>
              <w:rPr>
                <w:rFonts w:hint="eastAsia" w:ascii="宋体" w:hAnsi="宋体"/>
                <w:sz w:val="24"/>
                <w:szCs w:val="21"/>
              </w:rPr>
              <w:t>为避免过多子系统接入影响系统稳定性，动环系统、门禁系统和图像系统应与DCIM系统为同一平台，由DCIM系统直接接入相关设施统一管理。</w:t>
            </w:r>
          </w:p>
          <w:p w14:paraId="0A0B91B2">
            <w:pPr>
              <w:rPr>
                <w:rFonts w:hint="eastAsia" w:ascii="宋体" w:hAnsi="宋体"/>
                <w:sz w:val="24"/>
                <w:szCs w:val="21"/>
              </w:rPr>
            </w:pPr>
            <w:r>
              <w:rPr>
                <w:rFonts w:hint="eastAsia" w:ascii="宋体" w:hAnsi="宋体"/>
                <w:sz w:val="24"/>
                <w:szCs w:val="21"/>
              </w:rPr>
              <w:t>为保证卖方具有合格及持续的服务能力，要求本工程卖方及生产厂商具有以下资质及相关案例：</w:t>
            </w:r>
          </w:p>
          <w:p w14:paraId="4DFBC2CF">
            <w:pPr>
              <w:rPr>
                <w:rFonts w:hint="eastAsia" w:ascii="宋体" w:hAnsi="宋体"/>
                <w:sz w:val="24"/>
                <w:szCs w:val="21"/>
              </w:rPr>
            </w:pPr>
            <w:r>
              <w:rPr>
                <w:rFonts w:hint="eastAsia" w:ascii="宋体" w:hAnsi="宋体"/>
                <w:sz w:val="24"/>
                <w:szCs w:val="21"/>
              </w:rPr>
              <w:t>★1)</w:t>
            </w:r>
            <w:r>
              <w:rPr>
                <w:rFonts w:hint="eastAsia" w:ascii="宋体" w:hAnsi="宋体"/>
                <w:sz w:val="24"/>
                <w:szCs w:val="21"/>
              </w:rPr>
              <w:tab/>
            </w:r>
            <w:r>
              <w:rPr>
                <w:rFonts w:hint="eastAsia" w:ascii="宋体" w:hAnsi="宋体"/>
                <w:sz w:val="24"/>
                <w:szCs w:val="21"/>
              </w:rPr>
              <w:t>卖方所提供的硬件采集设备需具备网络安全防护功能，应提供经中国国家认证认可监督管理委员会批准的公安部直属认证机构出具网络安全测试报告。</w:t>
            </w:r>
          </w:p>
          <w:p w14:paraId="3B989057">
            <w:pPr>
              <w:rPr>
                <w:rFonts w:hint="eastAsia" w:ascii="宋体" w:hAnsi="宋体"/>
                <w:sz w:val="24"/>
                <w:szCs w:val="21"/>
              </w:rPr>
            </w:pPr>
            <w:r>
              <w:rPr>
                <w:rFonts w:hint="eastAsia" w:ascii="宋体" w:hAnsi="宋体"/>
                <w:sz w:val="24"/>
                <w:szCs w:val="21"/>
              </w:rPr>
              <w:t>2)</w:t>
            </w:r>
            <w:r>
              <w:rPr>
                <w:rFonts w:hint="eastAsia" w:ascii="宋体" w:hAnsi="宋体"/>
                <w:sz w:val="24"/>
                <w:szCs w:val="21"/>
              </w:rPr>
              <w:tab/>
            </w:r>
            <w:r>
              <w:rPr>
                <w:rFonts w:hint="eastAsia" w:ascii="宋体" w:hAnsi="宋体"/>
                <w:sz w:val="24"/>
                <w:szCs w:val="21"/>
              </w:rPr>
              <w:t>为保障机房基础设施管理软件系统的安全可靠，基础设施管理软件系统应进行网络安全设计，应提供经中国国家认证认可监督管理委员会批准的公安部直属认证机构出具的网络安全测试报告。</w:t>
            </w:r>
          </w:p>
          <w:p w14:paraId="1134A8A1">
            <w:pPr>
              <w:rPr>
                <w:rFonts w:hint="eastAsia" w:ascii="宋体" w:hAnsi="宋体"/>
                <w:sz w:val="24"/>
                <w:szCs w:val="21"/>
              </w:rPr>
            </w:pPr>
            <w:r>
              <w:rPr>
                <w:rFonts w:hint="eastAsia" w:ascii="宋体" w:hAnsi="宋体"/>
                <w:sz w:val="24"/>
                <w:szCs w:val="21"/>
              </w:rPr>
              <w:t>3)</w:t>
            </w:r>
            <w:r>
              <w:rPr>
                <w:rFonts w:hint="eastAsia" w:ascii="宋体" w:hAnsi="宋体"/>
                <w:sz w:val="24"/>
                <w:szCs w:val="21"/>
              </w:rPr>
              <w:tab/>
            </w:r>
            <w:r>
              <w:rPr>
                <w:rFonts w:hint="eastAsia" w:ascii="宋体" w:hAnsi="宋体"/>
                <w:sz w:val="24"/>
                <w:szCs w:val="21"/>
              </w:rPr>
              <w:t>卖方须提供基础设施管理软件系统兼容国产操作系统的证书文件。</w:t>
            </w:r>
          </w:p>
          <w:p w14:paraId="5E593584">
            <w:pPr>
              <w:rPr>
                <w:rFonts w:hint="eastAsia" w:ascii="宋体" w:hAnsi="宋体"/>
                <w:sz w:val="24"/>
                <w:szCs w:val="21"/>
              </w:rPr>
            </w:pPr>
            <w:r>
              <w:rPr>
                <w:rFonts w:hint="eastAsia" w:ascii="宋体" w:hAnsi="宋体"/>
                <w:sz w:val="24"/>
                <w:szCs w:val="21"/>
              </w:rPr>
              <w:t>4)</w:t>
            </w:r>
            <w:r>
              <w:rPr>
                <w:rFonts w:hint="eastAsia" w:ascii="宋体" w:hAnsi="宋体"/>
                <w:sz w:val="24"/>
                <w:szCs w:val="21"/>
              </w:rPr>
              <w:tab/>
            </w:r>
            <w:r>
              <w:rPr>
                <w:rFonts w:hint="eastAsia" w:ascii="宋体" w:hAnsi="宋体"/>
                <w:sz w:val="24"/>
                <w:szCs w:val="21"/>
              </w:rPr>
              <w:t>卖方须提供的硬件采集设备需提供3C检测报告及认证证书。</w:t>
            </w:r>
          </w:p>
          <w:p w14:paraId="677A10E3">
            <w:pPr>
              <w:rPr>
                <w:rFonts w:hint="eastAsia" w:ascii="宋体" w:hAnsi="宋体"/>
                <w:sz w:val="24"/>
                <w:szCs w:val="21"/>
              </w:rPr>
            </w:pPr>
            <w:r>
              <w:rPr>
                <w:rFonts w:hint="eastAsia" w:ascii="宋体" w:hAnsi="宋体"/>
                <w:sz w:val="24"/>
                <w:szCs w:val="21"/>
              </w:rPr>
              <w:t>5)</w:t>
            </w:r>
            <w:r>
              <w:rPr>
                <w:rFonts w:hint="eastAsia" w:ascii="宋体" w:hAnsi="宋体"/>
                <w:sz w:val="24"/>
                <w:szCs w:val="21"/>
              </w:rPr>
              <w:tab/>
            </w:r>
            <w:r>
              <w:rPr>
                <w:rFonts w:hint="eastAsia" w:ascii="宋体" w:hAnsi="宋体"/>
                <w:sz w:val="24"/>
                <w:szCs w:val="21"/>
              </w:rPr>
              <w:t>卖方需提供协议解析软件的软件著作权登记证书。</w:t>
            </w:r>
          </w:p>
          <w:p w14:paraId="52CBECB3">
            <w:pPr>
              <w:rPr>
                <w:rFonts w:hint="eastAsia" w:ascii="宋体" w:hAnsi="宋体"/>
                <w:sz w:val="24"/>
                <w:szCs w:val="21"/>
              </w:rPr>
            </w:pPr>
            <w:r>
              <w:rPr>
                <w:rFonts w:hint="eastAsia" w:ascii="宋体" w:hAnsi="宋体"/>
                <w:sz w:val="24"/>
                <w:szCs w:val="21"/>
              </w:rPr>
              <w:t>6)</w:t>
            </w:r>
            <w:r>
              <w:rPr>
                <w:rFonts w:hint="eastAsia" w:ascii="宋体" w:hAnsi="宋体"/>
                <w:sz w:val="24"/>
                <w:szCs w:val="21"/>
              </w:rPr>
              <w:tab/>
            </w:r>
            <w:r>
              <w:rPr>
                <w:rFonts w:hint="eastAsia" w:ascii="宋体" w:hAnsi="宋体"/>
                <w:sz w:val="24"/>
                <w:szCs w:val="21"/>
              </w:rPr>
              <w:t>生产厂商需在天津设立分公司机构，需提供相关营业执照证明文件。</w:t>
            </w:r>
          </w:p>
          <w:p w14:paraId="32E13EAD">
            <w:pPr>
              <w:rPr>
                <w:rFonts w:hint="eastAsia" w:ascii="宋体" w:hAnsi="宋体"/>
                <w:sz w:val="24"/>
                <w:szCs w:val="21"/>
              </w:rPr>
            </w:pPr>
            <w:r>
              <w:rPr>
                <w:rFonts w:hint="eastAsia" w:ascii="宋体" w:hAnsi="宋体"/>
                <w:sz w:val="24"/>
                <w:szCs w:val="21"/>
              </w:rPr>
              <w:t>7)</w:t>
            </w:r>
            <w:r>
              <w:rPr>
                <w:rFonts w:hint="eastAsia" w:ascii="宋体" w:hAnsi="宋体"/>
                <w:sz w:val="24"/>
                <w:szCs w:val="21"/>
              </w:rPr>
              <w:tab/>
            </w:r>
            <w:r>
              <w:rPr>
                <w:rFonts w:hint="eastAsia" w:ascii="宋体" w:hAnsi="宋体"/>
                <w:sz w:val="24"/>
                <w:szCs w:val="21"/>
              </w:rPr>
              <w:t>生产厂商具有机房动环监控管理项目建设经验（近三年合同金额不低于200万，不小于5个案例，需提供系统合同或订单关键页或发票证明资料）。</w:t>
            </w:r>
          </w:p>
          <w:p w14:paraId="12243668">
            <w:pPr>
              <w:rPr>
                <w:rFonts w:hint="eastAsia" w:ascii="宋体" w:hAnsi="宋体"/>
                <w:sz w:val="24"/>
                <w:szCs w:val="21"/>
              </w:rPr>
            </w:pPr>
            <w:r>
              <w:rPr>
                <w:rFonts w:hint="eastAsia" w:ascii="宋体" w:hAnsi="宋体"/>
                <w:sz w:val="24"/>
                <w:szCs w:val="21"/>
              </w:rPr>
              <w:t>系统建设总体规划</w:t>
            </w:r>
          </w:p>
          <w:p w14:paraId="5DC6E94E">
            <w:pPr>
              <w:rPr>
                <w:rFonts w:hint="eastAsia" w:ascii="宋体" w:hAnsi="宋体"/>
                <w:sz w:val="24"/>
                <w:szCs w:val="21"/>
              </w:rPr>
            </w:pPr>
            <w:r>
              <w:rPr>
                <w:rFonts w:hint="eastAsia" w:ascii="宋体" w:hAnsi="宋体"/>
                <w:sz w:val="24"/>
                <w:szCs w:val="21"/>
              </w:rPr>
              <w:t>为满足机房管理的需要，提高业务支撑及维护水平，实现对机房全面、统一、一站式的管理。系统逻辑架构要求如下：</w:t>
            </w:r>
          </w:p>
          <w:p w14:paraId="50141B23">
            <w:pPr>
              <w:rPr>
                <w:rFonts w:hint="eastAsia" w:ascii="宋体" w:hAnsi="宋体"/>
                <w:sz w:val="24"/>
                <w:szCs w:val="21"/>
              </w:rPr>
            </w:pPr>
            <w:r>
              <w:rPr>
                <w:rFonts w:hint="eastAsia" w:ascii="宋体" w:hAnsi="宋体"/>
                <w:sz w:val="24"/>
                <w:szCs w:val="21"/>
              </w:rPr>
              <w:t>系统架构要求</w:t>
            </w:r>
          </w:p>
          <w:p w14:paraId="65D58D77">
            <w:pPr>
              <w:rPr>
                <w:rFonts w:hint="eastAsia" w:ascii="宋体" w:hAnsi="宋体"/>
                <w:sz w:val="24"/>
                <w:szCs w:val="21"/>
              </w:rPr>
            </w:pPr>
            <w:r>
              <w:rPr>
                <w:rFonts w:hint="eastAsia" w:ascii="宋体" w:hAnsi="宋体"/>
                <w:sz w:val="24"/>
                <w:szCs w:val="21"/>
              </w:rPr>
              <w:t>1)</w:t>
            </w:r>
            <w:r>
              <w:rPr>
                <w:rFonts w:hint="eastAsia" w:ascii="宋体" w:hAnsi="宋体"/>
                <w:sz w:val="24"/>
                <w:szCs w:val="21"/>
              </w:rPr>
              <w:tab/>
            </w:r>
            <w:r>
              <w:rPr>
                <w:rFonts w:hint="eastAsia" w:ascii="宋体" w:hAnsi="宋体"/>
                <w:sz w:val="24"/>
                <w:szCs w:val="21"/>
              </w:rPr>
              <w:t>系统搭建冗余网络，保证系统的稳定运行，重要设备数据库服务器应当实现双机热备。</w:t>
            </w:r>
          </w:p>
          <w:p w14:paraId="7A9C0BF6">
            <w:pPr>
              <w:rPr>
                <w:rFonts w:hint="eastAsia" w:ascii="宋体" w:hAnsi="宋体"/>
                <w:sz w:val="24"/>
                <w:szCs w:val="21"/>
              </w:rPr>
            </w:pPr>
            <w:r>
              <w:rPr>
                <w:rFonts w:hint="eastAsia" w:ascii="宋体" w:hAnsi="宋体"/>
                <w:sz w:val="24"/>
                <w:szCs w:val="21"/>
              </w:rPr>
              <w:t>2)</w:t>
            </w:r>
            <w:r>
              <w:rPr>
                <w:rFonts w:hint="eastAsia" w:ascii="宋体" w:hAnsi="宋体"/>
                <w:sz w:val="24"/>
                <w:szCs w:val="21"/>
              </w:rPr>
              <w:tab/>
            </w:r>
            <w:r>
              <w:rPr>
                <w:rFonts w:hint="eastAsia" w:ascii="宋体" w:hAnsi="宋体"/>
                <w:sz w:val="24"/>
                <w:szCs w:val="21"/>
              </w:rPr>
              <w:t>DCIM管理系统设计从日常运营管理的角度出发，满足通信机房的7*24小时运行条件，为机房正常运营提供连续性的保证，系统架构须支持处理百万级测点的监测采集能力。卖方需提供相关用户盖章证明文件。</w:t>
            </w:r>
          </w:p>
          <w:p w14:paraId="5160850E">
            <w:pPr>
              <w:rPr>
                <w:rFonts w:hint="eastAsia" w:ascii="宋体" w:hAnsi="宋体"/>
                <w:sz w:val="24"/>
                <w:szCs w:val="21"/>
              </w:rPr>
            </w:pPr>
            <w:r>
              <w:rPr>
                <w:rFonts w:hint="eastAsia" w:ascii="宋体" w:hAnsi="宋体"/>
                <w:sz w:val="24"/>
                <w:szCs w:val="21"/>
              </w:rPr>
              <w:t>3)</w:t>
            </w:r>
            <w:r>
              <w:rPr>
                <w:rFonts w:hint="eastAsia" w:ascii="宋体" w:hAnsi="宋体"/>
                <w:sz w:val="24"/>
                <w:szCs w:val="21"/>
              </w:rPr>
              <w:tab/>
            </w:r>
            <w:r>
              <w:rPr>
                <w:rFonts w:hint="eastAsia" w:ascii="宋体" w:hAnsi="宋体"/>
                <w:sz w:val="24"/>
                <w:szCs w:val="21"/>
              </w:rPr>
              <w:t>DCIM管理系统应采用Linux操作系统和开源数据库，禁止使用Windows操作系统。</w:t>
            </w:r>
          </w:p>
          <w:p w14:paraId="6D1ACA83">
            <w:pPr>
              <w:rPr>
                <w:rFonts w:hint="eastAsia" w:ascii="宋体" w:hAnsi="宋体"/>
                <w:sz w:val="24"/>
                <w:szCs w:val="21"/>
              </w:rPr>
            </w:pPr>
            <w:r>
              <w:rPr>
                <w:rFonts w:hint="eastAsia" w:ascii="宋体" w:hAnsi="宋体"/>
                <w:sz w:val="24"/>
                <w:szCs w:val="21"/>
              </w:rPr>
              <w:t>4)</w:t>
            </w:r>
            <w:r>
              <w:rPr>
                <w:rFonts w:hint="eastAsia" w:ascii="宋体" w:hAnsi="宋体"/>
                <w:sz w:val="24"/>
                <w:szCs w:val="21"/>
              </w:rPr>
              <w:tab/>
            </w:r>
            <w:r>
              <w:rPr>
                <w:rFonts w:hint="eastAsia" w:ascii="宋体" w:hAnsi="宋体"/>
                <w:sz w:val="24"/>
                <w:szCs w:val="21"/>
              </w:rPr>
              <w:t>DCIM管理平台应为中文化，操作简单方便，日常维护时间少，所有的监控内容均在一个软件平台中察看，具有统一的监控界面。维护、扩容时无需停止系统，可动态调整监控参数、内容、报警设置，保障系统运行的连续性。 所有的维护、扩容操作都只需在管理服务器上进行，无需占用本地管理工作站的运行资源，不影响现有本地管理工作站的运行。</w:t>
            </w:r>
          </w:p>
          <w:p w14:paraId="1971EFCA">
            <w:pPr>
              <w:rPr>
                <w:rFonts w:hint="eastAsia" w:ascii="宋体" w:hAnsi="宋体"/>
                <w:sz w:val="24"/>
                <w:szCs w:val="21"/>
              </w:rPr>
            </w:pPr>
            <w:r>
              <w:rPr>
                <w:rFonts w:hint="eastAsia" w:ascii="宋体" w:hAnsi="宋体"/>
                <w:sz w:val="24"/>
                <w:szCs w:val="21"/>
              </w:rPr>
              <w:tab/>
            </w:r>
            <w:r>
              <w:rPr>
                <w:rFonts w:hint="eastAsia" w:ascii="宋体" w:hAnsi="宋体"/>
                <w:sz w:val="24"/>
                <w:szCs w:val="21"/>
              </w:rPr>
              <w:t>性能要求</w:t>
            </w:r>
          </w:p>
          <w:p w14:paraId="3DECF209">
            <w:pPr>
              <w:rPr>
                <w:rFonts w:hint="eastAsia" w:ascii="宋体" w:hAnsi="宋体"/>
                <w:sz w:val="24"/>
                <w:szCs w:val="21"/>
              </w:rPr>
            </w:pPr>
            <w:r>
              <w:rPr>
                <w:rFonts w:hint="eastAsia" w:ascii="宋体" w:hAnsi="宋体"/>
                <w:sz w:val="24"/>
                <w:szCs w:val="21"/>
              </w:rPr>
              <w:t>1)</w:t>
            </w:r>
            <w:r>
              <w:rPr>
                <w:rFonts w:hint="eastAsia" w:ascii="宋体" w:hAnsi="宋体"/>
                <w:sz w:val="24"/>
                <w:szCs w:val="21"/>
              </w:rPr>
              <w:tab/>
            </w:r>
            <w:r>
              <w:rPr>
                <w:rFonts w:hint="eastAsia" w:ascii="宋体" w:hAnsi="宋体"/>
                <w:sz w:val="24"/>
                <w:szCs w:val="21"/>
              </w:rPr>
              <w:t>可靠性</w:t>
            </w:r>
          </w:p>
          <w:p w14:paraId="3D7D6020">
            <w:pPr>
              <w:rPr>
                <w:rFonts w:hint="eastAsia" w:ascii="宋体" w:hAnsi="宋体"/>
                <w:sz w:val="24"/>
                <w:szCs w:val="21"/>
              </w:rPr>
            </w:pPr>
            <w:r>
              <w:rPr>
                <w:rFonts w:hint="eastAsia" w:ascii="宋体" w:hAnsi="宋体"/>
                <w:sz w:val="24"/>
                <w:szCs w:val="21"/>
              </w:rPr>
              <w:t>监控系统软件可以连续稳定运行。在非人为退出系统的情况下，整个监控系统平均故障间隔时间MTBF应大于10000h。</w:t>
            </w:r>
          </w:p>
          <w:p w14:paraId="62263EB9">
            <w:pPr>
              <w:rPr>
                <w:rFonts w:hint="eastAsia" w:ascii="宋体" w:hAnsi="宋体"/>
                <w:sz w:val="24"/>
                <w:szCs w:val="21"/>
              </w:rPr>
            </w:pPr>
            <w:r>
              <w:rPr>
                <w:rFonts w:hint="eastAsia" w:ascii="宋体" w:hAnsi="宋体"/>
                <w:sz w:val="24"/>
                <w:szCs w:val="21"/>
              </w:rPr>
              <w:t>为保证系统的稳定性，各服务器在网管系统用户正常使用的情况下，每个月的CPU、内存的平均使用率不超过65%，且CPU、内存使用率超过85%的时长不超过0.5%，磁盘空间使用率不超过65%。</w:t>
            </w:r>
          </w:p>
          <w:p w14:paraId="1068AF97">
            <w:pPr>
              <w:rPr>
                <w:rFonts w:hint="eastAsia" w:ascii="宋体" w:hAnsi="宋体"/>
                <w:sz w:val="24"/>
                <w:szCs w:val="21"/>
              </w:rPr>
            </w:pPr>
            <w:r>
              <w:rPr>
                <w:rFonts w:hint="eastAsia" w:ascii="宋体" w:hAnsi="宋体"/>
                <w:sz w:val="24"/>
                <w:szCs w:val="21"/>
              </w:rPr>
              <w:t>2)</w:t>
            </w:r>
            <w:r>
              <w:rPr>
                <w:rFonts w:hint="eastAsia" w:ascii="宋体" w:hAnsi="宋体"/>
                <w:sz w:val="24"/>
                <w:szCs w:val="21"/>
              </w:rPr>
              <w:tab/>
            </w:r>
            <w:r>
              <w:rPr>
                <w:rFonts w:hint="eastAsia" w:ascii="宋体" w:hAnsi="宋体"/>
                <w:sz w:val="24"/>
                <w:szCs w:val="21"/>
              </w:rPr>
              <w:t>响应时间</w:t>
            </w:r>
          </w:p>
          <w:p w14:paraId="202C8535">
            <w:pPr>
              <w:rPr>
                <w:rFonts w:hint="eastAsia" w:ascii="宋体" w:hAnsi="宋体"/>
                <w:sz w:val="24"/>
                <w:szCs w:val="21"/>
              </w:rPr>
            </w:pPr>
            <w:r>
              <w:rPr>
                <w:rFonts w:hint="eastAsia" w:ascii="宋体" w:hAnsi="宋体"/>
                <w:sz w:val="24"/>
                <w:szCs w:val="21"/>
              </w:rPr>
              <w:t>监控数据及时性要求指现场告警或数据变动，到监控中心监控终端显示的反应时间，要求不大于10秒（不考虑智能设备的反应时间）。</w:t>
            </w:r>
          </w:p>
          <w:p w14:paraId="29329621">
            <w:pPr>
              <w:rPr>
                <w:rFonts w:hint="eastAsia" w:ascii="宋体" w:hAnsi="宋体"/>
                <w:sz w:val="24"/>
                <w:szCs w:val="21"/>
              </w:rPr>
            </w:pPr>
            <w:r>
              <w:rPr>
                <w:rFonts w:hint="eastAsia" w:ascii="宋体" w:hAnsi="宋体"/>
                <w:sz w:val="24"/>
                <w:szCs w:val="21"/>
              </w:rPr>
              <w:t>监控实时数据响应时间要求不超过15秒（不考虑智能设备的反应时间），告警和控制响应时间不超过8秒(为避免过多重复报警,设备通信中断告警根据实际情况可延长到1分钟)。</w:t>
            </w:r>
          </w:p>
          <w:p w14:paraId="0810FBE2">
            <w:pPr>
              <w:rPr>
                <w:rFonts w:hint="eastAsia" w:ascii="宋体" w:hAnsi="宋体"/>
                <w:sz w:val="24"/>
                <w:szCs w:val="21"/>
              </w:rPr>
            </w:pPr>
            <w:r>
              <w:rPr>
                <w:rFonts w:hint="eastAsia" w:ascii="宋体" w:hAnsi="宋体"/>
                <w:sz w:val="24"/>
                <w:szCs w:val="21"/>
              </w:rPr>
              <w:t>3)</w:t>
            </w:r>
            <w:r>
              <w:rPr>
                <w:rFonts w:hint="eastAsia" w:ascii="宋体" w:hAnsi="宋体"/>
                <w:sz w:val="24"/>
                <w:szCs w:val="21"/>
              </w:rPr>
              <w:tab/>
            </w:r>
            <w:r>
              <w:rPr>
                <w:rFonts w:hint="eastAsia" w:ascii="宋体" w:hAnsi="宋体"/>
                <w:sz w:val="24"/>
                <w:szCs w:val="21"/>
              </w:rPr>
              <w:t>准确性要求</w:t>
            </w:r>
          </w:p>
          <w:p w14:paraId="41DF92C8">
            <w:pPr>
              <w:rPr>
                <w:rFonts w:hint="eastAsia" w:ascii="宋体" w:hAnsi="宋体"/>
                <w:sz w:val="24"/>
                <w:szCs w:val="21"/>
              </w:rPr>
            </w:pPr>
            <w:r>
              <w:rPr>
                <w:rFonts w:hint="eastAsia" w:ascii="宋体" w:hAnsi="宋体"/>
                <w:sz w:val="24"/>
                <w:szCs w:val="21"/>
              </w:rPr>
              <w:t>监控系统测量上报的数据、告警要准确，在监控终端上显示的数据精度应符合相关的要求，告警准确性应达到100%。</w:t>
            </w:r>
          </w:p>
          <w:p w14:paraId="12478B79">
            <w:pPr>
              <w:rPr>
                <w:rFonts w:hint="eastAsia" w:ascii="宋体" w:hAnsi="宋体"/>
                <w:sz w:val="24"/>
                <w:szCs w:val="21"/>
              </w:rPr>
            </w:pPr>
            <w:r>
              <w:rPr>
                <w:rFonts w:hint="eastAsia" w:ascii="宋体" w:hAnsi="宋体"/>
                <w:sz w:val="24"/>
                <w:szCs w:val="21"/>
              </w:rPr>
              <w:t>2.2.3</w:t>
            </w:r>
            <w:r>
              <w:rPr>
                <w:rFonts w:hint="eastAsia" w:ascii="宋体" w:hAnsi="宋体"/>
                <w:sz w:val="24"/>
                <w:szCs w:val="21"/>
              </w:rPr>
              <w:tab/>
            </w:r>
            <w:r>
              <w:rPr>
                <w:rFonts w:hint="eastAsia" w:ascii="宋体" w:hAnsi="宋体"/>
                <w:sz w:val="24"/>
                <w:szCs w:val="21"/>
              </w:rPr>
              <w:t>平台指标</w:t>
            </w:r>
          </w:p>
          <w:p w14:paraId="21339197">
            <w:pPr>
              <w:rPr>
                <w:rFonts w:hint="eastAsia" w:ascii="宋体" w:hAnsi="宋体" w:cs="宋体"/>
                <w:color w:val="000000"/>
                <w:szCs w:val="18"/>
                <w:lang w:val="en-US" w:eastAsia="zh-CN"/>
              </w:rPr>
            </w:pPr>
            <w:r>
              <w:rPr>
                <w:rFonts w:hint="eastAsia" w:ascii="宋体" w:hAnsi="宋体"/>
                <w:sz w:val="24"/>
                <w:szCs w:val="21"/>
                <w:lang w:val="en-US" w:eastAsia="zh-CN"/>
              </w:rPr>
              <w:t>1)</w:t>
            </w:r>
            <w:r>
              <w:rPr>
                <w:rFonts w:hint="eastAsia" w:ascii="宋体" w:hAnsi="宋体" w:cs="宋体"/>
                <w:color w:val="000000"/>
                <w:szCs w:val="18"/>
              </w:rPr>
              <w:t>在线用户数</w:t>
            </w:r>
            <w:r>
              <w:rPr>
                <w:rFonts w:hint="eastAsia" w:ascii="宋体" w:hAnsi="宋体" w:cs="宋体"/>
                <w:color w:val="000000"/>
                <w:szCs w:val="18"/>
                <w:lang w:val="en-US" w:eastAsia="zh-CN"/>
              </w:rPr>
              <w:t>,</w:t>
            </w:r>
            <w:r>
              <w:rPr>
                <w:rFonts w:hint="eastAsia" w:ascii="宋体" w:hAnsi="宋体" w:cs="宋体"/>
                <w:color w:val="000000"/>
                <w:szCs w:val="18"/>
              </w:rPr>
              <w:t>系统支持同时在线的用户数</w:t>
            </w:r>
            <w:r>
              <w:rPr>
                <w:rFonts w:hint="eastAsia" w:ascii="宋体" w:hAnsi="宋体" w:cs="宋体"/>
                <w:color w:val="000000"/>
                <w:szCs w:val="18"/>
                <w:lang w:val="en-US" w:eastAsia="zh-CN"/>
              </w:rPr>
              <w:t>大于等于100</w:t>
            </w:r>
          </w:p>
          <w:p w14:paraId="7E396016">
            <w:pPr>
              <w:rPr>
                <w:rFonts w:hint="eastAsia" w:ascii="宋体" w:hAnsi="宋体" w:cs="宋体"/>
                <w:color w:val="000000"/>
                <w:szCs w:val="18"/>
                <w:lang w:val="en-US" w:eastAsia="zh-CN"/>
              </w:rPr>
            </w:pPr>
            <w:r>
              <w:rPr>
                <w:rFonts w:hint="eastAsia" w:ascii="宋体" w:hAnsi="宋体" w:cs="宋体"/>
                <w:color w:val="000000"/>
                <w:szCs w:val="18"/>
                <w:lang w:val="en-US" w:eastAsia="zh-CN"/>
              </w:rPr>
              <w:t>2)</w:t>
            </w:r>
            <w:r>
              <w:rPr>
                <w:rFonts w:hint="eastAsia" w:ascii="宋体" w:hAnsi="宋体" w:cs="宋体"/>
                <w:color w:val="000000"/>
                <w:szCs w:val="18"/>
              </w:rPr>
              <w:t>系统启动时间</w:t>
            </w:r>
            <w:r>
              <w:rPr>
                <w:rFonts w:hint="eastAsia" w:ascii="宋体" w:hAnsi="宋体" w:cs="宋体"/>
                <w:color w:val="000000"/>
                <w:szCs w:val="18"/>
                <w:lang w:val="en-US" w:eastAsia="zh-CN"/>
              </w:rPr>
              <w:t>,</w:t>
            </w:r>
            <w:r>
              <w:rPr>
                <w:rFonts w:hint="eastAsia" w:ascii="宋体" w:hAnsi="宋体" w:cs="宋体"/>
                <w:color w:val="000000"/>
                <w:szCs w:val="18"/>
              </w:rPr>
              <w:t>系统服务启动时间（分钟）</w:t>
            </w:r>
            <w:r>
              <w:rPr>
                <w:rFonts w:hint="eastAsia" w:ascii="宋体" w:hAnsi="宋体"/>
                <w:color w:val="000000"/>
                <w:szCs w:val="18"/>
              </w:rPr>
              <w:t xml:space="preserve">&lt; </w:t>
            </w:r>
            <w:r>
              <w:rPr>
                <w:rFonts w:hint="eastAsia" w:ascii="宋体" w:hAnsi="宋体" w:cs="宋体"/>
                <w:color w:val="000000"/>
                <w:szCs w:val="18"/>
              </w:rPr>
              <w:t>5分钟</w:t>
            </w:r>
            <w:r>
              <w:rPr>
                <w:rFonts w:hint="eastAsia" w:ascii="宋体" w:hAnsi="宋体" w:cs="宋体"/>
                <w:color w:val="000000"/>
                <w:szCs w:val="18"/>
                <w:lang w:val="en-US" w:eastAsia="zh-CN"/>
              </w:rPr>
              <w:t>;</w:t>
            </w:r>
            <w:r>
              <w:rPr>
                <w:rFonts w:hint="eastAsia" w:ascii="宋体" w:hAnsi="宋体" w:cs="宋体"/>
                <w:color w:val="000000"/>
                <w:szCs w:val="18"/>
              </w:rPr>
              <w:t>系统服务停止时间（分钟）</w:t>
            </w:r>
            <w:r>
              <w:rPr>
                <w:rFonts w:hint="eastAsia" w:ascii="宋体" w:hAnsi="宋体"/>
                <w:color w:val="000000"/>
                <w:szCs w:val="18"/>
              </w:rPr>
              <w:t xml:space="preserve">&lt; </w:t>
            </w:r>
            <w:r>
              <w:rPr>
                <w:rFonts w:hint="eastAsia" w:ascii="宋体" w:hAnsi="宋体" w:cs="宋体"/>
                <w:color w:val="000000"/>
                <w:szCs w:val="18"/>
              </w:rPr>
              <w:t>5分钟</w:t>
            </w:r>
            <w:r>
              <w:rPr>
                <w:rFonts w:hint="eastAsia" w:ascii="宋体" w:hAnsi="宋体" w:cs="宋体"/>
                <w:color w:val="000000"/>
                <w:szCs w:val="18"/>
                <w:lang w:val="en-US" w:eastAsia="zh-CN"/>
              </w:rPr>
              <w:t>;</w:t>
            </w:r>
          </w:p>
          <w:p w14:paraId="528F1DB3">
            <w:pPr>
              <w:rPr>
                <w:rFonts w:hint="eastAsia" w:ascii="宋体" w:hAnsi="宋体"/>
                <w:color w:val="000000"/>
                <w:szCs w:val="18"/>
                <w:lang w:val="en-US" w:eastAsia="zh-CN"/>
              </w:rPr>
            </w:pPr>
            <w:r>
              <w:rPr>
                <w:rFonts w:hint="eastAsia" w:ascii="宋体" w:hAnsi="宋体" w:cs="宋体"/>
                <w:color w:val="000000"/>
                <w:szCs w:val="18"/>
                <w:lang w:val="en-US" w:eastAsia="zh-CN"/>
              </w:rPr>
              <w:t>3）</w:t>
            </w:r>
            <w:r>
              <w:rPr>
                <w:rFonts w:hint="eastAsia" w:ascii="宋体" w:hAnsi="宋体" w:cs="宋体"/>
                <w:color w:val="000000"/>
                <w:szCs w:val="18"/>
              </w:rPr>
              <w:t>系统响应能力</w:t>
            </w:r>
            <w:r>
              <w:rPr>
                <w:rFonts w:hint="eastAsia" w:ascii="宋体" w:hAnsi="宋体" w:cs="宋体"/>
                <w:color w:val="000000"/>
                <w:szCs w:val="18"/>
                <w:lang w:val="en-US" w:eastAsia="zh-CN"/>
              </w:rPr>
              <w:t>,</w:t>
            </w:r>
            <w:r>
              <w:rPr>
                <w:rFonts w:hint="eastAsia" w:ascii="宋体" w:hAnsi="宋体"/>
                <w:color w:val="000000"/>
                <w:szCs w:val="18"/>
              </w:rPr>
              <w:t>实时数据响应时间（秒）&lt; 10</w:t>
            </w:r>
            <w:r>
              <w:rPr>
                <w:rFonts w:hint="eastAsia" w:ascii="宋体" w:hAnsi="宋体"/>
                <w:color w:val="000000"/>
                <w:szCs w:val="18"/>
                <w:lang w:val="en-US" w:eastAsia="zh-CN"/>
              </w:rPr>
              <w:t>;</w:t>
            </w:r>
            <w:r>
              <w:rPr>
                <w:rFonts w:hint="eastAsia" w:ascii="宋体" w:hAnsi="宋体"/>
                <w:color w:val="000000"/>
                <w:szCs w:val="18"/>
              </w:rPr>
              <w:t>控制命令响应时间（秒）&lt; 15</w:t>
            </w:r>
            <w:r>
              <w:rPr>
                <w:rFonts w:hint="eastAsia" w:ascii="宋体" w:hAnsi="宋体"/>
                <w:color w:val="000000"/>
                <w:szCs w:val="18"/>
                <w:lang w:val="en-US" w:eastAsia="zh-CN"/>
              </w:rPr>
              <w:t>;</w:t>
            </w:r>
            <w:r>
              <w:rPr>
                <w:rFonts w:hint="eastAsia" w:ascii="宋体" w:hAnsi="宋体"/>
                <w:color w:val="000000"/>
                <w:szCs w:val="18"/>
              </w:rPr>
              <w:t>报表查询时间&lt; 1分钟/20000条数据</w:t>
            </w:r>
            <w:r>
              <w:rPr>
                <w:rFonts w:hint="eastAsia" w:ascii="宋体" w:hAnsi="宋体"/>
                <w:color w:val="000000"/>
                <w:szCs w:val="18"/>
                <w:lang w:val="en-US" w:eastAsia="zh-CN"/>
              </w:rPr>
              <w:t>;</w:t>
            </w:r>
            <w:r>
              <w:rPr>
                <w:rFonts w:hint="eastAsia" w:ascii="宋体" w:hAnsi="宋体"/>
                <w:color w:val="000000"/>
                <w:szCs w:val="18"/>
              </w:rPr>
              <w:t>设备告警响应时间（秒）&lt; 8</w:t>
            </w:r>
            <w:r>
              <w:rPr>
                <w:rFonts w:hint="eastAsia" w:ascii="宋体" w:hAnsi="宋体"/>
                <w:color w:val="000000"/>
                <w:szCs w:val="18"/>
                <w:lang w:val="en-US" w:eastAsia="zh-CN"/>
              </w:rPr>
              <w:t>;</w:t>
            </w:r>
          </w:p>
          <w:p w14:paraId="3DEA7BDF">
            <w:pPr>
              <w:rPr>
                <w:rFonts w:hint="eastAsia" w:ascii="宋体" w:hAnsi="宋体" w:cs="宋体"/>
                <w:color w:val="000000"/>
                <w:szCs w:val="18"/>
                <w:lang w:val="en-US" w:eastAsia="zh-CN"/>
              </w:rPr>
            </w:pPr>
            <w:r>
              <w:rPr>
                <w:rFonts w:hint="eastAsia" w:ascii="宋体" w:hAnsi="宋体"/>
                <w:color w:val="000000"/>
                <w:szCs w:val="18"/>
                <w:lang w:val="en-US" w:eastAsia="zh-CN"/>
              </w:rPr>
              <w:t>4）</w:t>
            </w:r>
            <w:r>
              <w:rPr>
                <w:rFonts w:hint="eastAsia" w:ascii="宋体" w:hAnsi="宋体" w:cs="宋体"/>
                <w:color w:val="000000"/>
                <w:szCs w:val="18"/>
              </w:rPr>
              <w:t>实时数据存储时长</w:t>
            </w:r>
            <w:r>
              <w:rPr>
                <w:rFonts w:hint="eastAsia" w:ascii="宋体" w:hAnsi="宋体" w:cs="宋体"/>
                <w:color w:val="000000"/>
                <w:szCs w:val="18"/>
                <w:lang w:val="en-US" w:eastAsia="zh-CN"/>
              </w:rPr>
              <w:t>,</w:t>
            </w:r>
            <w:r>
              <w:rPr>
                <w:rFonts w:hint="eastAsia" w:ascii="宋体" w:hAnsi="宋体" w:cs="宋体"/>
                <w:color w:val="000000"/>
                <w:szCs w:val="18"/>
              </w:rPr>
              <w:t>系统支持数据存储最长时间</w:t>
            </w:r>
            <w:r>
              <w:rPr>
                <w:rFonts w:hint="eastAsia" w:ascii="宋体" w:hAnsi="宋体" w:cs="宋体"/>
                <w:color w:val="000000"/>
                <w:szCs w:val="18"/>
                <w:lang w:val="en-US" w:eastAsia="zh-CN"/>
              </w:rPr>
              <w:t>大于等于1年；</w:t>
            </w:r>
          </w:p>
          <w:p w14:paraId="2CF0675A">
            <w:pPr>
              <w:rPr>
                <w:rFonts w:hint="eastAsia" w:ascii="宋体" w:hAnsi="宋体" w:eastAsia="宋体" w:cs="宋体"/>
                <w:color w:val="000000"/>
                <w:szCs w:val="18"/>
                <w:lang w:val="en-US" w:eastAsia="zh-CN"/>
              </w:rPr>
            </w:pPr>
            <w:r>
              <w:rPr>
                <w:rFonts w:hint="eastAsia" w:ascii="宋体" w:hAnsi="宋体" w:cs="宋体"/>
                <w:color w:val="000000"/>
                <w:szCs w:val="18"/>
                <w:lang w:val="en-US" w:eastAsia="zh-CN"/>
              </w:rPr>
              <w:t>5)</w:t>
            </w:r>
            <w:r>
              <w:rPr>
                <w:rFonts w:hint="eastAsia" w:ascii="宋体" w:hAnsi="宋体" w:cs="宋体"/>
                <w:color w:val="000000"/>
                <w:szCs w:val="18"/>
              </w:rPr>
              <w:t>报表数据存储时长</w:t>
            </w:r>
            <w:r>
              <w:rPr>
                <w:rFonts w:hint="eastAsia" w:ascii="宋体" w:hAnsi="宋体" w:cs="宋体"/>
                <w:color w:val="000000"/>
                <w:szCs w:val="18"/>
                <w:lang w:val="en-US" w:eastAsia="zh-CN"/>
              </w:rPr>
              <w:t>,</w:t>
            </w:r>
            <w:r>
              <w:rPr>
                <w:rFonts w:hint="eastAsia" w:ascii="宋体" w:hAnsi="宋体" w:cs="宋体"/>
                <w:color w:val="000000"/>
                <w:szCs w:val="18"/>
              </w:rPr>
              <w:t>系统支持数据存储最长时间</w:t>
            </w:r>
            <w:r>
              <w:rPr>
                <w:rFonts w:hint="eastAsia" w:ascii="宋体" w:hAnsi="宋体" w:cs="宋体"/>
                <w:color w:val="000000"/>
                <w:szCs w:val="18"/>
                <w:lang w:val="en-US" w:eastAsia="zh-CN"/>
              </w:rPr>
              <w:t>大于等于3年；</w:t>
            </w:r>
          </w:p>
          <w:p w14:paraId="058C3683">
            <w:pPr>
              <w:rPr>
                <w:rFonts w:hint="eastAsia" w:ascii="宋体" w:hAnsi="宋体"/>
                <w:sz w:val="24"/>
                <w:szCs w:val="21"/>
              </w:rPr>
            </w:pPr>
            <w:r>
              <w:rPr>
                <w:rFonts w:hint="eastAsia" w:ascii="宋体" w:hAnsi="宋体"/>
                <w:sz w:val="24"/>
                <w:szCs w:val="21"/>
              </w:rPr>
              <w:t>3</w:t>
            </w:r>
            <w:r>
              <w:rPr>
                <w:rFonts w:hint="eastAsia" w:ascii="宋体" w:hAnsi="宋体"/>
                <w:sz w:val="24"/>
                <w:szCs w:val="21"/>
              </w:rPr>
              <w:tab/>
            </w:r>
            <w:r>
              <w:rPr>
                <w:rFonts w:hint="eastAsia" w:ascii="宋体" w:hAnsi="宋体"/>
                <w:sz w:val="24"/>
                <w:szCs w:val="21"/>
              </w:rPr>
              <w:t>系统业务软件要求</w:t>
            </w:r>
          </w:p>
          <w:p w14:paraId="577014E6">
            <w:pPr>
              <w:rPr>
                <w:rFonts w:hint="eastAsia" w:ascii="宋体" w:hAnsi="宋体"/>
                <w:sz w:val="24"/>
                <w:szCs w:val="21"/>
              </w:rPr>
            </w:pPr>
            <w:r>
              <w:rPr>
                <w:rFonts w:hint="eastAsia" w:ascii="宋体" w:hAnsi="宋体"/>
                <w:sz w:val="24"/>
                <w:szCs w:val="21"/>
              </w:rPr>
              <w:t>系统应同时支持B/S和移动APP方式实现机房的监控和管理功能，监控管理功能应满足以下要求。</w:t>
            </w:r>
          </w:p>
          <w:p w14:paraId="545068E7">
            <w:pPr>
              <w:rPr>
                <w:rFonts w:hint="eastAsia" w:ascii="宋体" w:hAnsi="宋体"/>
                <w:sz w:val="24"/>
                <w:szCs w:val="21"/>
              </w:rPr>
            </w:pPr>
            <w:r>
              <w:rPr>
                <w:rFonts w:hint="eastAsia" w:ascii="宋体" w:hAnsi="宋体"/>
                <w:sz w:val="24"/>
                <w:szCs w:val="21"/>
              </w:rPr>
              <w:t>3.1</w:t>
            </w:r>
            <w:r>
              <w:rPr>
                <w:rFonts w:hint="eastAsia" w:ascii="宋体" w:hAnsi="宋体"/>
                <w:sz w:val="24"/>
                <w:szCs w:val="21"/>
              </w:rPr>
              <w:tab/>
            </w:r>
            <w:r>
              <w:rPr>
                <w:rFonts w:hint="eastAsia" w:ascii="宋体" w:hAnsi="宋体"/>
                <w:sz w:val="24"/>
                <w:szCs w:val="21"/>
              </w:rPr>
              <w:t>B/S监控功能要求</w:t>
            </w:r>
          </w:p>
          <w:p w14:paraId="66E7E67B">
            <w:pPr>
              <w:rPr>
                <w:rFonts w:hint="eastAsia" w:ascii="宋体" w:hAnsi="宋体"/>
                <w:sz w:val="24"/>
                <w:szCs w:val="21"/>
              </w:rPr>
            </w:pPr>
            <w:r>
              <w:rPr>
                <w:rFonts w:hint="eastAsia" w:ascii="宋体" w:hAnsi="宋体"/>
                <w:sz w:val="24"/>
                <w:szCs w:val="21"/>
              </w:rPr>
              <w:t>1)</w:t>
            </w:r>
            <w:r>
              <w:rPr>
                <w:rFonts w:hint="eastAsia" w:ascii="宋体" w:hAnsi="宋体"/>
                <w:sz w:val="24"/>
                <w:szCs w:val="21"/>
              </w:rPr>
              <w:tab/>
            </w:r>
            <w:r>
              <w:rPr>
                <w:rFonts w:hint="eastAsia" w:ascii="宋体" w:hAnsi="宋体"/>
                <w:sz w:val="24"/>
                <w:szCs w:val="21"/>
              </w:rPr>
              <w:t>监控首页</w:t>
            </w:r>
          </w:p>
          <w:p w14:paraId="3660E6E0">
            <w:pPr>
              <w:rPr>
                <w:rFonts w:hint="eastAsia" w:ascii="宋体" w:hAnsi="宋体"/>
                <w:sz w:val="24"/>
                <w:szCs w:val="21"/>
              </w:rPr>
            </w:pPr>
            <w:r>
              <w:rPr>
                <w:rFonts w:hint="eastAsia" w:ascii="宋体" w:hAnsi="宋体"/>
                <w:sz w:val="24"/>
                <w:szCs w:val="21"/>
              </w:rPr>
              <w:t>监控首页应由设备和环境关键指标、2D楼层组态图组成，并在同一页面展示。楼层组态应支持分页显示，以支持楼层2D组态图切换，设备或环境告警时，应采用不同告警颜色予以区分。</w:t>
            </w:r>
          </w:p>
          <w:p w14:paraId="4FBF17B8">
            <w:pPr>
              <w:rPr>
                <w:rFonts w:hint="eastAsia" w:ascii="宋体" w:hAnsi="宋体"/>
                <w:sz w:val="24"/>
                <w:szCs w:val="21"/>
              </w:rPr>
            </w:pPr>
            <w:r>
              <w:rPr>
                <w:rFonts w:hint="eastAsia" w:ascii="宋体" w:hAnsi="宋体"/>
                <w:sz w:val="24"/>
                <w:szCs w:val="21"/>
              </w:rPr>
              <w:t>系统应支持通过点击首页关键设备和环境信息，进入设备或环境组态页面，在设备和环境组态页面呈现细化信息。</w:t>
            </w:r>
          </w:p>
          <w:p w14:paraId="3736373E">
            <w:pPr>
              <w:rPr>
                <w:rFonts w:hint="eastAsia" w:ascii="宋体" w:hAnsi="宋体"/>
                <w:sz w:val="24"/>
                <w:szCs w:val="21"/>
              </w:rPr>
            </w:pPr>
            <w:r>
              <w:rPr>
                <w:rFonts w:hint="eastAsia" w:ascii="宋体" w:hAnsi="宋体"/>
                <w:sz w:val="24"/>
                <w:szCs w:val="21"/>
              </w:rPr>
              <w:t>2)</w:t>
            </w:r>
            <w:r>
              <w:rPr>
                <w:rFonts w:hint="eastAsia" w:ascii="宋体" w:hAnsi="宋体"/>
                <w:sz w:val="24"/>
                <w:szCs w:val="21"/>
              </w:rPr>
              <w:tab/>
            </w:r>
            <w:r>
              <w:rPr>
                <w:rFonts w:hint="eastAsia" w:ascii="宋体" w:hAnsi="宋体"/>
                <w:sz w:val="24"/>
                <w:szCs w:val="21"/>
              </w:rPr>
              <w:t>设备详情</w:t>
            </w:r>
          </w:p>
          <w:p w14:paraId="78FADDE2">
            <w:pPr>
              <w:rPr>
                <w:rFonts w:hint="eastAsia" w:ascii="宋体" w:hAnsi="宋体"/>
                <w:sz w:val="24"/>
                <w:szCs w:val="21"/>
              </w:rPr>
            </w:pPr>
            <w:r>
              <w:rPr>
                <w:rFonts w:hint="eastAsia" w:ascii="宋体" w:hAnsi="宋体"/>
                <w:sz w:val="24"/>
                <w:szCs w:val="21"/>
              </w:rPr>
              <w:t>设备详情应采用树形结构选择模式，通过选择树形结构上的设备和环境节点，呈现机房动力设备和环境的全量检测信息和控制信息。</w:t>
            </w:r>
          </w:p>
          <w:p w14:paraId="1C824ABD">
            <w:pPr>
              <w:rPr>
                <w:rFonts w:hint="eastAsia" w:ascii="宋体" w:hAnsi="宋体"/>
                <w:sz w:val="24"/>
                <w:szCs w:val="21"/>
              </w:rPr>
            </w:pPr>
            <w:r>
              <w:rPr>
                <w:rFonts w:hint="eastAsia" w:ascii="宋体" w:hAnsi="宋体"/>
                <w:sz w:val="24"/>
                <w:szCs w:val="21"/>
              </w:rPr>
              <w:t>设备详情应按信号、事件、控制和设备四个页面呈现，信号和事件的属性应支持自定义。</w:t>
            </w:r>
          </w:p>
          <w:p w14:paraId="2606FA0C">
            <w:pPr>
              <w:rPr>
                <w:rFonts w:hint="eastAsia" w:ascii="宋体" w:hAnsi="宋体"/>
                <w:sz w:val="24"/>
                <w:szCs w:val="21"/>
              </w:rPr>
            </w:pPr>
            <w:r>
              <w:rPr>
                <w:rFonts w:hint="eastAsia" w:ascii="宋体" w:hAnsi="宋体"/>
                <w:sz w:val="24"/>
                <w:szCs w:val="21"/>
              </w:rPr>
              <w:t>设备详情应提供实时跟踪曲线和历史查询曲线，跟踪设备信号的实时趋势和历史趋势状况。</w:t>
            </w:r>
          </w:p>
          <w:p w14:paraId="24580C05">
            <w:pPr>
              <w:rPr>
                <w:rFonts w:hint="eastAsia" w:ascii="宋体" w:hAnsi="宋体"/>
                <w:sz w:val="24"/>
                <w:szCs w:val="21"/>
              </w:rPr>
            </w:pPr>
            <w:r>
              <w:rPr>
                <w:rFonts w:hint="eastAsia" w:ascii="宋体" w:hAnsi="宋体"/>
                <w:sz w:val="24"/>
                <w:szCs w:val="21"/>
              </w:rPr>
              <w:t>设备详情支持在线配置，对信号名称、信号表达式、存储周期、告警绝对阀值、百分比阀值和信号属性等进行配置。</w:t>
            </w:r>
          </w:p>
          <w:p w14:paraId="4AF6113B">
            <w:pPr>
              <w:rPr>
                <w:rFonts w:hint="eastAsia" w:ascii="宋体" w:hAnsi="宋体"/>
                <w:sz w:val="24"/>
                <w:szCs w:val="21"/>
              </w:rPr>
            </w:pPr>
            <w:r>
              <w:rPr>
                <w:rFonts w:hint="eastAsia" w:ascii="宋体" w:hAnsi="宋体"/>
                <w:sz w:val="24"/>
                <w:szCs w:val="21"/>
              </w:rPr>
              <w:t>3)</w:t>
            </w:r>
            <w:r>
              <w:rPr>
                <w:rFonts w:hint="eastAsia" w:ascii="宋体" w:hAnsi="宋体"/>
                <w:sz w:val="24"/>
                <w:szCs w:val="21"/>
              </w:rPr>
              <w:tab/>
            </w:r>
            <w:r>
              <w:rPr>
                <w:rFonts w:hint="eastAsia" w:ascii="宋体" w:hAnsi="宋体"/>
                <w:sz w:val="24"/>
                <w:szCs w:val="21"/>
              </w:rPr>
              <w:t>事件管理</w:t>
            </w:r>
          </w:p>
          <w:p w14:paraId="23305370">
            <w:pPr>
              <w:rPr>
                <w:rFonts w:hint="eastAsia" w:ascii="宋体" w:hAnsi="宋体"/>
                <w:sz w:val="24"/>
                <w:szCs w:val="21"/>
              </w:rPr>
            </w:pPr>
            <w:r>
              <w:rPr>
                <w:rFonts w:hint="eastAsia" w:ascii="宋体" w:hAnsi="宋体"/>
                <w:sz w:val="24"/>
                <w:szCs w:val="21"/>
              </w:rPr>
              <w:t>系统应提供独立的事件管理页面，滚动呈现监控事件信息。</w:t>
            </w:r>
          </w:p>
          <w:p w14:paraId="0BA67DB9">
            <w:pPr>
              <w:rPr>
                <w:rFonts w:hint="eastAsia" w:ascii="宋体" w:hAnsi="宋体"/>
                <w:sz w:val="24"/>
                <w:szCs w:val="21"/>
              </w:rPr>
            </w:pPr>
            <w:r>
              <w:rPr>
                <w:rFonts w:hint="eastAsia" w:ascii="宋体" w:hAnsi="宋体"/>
                <w:sz w:val="24"/>
                <w:szCs w:val="21"/>
              </w:rPr>
              <w:t>事件管理应支持四级告警，一级告警以红色标识，二级告警以橙色标识，三级告警以黄色标识，四级告警以淡蓝色标识。</w:t>
            </w:r>
          </w:p>
          <w:p w14:paraId="664B7E7F">
            <w:pPr>
              <w:rPr>
                <w:rFonts w:ascii="宋体" w:hAnsi="宋体"/>
                <w:sz w:val="24"/>
                <w:szCs w:val="21"/>
              </w:rPr>
            </w:pPr>
            <w:r>
              <w:rPr>
                <w:rFonts w:ascii="宋体" w:hAnsi="宋体"/>
                <w:sz w:val="24"/>
                <w:szCs w:val="21"/>
              </w:rPr>
              <w:t></w:t>
            </w:r>
            <w:r>
              <w:rPr>
                <w:rFonts w:ascii="宋体" w:hAnsi="宋体"/>
                <w:sz w:val="24"/>
                <w:szCs w:val="21"/>
              </w:rPr>
              <w:tab/>
            </w:r>
            <w:r>
              <w:rPr>
                <w:rFonts w:hint="eastAsia" w:ascii="宋体" w:hAnsi="宋体"/>
                <w:sz w:val="24"/>
                <w:szCs w:val="21"/>
              </w:rPr>
              <w:t>一级告警：可能引发全局性供电安全及引起电源系统、空调系统退出服务导致所服务的核心业务退服的动环类告警定义为一级告警。</w:t>
            </w:r>
          </w:p>
          <w:p w14:paraId="05637DB7">
            <w:pPr>
              <w:rPr>
                <w:rFonts w:ascii="宋体" w:hAnsi="宋体"/>
                <w:sz w:val="24"/>
                <w:szCs w:val="21"/>
              </w:rPr>
            </w:pPr>
            <w:r>
              <w:rPr>
                <w:rFonts w:ascii="宋体" w:hAnsi="宋体"/>
                <w:sz w:val="24"/>
                <w:szCs w:val="21"/>
              </w:rPr>
              <w:t></w:t>
            </w:r>
            <w:r>
              <w:rPr>
                <w:rFonts w:ascii="宋体" w:hAnsi="宋体"/>
                <w:sz w:val="24"/>
                <w:szCs w:val="21"/>
              </w:rPr>
              <w:tab/>
            </w:r>
            <w:r>
              <w:rPr>
                <w:rFonts w:hint="eastAsia" w:ascii="宋体" w:hAnsi="宋体"/>
                <w:sz w:val="24"/>
                <w:szCs w:val="21"/>
              </w:rPr>
              <w:t>二级告警：可能对电源系统、空调系统造成整体退出服务或运行性能下降的告警定义为二级告警。</w:t>
            </w:r>
          </w:p>
          <w:p w14:paraId="1EF36A26">
            <w:pPr>
              <w:rPr>
                <w:rFonts w:ascii="宋体" w:hAnsi="宋体"/>
                <w:sz w:val="24"/>
                <w:szCs w:val="21"/>
              </w:rPr>
            </w:pPr>
            <w:r>
              <w:rPr>
                <w:rFonts w:ascii="宋体" w:hAnsi="宋体"/>
                <w:sz w:val="24"/>
                <w:szCs w:val="21"/>
              </w:rPr>
              <w:t></w:t>
            </w:r>
            <w:r>
              <w:rPr>
                <w:rFonts w:ascii="宋体" w:hAnsi="宋体"/>
                <w:sz w:val="24"/>
                <w:szCs w:val="21"/>
              </w:rPr>
              <w:tab/>
            </w:r>
            <w:r>
              <w:rPr>
                <w:rFonts w:hint="eastAsia" w:ascii="宋体" w:hAnsi="宋体"/>
                <w:sz w:val="24"/>
                <w:szCs w:val="21"/>
              </w:rPr>
              <w:t>三级告警：电源系统、空调系统中发生的设备部件故障但不影响设备整体运行性能的告警定义为三级告警。</w:t>
            </w:r>
          </w:p>
          <w:p w14:paraId="447E775F">
            <w:pPr>
              <w:rPr>
                <w:rFonts w:ascii="宋体" w:hAnsi="宋体"/>
                <w:sz w:val="24"/>
                <w:szCs w:val="21"/>
              </w:rPr>
            </w:pPr>
            <w:r>
              <w:rPr>
                <w:rFonts w:ascii="宋体" w:hAnsi="宋体"/>
                <w:sz w:val="24"/>
                <w:szCs w:val="21"/>
              </w:rPr>
              <w:t></w:t>
            </w:r>
            <w:r>
              <w:rPr>
                <w:rFonts w:ascii="宋体" w:hAnsi="宋体"/>
                <w:sz w:val="24"/>
                <w:szCs w:val="21"/>
              </w:rPr>
              <w:tab/>
            </w:r>
            <w:r>
              <w:rPr>
                <w:rFonts w:hint="eastAsia" w:ascii="宋体" w:hAnsi="宋体"/>
                <w:sz w:val="24"/>
                <w:szCs w:val="21"/>
              </w:rPr>
              <w:t>四级告警：电源系统、空调系统中设备发送的维护提示性告警信息定义为四级告警。如：空调滤网更换提示信息等。</w:t>
            </w:r>
          </w:p>
          <w:p w14:paraId="0EA4938F">
            <w:pPr>
              <w:rPr>
                <w:rFonts w:hint="eastAsia" w:ascii="宋体" w:hAnsi="宋体"/>
                <w:sz w:val="24"/>
                <w:szCs w:val="21"/>
              </w:rPr>
            </w:pPr>
            <w:r>
              <w:rPr>
                <w:rFonts w:hint="eastAsia" w:ascii="宋体" w:hAnsi="宋体"/>
                <w:sz w:val="24"/>
                <w:szCs w:val="21"/>
              </w:rPr>
              <w:t>事件管理可根据告警级别提供不同的告警推送方式，如多媒体和短信等告警推送方式。</w:t>
            </w:r>
          </w:p>
          <w:p w14:paraId="2B1BDCC7">
            <w:pPr>
              <w:rPr>
                <w:rFonts w:hint="eastAsia" w:ascii="宋体" w:hAnsi="宋体"/>
                <w:sz w:val="24"/>
                <w:szCs w:val="21"/>
              </w:rPr>
            </w:pPr>
            <w:r>
              <w:rPr>
                <w:rFonts w:hint="eastAsia" w:ascii="宋体" w:hAnsi="宋体"/>
                <w:sz w:val="24"/>
                <w:szCs w:val="21"/>
              </w:rPr>
              <w:t>事件管理应提供过滤功能，对不需要做出反应的告警进行相应的过滤，过滤条件可以由用户进行设置。</w:t>
            </w:r>
          </w:p>
          <w:p w14:paraId="0B67EA73">
            <w:pPr>
              <w:rPr>
                <w:rFonts w:hint="eastAsia" w:ascii="宋体" w:hAnsi="宋体"/>
                <w:sz w:val="24"/>
                <w:szCs w:val="21"/>
              </w:rPr>
            </w:pPr>
            <w:r>
              <w:rPr>
                <w:rFonts w:hint="eastAsia" w:ascii="宋体" w:hAnsi="宋体"/>
                <w:sz w:val="24"/>
                <w:szCs w:val="21"/>
              </w:rPr>
              <w:t>事件管理应提供告警屏蔽功能，能自动屏蔽由其它告警引起的非主要告警的功能。</w:t>
            </w:r>
          </w:p>
          <w:p w14:paraId="1EBCE065">
            <w:pPr>
              <w:rPr>
                <w:rFonts w:hint="eastAsia" w:ascii="宋体" w:hAnsi="宋体"/>
                <w:sz w:val="24"/>
                <w:szCs w:val="21"/>
              </w:rPr>
            </w:pPr>
            <w:r>
              <w:rPr>
                <w:rFonts w:hint="eastAsia" w:ascii="宋体" w:hAnsi="宋体"/>
                <w:sz w:val="24"/>
                <w:szCs w:val="21"/>
              </w:rPr>
              <w:t>事件管理应提供告警延时设定功能，当告警在延时的范围内消除时，将不上送告警，告警延时时间可由用户设定。</w:t>
            </w:r>
          </w:p>
          <w:p w14:paraId="4577566C">
            <w:pPr>
              <w:rPr>
                <w:rFonts w:hint="eastAsia" w:ascii="宋体" w:hAnsi="宋体"/>
                <w:sz w:val="24"/>
                <w:szCs w:val="21"/>
              </w:rPr>
            </w:pPr>
            <w:r>
              <w:rPr>
                <w:rFonts w:hint="eastAsia" w:ascii="宋体" w:hAnsi="宋体"/>
                <w:sz w:val="24"/>
                <w:szCs w:val="21"/>
              </w:rPr>
              <w:t>事件管理应提供告警确认功能，发生告警时，可由相关人员进行告警确认。</w:t>
            </w:r>
          </w:p>
          <w:p w14:paraId="4A694DEA">
            <w:pPr>
              <w:rPr>
                <w:rFonts w:hint="eastAsia" w:ascii="宋体" w:hAnsi="宋体"/>
                <w:sz w:val="24"/>
                <w:szCs w:val="21"/>
              </w:rPr>
            </w:pPr>
            <w:r>
              <w:rPr>
                <w:rFonts w:hint="eastAsia" w:ascii="宋体" w:hAnsi="宋体"/>
                <w:sz w:val="24"/>
                <w:szCs w:val="21"/>
              </w:rPr>
              <w:t>事件管理应提供告警自动清除功能，告警发生后一段时间内又自动恢复，系统应自动清除告警窗内的显示并保存告警记录。</w:t>
            </w:r>
          </w:p>
          <w:p w14:paraId="36245642">
            <w:pPr>
              <w:rPr>
                <w:rFonts w:hint="eastAsia" w:ascii="宋体" w:hAnsi="宋体"/>
                <w:sz w:val="24"/>
                <w:szCs w:val="21"/>
              </w:rPr>
            </w:pPr>
            <w:r>
              <w:rPr>
                <w:rFonts w:hint="eastAsia" w:ascii="宋体" w:hAnsi="宋体"/>
                <w:sz w:val="24"/>
                <w:szCs w:val="21"/>
              </w:rPr>
              <w:t>4)</w:t>
            </w:r>
            <w:r>
              <w:rPr>
                <w:rFonts w:hint="eastAsia" w:ascii="宋体" w:hAnsi="宋体"/>
                <w:sz w:val="24"/>
                <w:szCs w:val="21"/>
              </w:rPr>
              <w:tab/>
            </w:r>
            <w:r>
              <w:rPr>
                <w:rFonts w:hint="eastAsia" w:ascii="宋体" w:hAnsi="宋体"/>
                <w:sz w:val="24"/>
                <w:szCs w:val="21"/>
              </w:rPr>
              <w:t>视频监控</w:t>
            </w:r>
          </w:p>
          <w:p w14:paraId="5DF0F066">
            <w:pPr>
              <w:rPr>
                <w:rFonts w:hint="eastAsia" w:ascii="宋体" w:hAnsi="宋体"/>
                <w:sz w:val="24"/>
                <w:szCs w:val="21"/>
              </w:rPr>
            </w:pPr>
            <w:r>
              <w:rPr>
                <w:rFonts w:hint="eastAsia" w:ascii="宋体" w:hAnsi="宋体"/>
                <w:sz w:val="24"/>
                <w:szCs w:val="21"/>
              </w:rPr>
              <w:t>系统应内置视频监控模块，获取历史视频信息和实时视频信息。</w:t>
            </w:r>
          </w:p>
          <w:p w14:paraId="104B0E61">
            <w:pPr>
              <w:rPr>
                <w:rFonts w:hint="eastAsia" w:ascii="宋体" w:hAnsi="宋体"/>
                <w:sz w:val="24"/>
                <w:szCs w:val="21"/>
              </w:rPr>
            </w:pPr>
            <w:r>
              <w:rPr>
                <w:rFonts w:hint="eastAsia" w:ascii="宋体" w:hAnsi="宋体"/>
                <w:sz w:val="24"/>
                <w:szCs w:val="21"/>
              </w:rPr>
              <w:t>系统应以组态图的方式呈现摄像机的位置，点击摄像机可读取摄像机的视频。</w:t>
            </w:r>
          </w:p>
          <w:p w14:paraId="7C554A9B">
            <w:pPr>
              <w:rPr>
                <w:rFonts w:hint="eastAsia" w:ascii="宋体" w:hAnsi="宋体"/>
                <w:sz w:val="24"/>
                <w:szCs w:val="21"/>
              </w:rPr>
            </w:pPr>
            <w:r>
              <w:rPr>
                <w:rFonts w:hint="eastAsia" w:ascii="宋体" w:hAnsi="宋体"/>
                <w:sz w:val="24"/>
                <w:szCs w:val="21"/>
              </w:rPr>
              <w:t>系统应支持回放功能，从组态图上选择摄像机回放历史视频。</w:t>
            </w:r>
          </w:p>
          <w:p w14:paraId="390F1D64">
            <w:pPr>
              <w:rPr>
                <w:rFonts w:hint="eastAsia" w:ascii="宋体" w:hAnsi="宋体"/>
                <w:sz w:val="24"/>
                <w:szCs w:val="21"/>
              </w:rPr>
            </w:pPr>
            <w:r>
              <w:rPr>
                <w:rFonts w:hint="eastAsia" w:ascii="宋体" w:hAnsi="宋体"/>
                <w:sz w:val="24"/>
                <w:szCs w:val="21"/>
              </w:rPr>
              <w:t>5)</w:t>
            </w:r>
            <w:r>
              <w:rPr>
                <w:rFonts w:hint="eastAsia" w:ascii="宋体" w:hAnsi="宋体"/>
                <w:sz w:val="24"/>
                <w:szCs w:val="21"/>
              </w:rPr>
              <w:tab/>
            </w:r>
            <w:r>
              <w:rPr>
                <w:rFonts w:hint="eastAsia" w:ascii="宋体" w:hAnsi="宋体"/>
                <w:sz w:val="24"/>
                <w:szCs w:val="21"/>
              </w:rPr>
              <w:t>门禁管理</w:t>
            </w:r>
          </w:p>
          <w:p w14:paraId="660289EF">
            <w:pPr>
              <w:rPr>
                <w:rFonts w:hint="eastAsia" w:ascii="宋体" w:hAnsi="宋体"/>
                <w:sz w:val="24"/>
                <w:szCs w:val="21"/>
              </w:rPr>
            </w:pPr>
            <w:r>
              <w:rPr>
                <w:rFonts w:hint="eastAsia" w:ascii="宋体" w:hAnsi="宋体"/>
                <w:sz w:val="24"/>
                <w:szCs w:val="21"/>
              </w:rPr>
              <w:t>系统应内置门禁管理模块，实现机房出入浏览、控制和门禁的管理配置。提供各机房出入状况列表，包括刷卡时间、人员、刷卡人信息等信息。选择机房，可对机房的门禁进行远程开门控制。</w:t>
            </w:r>
          </w:p>
          <w:p w14:paraId="1A991D02">
            <w:pPr>
              <w:rPr>
                <w:rFonts w:hint="eastAsia" w:ascii="宋体" w:hAnsi="宋体"/>
                <w:sz w:val="24"/>
                <w:szCs w:val="21"/>
              </w:rPr>
            </w:pPr>
            <w:r>
              <w:rPr>
                <w:rFonts w:hint="eastAsia" w:ascii="宋体" w:hAnsi="宋体"/>
                <w:sz w:val="24"/>
                <w:szCs w:val="21"/>
              </w:rPr>
              <w:t>系统应提供门禁运行参数配置功能，可对单个和批量门禁运行参数进行设置，配置内容包括卡配置管理、指纹配置管理、门配置管理和门禁准进时段管理等。</w:t>
            </w:r>
          </w:p>
          <w:p w14:paraId="7D0C28FD">
            <w:pPr>
              <w:rPr>
                <w:rFonts w:hint="eastAsia" w:ascii="宋体" w:hAnsi="宋体"/>
                <w:sz w:val="24"/>
                <w:szCs w:val="21"/>
              </w:rPr>
            </w:pPr>
            <w:r>
              <w:rPr>
                <w:rFonts w:hint="eastAsia" w:ascii="宋体" w:hAnsi="宋体"/>
                <w:sz w:val="24"/>
                <w:szCs w:val="21"/>
              </w:rPr>
              <w:t>6)</w:t>
            </w:r>
            <w:r>
              <w:rPr>
                <w:rFonts w:hint="eastAsia" w:ascii="宋体" w:hAnsi="宋体"/>
                <w:sz w:val="24"/>
                <w:szCs w:val="21"/>
              </w:rPr>
              <w:tab/>
            </w:r>
            <w:r>
              <w:rPr>
                <w:rFonts w:hint="eastAsia" w:ascii="宋体" w:hAnsi="宋体"/>
                <w:sz w:val="24"/>
                <w:szCs w:val="21"/>
              </w:rPr>
              <w:t>权限管理</w:t>
            </w:r>
          </w:p>
          <w:p w14:paraId="74900C0C">
            <w:pPr>
              <w:rPr>
                <w:rFonts w:hint="eastAsia" w:ascii="宋体" w:hAnsi="宋体"/>
                <w:sz w:val="24"/>
                <w:szCs w:val="21"/>
              </w:rPr>
            </w:pPr>
            <w:r>
              <w:rPr>
                <w:rFonts w:hint="eastAsia" w:ascii="宋体" w:hAnsi="宋体"/>
                <w:sz w:val="24"/>
                <w:szCs w:val="21"/>
              </w:rPr>
              <w:t>权限管理应提供用户及其权限配置管理功能，对用户基本信息和角色进行配置，管理员可进行增、删、改、查操作。</w:t>
            </w:r>
          </w:p>
          <w:p w14:paraId="598E3725">
            <w:pPr>
              <w:rPr>
                <w:rFonts w:hint="eastAsia" w:ascii="宋体" w:hAnsi="宋体"/>
                <w:sz w:val="24"/>
                <w:szCs w:val="21"/>
              </w:rPr>
            </w:pPr>
            <w:r>
              <w:rPr>
                <w:rFonts w:hint="eastAsia" w:ascii="宋体" w:hAnsi="宋体"/>
                <w:sz w:val="24"/>
                <w:szCs w:val="21"/>
              </w:rPr>
              <w:t>权限管理应支持业务模块权限、操作权限和专业权限的配置管理。</w:t>
            </w:r>
          </w:p>
          <w:p w14:paraId="2199E552">
            <w:pPr>
              <w:rPr>
                <w:rFonts w:hint="eastAsia" w:ascii="宋体" w:hAnsi="宋体"/>
                <w:sz w:val="24"/>
                <w:szCs w:val="21"/>
              </w:rPr>
            </w:pPr>
            <w:r>
              <w:rPr>
                <w:rFonts w:hint="eastAsia" w:ascii="宋体" w:hAnsi="宋体"/>
                <w:sz w:val="24"/>
                <w:szCs w:val="21"/>
              </w:rPr>
              <w:t>权限管理应对账号进行严格管理，账号口令必须3个月定期进行修改；如果账号即将过期，通知用户修改口令；在用户登录时，必须先修改口令才能继续维护操作。账号口令必须进行加密存储，不允许账号口令存在弱口令现象。</w:t>
            </w:r>
          </w:p>
          <w:p w14:paraId="34F1753C">
            <w:pPr>
              <w:rPr>
                <w:rFonts w:hint="eastAsia" w:ascii="宋体" w:hAnsi="宋体"/>
                <w:sz w:val="24"/>
                <w:szCs w:val="21"/>
              </w:rPr>
            </w:pPr>
            <w:r>
              <w:rPr>
                <w:rFonts w:hint="eastAsia" w:ascii="宋体" w:hAnsi="宋体"/>
                <w:sz w:val="24"/>
                <w:szCs w:val="21"/>
              </w:rPr>
              <w:t>7)</w:t>
            </w:r>
            <w:r>
              <w:rPr>
                <w:rFonts w:hint="eastAsia" w:ascii="宋体" w:hAnsi="宋体"/>
                <w:sz w:val="24"/>
                <w:szCs w:val="21"/>
              </w:rPr>
              <w:tab/>
            </w:r>
            <w:r>
              <w:rPr>
                <w:rFonts w:hint="eastAsia" w:ascii="宋体" w:hAnsi="宋体"/>
                <w:sz w:val="24"/>
                <w:szCs w:val="21"/>
              </w:rPr>
              <w:t>日志管理</w:t>
            </w:r>
          </w:p>
          <w:p w14:paraId="2FAF6400">
            <w:pPr>
              <w:rPr>
                <w:rFonts w:hint="eastAsia" w:ascii="宋体" w:hAnsi="宋体"/>
                <w:sz w:val="24"/>
                <w:szCs w:val="21"/>
              </w:rPr>
            </w:pPr>
            <w:r>
              <w:rPr>
                <w:rFonts w:hint="eastAsia" w:ascii="宋体" w:hAnsi="宋体"/>
                <w:sz w:val="24"/>
                <w:szCs w:val="21"/>
              </w:rPr>
              <w:t>系统应提供日志管理功能，主要有操作日志、系统日志及对于日志自身安全的管理功能。</w:t>
            </w:r>
          </w:p>
          <w:p w14:paraId="3564CCB0">
            <w:pPr>
              <w:rPr>
                <w:rFonts w:hint="eastAsia" w:ascii="宋体" w:hAnsi="宋体"/>
                <w:sz w:val="24"/>
                <w:szCs w:val="21"/>
              </w:rPr>
            </w:pPr>
            <w:r>
              <w:rPr>
                <w:rFonts w:hint="eastAsia" w:ascii="宋体" w:hAnsi="宋体"/>
                <w:sz w:val="24"/>
                <w:szCs w:val="21"/>
              </w:rPr>
              <w:t>日志应包括操作日志、系统日志和安全日志, 并支持查询日志导出打印。</w:t>
            </w:r>
          </w:p>
          <w:p w14:paraId="76E07531">
            <w:pPr>
              <w:rPr>
                <w:rFonts w:hint="eastAsia" w:ascii="宋体" w:hAnsi="宋体"/>
                <w:sz w:val="24"/>
                <w:szCs w:val="21"/>
              </w:rPr>
            </w:pPr>
            <w:r>
              <w:rPr>
                <w:rFonts w:hint="eastAsia" w:ascii="宋体" w:hAnsi="宋体"/>
                <w:sz w:val="24"/>
                <w:szCs w:val="21"/>
              </w:rPr>
              <w:t>系统日志应能输出一般文书软件兼容格式的电子档案（如Microsoft Excel、CSV等格式）。</w:t>
            </w:r>
          </w:p>
          <w:p w14:paraId="73E31B19">
            <w:pPr>
              <w:rPr>
                <w:rFonts w:hint="eastAsia" w:ascii="宋体" w:hAnsi="宋体"/>
                <w:sz w:val="24"/>
                <w:szCs w:val="21"/>
              </w:rPr>
            </w:pPr>
            <w:r>
              <w:rPr>
                <w:rFonts w:hint="eastAsia" w:ascii="宋体" w:hAnsi="宋体"/>
                <w:sz w:val="24"/>
                <w:szCs w:val="21"/>
              </w:rPr>
              <w:t>系统日志不可被任何人修改，除最高级用户外，系统日志也不能被删除。</w:t>
            </w:r>
          </w:p>
          <w:p w14:paraId="7C29FF66">
            <w:pPr>
              <w:rPr>
                <w:rFonts w:hint="eastAsia" w:ascii="宋体" w:hAnsi="宋体"/>
                <w:sz w:val="24"/>
                <w:szCs w:val="21"/>
              </w:rPr>
            </w:pPr>
            <w:r>
              <w:rPr>
                <w:rFonts w:hint="eastAsia" w:ascii="宋体" w:hAnsi="宋体"/>
                <w:sz w:val="24"/>
                <w:szCs w:val="21"/>
              </w:rPr>
              <w:t>8)</w:t>
            </w:r>
            <w:r>
              <w:rPr>
                <w:rFonts w:hint="eastAsia" w:ascii="宋体" w:hAnsi="宋体"/>
                <w:sz w:val="24"/>
                <w:szCs w:val="21"/>
              </w:rPr>
              <w:tab/>
            </w:r>
            <w:r>
              <w:rPr>
                <w:rFonts w:hint="eastAsia" w:ascii="宋体" w:hAnsi="宋体"/>
                <w:sz w:val="24"/>
                <w:szCs w:val="21"/>
              </w:rPr>
              <w:t>报表管理</w:t>
            </w:r>
          </w:p>
          <w:p w14:paraId="7D018A45">
            <w:pPr>
              <w:rPr>
                <w:rFonts w:hint="eastAsia" w:ascii="宋体" w:hAnsi="宋体"/>
                <w:sz w:val="24"/>
                <w:szCs w:val="21"/>
              </w:rPr>
            </w:pPr>
            <w:r>
              <w:rPr>
                <w:rFonts w:hint="eastAsia" w:ascii="宋体" w:hAnsi="宋体"/>
                <w:sz w:val="24"/>
                <w:szCs w:val="21"/>
              </w:rPr>
              <w:t>系统应提供基础报表功能，具有记录、统计和生成以下各种报表及曲线图：</w:t>
            </w:r>
          </w:p>
          <w:p w14:paraId="4045E471">
            <w:pPr>
              <w:rPr>
                <w:rFonts w:ascii="宋体" w:hAnsi="宋体"/>
                <w:sz w:val="24"/>
                <w:szCs w:val="21"/>
              </w:rPr>
            </w:pPr>
            <w:r>
              <w:rPr>
                <w:rFonts w:ascii="宋体" w:hAnsi="宋体"/>
                <w:sz w:val="24"/>
                <w:szCs w:val="21"/>
              </w:rPr>
              <w:t></w:t>
            </w:r>
            <w:r>
              <w:rPr>
                <w:rFonts w:ascii="宋体" w:hAnsi="宋体"/>
                <w:sz w:val="24"/>
                <w:szCs w:val="21"/>
              </w:rPr>
              <w:tab/>
            </w:r>
            <w:r>
              <w:rPr>
                <w:rFonts w:hint="eastAsia" w:ascii="宋体" w:hAnsi="宋体"/>
                <w:sz w:val="24"/>
                <w:szCs w:val="21"/>
              </w:rPr>
              <w:t>时间段历史数据记录报表、历史数据曲线图</w:t>
            </w:r>
          </w:p>
          <w:p w14:paraId="55E3ED53">
            <w:pPr>
              <w:rPr>
                <w:rFonts w:ascii="宋体" w:hAnsi="宋体"/>
                <w:sz w:val="24"/>
                <w:szCs w:val="21"/>
              </w:rPr>
            </w:pPr>
            <w:r>
              <w:rPr>
                <w:rFonts w:ascii="宋体" w:hAnsi="宋体"/>
                <w:sz w:val="24"/>
                <w:szCs w:val="21"/>
              </w:rPr>
              <w:t></w:t>
            </w:r>
            <w:r>
              <w:rPr>
                <w:rFonts w:ascii="宋体" w:hAnsi="宋体"/>
                <w:sz w:val="24"/>
                <w:szCs w:val="21"/>
              </w:rPr>
              <w:tab/>
            </w:r>
            <w:r>
              <w:rPr>
                <w:rFonts w:hint="eastAsia" w:ascii="宋体" w:hAnsi="宋体"/>
                <w:sz w:val="24"/>
                <w:szCs w:val="21"/>
              </w:rPr>
              <w:t>时间段刷卡统计报表、刷卡记录报表</w:t>
            </w:r>
          </w:p>
          <w:p w14:paraId="4246AAD1">
            <w:pPr>
              <w:rPr>
                <w:rFonts w:ascii="宋体" w:hAnsi="宋体"/>
                <w:sz w:val="24"/>
                <w:szCs w:val="21"/>
              </w:rPr>
            </w:pPr>
            <w:r>
              <w:rPr>
                <w:rFonts w:ascii="宋体" w:hAnsi="宋体"/>
                <w:sz w:val="24"/>
                <w:szCs w:val="21"/>
              </w:rPr>
              <w:t></w:t>
            </w:r>
            <w:r>
              <w:rPr>
                <w:rFonts w:ascii="宋体" w:hAnsi="宋体"/>
                <w:sz w:val="24"/>
                <w:szCs w:val="21"/>
              </w:rPr>
              <w:tab/>
            </w:r>
            <w:r>
              <w:rPr>
                <w:rFonts w:hint="eastAsia" w:ascii="宋体" w:hAnsi="宋体"/>
                <w:sz w:val="24"/>
                <w:szCs w:val="21"/>
              </w:rPr>
              <w:t>时间段控制命令历史记录报表</w:t>
            </w:r>
          </w:p>
          <w:p w14:paraId="7D1E17A2">
            <w:pPr>
              <w:rPr>
                <w:rFonts w:ascii="宋体" w:hAnsi="宋体"/>
                <w:sz w:val="24"/>
                <w:szCs w:val="21"/>
              </w:rPr>
            </w:pPr>
            <w:r>
              <w:rPr>
                <w:rFonts w:ascii="宋体" w:hAnsi="宋体"/>
                <w:sz w:val="24"/>
                <w:szCs w:val="21"/>
              </w:rPr>
              <w:t></w:t>
            </w:r>
            <w:r>
              <w:rPr>
                <w:rFonts w:ascii="宋体" w:hAnsi="宋体"/>
                <w:sz w:val="24"/>
                <w:szCs w:val="21"/>
              </w:rPr>
              <w:tab/>
            </w:r>
            <w:r>
              <w:rPr>
                <w:rFonts w:hint="eastAsia" w:ascii="宋体" w:hAnsi="宋体"/>
                <w:sz w:val="24"/>
                <w:szCs w:val="21"/>
              </w:rPr>
              <w:t>时间段操作日志历史记录报表、操作日志统计报表</w:t>
            </w:r>
          </w:p>
          <w:p w14:paraId="0F3E8A3C">
            <w:pPr>
              <w:rPr>
                <w:rFonts w:ascii="宋体" w:hAnsi="宋体"/>
                <w:sz w:val="24"/>
                <w:szCs w:val="21"/>
              </w:rPr>
            </w:pPr>
            <w:r>
              <w:rPr>
                <w:rFonts w:ascii="宋体" w:hAnsi="宋体"/>
                <w:sz w:val="24"/>
                <w:szCs w:val="21"/>
              </w:rPr>
              <w:t></w:t>
            </w:r>
            <w:r>
              <w:rPr>
                <w:rFonts w:ascii="宋体" w:hAnsi="宋体"/>
                <w:sz w:val="24"/>
                <w:szCs w:val="21"/>
              </w:rPr>
              <w:tab/>
            </w:r>
            <w:r>
              <w:rPr>
                <w:rFonts w:hint="eastAsia" w:ascii="宋体" w:hAnsi="宋体"/>
                <w:sz w:val="24"/>
                <w:szCs w:val="21"/>
              </w:rPr>
              <w:t>登录人员信息表、人员登录记录表</w:t>
            </w:r>
          </w:p>
          <w:p w14:paraId="6CD3AC2C">
            <w:pPr>
              <w:rPr>
                <w:rFonts w:hint="eastAsia" w:ascii="宋体" w:hAnsi="宋体"/>
                <w:sz w:val="24"/>
                <w:szCs w:val="21"/>
              </w:rPr>
            </w:pPr>
            <w:r>
              <w:rPr>
                <w:rFonts w:hint="eastAsia" w:ascii="宋体" w:hAnsi="宋体"/>
                <w:sz w:val="24"/>
                <w:szCs w:val="21"/>
              </w:rPr>
              <w:t>报表输出应支持数据报表的在线打印和Excel格式输出。</w:t>
            </w:r>
          </w:p>
          <w:p w14:paraId="58E9ADCD">
            <w:pPr>
              <w:rPr>
                <w:rFonts w:hint="eastAsia" w:ascii="宋体" w:hAnsi="宋体"/>
                <w:sz w:val="24"/>
                <w:szCs w:val="21"/>
              </w:rPr>
            </w:pPr>
            <w:r>
              <w:rPr>
                <w:rFonts w:hint="eastAsia" w:ascii="宋体" w:hAnsi="宋体"/>
                <w:sz w:val="24"/>
                <w:szCs w:val="21"/>
              </w:rPr>
              <w:t>3.2</w:t>
            </w:r>
            <w:r>
              <w:rPr>
                <w:rFonts w:hint="eastAsia" w:ascii="宋体" w:hAnsi="宋体"/>
                <w:sz w:val="24"/>
                <w:szCs w:val="21"/>
              </w:rPr>
              <w:tab/>
            </w:r>
            <w:r>
              <w:rPr>
                <w:rFonts w:hint="eastAsia" w:ascii="宋体" w:hAnsi="宋体"/>
                <w:sz w:val="24"/>
                <w:szCs w:val="21"/>
              </w:rPr>
              <w:t>APP移动监控功能要求</w:t>
            </w:r>
          </w:p>
          <w:p w14:paraId="048F17D4">
            <w:pPr>
              <w:rPr>
                <w:rFonts w:hint="eastAsia" w:ascii="宋体" w:hAnsi="宋体"/>
                <w:sz w:val="24"/>
                <w:szCs w:val="21"/>
              </w:rPr>
            </w:pPr>
            <w:r>
              <w:rPr>
                <w:rFonts w:hint="eastAsia" w:ascii="宋体" w:hAnsi="宋体"/>
                <w:sz w:val="24"/>
                <w:szCs w:val="21"/>
              </w:rPr>
              <w:t>移动APP软件应具备系统总览功能，总览应统计监控设备数量、告警等级统计数据、告警待处理内容以及机房的温度趋势情况。</w:t>
            </w:r>
          </w:p>
          <w:p w14:paraId="7A48DC73">
            <w:pPr>
              <w:rPr>
                <w:rFonts w:hint="eastAsia" w:ascii="宋体" w:hAnsi="宋体"/>
                <w:sz w:val="24"/>
                <w:szCs w:val="21"/>
              </w:rPr>
            </w:pPr>
            <w:r>
              <w:rPr>
                <w:rFonts w:hint="eastAsia" w:ascii="宋体" w:hAnsi="宋体"/>
                <w:sz w:val="24"/>
                <w:szCs w:val="21"/>
              </w:rPr>
              <w:t>移动APP应具有系统巡检功能，自动统计设备的通讯状况、未处理的告警数量，并能进一步跟踪设备通信状态和未处理告警的详情。</w:t>
            </w:r>
          </w:p>
          <w:p w14:paraId="277614B9">
            <w:pPr>
              <w:rPr>
                <w:rFonts w:hint="eastAsia" w:ascii="宋体" w:hAnsi="宋体"/>
                <w:sz w:val="24"/>
                <w:szCs w:val="21"/>
              </w:rPr>
            </w:pPr>
            <w:r>
              <w:rPr>
                <w:rFonts w:hint="eastAsia" w:ascii="宋体" w:hAnsi="宋体"/>
                <w:sz w:val="24"/>
                <w:szCs w:val="21"/>
              </w:rPr>
              <w:t>移动APP应具有实时监控和浏览功能，可通过移动APP软件浏览所有房间的设备运行状况，查看相应设备的运行参数、开关状态和告警状况。</w:t>
            </w:r>
          </w:p>
          <w:p w14:paraId="2CF44228">
            <w:pPr>
              <w:rPr>
                <w:rFonts w:hint="eastAsia" w:ascii="宋体" w:hAnsi="宋体"/>
                <w:sz w:val="24"/>
                <w:szCs w:val="21"/>
              </w:rPr>
            </w:pPr>
            <w:r>
              <w:rPr>
                <w:rFonts w:hint="eastAsia" w:ascii="宋体" w:hAnsi="宋体"/>
                <w:sz w:val="24"/>
                <w:szCs w:val="21"/>
              </w:rPr>
              <w:t>4</w:t>
            </w:r>
            <w:r>
              <w:rPr>
                <w:rFonts w:hint="eastAsia" w:ascii="宋体" w:hAnsi="宋体"/>
                <w:sz w:val="24"/>
                <w:szCs w:val="21"/>
              </w:rPr>
              <w:tab/>
            </w:r>
            <w:r>
              <w:rPr>
                <w:rFonts w:hint="eastAsia" w:ascii="宋体" w:hAnsi="宋体"/>
                <w:sz w:val="24"/>
                <w:szCs w:val="21"/>
              </w:rPr>
              <w:t>监控系统硬件要求</w:t>
            </w:r>
          </w:p>
          <w:p w14:paraId="2725BDE7">
            <w:pPr>
              <w:rPr>
                <w:rFonts w:hint="eastAsia" w:ascii="宋体" w:hAnsi="宋体"/>
                <w:sz w:val="24"/>
                <w:szCs w:val="21"/>
              </w:rPr>
            </w:pPr>
            <w:r>
              <w:rPr>
                <w:rFonts w:hint="eastAsia" w:ascii="宋体" w:hAnsi="宋体"/>
                <w:sz w:val="24"/>
                <w:szCs w:val="21"/>
              </w:rPr>
              <w:t>4.1核心硬件采集工作站要求</w:t>
            </w:r>
          </w:p>
          <w:p w14:paraId="28D22332">
            <w:pPr>
              <w:rPr>
                <w:rFonts w:hint="eastAsia" w:ascii="宋体" w:hAnsi="宋体"/>
                <w:sz w:val="24"/>
                <w:szCs w:val="21"/>
              </w:rPr>
            </w:pPr>
            <w:r>
              <w:rPr>
                <w:rFonts w:hint="eastAsia" w:ascii="宋体" w:hAnsi="宋体"/>
                <w:sz w:val="24"/>
                <w:szCs w:val="21"/>
              </w:rPr>
              <w:t>本次采用一体机方式进行建设，动环采集、动环软件集成在一个设备上。支持报警模块功能，机房异常情况下可实现短信、语音双重报警。</w:t>
            </w:r>
          </w:p>
          <w:p w14:paraId="608E560B">
            <w:pPr>
              <w:rPr>
                <w:rFonts w:hint="eastAsia" w:ascii="宋体" w:hAnsi="宋体"/>
                <w:sz w:val="24"/>
                <w:szCs w:val="21"/>
              </w:rPr>
            </w:pPr>
            <w:r>
              <w:rPr>
                <w:rFonts w:hint="eastAsia" w:ascii="宋体" w:hAnsi="宋体"/>
                <w:sz w:val="24"/>
                <w:szCs w:val="21"/>
              </w:rPr>
              <w:t>★动环监控主机产品应通过国家认可的第三方认证机构（具备CMA或CNAS资质）关于电磁兼容的检测，并提供完整有效的检测报告证明文件，检测内容包括：通过静电放电抗扰度试验（ESD）、通过电快速脉冲群抗扰度试验(EFT)、通过浪涌(冲击)抗扰度试验、电磁干扰（EMI）传导骚扰、电磁干扰（EMI）辐射骚扰和防御雷电试验标准要求。</w:t>
            </w:r>
          </w:p>
          <w:p w14:paraId="73207B51">
            <w:pPr>
              <w:rPr>
                <w:rFonts w:hint="eastAsia" w:ascii="宋体" w:hAnsi="宋体"/>
                <w:sz w:val="24"/>
                <w:szCs w:val="21"/>
                <w:lang w:val="en-US" w:eastAsia="zh-CN"/>
              </w:rPr>
            </w:pPr>
            <w:r>
              <w:rPr>
                <w:rFonts w:hint="eastAsia" w:ascii="宋体" w:hAnsi="宋体"/>
                <w:sz w:val="24"/>
                <w:szCs w:val="21"/>
              </w:rPr>
              <w:t>监控主机参数要求如下：</w:t>
            </w:r>
            <w:r>
              <w:rPr>
                <w:rFonts w:ascii="宋体" w:hAnsi="宋体"/>
                <w:sz w:val="24"/>
                <w:szCs w:val="21"/>
              </w:rPr>
              <w:br w:type="textWrapping"/>
            </w:r>
            <w:r>
              <w:rPr>
                <w:rFonts w:hint="eastAsia" w:ascii="宋体" w:hAnsi="宋体"/>
                <w:sz w:val="24"/>
                <w:szCs w:val="21"/>
                <w:lang w:val="en-US" w:eastAsia="zh-CN"/>
              </w:rPr>
              <w:t>4.2接入能力</w:t>
            </w:r>
          </w:p>
          <w:p w14:paraId="02AAB2B6">
            <w:pPr>
              <w:numPr>
                <w:ilvl w:val="0"/>
                <w:numId w:val="1"/>
              </w:numPr>
              <w:rPr>
                <w:rFonts w:hint="eastAsia" w:ascii="宋体" w:hAnsi="宋体" w:cs="宋体"/>
                <w:kern w:val="0"/>
                <w:szCs w:val="21"/>
                <w:lang w:eastAsia="zh-CN"/>
              </w:rPr>
            </w:pPr>
            <w:r>
              <w:rPr>
                <w:rFonts w:hint="eastAsia" w:ascii="宋体" w:hAnsi="宋体" w:cs="宋体"/>
                <w:kern w:val="0"/>
                <w:szCs w:val="21"/>
              </w:rPr>
              <w:t>智能设备接口</w:t>
            </w:r>
            <w:r>
              <w:rPr>
                <w:rFonts w:hint="eastAsia" w:ascii="宋体" w:hAnsi="宋体" w:cs="宋体"/>
                <w:kern w:val="0"/>
                <w:szCs w:val="21"/>
                <w:lang w:eastAsia="zh-CN"/>
              </w:rPr>
              <w:t>，</w:t>
            </w:r>
            <w:r>
              <w:rPr>
                <w:rFonts w:hint="eastAsia" w:ascii="宋体" w:hAnsi="宋体" w:cs="宋体"/>
                <w:kern w:val="0"/>
                <w:szCs w:val="21"/>
              </w:rPr>
              <w:t>不少于12路独立的异步串行智能设备接口，作为RS485接口使用时。其中4个接口均要支持兼容RS232/RS485，其余接口支持RS485</w:t>
            </w:r>
            <w:r>
              <w:rPr>
                <w:rFonts w:hint="eastAsia" w:ascii="宋体" w:hAnsi="宋体" w:cs="宋体"/>
                <w:kern w:val="0"/>
                <w:szCs w:val="21"/>
                <w:lang w:eastAsia="zh-CN"/>
              </w:rPr>
              <w:t>；</w:t>
            </w:r>
          </w:p>
          <w:p w14:paraId="6F0D251A">
            <w:pPr>
              <w:numPr>
                <w:ilvl w:val="0"/>
                <w:numId w:val="1"/>
              </w:numPr>
              <w:rPr>
                <w:rFonts w:hint="eastAsia" w:ascii="宋体" w:hAnsi="宋体" w:cs="宋体"/>
                <w:kern w:val="0"/>
                <w:szCs w:val="21"/>
                <w:lang w:val="en-US" w:eastAsia="zh-CN"/>
              </w:rPr>
            </w:pPr>
            <w:r>
              <w:rPr>
                <w:rFonts w:hint="eastAsia" w:ascii="宋体" w:hAnsi="宋体" w:cs="宋体"/>
                <w:kern w:val="0"/>
                <w:szCs w:val="21"/>
              </w:rPr>
              <w:t>通用AI/DI</w:t>
            </w:r>
            <w:r>
              <w:rPr>
                <w:rFonts w:hint="eastAsia" w:ascii="宋体" w:hAnsi="宋体" w:cs="宋体"/>
                <w:kern w:val="0"/>
                <w:szCs w:val="21"/>
                <w:lang w:eastAsia="zh-CN"/>
              </w:rPr>
              <w:t>，</w:t>
            </w:r>
            <w:r>
              <w:rPr>
                <w:rFonts w:hint="eastAsia" w:ascii="宋体" w:hAnsi="宋体" w:cs="宋体"/>
                <w:kern w:val="0"/>
                <w:szCs w:val="21"/>
              </w:rPr>
              <w:t>不少于4路AI/DI通用测量接口；6路DI接口</w:t>
            </w:r>
          </w:p>
          <w:p w14:paraId="029FC2A9">
            <w:pPr>
              <w:numPr>
                <w:ilvl w:val="0"/>
                <w:numId w:val="1"/>
              </w:numPr>
              <w:rPr>
                <w:rFonts w:hint="eastAsia" w:ascii="宋体" w:hAnsi="宋体" w:cs="宋体"/>
                <w:kern w:val="0"/>
                <w:szCs w:val="21"/>
                <w:lang w:val="en-US" w:eastAsia="zh-CN"/>
              </w:rPr>
            </w:pPr>
            <w:r>
              <w:rPr>
                <w:rFonts w:hint="eastAsia" w:ascii="宋体" w:hAnsi="宋体" w:cs="宋体"/>
                <w:kern w:val="0"/>
                <w:szCs w:val="21"/>
              </w:rPr>
              <w:t>专用输入</w:t>
            </w:r>
            <w:r>
              <w:rPr>
                <w:rFonts w:hint="eastAsia" w:ascii="宋体" w:hAnsi="宋体" w:cs="宋体"/>
                <w:kern w:val="0"/>
                <w:szCs w:val="21"/>
                <w:lang w:eastAsia="zh-CN"/>
              </w:rPr>
              <w:t>，</w:t>
            </w:r>
            <w:r>
              <w:rPr>
                <w:rFonts w:hint="eastAsia" w:ascii="宋体" w:hAnsi="宋体" w:cs="宋体"/>
                <w:kern w:val="0"/>
                <w:szCs w:val="21"/>
              </w:rPr>
              <w:t>不少于4路专用水浸接口</w:t>
            </w:r>
          </w:p>
          <w:p w14:paraId="62F7732F">
            <w:pPr>
              <w:numPr>
                <w:ilvl w:val="0"/>
                <w:numId w:val="1"/>
              </w:numPr>
              <w:rPr>
                <w:rFonts w:hint="eastAsia" w:ascii="宋体" w:hAnsi="宋体" w:cs="宋体"/>
                <w:kern w:val="0"/>
                <w:szCs w:val="21"/>
                <w:lang w:val="en-US" w:eastAsia="zh-CN"/>
              </w:rPr>
            </w:pPr>
            <w:r>
              <w:rPr>
                <w:rFonts w:hint="eastAsia" w:ascii="宋体" w:hAnsi="宋体" w:cs="宋体"/>
                <w:kern w:val="0"/>
                <w:szCs w:val="21"/>
              </w:rPr>
              <w:t>DO</w:t>
            </w:r>
            <w:r>
              <w:rPr>
                <w:rFonts w:hint="eastAsia" w:ascii="宋体" w:hAnsi="宋体" w:cs="宋体"/>
                <w:kern w:val="0"/>
                <w:szCs w:val="21"/>
                <w:lang w:eastAsia="zh-CN"/>
              </w:rPr>
              <w:t>，</w:t>
            </w:r>
            <w:r>
              <w:rPr>
                <w:rFonts w:hint="eastAsia" w:ascii="宋体" w:hAnsi="宋体" w:cs="宋体"/>
                <w:kern w:val="0"/>
                <w:szCs w:val="21"/>
              </w:rPr>
              <w:t>不少于4路DO，触电容量1.</w:t>
            </w:r>
            <w:r>
              <w:rPr>
                <w:rFonts w:ascii="宋体" w:hAnsi="宋体" w:cs="宋体"/>
                <w:kern w:val="0"/>
                <w:szCs w:val="21"/>
              </w:rPr>
              <w:t>0</w:t>
            </w:r>
            <w:r>
              <w:rPr>
                <w:rFonts w:hint="eastAsia" w:ascii="宋体" w:hAnsi="宋体" w:cs="宋体"/>
                <w:kern w:val="0"/>
                <w:szCs w:val="21"/>
              </w:rPr>
              <w:t>A/30V DC.</w:t>
            </w:r>
          </w:p>
          <w:p w14:paraId="3F50BC84">
            <w:pPr>
              <w:numPr>
                <w:ilvl w:val="0"/>
                <w:numId w:val="1"/>
              </w:numPr>
              <w:rPr>
                <w:rFonts w:hint="eastAsia" w:ascii="宋体" w:hAnsi="宋体" w:cs="宋体"/>
                <w:kern w:val="0"/>
                <w:szCs w:val="21"/>
                <w:lang w:val="en-US" w:eastAsia="zh-CN"/>
              </w:rPr>
            </w:pPr>
            <w:r>
              <w:rPr>
                <w:rFonts w:hint="eastAsia" w:ascii="宋体" w:hAnsi="宋体" w:cs="宋体"/>
                <w:kern w:val="0"/>
                <w:szCs w:val="21"/>
              </w:rPr>
              <w:t>以太网通信接口</w:t>
            </w:r>
            <w:r>
              <w:rPr>
                <w:rFonts w:hint="eastAsia" w:ascii="宋体" w:hAnsi="宋体" w:cs="宋体"/>
                <w:kern w:val="0"/>
                <w:szCs w:val="21"/>
                <w:lang w:eastAsia="zh-CN"/>
              </w:rPr>
              <w:t>，</w:t>
            </w:r>
            <w:r>
              <w:rPr>
                <w:rFonts w:hint="eastAsia" w:ascii="宋体" w:hAnsi="宋体" w:cs="宋体"/>
                <w:kern w:val="0"/>
                <w:szCs w:val="21"/>
              </w:rPr>
              <w:t>具备不少于4路以太网通讯接口。其中两路支持POE功能。</w:t>
            </w:r>
          </w:p>
          <w:p w14:paraId="62802A93">
            <w:pPr>
              <w:numPr>
                <w:ilvl w:val="0"/>
                <w:numId w:val="1"/>
              </w:numPr>
              <w:rPr>
                <w:rFonts w:hint="eastAsia" w:ascii="宋体" w:hAnsi="宋体" w:cs="宋体"/>
                <w:kern w:val="0"/>
                <w:szCs w:val="21"/>
                <w:lang w:val="en-US" w:eastAsia="zh-CN"/>
              </w:rPr>
            </w:pPr>
            <w:r>
              <w:rPr>
                <w:rFonts w:hint="eastAsia" w:ascii="宋体" w:hAnsi="宋体" w:cs="宋体"/>
                <w:kern w:val="0"/>
                <w:szCs w:val="21"/>
              </w:rPr>
              <w:t>USB接口</w:t>
            </w:r>
            <w:r>
              <w:rPr>
                <w:rFonts w:hint="eastAsia" w:ascii="宋体" w:hAnsi="宋体" w:cs="宋体"/>
                <w:kern w:val="0"/>
                <w:szCs w:val="21"/>
                <w:lang w:eastAsia="zh-CN"/>
              </w:rPr>
              <w:t>，</w:t>
            </w:r>
            <w:r>
              <w:rPr>
                <w:rFonts w:hint="eastAsia" w:ascii="宋体" w:hAnsi="宋体" w:cs="宋体"/>
                <w:kern w:val="0"/>
                <w:szCs w:val="21"/>
              </w:rPr>
              <w:t>具备不少于1路USB2.0接口。</w:t>
            </w:r>
          </w:p>
          <w:p w14:paraId="38333B69">
            <w:pPr>
              <w:numPr>
                <w:ilvl w:val="0"/>
                <w:numId w:val="1"/>
              </w:numPr>
              <w:rPr>
                <w:rFonts w:hint="eastAsia" w:ascii="宋体" w:hAnsi="宋体" w:cs="宋体"/>
                <w:kern w:val="0"/>
                <w:szCs w:val="21"/>
                <w:lang w:val="en-US" w:eastAsia="zh-CN"/>
              </w:rPr>
            </w:pPr>
            <w:r>
              <w:rPr>
                <w:rFonts w:hint="eastAsia" w:ascii="宋体" w:hAnsi="宋体" w:cs="宋体"/>
                <w:kern w:val="0"/>
                <w:szCs w:val="21"/>
              </w:rPr>
              <w:t>端口采集精度</w:t>
            </w:r>
            <w:r>
              <w:rPr>
                <w:rFonts w:hint="eastAsia" w:ascii="宋体" w:hAnsi="宋体" w:cs="宋体"/>
                <w:kern w:val="0"/>
                <w:szCs w:val="21"/>
                <w:lang w:eastAsia="zh-CN"/>
              </w:rPr>
              <w:t>，</w:t>
            </w:r>
            <w:bookmarkStart w:id="0" w:name="_Toc9205"/>
            <w:bookmarkStart w:id="1" w:name="_Toc3474"/>
            <w:bookmarkStart w:id="2" w:name="_Toc14149"/>
            <w:bookmarkStart w:id="3" w:name="_Toc24821"/>
            <w:bookmarkStart w:id="4" w:name="_Toc23658"/>
            <w:bookmarkStart w:id="5" w:name="_Toc18575"/>
            <w:bookmarkStart w:id="6" w:name="_Toc27042"/>
            <w:bookmarkStart w:id="7" w:name="_Toc12445"/>
            <w:bookmarkStart w:id="8" w:name="_Toc6272"/>
            <w:r>
              <w:rPr>
                <w:rFonts w:hint="eastAsia" w:ascii="宋体" w:hAnsi="宋体" w:cs="宋体"/>
                <w:kern w:val="0"/>
                <w:szCs w:val="21"/>
              </w:rPr>
              <w:t>AI接口采集精度不低于0</w:t>
            </w:r>
            <w:r>
              <w:rPr>
                <w:rFonts w:ascii="宋体" w:hAnsi="宋体" w:cs="宋体"/>
                <w:kern w:val="0"/>
                <w:szCs w:val="21"/>
              </w:rPr>
              <w:t>.5</w:t>
            </w:r>
            <w:r>
              <w:rPr>
                <w:rFonts w:hint="eastAsia" w:ascii="宋体" w:hAnsi="宋体" w:cs="宋体"/>
                <w:kern w:val="0"/>
                <w:szCs w:val="21"/>
              </w:rPr>
              <w:t>%；</w:t>
            </w:r>
            <w:bookmarkEnd w:id="0"/>
            <w:bookmarkEnd w:id="1"/>
            <w:bookmarkEnd w:id="2"/>
            <w:bookmarkEnd w:id="3"/>
            <w:bookmarkEnd w:id="4"/>
            <w:bookmarkEnd w:id="5"/>
            <w:bookmarkEnd w:id="6"/>
            <w:bookmarkEnd w:id="7"/>
            <w:bookmarkEnd w:id="8"/>
            <w:bookmarkStart w:id="9" w:name="_Toc15537"/>
            <w:bookmarkStart w:id="10" w:name="_Toc16816"/>
            <w:bookmarkStart w:id="11" w:name="_Toc1264"/>
            <w:bookmarkStart w:id="12" w:name="_Toc31458"/>
            <w:bookmarkStart w:id="13" w:name="_Toc29936"/>
            <w:bookmarkStart w:id="14" w:name="_Toc16192"/>
            <w:bookmarkStart w:id="15" w:name="_Toc902"/>
            <w:bookmarkStart w:id="16" w:name="_Toc23276"/>
            <w:bookmarkStart w:id="17" w:name="_Toc23842"/>
            <w:r>
              <w:rPr>
                <w:rFonts w:hint="eastAsia" w:ascii="宋体" w:hAnsi="宋体" w:cs="宋体"/>
                <w:kern w:val="0"/>
                <w:szCs w:val="21"/>
              </w:rPr>
              <w:t>DI：准确率100%；</w:t>
            </w:r>
            <w:bookmarkEnd w:id="9"/>
            <w:bookmarkEnd w:id="10"/>
            <w:bookmarkEnd w:id="11"/>
            <w:bookmarkEnd w:id="12"/>
            <w:bookmarkEnd w:id="13"/>
            <w:bookmarkEnd w:id="14"/>
            <w:bookmarkEnd w:id="15"/>
            <w:bookmarkEnd w:id="16"/>
            <w:bookmarkEnd w:id="17"/>
            <w:r>
              <w:rPr>
                <w:rFonts w:hint="eastAsia" w:ascii="宋体" w:hAnsi="宋体" w:cs="宋体"/>
                <w:kern w:val="0"/>
                <w:szCs w:val="21"/>
              </w:rPr>
              <w:t>DO：准确率100%</w:t>
            </w:r>
            <w:r>
              <w:rPr>
                <w:rFonts w:hint="eastAsia" w:ascii="宋体" w:hAnsi="宋体" w:cs="宋体"/>
                <w:kern w:val="0"/>
                <w:szCs w:val="21"/>
                <w:lang w:eastAsia="zh-CN"/>
              </w:rPr>
              <w:t>；</w:t>
            </w:r>
          </w:p>
          <w:p w14:paraId="1F6EAB25">
            <w:pPr>
              <w:widowControl/>
              <w:adjustRightInd w:val="0"/>
              <w:spacing w:line="360" w:lineRule="auto"/>
              <w:jc w:val="left"/>
              <w:textAlignment w:val="baseline"/>
              <w:rPr>
                <w:rFonts w:hint="eastAsia" w:ascii="宋体" w:hAnsi="宋体"/>
                <w:sz w:val="24"/>
                <w:szCs w:val="21"/>
              </w:rPr>
            </w:pPr>
          </w:p>
          <w:p w14:paraId="0703C998">
            <w:pPr>
              <w:rPr>
                <w:rFonts w:hint="eastAsia" w:ascii="宋体" w:hAnsi="宋体"/>
                <w:sz w:val="24"/>
                <w:szCs w:val="21"/>
              </w:rPr>
            </w:pPr>
            <w:r>
              <w:rPr>
                <w:rFonts w:hint="eastAsia" w:ascii="宋体" w:hAnsi="宋体"/>
                <w:sz w:val="24"/>
                <w:szCs w:val="21"/>
              </w:rPr>
              <w:t>卖方负责提供本次招标的所有平台设备的相关软件并安装、调试、并对整个监控系统进行联调。</w:t>
            </w:r>
          </w:p>
          <w:p w14:paraId="299E463B">
            <w:pPr>
              <w:rPr>
                <w:rFonts w:hint="eastAsia" w:ascii="宋体" w:hAnsi="宋体"/>
                <w:sz w:val="24"/>
                <w:szCs w:val="21"/>
              </w:rPr>
            </w:pPr>
            <w:r>
              <w:rPr>
                <w:rFonts w:hint="eastAsia" w:ascii="宋体" w:hAnsi="宋体"/>
                <w:sz w:val="24"/>
                <w:szCs w:val="21"/>
              </w:rPr>
              <w:t>网络资源由买方提供，并为前端采集设备或智能设备分配IP地址。</w:t>
            </w:r>
          </w:p>
          <w:p w14:paraId="77AF6A18">
            <w:pPr>
              <w:rPr>
                <w:rFonts w:hint="eastAsia" w:ascii="宋体" w:hAnsi="宋体"/>
                <w:sz w:val="24"/>
                <w:szCs w:val="21"/>
              </w:rPr>
            </w:pPr>
            <w:r>
              <w:rPr>
                <w:rFonts w:hint="eastAsia" w:ascii="宋体" w:hAnsi="宋体"/>
                <w:sz w:val="24"/>
                <w:szCs w:val="21"/>
              </w:rPr>
              <w:t>买方负责传输网络的数据配置，调试及开通。</w:t>
            </w:r>
          </w:p>
        </w:tc>
        <w:tc>
          <w:tcPr>
            <w:tcW w:w="413" w:type="pct"/>
            <w:tcBorders>
              <w:top w:val="single" w:color="auto" w:sz="4" w:space="0"/>
              <w:left w:val="single" w:color="auto" w:sz="4" w:space="0"/>
              <w:bottom w:val="single" w:color="auto" w:sz="4" w:space="0"/>
              <w:right w:val="single" w:color="auto" w:sz="4" w:space="0"/>
            </w:tcBorders>
            <w:noWrap w:val="0"/>
            <w:vAlign w:val="center"/>
          </w:tcPr>
          <w:p w14:paraId="35AD4A50">
            <w:pPr>
              <w:jc w:val="center"/>
              <w:rPr>
                <w:rFonts w:ascii="宋体" w:hAnsi="宋体" w:cs="宋体"/>
                <w:sz w:val="24"/>
                <w:szCs w:val="32"/>
                <w:lang w:val="zh-CN"/>
              </w:rPr>
            </w:pPr>
            <w:r>
              <w:rPr>
                <w:rFonts w:ascii="宋体" w:hAnsi="宋体" w:cs="宋体"/>
                <w:sz w:val="24"/>
                <w:szCs w:val="32"/>
                <w:lang w:val="zh-CN"/>
              </w:rPr>
              <w:t>否</w:t>
            </w:r>
          </w:p>
        </w:tc>
      </w:tr>
    </w:tbl>
    <w:p w14:paraId="6438915D">
      <w:pPr>
        <w:spacing w:line="360" w:lineRule="auto"/>
        <w:ind w:firstLine="640" w:firstLineChars="200"/>
        <w:outlineLvl w:val="0"/>
        <w:rPr>
          <w:rFonts w:hint="eastAsia" w:ascii="仿宋" w:hAnsi="仿宋" w:eastAsia="仿宋" w:cs="仿宋"/>
          <w:sz w:val="32"/>
          <w:szCs w:val="32"/>
        </w:rPr>
      </w:pPr>
      <w:r>
        <w:rPr>
          <w:rFonts w:hint="eastAsia" w:ascii="仿宋" w:hAnsi="仿宋" w:eastAsia="仿宋" w:cs="仿宋"/>
          <w:sz w:val="32"/>
          <w:szCs w:val="32"/>
        </w:rPr>
        <w:t>注：加注“▲”号的产品为核心产品</w:t>
      </w:r>
      <w:r>
        <w:rPr>
          <w:rFonts w:hint="eastAsia" w:ascii="仿宋" w:hAnsi="仿宋" w:eastAsia="仿宋" w:cs="仿宋"/>
          <w:sz w:val="32"/>
          <w:szCs w:val="32"/>
          <w:lang w:eastAsia="zh-CN"/>
        </w:rPr>
        <w:t>，</w:t>
      </w:r>
      <w:r>
        <w:rPr>
          <w:rFonts w:hint="eastAsia" w:ascii="仿宋" w:hAnsi="仿宋" w:eastAsia="仿宋" w:cs="仿宋"/>
          <w:sz w:val="32"/>
          <w:szCs w:val="32"/>
        </w:rPr>
        <w:t>加注“</w:t>
      </w:r>
      <w:r>
        <w:rPr>
          <w:rFonts w:hint="eastAsia" w:ascii="宋体" w:hAnsi="宋体"/>
          <w:sz w:val="24"/>
          <w:szCs w:val="21"/>
        </w:rPr>
        <w:t>★</w:t>
      </w:r>
      <w:r>
        <w:rPr>
          <w:rFonts w:hint="eastAsia" w:ascii="仿宋" w:hAnsi="仿宋" w:eastAsia="仿宋" w:cs="仿宋"/>
          <w:sz w:val="32"/>
          <w:szCs w:val="32"/>
        </w:rPr>
        <w:t>”号</w:t>
      </w:r>
      <w:r>
        <w:rPr>
          <w:rFonts w:hint="eastAsia" w:ascii="仿宋" w:hAnsi="仿宋" w:eastAsia="仿宋" w:cs="仿宋"/>
          <w:sz w:val="32"/>
          <w:szCs w:val="32"/>
          <w:lang w:eastAsia="zh-CN"/>
        </w:rPr>
        <w:t>的</w:t>
      </w:r>
      <w:r>
        <w:rPr>
          <w:rFonts w:hint="eastAsia" w:ascii="仿宋" w:hAnsi="仿宋" w:eastAsia="仿宋" w:cs="仿宋"/>
          <w:sz w:val="32"/>
          <w:szCs w:val="32"/>
          <w:lang w:val="en-US" w:eastAsia="zh-CN"/>
        </w:rPr>
        <w:t>为重点参数</w:t>
      </w:r>
      <w:r>
        <w:rPr>
          <w:rFonts w:hint="eastAsia" w:ascii="仿宋" w:hAnsi="仿宋" w:eastAsia="仿宋" w:cs="仿宋"/>
          <w:sz w:val="32"/>
          <w:szCs w:val="32"/>
        </w:rPr>
        <w:t>。</w:t>
      </w:r>
    </w:p>
    <w:p w14:paraId="6F12D33E">
      <w:pPr>
        <w:spacing w:line="360" w:lineRule="auto"/>
        <w:ind w:left="440" w:leftChars="200" w:firstLine="217" w:firstLineChars="99"/>
        <w:rPr>
          <w:lang w:eastAsia="zh-CN"/>
        </w:rPr>
      </w:pPr>
    </w:p>
    <w:p w14:paraId="0C95AE5C">
      <w:pPr>
        <w:spacing w:line="360" w:lineRule="auto"/>
        <w:ind w:left="440" w:leftChars="200" w:firstLine="217" w:firstLineChars="99"/>
        <w:rPr>
          <w:rFonts w:hint="eastAsia"/>
          <w:lang w:eastAsia="zh-CN"/>
        </w:rPr>
      </w:pPr>
    </w:p>
    <w:p w14:paraId="36BC9EDD">
      <w:pPr>
        <w:spacing w:line="360" w:lineRule="auto"/>
        <w:ind w:firstLine="562" w:firstLineChars="200"/>
        <w:outlineLvl w:val="0"/>
        <w:rPr>
          <w:rFonts w:hint="eastAsia" w:ascii="仿宋" w:hAnsi="仿宋" w:eastAsia="仿宋" w:cs="仿宋"/>
          <w:kern w:val="2"/>
          <w:sz w:val="32"/>
          <w:szCs w:val="32"/>
          <w:lang w:eastAsia="zh-CN"/>
        </w:rPr>
      </w:pPr>
      <w:r>
        <w:rPr>
          <w:rFonts w:hint="eastAsia"/>
          <w:b/>
          <w:sz w:val="28"/>
          <w:szCs w:val="28"/>
          <w:lang w:eastAsia="zh-CN"/>
        </w:rPr>
        <w:t>三、商务要求：</w:t>
      </w:r>
    </w:p>
    <w:p w14:paraId="7D2762B1">
      <w:pPr>
        <w:numPr>
          <w:ilvl w:val="0"/>
          <w:numId w:val="2"/>
        </w:numPr>
        <w:autoSpaceDE/>
        <w:autoSpaceDN/>
        <w:spacing w:line="360" w:lineRule="auto"/>
        <w:ind w:firstLine="640" w:firstLineChars="200"/>
        <w:jc w:val="both"/>
        <w:outlineLvl w:val="0"/>
        <w:rPr>
          <w:rFonts w:ascii="仿宋" w:hAnsi="仿宋" w:eastAsia="仿宋" w:cs="仿宋"/>
          <w:kern w:val="2"/>
          <w:sz w:val="32"/>
          <w:szCs w:val="32"/>
          <w:lang w:eastAsia="zh-CN"/>
        </w:rPr>
      </w:pPr>
      <w:r>
        <w:rPr>
          <w:rFonts w:ascii="仿宋" w:hAnsi="仿宋" w:eastAsia="仿宋" w:cs="仿宋"/>
          <w:kern w:val="2"/>
          <w:sz w:val="32"/>
          <w:szCs w:val="32"/>
          <w:lang w:eastAsia="zh-CN"/>
        </w:rPr>
        <w:t>报价要求</w:t>
      </w:r>
    </w:p>
    <w:p w14:paraId="6B021B68">
      <w:pPr>
        <w:numPr>
          <w:ilvl w:val="0"/>
          <w:numId w:val="3"/>
        </w:numPr>
        <w:tabs>
          <w:tab w:val="left" w:pos="961"/>
        </w:tabs>
        <w:kinsoku w:val="0"/>
        <w:overflowPunct w:val="0"/>
        <w:autoSpaceDE/>
        <w:autoSpaceDN/>
        <w:adjustRightInd w:val="0"/>
        <w:spacing w:before="2" w:line="364" w:lineRule="auto"/>
        <w:ind w:left="120" w:right="440" w:firstLine="479"/>
        <w:jc w:val="both"/>
        <w:rPr>
          <w:rFonts w:ascii="仿宋" w:hAnsi="仿宋" w:eastAsia="仿宋" w:cs="仿宋"/>
          <w:kern w:val="2"/>
          <w:sz w:val="32"/>
          <w:szCs w:val="32"/>
          <w:lang w:eastAsia="zh-CN"/>
        </w:rPr>
      </w:pPr>
      <w:r>
        <w:rPr>
          <w:rFonts w:ascii="仿宋" w:hAnsi="仿宋" w:eastAsia="仿宋" w:cs="仿宋"/>
          <w:kern w:val="2"/>
          <w:sz w:val="32"/>
          <w:szCs w:val="32"/>
          <w:lang w:eastAsia="zh-CN"/>
        </w:rPr>
        <w:t>投标报价以人民币填列。</w:t>
      </w:r>
    </w:p>
    <w:p w14:paraId="4AE24F67">
      <w:pPr>
        <w:numPr>
          <w:ilvl w:val="0"/>
          <w:numId w:val="3"/>
        </w:numPr>
        <w:tabs>
          <w:tab w:val="left" w:pos="961"/>
        </w:tabs>
        <w:kinsoku w:val="0"/>
        <w:overflowPunct w:val="0"/>
        <w:autoSpaceDE/>
        <w:autoSpaceDN/>
        <w:adjustRightInd w:val="0"/>
        <w:spacing w:before="2" w:line="364" w:lineRule="auto"/>
        <w:ind w:left="120" w:right="440" w:firstLine="479"/>
        <w:jc w:val="both"/>
        <w:rPr>
          <w:rFonts w:ascii="仿宋" w:hAnsi="仿宋" w:eastAsia="仿宋" w:cs="仿宋"/>
          <w:kern w:val="2"/>
          <w:sz w:val="32"/>
          <w:szCs w:val="32"/>
          <w:lang w:eastAsia="zh-CN"/>
        </w:rPr>
      </w:pPr>
      <w:r>
        <w:rPr>
          <w:rFonts w:ascii="仿宋" w:hAnsi="仿宋" w:eastAsia="仿宋" w:cs="仿宋"/>
          <w:kern w:val="2"/>
          <w:sz w:val="32"/>
          <w:szCs w:val="32"/>
          <w:lang w:eastAsia="zh-CN"/>
        </w:rPr>
        <w:t>供应商的报价应包括：货物采购、运输、安装及调试工作，提供所需所有安装材料及安装施工，包括但不限于：设备进入弱电间的各项措施、电池连接线、输入输出线缆、支架、底座、配电箱、PDU、线槽等为完成招标文件规定的全部要求所需的一切费用。供应商所报价格为项目完成的最终优惠价格。</w:t>
      </w:r>
    </w:p>
    <w:p w14:paraId="670D0E8A">
      <w:pPr>
        <w:numPr>
          <w:ilvl w:val="0"/>
          <w:numId w:val="3"/>
        </w:numPr>
        <w:tabs>
          <w:tab w:val="left" w:pos="961"/>
        </w:tabs>
        <w:kinsoku w:val="0"/>
        <w:overflowPunct w:val="0"/>
        <w:autoSpaceDE/>
        <w:autoSpaceDN/>
        <w:adjustRightInd w:val="0"/>
        <w:spacing w:before="2" w:line="364" w:lineRule="auto"/>
        <w:ind w:left="120" w:right="440" w:firstLine="479"/>
        <w:jc w:val="both"/>
        <w:rPr>
          <w:rFonts w:ascii="Times New Roman" w:hAnsi="Times New Roman" w:cs="Times New Roman"/>
          <w:spacing w:val="-2"/>
          <w:kern w:val="2"/>
          <w:sz w:val="21"/>
          <w:szCs w:val="24"/>
          <w:lang w:eastAsia="zh-CN"/>
        </w:rPr>
      </w:pPr>
      <w:r>
        <w:rPr>
          <w:rFonts w:ascii="仿宋" w:hAnsi="仿宋" w:eastAsia="仿宋" w:cs="仿宋"/>
          <w:kern w:val="2"/>
          <w:sz w:val="32"/>
          <w:szCs w:val="32"/>
          <w:lang w:eastAsia="zh-CN"/>
        </w:rPr>
        <w:t>供应商应根据本项目招标文件要求，结合企业自身情况及市场竞争情况自主报价，一旦供应商递交投标文件，将被视为已充分了解本项目需求及相关风险，其报价已包含为完成本项目所需的全部费用。合同实施过程中，不接受任何因供应商原因引起的服务期或费用索赔</w:t>
      </w:r>
      <w:r>
        <w:rPr>
          <w:rFonts w:ascii="Times New Roman" w:hAnsi="Times New Roman" w:cs="Times New Roman"/>
          <w:spacing w:val="-2"/>
          <w:kern w:val="2"/>
          <w:sz w:val="21"/>
          <w:szCs w:val="24"/>
          <w:lang w:eastAsia="zh-CN"/>
        </w:rPr>
        <w:t>。</w:t>
      </w:r>
    </w:p>
    <w:p w14:paraId="7AF3A217">
      <w:pPr>
        <w:numPr>
          <w:ilvl w:val="0"/>
          <w:numId w:val="3"/>
        </w:numPr>
        <w:tabs>
          <w:tab w:val="left" w:pos="961"/>
        </w:tabs>
        <w:kinsoku w:val="0"/>
        <w:overflowPunct w:val="0"/>
        <w:autoSpaceDE/>
        <w:autoSpaceDN/>
        <w:adjustRightInd w:val="0"/>
        <w:spacing w:before="2" w:line="364" w:lineRule="auto"/>
        <w:ind w:left="120" w:right="440" w:firstLine="479"/>
        <w:jc w:val="both"/>
        <w:rPr>
          <w:rFonts w:ascii="仿宋" w:hAnsi="仿宋" w:eastAsia="仿宋" w:cs="仿宋"/>
          <w:kern w:val="2"/>
          <w:sz w:val="32"/>
          <w:szCs w:val="32"/>
          <w:lang w:eastAsia="zh-CN"/>
        </w:rPr>
      </w:pPr>
      <w:r>
        <w:rPr>
          <w:rFonts w:ascii="仿宋" w:hAnsi="仿宋" w:eastAsia="仿宋" w:cs="仿宋"/>
          <w:kern w:val="2"/>
          <w:sz w:val="32"/>
          <w:szCs w:val="32"/>
          <w:lang w:eastAsia="zh-CN"/>
        </w:rPr>
        <w:t>投标报价在不超采购预算的前提下，其合理性由评标委员会在评分中予以考虑。</w:t>
      </w:r>
    </w:p>
    <w:p w14:paraId="6F9E4403">
      <w:pPr>
        <w:numPr>
          <w:ilvl w:val="0"/>
          <w:numId w:val="3"/>
        </w:numPr>
        <w:tabs>
          <w:tab w:val="left" w:pos="961"/>
        </w:tabs>
        <w:kinsoku w:val="0"/>
        <w:overflowPunct w:val="0"/>
        <w:autoSpaceDE/>
        <w:autoSpaceDN/>
        <w:adjustRightInd w:val="0"/>
        <w:spacing w:before="2" w:line="364" w:lineRule="auto"/>
        <w:ind w:left="120" w:right="437" w:firstLine="479"/>
        <w:jc w:val="both"/>
        <w:rPr>
          <w:rFonts w:ascii="仿宋" w:hAnsi="仿宋" w:eastAsia="仿宋" w:cs="仿宋"/>
          <w:kern w:val="2"/>
          <w:sz w:val="32"/>
          <w:szCs w:val="32"/>
          <w:lang w:eastAsia="zh-CN"/>
        </w:rPr>
      </w:pPr>
      <w:r>
        <w:rPr>
          <w:rFonts w:ascii="仿宋" w:hAnsi="仿宋" w:eastAsia="仿宋" w:cs="仿宋"/>
          <w:kern w:val="2"/>
          <w:sz w:val="32"/>
          <w:szCs w:val="32"/>
          <w:lang w:eastAsia="zh-CN"/>
        </w:rPr>
        <w:t>供应商所报价格若出现异常低价，评审委员会将启动异常低价投标审查程序，要求其在评标现场合理的时间内提供书面说明、证明材料。如果投标供应商不提供书面说明、证明材料，或供应商提供书面说明、证明材料不能证明其报价合理性的，评审委员会将作为无效投标处理。</w:t>
      </w:r>
    </w:p>
    <w:p w14:paraId="25A42A71">
      <w:pPr>
        <w:numPr>
          <w:ilvl w:val="0"/>
          <w:numId w:val="3"/>
        </w:numPr>
        <w:tabs>
          <w:tab w:val="left" w:pos="961"/>
        </w:tabs>
        <w:kinsoku w:val="0"/>
        <w:overflowPunct w:val="0"/>
        <w:autoSpaceDE/>
        <w:autoSpaceDN/>
        <w:adjustRightInd w:val="0"/>
        <w:spacing w:before="2"/>
        <w:ind w:hanging="361"/>
        <w:jc w:val="both"/>
        <w:rPr>
          <w:rFonts w:ascii="仿宋" w:hAnsi="仿宋" w:eastAsia="仿宋" w:cs="仿宋"/>
          <w:kern w:val="2"/>
          <w:sz w:val="32"/>
          <w:szCs w:val="32"/>
          <w:lang w:eastAsia="zh-CN"/>
        </w:rPr>
      </w:pPr>
      <w:r>
        <w:rPr>
          <w:rFonts w:ascii="仿宋" w:hAnsi="仿宋" w:eastAsia="仿宋" w:cs="仿宋"/>
          <w:kern w:val="2"/>
          <w:sz w:val="32"/>
          <w:szCs w:val="32"/>
          <w:lang w:eastAsia="zh-CN"/>
        </w:rPr>
        <w:t>本项目涉及验收及相关费用由中标供应商负责。</w:t>
      </w:r>
    </w:p>
    <w:p w14:paraId="25FCF490">
      <w:pPr>
        <w:numPr>
          <w:ilvl w:val="0"/>
          <w:numId w:val="2"/>
        </w:numPr>
        <w:autoSpaceDE/>
        <w:autoSpaceDN/>
        <w:spacing w:line="360" w:lineRule="auto"/>
        <w:ind w:firstLine="640" w:firstLineChars="200"/>
        <w:jc w:val="both"/>
        <w:outlineLvl w:val="0"/>
        <w:rPr>
          <w:rFonts w:ascii="仿宋" w:hAnsi="仿宋" w:eastAsia="仿宋" w:cs="仿宋"/>
          <w:kern w:val="2"/>
          <w:sz w:val="32"/>
          <w:szCs w:val="32"/>
          <w:lang w:eastAsia="zh-CN"/>
        </w:rPr>
      </w:pPr>
      <w:r>
        <w:rPr>
          <w:rFonts w:ascii="仿宋" w:hAnsi="仿宋" w:eastAsia="仿宋" w:cs="仿宋"/>
          <w:kern w:val="2"/>
          <w:sz w:val="32"/>
          <w:szCs w:val="32"/>
          <w:lang w:eastAsia="zh-CN"/>
        </w:rPr>
        <w:t>服务要求</w:t>
      </w:r>
    </w:p>
    <w:p w14:paraId="743F0509">
      <w:pPr>
        <w:autoSpaceDE/>
        <w:autoSpaceDN/>
        <w:spacing w:line="360" w:lineRule="auto"/>
        <w:ind w:firstLine="640" w:firstLineChars="200"/>
        <w:jc w:val="both"/>
        <w:outlineLvl w:val="0"/>
        <w:rPr>
          <w:rFonts w:ascii="仿宋" w:hAnsi="仿宋" w:eastAsia="仿宋" w:cs="仿宋"/>
          <w:kern w:val="2"/>
          <w:sz w:val="32"/>
          <w:szCs w:val="32"/>
          <w:lang w:eastAsia="zh-CN"/>
        </w:rPr>
      </w:pPr>
      <w:r>
        <w:rPr>
          <w:rFonts w:ascii="仿宋" w:hAnsi="仿宋" w:eastAsia="仿宋" w:cs="仿宋"/>
          <w:kern w:val="2"/>
          <w:sz w:val="32"/>
          <w:szCs w:val="32"/>
          <w:lang w:eastAsia="zh-CN"/>
        </w:rPr>
        <w:t>1.提供所投产品至少3年的免费保修，终身维修。</w:t>
      </w:r>
    </w:p>
    <w:p w14:paraId="30B12A79">
      <w:pPr>
        <w:autoSpaceDE/>
        <w:autoSpaceDN/>
        <w:spacing w:line="360" w:lineRule="auto"/>
        <w:ind w:firstLine="640" w:firstLineChars="200"/>
        <w:jc w:val="both"/>
        <w:outlineLvl w:val="0"/>
        <w:rPr>
          <w:rFonts w:ascii="仿宋" w:hAnsi="仿宋" w:eastAsia="仿宋" w:cs="仿宋"/>
          <w:kern w:val="2"/>
          <w:sz w:val="32"/>
          <w:szCs w:val="32"/>
          <w:lang w:eastAsia="zh-CN"/>
        </w:rPr>
      </w:pPr>
      <w:r>
        <w:rPr>
          <w:rFonts w:ascii="仿宋" w:hAnsi="仿宋" w:eastAsia="仿宋" w:cs="仿宋"/>
          <w:kern w:val="2"/>
          <w:sz w:val="32"/>
          <w:szCs w:val="32"/>
          <w:lang w:eastAsia="zh-CN"/>
        </w:rPr>
        <w:t>2.保修期内免费更换零配件，7×24小时技术响应，1.5小时内维修工程师到达维修现场。保修期自验收合格之日起计算。</w:t>
      </w:r>
    </w:p>
    <w:p w14:paraId="17B735B5">
      <w:pPr>
        <w:autoSpaceDE/>
        <w:autoSpaceDN/>
        <w:spacing w:line="360" w:lineRule="auto"/>
        <w:ind w:firstLine="640" w:firstLineChars="200"/>
        <w:jc w:val="both"/>
        <w:outlineLvl w:val="0"/>
        <w:rPr>
          <w:rFonts w:ascii="仿宋" w:hAnsi="仿宋" w:eastAsia="仿宋" w:cs="仿宋"/>
          <w:kern w:val="2"/>
          <w:sz w:val="32"/>
          <w:szCs w:val="32"/>
          <w:lang w:eastAsia="zh-CN"/>
        </w:rPr>
      </w:pPr>
      <w:r>
        <w:rPr>
          <w:rFonts w:ascii="仿宋" w:hAnsi="仿宋" w:eastAsia="仿宋" w:cs="仿宋"/>
          <w:kern w:val="2"/>
          <w:sz w:val="32"/>
          <w:szCs w:val="32"/>
          <w:lang w:eastAsia="zh-CN"/>
        </w:rPr>
        <w:t>3.提供所投产品制造商服务机构情况，包括地址、联系方式及技术人员数量等。</w:t>
      </w:r>
    </w:p>
    <w:p w14:paraId="6A941ABF">
      <w:pPr>
        <w:autoSpaceDE/>
        <w:autoSpaceDN/>
        <w:spacing w:line="360" w:lineRule="auto"/>
        <w:ind w:firstLine="640" w:firstLineChars="200"/>
        <w:jc w:val="both"/>
        <w:outlineLvl w:val="0"/>
        <w:rPr>
          <w:rFonts w:ascii="仿宋" w:hAnsi="仿宋" w:eastAsia="仿宋" w:cs="仿宋"/>
          <w:kern w:val="2"/>
          <w:sz w:val="32"/>
          <w:szCs w:val="32"/>
          <w:lang w:eastAsia="zh-CN"/>
        </w:rPr>
      </w:pPr>
      <w:r>
        <w:rPr>
          <w:rFonts w:ascii="仿宋" w:hAnsi="仿宋" w:eastAsia="仿宋" w:cs="仿宋"/>
          <w:kern w:val="2"/>
          <w:sz w:val="32"/>
          <w:szCs w:val="32"/>
          <w:lang w:eastAsia="zh-CN"/>
        </w:rPr>
        <w:t>4.提供现场技术培训。</w:t>
      </w:r>
    </w:p>
    <w:p w14:paraId="4ED301DA">
      <w:pPr>
        <w:numPr>
          <w:ilvl w:val="0"/>
          <w:numId w:val="2"/>
        </w:numPr>
        <w:autoSpaceDE/>
        <w:autoSpaceDN/>
        <w:spacing w:line="360" w:lineRule="auto"/>
        <w:ind w:firstLine="640" w:firstLineChars="200"/>
        <w:jc w:val="both"/>
        <w:outlineLvl w:val="0"/>
        <w:rPr>
          <w:rFonts w:ascii="仿宋" w:hAnsi="仿宋" w:eastAsia="仿宋" w:cs="仿宋"/>
          <w:kern w:val="2"/>
          <w:sz w:val="32"/>
          <w:szCs w:val="32"/>
          <w:lang w:eastAsia="zh-CN"/>
        </w:rPr>
      </w:pPr>
      <w:r>
        <w:rPr>
          <w:rFonts w:ascii="仿宋" w:hAnsi="仿宋" w:eastAsia="仿宋" w:cs="仿宋"/>
          <w:kern w:val="2"/>
          <w:sz w:val="32"/>
          <w:szCs w:val="32"/>
          <w:lang w:eastAsia="zh-CN"/>
        </w:rPr>
        <w:t>交货要求</w:t>
      </w:r>
    </w:p>
    <w:p w14:paraId="0FFAFAB0">
      <w:pPr>
        <w:autoSpaceDE/>
        <w:autoSpaceDN/>
        <w:spacing w:line="360" w:lineRule="auto"/>
        <w:ind w:firstLine="640" w:firstLineChars="200"/>
        <w:jc w:val="both"/>
        <w:outlineLvl w:val="0"/>
        <w:rPr>
          <w:rFonts w:ascii="仿宋" w:hAnsi="仿宋" w:eastAsia="仿宋" w:cs="仿宋"/>
          <w:kern w:val="2"/>
          <w:sz w:val="32"/>
          <w:szCs w:val="32"/>
          <w:lang w:eastAsia="zh-CN"/>
        </w:rPr>
      </w:pPr>
      <w:r>
        <w:rPr>
          <w:rFonts w:ascii="仿宋" w:hAnsi="仿宋" w:eastAsia="仿宋" w:cs="仿宋"/>
          <w:kern w:val="2"/>
          <w:sz w:val="32"/>
          <w:szCs w:val="32"/>
          <w:lang w:eastAsia="zh-CN"/>
        </w:rPr>
        <w:t>1. 交货期：</w:t>
      </w:r>
    </w:p>
    <w:p w14:paraId="2A6FFA65">
      <w:pPr>
        <w:autoSpaceDE/>
        <w:autoSpaceDN/>
        <w:spacing w:line="360" w:lineRule="auto"/>
        <w:ind w:firstLine="640" w:firstLineChars="200"/>
        <w:jc w:val="both"/>
        <w:outlineLvl w:val="0"/>
        <w:rPr>
          <w:rFonts w:ascii="仿宋" w:hAnsi="仿宋" w:eastAsia="仿宋" w:cs="仿宋"/>
          <w:kern w:val="2"/>
          <w:sz w:val="32"/>
          <w:szCs w:val="32"/>
          <w:lang w:eastAsia="zh-CN"/>
        </w:rPr>
      </w:pPr>
      <w:r>
        <w:rPr>
          <w:rFonts w:ascii="仿宋" w:hAnsi="仿宋" w:eastAsia="仿宋" w:cs="仿宋"/>
          <w:kern w:val="2"/>
          <w:sz w:val="32"/>
          <w:szCs w:val="32"/>
          <w:lang w:eastAsia="zh-CN"/>
        </w:rPr>
        <w:t>货到时间：自签订合同之日起10日内（特殊情况以合同为准）。</w:t>
      </w:r>
    </w:p>
    <w:p w14:paraId="24E5C0F8">
      <w:pPr>
        <w:autoSpaceDE/>
        <w:autoSpaceDN/>
        <w:spacing w:line="360" w:lineRule="auto"/>
        <w:ind w:firstLine="640" w:firstLineChars="200"/>
        <w:jc w:val="both"/>
        <w:outlineLvl w:val="0"/>
        <w:rPr>
          <w:rFonts w:ascii="仿宋" w:hAnsi="仿宋" w:eastAsia="仿宋" w:cs="仿宋"/>
          <w:kern w:val="2"/>
          <w:sz w:val="32"/>
          <w:szCs w:val="32"/>
          <w:lang w:eastAsia="zh-CN"/>
        </w:rPr>
      </w:pPr>
      <w:r>
        <w:rPr>
          <w:rFonts w:ascii="仿宋" w:hAnsi="仿宋" w:eastAsia="仿宋" w:cs="仿宋"/>
          <w:kern w:val="2"/>
          <w:sz w:val="32"/>
          <w:szCs w:val="32"/>
          <w:lang w:eastAsia="zh-CN"/>
        </w:rPr>
        <w:t>安装完成：货到之日起7日内（特殊情况以合同为准）。</w:t>
      </w:r>
    </w:p>
    <w:p w14:paraId="1D28C07D">
      <w:pPr>
        <w:autoSpaceDE/>
        <w:autoSpaceDN/>
        <w:spacing w:line="360" w:lineRule="auto"/>
        <w:ind w:firstLine="640" w:firstLineChars="200"/>
        <w:jc w:val="both"/>
        <w:outlineLvl w:val="0"/>
        <w:rPr>
          <w:rFonts w:ascii="仿宋" w:hAnsi="仿宋" w:eastAsia="仿宋" w:cs="仿宋"/>
          <w:kern w:val="2"/>
          <w:sz w:val="32"/>
          <w:szCs w:val="32"/>
          <w:lang w:eastAsia="zh-CN"/>
        </w:rPr>
      </w:pPr>
      <w:r>
        <w:rPr>
          <w:rFonts w:ascii="仿宋" w:hAnsi="仿宋" w:eastAsia="仿宋" w:cs="仿宋"/>
          <w:kern w:val="2"/>
          <w:sz w:val="32"/>
          <w:szCs w:val="32"/>
          <w:lang w:eastAsia="zh-CN"/>
        </w:rPr>
        <w:t>2. 交货地点：采购人指定地点。</w:t>
      </w:r>
    </w:p>
    <w:p w14:paraId="3F6D3F72">
      <w:pPr>
        <w:autoSpaceDE/>
        <w:autoSpaceDN/>
        <w:spacing w:line="360" w:lineRule="auto"/>
        <w:ind w:firstLine="640" w:firstLineChars="200"/>
        <w:jc w:val="both"/>
        <w:outlineLvl w:val="0"/>
        <w:rPr>
          <w:rFonts w:ascii="仿宋" w:hAnsi="仿宋" w:eastAsia="仿宋" w:cs="仿宋"/>
          <w:kern w:val="2"/>
          <w:sz w:val="32"/>
          <w:szCs w:val="32"/>
          <w:lang w:eastAsia="zh-CN"/>
        </w:rPr>
      </w:pPr>
      <w:r>
        <w:rPr>
          <w:rFonts w:ascii="仿宋" w:hAnsi="仿宋" w:eastAsia="仿宋" w:cs="仿宋"/>
          <w:kern w:val="2"/>
          <w:sz w:val="32"/>
          <w:szCs w:val="32"/>
          <w:lang w:eastAsia="zh-CN"/>
        </w:rPr>
        <w:t>3. 提供制造商完整的随机资料，包括完整的使用和维修手册等。</w:t>
      </w:r>
    </w:p>
    <w:p w14:paraId="5D27CF8E">
      <w:pPr>
        <w:autoSpaceDE/>
        <w:autoSpaceDN/>
        <w:spacing w:line="360" w:lineRule="auto"/>
        <w:ind w:firstLine="640" w:firstLineChars="200"/>
        <w:jc w:val="both"/>
        <w:outlineLvl w:val="0"/>
        <w:rPr>
          <w:rFonts w:ascii="仿宋" w:hAnsi="仿宋" w:eastAsia="仿宋" w:cs="仿宋"/>
          <w:kern w:val="2"/>
          <w:sz w:val="32"/>
          <w:szCs w:val="32"/>
          <w:lang w:eastAsia="zh-CN"/>
        </w:rPr>
      </w:pPr>
      <w:r>
        <w:rPr>
          <w:rFonts w:ascii="仿宋" w:hAnsi="仿宋" w:eastAsia="仿宋" w:cs="仿宋"/>
          <w:kern w:val="2"/>
          <w:sz w:val="32"/>
          <w:szCs w:val="32"/>
          <w:lang w:eastAsia="zh-CN"/>
        </w:rPr>
        <w:t>4. 特别要求：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14:paraId="5B525DF1">
      <w:pPr>
        <w:numPr>
          <w:ilvl w:val="0"/>
          <w:numId w:val="2"/>
        </w:numPr>
        <w:autoSpaceDE/>
        <w:autoSpaceDN/>
        <w:spacing w:line="360" w:lineRule="auto"/>
        <w:ind w:firstLine="640" w:firstLineChars="200"/>
        <w:jc w:val="both"/>
        <w:outlineLvl w:val="0"/>
        <w:rPr>
          <w:rFonts w:ascii="仿宋" w:hAnsi="仿宋" w:eastAsia="仿宋" w:cs="仿宋"/>
          <w:kern w:val="2"/>
          <w:sz w:val="32"/>
          <w:szCs w:val="32"/>
          <w:lang w:eastAsia="zh-CN"/>
        </w:rPr>
      </w:pPr>
      <w:r>
        <w:rPr>
          <w:rFonts w:ascii="仿宋" w:hAnsi="仿宋" w:eastAsia="仿宋" w:cs="仿宋"/>
          <w:kern w:val="2"/>
          <w:sz w:val="32"/>
          <w:szCs w:val="32"/>
          <w:lang w:eastAsia="zh-CN"/>
        </w:rPr>
        <w:t>付款方式</w:t>
      </w:r>
    </w:p>
    <w:p w14:paraId="146E058E">
      <w:pPr>
        <w:autoSpaceDE/>
        <w:autoSpaceDN/>
        <w:spacing w:line="360" w:lineRule="auto"/>
        <w:ind w:firstLine="640" w:firstLineChars="200"/>
        <w:jc w:val="both"/>
        <w:outlineLvl w:val="0"/>
        <w:rPr>
          <w:rFonts w:hint="eastAsia" w:ascii="仿宋" w:hAnsi="仿宋" w:eastAsia="仿宋" w:cs="仿宋"/>
          <w:kern w:val="2"/>
          <w:sz w:val="32"/>
          <w:szCs w:val="32"/>
          <w:lang w:eastAsia="zh-CN"/>
        </w:rPr>
      </w:pPr>
      <w:bookmarkStart w:id="18" w:name="OLE_LINK8"/>
      <w:r>
        <w:rPr>
          <w:rFonts w:ascii="仿宋" w:hAnsi="仿宋" w:eastAsia="仿宋" w:cs="仿宋"/>
          <w:kern w:val="2"/>
          <w:sz w:val="32"/>
          <w:szCs w:val="32"/>
          <w:lang w:eastAsia="zh-CN"/>
        </w:rPr>
        <w:t>采用分期付款方式，合同签订后支付合同总价30%；设备安装调试、人员培训完毕并验收合格后，支付剩余 60% 款项；验收合格后半年，支付剩余10%。（特殊情况以合同为准）</w:t>
      </w:r>
      <w:bookmarkEnd w:id="18"/>
    </w:p>
    <w:p w14:paraId="5BD7D354">
      <w:pPr>
        <w:adjustRightInd w:val="0"/>
        <w:spacing w:line="360" w:lineRule="auto"/>
        <w:ind w:firstLine="640" w:firstLineChars="200"/>
        <w:jc w:val="both"/>
        <w:rPr>
          <w:rFonts w:ascii="仿宋" w:hAnsi="仿宋" w:eastAsia="仿宋" w:cs="仿宋"/>
          <w:kern w:val="2"/>
          <w:sz w:val="32"/>
          <w:szCs w:val="32"/>
          <w:lang w:eastAsia="zh-CN"/>
        </w:rPr>
      </w:pPr>
      <w:r>
        <w:rPr>
          <w:rFonts w:ascii="仿宋" w:hAnsi="仿宋" w:eastAsia="仿宋" w:cs="仿宋"/>
          <w:kern w:val="2"/>
          <w:sz w:val="32"/>
          <w:szCs w:val="32"/>
          <w:lang w:eastAsia="zh-CN"/>
        </w:rPr>
        <w:t>指标说明：</w:t>
      </w:r>
    </w:p>
    <w:p w14:paraId="01D326F2">
      <w:pPr>
        <w:adjustRightInd w:val="0"/>
        <w:spacing w:line="360" w:lineRule="auto"/>
        <w:ind w:firstLine="640" w:firstLineChars="200"/>
        <w:jc w:val="both"/>
        <w:rPr>
          <w:rFonts w:ascii="仿宋" w:hAnsi="仿宋" w:eastAsia="仿宋" w:cs="仿宋"/>
          <w:kern w:val="2"/>
          <w:sz w:val="32"/>
          <w:szCs w:val="32"/>
          <w:lang w:eastAsia="zh-CN"/>
        </w:rPr>
      </w:pPr>
      <w:r>
        <w:rPr>
          <w:rFonts w:ascii="仿宋" w:hAnsi="仿宋" w:eastAsia="仿宋" w:cs="仿宋"/>
          <w:kern w:val="2"/>
          <w:sz w:val="32"/>
          <w:szCs w:val="32"/>
          <w:lang w:eastAsia="zh-CN"/>
        </w:rPr>
        <w:t>加注“★”号条款为实质性条款，不得出现负偏离，发生负偏离即做无效标处理。</w:t>
      </w:r>
    </w:p>
    <w:p w14:paraId="1C89B4D5">
      <w:pPr>
        <w:adjustRightInd w:val="0"/>
        <w:spacing w:line="360" w:lineRule="auto"/>
        <w:ind w:firstLine="640" w:firstLineChars="200"/>
        <w:jc w:val="both"/>
        <w:rPr>
          <w:rFonts w:ascii="仿宋" w:hAnsi="仿宋" w:eastAsia="仿宋" w:cs="仿宋"/>
          <w:kern w:val="2"/>
          <w:sz w:val="32"/>
          <w:szCs w:val="32"/>
          <w:lang w:eastAsia="zh-CN"/>
        </w:rPr>
      </w:pPr>
      <w:r>
        <w:rPr>
          <w:rFonts w:ascii="仿宋" w:hAnsi="仿宋" w:eastAsia="仿宋" w:cs="仿宋"/>
          <w:kern w:val="2"/>
          <w:sz w:val="32"/>
          <w:szCs w:val="32"/>
          <w:lang w:eastAsia="zh-CN"/>
        </w:rPr>
        <w:t>加注“▲”号的产品为核心产品。</w:t>
      </w:r>
    </w:p>
    <w:p w14:paraId="69EB1B95">
      <w:pPr>
        <w:autoSpaceDE/>
        <w:autoSpaceDN/>
        <w:spacing w:line="360" w:lineRule="auto"/>
        <w:jc w:val="both"/>
        <w:outlineLvl w:val="0"/>
        <w:rPr>
          <w:rFonts w:hint="eastAsia" w:ascii="仿宋" w:hAnsi="仿宋" w:eastAsia="仿宋" w:cs="仿宋"/>
          <w:kern w:val="2"/>
          <w:sz w:val="32"/>
          <w:szCs w:val="32"/>
          <w:lang w:eastAsia="zh-CN"/>
        </w:rPr>
      </w:pPr>
    </w:p>
    <w:p w14:paraId="238EE4B0">
      <w:pPr>
        <w:rPr>
          <w:rFonts w:hint="eastAsia"/>
          <w:b/>
          <w:sz w:val="28"/>
          <w:szCs w:val="28"/>
          <w:lang w:eastAsia="zh-CN"/>
        </w:rPr>
      </w:pPr>
    </w:p>
    <w:p w14:paraId="238EE4B5">
      <w:pPr>
        <w:rPr>
          <w:b/>
          <w:sz w:val="28"/>
          <w:szCs w:val="28"/>
          <w:lang w:eastAsia="zh-CN"/>
        </w:rPr>
      </w:pPr>
      <w:r>
        <w:rPr>
          <w:rFonts w:hint="eastAsia"/>
          <w:b/>
          <w:sz w:val="28"/>
          <w:szCs w:val="28"/>
          <w:lang w:eastAsia="zh-CN"/>
        </w:rPr>
        <w:t>四、履约验收方案：</w:t>
      </w:r>
    </w:p>
    <w:p w14:paraId="238EE4B6">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（1）履约验收科室：网络与信息中心</w:t>
      </w:r>
    </w:p>
    <w:p w14:paraId="238EE4B7">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（2）履约验收时间：合同期满后双方开展验收工作</w:t>
      </w:r>
    </w:p>
    <w:p w14:paraId="238EE4B8">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（3）履约验收方式：现场提交材料验收，包括UPS系统维护总结报告、巡检报告、验收单</w:t>
      </w:r>
    </w:p>
    <w:p w14:paraId="238EE4B9">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（4）履约验收程序：保修期满届时乙方提交验收文档等材料经甲方确认后进行项目验收</w:t>
      </w:r>
    </w:p>
    <w:p w14:paraId="238EE4BA">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（5）履约验收内容：甲方对乙方项目安装及调试工作进行考评、对乙方递交的相关文档进行审核，合格后验收，</w:t>
      </w:r>
    </w:p>
    <w:p w14:paraId="238EE4BB">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（6）履约验收标准：保修期内无重大安全事件、乙方高效完成甲方反馈的问题处理、及时进行系统巡检等</w:t>
      </w:r>
    </w:p>
    <w:p w14:paraId="238EE4BC">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（7）其他履约验收事项：无</w:t>
      </w:r>
    </w:p>
    <w:p w14:paraId="66F4337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422FCA"/>
    <w:multiLevelType w:val="singleLevel"/>
    <w:tmpl w:val="AE422FCA"/>
    <w:lvl w:ilvl="0" w:tentative="0">
      <w:start w:val="1"/>
      <w:numFmt w:val="decimal"/>
      <w:lvlText w:val="%1)"/>
      <w:lvlJc w:val="left"/>
      <w:pPr>
        <w:tabs>
          <w:tab w:val="left" w:pos="1152"/>
        </w:tabs>
        <w:ind w:left="840"/>
      </w:pPr>
    </w:lvl>
  </w:abstractNum>
  <w:abstractNum w:abstractNumId="1">
    <w:nsid w:val="00000403"/>
    <w:multiLevelType w:val="multilevel"/>
    <w:tmpl w:val="00000403"/>
    <w:lvl w:ilvl="0" w:tentative="0">
      <w:start w:val="1"/>
      <w:numFmt w:val="decimal"/>
      <w:lvlText w:val="%1."/>
      <w:lvlJc w:val="left"/>
      <w:pPr>
        <w:ind w:left="960" w:hanging="360"/>
      </w:pPr>
      <w:rPr>
        <w:rFonts w:ascii="宋体" w:eastAsia="宋体" w:cs="宋体"/>
        <w:b w:val="0"/>
        <w:bCs w:val="0"/>
        <w:i w:val="0"/>
        <w:iCs w:val="0"/>
        <w:w w:val="100"/>
        <w:sz w:val="24"/>
        <w:szCs w:val="24"/>
      </w:rPr>
    </w:lvl>
    <w:lvl w:ilvl="1" w:tentative="0">
      <w:start w:val="0"/>
      <w:numFmt w:val="bullet"/>
      <w:lvlText w:val="•"/>
      <w:lvlJc w:val="left"/>
      <w:pPr>
        <w:ind w:left="1750" w:hanging="360"/>
      </w:pPr>
    </w:lvl>
    <w:lvl w:ilvl="2" w:tentative="0">
      <w:start w:val="0"/>
      <w:numFmt w:val="bullet"/>
      <w:lvlText w:val="•"/>
      <w:lvlJc w:val="left"/>
      <w:pPr>
        <w:ind w:left="2541" w:hanging="360"/>
      </w:pPr>
    </w:lvl>
    <w:lvl w:ilvl="3" w:tentative="0">
      <w:start w:val="0"/>
      <w:numFmt w:val="bullet"/>
      <w:lvlText w:val="•"/>
      <w:lvlJc w:val="left"/>
      <w:pPr>
        <w:ind w:left="3331" w:hanging="360"/>
      </w:pPr>
    </w:lvl>
    <w:lvl w:ilvl="4" w:tentative="0">
      <w:start w:val="0"/>
      <w:numFmt w:val="bullet"/>
      <w:lvlText w:val="•"/>
      <w:lvlJc w:val="left"/>
      <w:pPr>
        <w:ind w:left="4122" w:hanging="360"/>
      </w:pPr>
    </w:lvl>
    <w:lvl w:ilvl="5" w:tentative="0">
      <w:start w:val="0"/>
      <w:numFmt w:val="bullet"/>
      <w:lvlText w:val="•"/>
      <w:lvlJc w:val="left"/>
      <w:pPr>
        <w:ind w:left="4913" w:hanging="360"/>
      </w:pPr>
    </w:lvl>
    <w:lvl w:ilvl="6" w:tentative="0">
      <w:start w:val="0"/>
      <w:numFmt w:val="bullet"/>
      <w:lvlText w:val="•"/>
      <w:lvlJc w:val="left"/>
      <w:pPr>
        <w:ind w:left="5703" w:hanging="360"/>
      </w:pPr>
    </w:lvl>
    <w:lvl w:ilvl="7" w:tentative="0">
      <w:start w:val="0"/>
      <w:numFmt w:val="bullet"/>
      <w:lvlText w:val="•"/>
      <w:lvlJc w:val="left"/>
      <w:pPr>
        <w:ind w:left="6494" w:hanging="360"/>
      </w:pPr>
    </w:lvl>
    <w:lvl w:ilvl="8" w:tentative="0">
      <w:start w:val="0"/>
      <w:numFmt w:val="bullet"/>
      <w:lvlText w:val="•"/>
      <w:lvlJc w:val="left"/>
      <w:pPr>
        <w:ind w:left="7285" w:hanging="360"/>
      </w:pPr>
    </w:lvl>
  </w:abstractNum>
  <w:abstractNum w:abstractNumId="2">
    <w:nsid w:val="4B6C3878"/>
    <w:multiLevelType w:val="singleLevel"/>
    <w:tmpl w:val="4B6C3878"/>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1439AD"/>
    <w:rsid w:val="27314C69"/>
    <w:rsid w:val="37AA3E6C"/>
    <w:rsid w:val="3ADE78C0"/>
    <w:rsid w:val="539810BF"/>
    <w:rsid w:val="5A967D42"/>
    <w:rsid w:val="750164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宋体" w:hAnsi="宋体" w:eastAsia="宋体" w:cs="宋体"/>
      <w:sz w:val="22"/>
      <w:szCs w:val="22"/>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rPr>
      <w:sz w:val="24"/>
      <w:szCs w:val="24"/>
    </w:rPr>
  </w:style>
  <w:style w:type="paragraph" w:customStyle="1" w:styleId="5">
    <w:name w:val="首行缩进"/>
    <w:basedOn w:val="1"/>
    <w:qFormat/>
    <w:uiPriority w:val="0"/>
    <w:pPr>
      <w:spacing w:line="360" w:lineRule="auto"/>
      <w:ind w:firstLine="480" w:firstLineChars="200"/>
    </w:pPr>
    <w:rPr>
      <w:rFonts w:ascii="等线" w:hAnsi="等线" w:eastAsia="等线" w:cs="Times New Roman"/>
      <w:sz w:val="24"/>
      <w:lang w:val="zh-CN"/>
    </w:rPr>
  </w:style>
  <w:style w:type="paragraph" w:customStyle="1" w:styleId="6">
    <w:name w:val="paragraph"/>
    <w:basedOn w:val="1"/>
    <w:qFormat/>
    <w:uiPriority w:val="0"/>
    <w:pPr>
      <w:widowControl/>
      <w:spacing w:before="100" w:beforeAutospacing="1" w:after="100" w:afterAutospacing="1"/>
    </w:pPr>
    <w:rPr>
      <w:rFonts w:ascii="等线" w:eastAsia="等线"/>
      <w:sz w:val="24"/>
    </w:rPr>
  </w:style>
  <w:style w:type="paragraph" w:styleId="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8657</Words>
  <Characters>9239</Characters>
  <Lines>0</Lines>
  <Paragraphs>0</Paragraphs>
  <TotalTime>2</TotalTime>
  <ScaleCrop>false</ScaleCrop>
  <LinksUpToDate>false</LinksUpToDate>
  <CharactersWithSpaces>9405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2026-08-26T07:51:00Z</dcterms:created>
  <dc:creator>HUAWEI</dc:creator>
  <cp:lastModifiedBy>片羽时光[咖啡]</cp:lastModifiedBy>
  <dcterms:modified xsi:type="dcterms:W3CDTF">2026-09-01T03:43:07Z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eyJoZGlkIjoiMGRkMTBjYzYwOTM4M2JlZmIxMjRiNmI0YzNmOTJmZDAiLCJ1c2VySWQiOiI3NTk1MzM0MzEifQ==</vt:lpwstr>
  </property>
  <property fmtid="{D5CDD505-2E9C-101B-9397-08002B2CF9AE}" pid="4" name="ICV">
    <vt:lpwstr>DB65BBDCCFB34A8CA55D014F2FE35581_13</vt:lpwstr>
  </property>
</Properties>
</file>