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B784E2">
      <w:pPr>
        <w:pStyle w:val="5"/>
        <w:rPr>
          <w:rFonts w:ascii="Times New Roman" w:hAnsi="Times New Roman" w:cs="Times New Roman"/>
        </w:rPr>
      </w:pPr>
      <w:r>
        <w:rPr>
          <w:rFonts w:ascii="Times New Roman" w:hAnsi="Times New Roman" w:cs="Times New Roman"/>
        </w:rPr>
        <w:t>项目需求书（</w:t>
      </w:r>
      <w:r>
        <w:rPr>
          <w:rFonts w:hint="eastAsia" w:ascii="Times New Roman" w:hAnsi="Times New Roman" w:cs="Times New Roman"/>
        </w:rPr>
        <w:t>保安</w:t>
      </w:r>
      <w:r>
        <w:rPr>
          <w:rFonts w:ascii="Times New Roman" w:hAnsi="Times New Roman" w:cs="Times New Roman"/>
        </w:rPr>
        <w:t>）</w:t>
      </w:r>
    </w:p>
    <w:p w14:paraId="45DC7530">
      <w:pPr>
        <w:pStyle w:val="2"/>
        <w:spacing w:line="500" w:lineRule="exact"/>
        <w:jc w:val="left"/>
        <w:rPr>
          <w:rFonts w:ascii="Calibri" w:hAnsi="Calibri" w:eastAsia="宋体"/>
          <w:sz w:val="24"/>
        </w:rPr>
      </w:pPr>
      <w:r>
        <w:rPr>
          <w:rFonts w:hint="eastAsia" w:eastAsia="宋体" w:cs="宋体"/>
          <w:sz w:val="24"/>
          <w:szCs w:val="24"/>
          <w:lang w:val="zh-CN"/>
        </w:rPr>
        <w:t>本项目属于租赁和商务服务业。</w:t>
      </w:r>
    </w:p>
    <w:p w14:paraId="0C262845">
      <w:pPr>
        <w:spacing w:line="360" w:lineRule="auto"/>
        <w:rPr>
          <w:rFonts w:ascii="Times New Roman" w:hAnsi="Times New Roman" w:cs="Times New Roman"/>
          <w:b/>
          <w:sz w:val="24"/>
          <w:szCs w:val="24"/>
        </w:rPr>
      </w:pPr>
      <w:r>
        <w:rPr>
          <w:rFonts w:ascii="Times New Roman" w:hAnsi="Times New Roman" w:cs="Times New Roman"/>
          <w:b/>
          <w:sz w:val="24"/>
          <w:szCs w:val="24"/>
        </w:rPr>
        <w:t>一、项目背景</w:t>
      </w:r>
    </w:p>
    <w:p w14:paraId="4D21DC6B">
      <w:pPr>
        <w:spacing w:line="360" w:lineRule="auto"/>
        <w:ind w:firstLine="480" w:firstLineChars="200"/>
        <w:outlineLvl w:val="0"/>
        <w:rPr>
          <w:rFonts w:ascii="宋体" w:hAnsi="宋体" w:eastAsia="宋体" w:cs="宋体"/>
          <w:sz w:val="24"/>
          <w:szCs w:val="24"/>
        </w:rPr>
      </w:pPr>
      <w:bookmarkStart w:id="0" w:name="_Toc12029"/>
      <w:bookmarkStart w:id="1" w:name="_Toc10231"/>
      <w:bookmarkStart w:id="2" w:name="_Toc23312"/>
      <w:r>
        <w:rPr>
          <w:rFonts w:hint="eastAsia" w:ascii="宋体" w:hAnsi="宋体" w:eastAsia="宋体" w:cs="宋体"/>
          <w:sz w:val="24"/>
          <w:szCs w:val="24"/>
        </w:rPr>
        <w:t>本项目为天津市第九中学保安服务项目。天津市第九中学目前现有奥城校区、阳光1</w:t>
      </w:r>
      <w:r>
        <w:rPr>
          <w:rFonts w:ascii="宋体" w:hAnsi="宋体" w:eastAsia="宋体" w:cs="宋体"/>
          <w:sz w:val="24"/>
          <w:szCs w:val="24"/>
        </w:rPr>
        <w:t>00</w:t>
      </w:r>
      <w:r>
        <w:rPr>
          <w:rFonts w:hint="eastAsia" w:ascii="宋体" w:hAnsi="宋体" w:eastAsia="宋体" w:cs="宋体"/>
          <w:sz w:val="24"/>
          <w:szCs w:val="24"/>
        </w:rPr>
        <w:t>校区。具体情况如下：</w:t>
      </w:r>
    </w:p>
    <w:p w14:paraId="54F4BFF9">
      <w:pPr>
        <w:spacing w:line="360" w:lineRule="auto"/>
        <w:ind w:firstLine="480" w:firstLineChars="200"/>
        <w:outlineLvl w:val="0"/>
        <w:rPr>
          <w:rFonts w:ascii="宋体" w:hAnsi="宋体" w:eastAsia="宋体" w:cs="宋体"/>
          <w:sz w:val="24"/>
          <w:szCs w:val="24"/>
        </w:rPr>
      </w:pPr>
      <w:r>
        <w:rPr>
          <w:rFonts w:hint="eastAsia" w:ascii="宋体" w:hAnsi="宋体" w:eastAsia="宋体" w:cs="宋体"/>
          <w:sz w:val="24"/>
          <w:szCs w:val="24"/>
        </w:rPr>
        <w:t>奥城校区建筑面积</w:t>
      </w:r>
      <w:r>
        <w:rPr>
          <w:rFonts w:ascii="宋体" w:hAnsi="宋体" w:eastAsia="宋体" w:cs="宋体"/>
          <w:sz w:val="24"/>
          <w:szCs w:val="24"/>
        </w:rPr>
        <w:t>12868</w:t>
      </w:r>
      <w:r>
        <w:rPr>
          <w:rFonts w:hint="eastAsia" w:ascii="宋体" w:hAnsi="宋体" w:eastAsia="宋体" w:cs="宋体"/>
          <w:sz w:val="24"/>
          <w:szCs w:val="24"/>
        </w:rPr>
        <w:t>平方米，两栋教学楼，一栋实验楼，一个阶梯教室，操场及庭院。</w:t>
      </w:r>
      <w:bookmarkEnd w:id="0"/>
      <w:bookmarkEnd w:id="1"/>
      <w:bookmarkEnd w:id="2"/>
    </w:p>
    <w:p w14:paraId="61643DA9">
      <w:pPr>
        <w:spacing w:line="360" w:lineRule="auto"/>
        <w:ind w:firstLine="480" w:firstLineChars="200"/>
        <w:outlineLvl w:val="0"/>
        <w:rPr>
          <w:rFonts w:ascii="宋体" w:hAnsi="宋体" w:eastAsia="宋体" w:cs="宋体"/>
          <w:sz w:val="24"/>
          <w:szCs w:val="24"/>
        </w:rPr>
      </w:pPr>
      <w:bookmarkStart w:id="3" w:name="_Toc10366"/>
      <w:bookmarkStart w:id="4" w:name="_Toc19779"/>
      <w:bookmarkStart w:id="5" w:name="_Toc20328"/>
      <w:r>
        <w:rPr>
          <w:rFonts w:hint="eastAsia" w:ascii="宋体" w:hAnsi="宋体" w:eastAsia="宋体" w:cs="宋体"/>
          <w:sz w:val="24"/>
          <w:szCs w:val="24"/>
        </w:rPr>
        <w:t>阳光1</w:t>
      </w:r>
      <w:r>
        <w:rPr>
          <w:rFonts w:ascii="宋体" w:hAnsi="宋体" w:eastAsia="宋体" w:cs="宋体"/>
          <w:sz w:val="24"/>
          <w:szCs w:val="24"/>
        </w:rPr>
        <w:t>00</w:t>
      </w:r>
      <w:r>
        <w:rPr>
          <w:rFonts w:hint="eastAsia" w:ascii="宋体" w:hAnsi="宋体" w:eastAsia="宋体" w:cs="宋体"/>
          <w:sz w:val="24"/>
          <w:szCs w:val="24"/>
        </w:rPr>
        <w:t>校区建筑面积</w:t>
      </w:r>
      <w:r>
        <w:rPr>
          <w:rFonts w:ascii="宋体" w:hAnsi="宋体" w:eastAsia="宋体" w:cs="宋体"/>
          <w:sz w:val="24"/>
          <w:szCs w:val="24"/>
        </w:rPr>
        <w:t>8941</w:t>
      </w:r>
      <w:r>
        <w:rPr>
          <w:rFonts w:hint="eastAsia" w:ascii="宋体" w:hAnsi="宋体" w:eastAsia="宋体" w:cs="宋体"/>
          <w:sz w:val="24"/>
          <w:szCs w:val="24"/>
        </w:rPr>
        <w:t>平米，一个教学楼，一个实验楼，阶梯教室，一个图书馆，操场及庭院。</w:t>
      </w:r>
      <w:bookmarkEnd w:id="3"/>
      <w:bookmarkEnd w:id="4"/>
      <w:bookmarkEnd w:id="5"/>
    </w:p>
    <w:p w14:paraId="11FBF67B">
      <w:pPr>
        <w:spacing w:line="360" w:lineRule="auto"/>
        <w:rPr>
          <w:rFonts w:ascii="Times New Roman" w:hAnsi="Times New Roman" w:cs="Times New Roman"/>
          <w:b/>
          <w:sz w:val="24"/>
          <w:szCs w:val="24"/>
        </w:rPr>
      </w:pPr>
      <w:r>
        <w:rPr>
          <w:rFonts w:ascii="Times New Roman" w:hAnsi="Times New Roman" w:cs="Times New Roman"/>
          <w:b/>
          <w:sz w:val="24"/>
          <w:szCs w:val="24"/>
        </w:rPr>
        <w:t>二、项目总预算</w:t>
      </w:r>
    </w:p>
    <w:p w14:paraId="2B69A066">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第一包：972699.95 元；</w:t>
      </w:r>
    </w:p>
    <w:p w14:paraId="405B7768">
      <w:pPr>
        <w:spacing w:line="360" w:lineRule="auto"/>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三、项目经理（评分项）</w:t>
      </w:r>
    </w:p>
    <w:p w14:paraId="5FD5F708">
      <w:pPr>
        <w:spacing w:line="360" w:lineRule="auto"/>
        <w:ind w:firstLine="480" w:firstLineChars="20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 xml:space="preserve"> 不需要项目经理，只需要一个项目负责人即可</w:t>
      </w:r>
    </w:p>
    <w:p w14:paraId="059EB593">
      <w:pPr>
        <w:spacing w:line="360" w:lineRule="auto"/>
        <w:rPr>
          <w:rFonts w:ascii="Times New Roman" w:hAnsi="Times New Roman" w:cs="Times New Roman"/>
          <w:b/>
          <w:sz w:val="24"/>
          <w:szCs w:val="24"/>
        </w:rPr>
      </w:pPr>
      <w:r>
        <w:rPr>
          <w:rFonts w:hint="eastAsia" w:ascii="Times New Roman" w:hAnsi="Times New Roman" w:eastAsia="宋体" w:cs="Times New Roman"/>
          <w:b/>
          <w:kern w:val="0"/>
          <w:sz w:val="24"/>
          <w:szCs w:val="24"/>
        </w:rPr>
        <w:t>四</w:t>
      </w:r>
      <w:r>
        <w:rPr>
          <w:rFonts w:ascii="Times New Roman" w:hAnsi="Times New Roman" w:eastAsia="宋体" w:cs="Times New Roman"/>
          <w:b/>
          <w:kern w:val="0"/>
          <w:sz w:val="24"/>
          <w:szCs w:val="24"/>
        </w:rPr>
        <w:t>、</w:t>
      </w:r>
      <w:r>
        <w:rPr>
          <w:rFonts w:hint="eastAsia" w:ascii="Times New Roman" w:hAnsi="Times New Roman" w:eastAsia="宋体" w:cs="Times New Roman"/>
          <w:b/>
          <w:kern w:val="0"/>
          <w:sz w:val="24"/>
          <w:szCs w:val="24"/>
        </w:rPr>
        <w:t>保安</w:t>
      </w:r>
      <w:r>
        <w:rPr>
          <w:rFonts w:ascii="Times New Roman" w:hAnsi="Times New Roman" w:eastAsia="宋体" w:cs="Times New Roman"/>
          <w:b/>
          <w:kern w:val="0"/>
          <w:sz w:val="24"/>
          <w:szCs w:val="24"/>
        </w:rPr>
        <w:t>投入人员岗位及每个岗位的需要人数</w:t>
      </w:r>
    </w:p>
    <w:tbl>
      <w:tblPr>
        <w:tblStyle w:val="7"/>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2248"/>
        <w:gridCol w:w="19"/>
        <w:gridCol w:w="1700"/>
        <w:gridCol w:w="32"/>
        <w:gridCol w:w="2093"/>
        <w:gridCol w:w="52"/>
        <w:gridCol w:w="1228"/>
        <w:gridCol w:w="1239"/>
        <w:gridCol w:w="122"/>
      </w:tblGrid>
      <w:tr w14:paraId="605D3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8" w:type="dxa"/>
          <w:jc w:val="center"/>
        </w:trPr>
        <w:tc>
          <w:tcPr>
            <w:tcW w:w="704" w:type="dxa"/>
            <w:vAlign w:val="center"/>
          </w:tcPr>
          <w:p w14:paraId="39F0B905">
            <w:pPr>
              <w:spacing w:line="360" w:lineRule="auto"/>
              <w:jc w:val="center"/>
              <w:rPr>
                <w:rFonts w:ascii="Times New Roman" w:hAnsi="Times New Roman" w:cs="Times New Roman"/>
                <w:b/>
                <w:szCs w:val="21"/>
              </w:rPr>
            </w:pPr>
            <w:r>
              <w:rPr>
                <w:rFonts w:ascii="Times New Roman" w:hAnsi="Times New Roman" w:cs="Times New Roman"/>
                <w:b/>
                <w:szCs w:val="21"/>
              </w:rPr>
              <w:t>序号</w:t>
            </w:r>
          </w:p>
        </w:tc>
        <w:tc>
          <w:tcPr>
            <w:tcW w:w="2249" w:type="dxa"/>
            <w:vAlign w:val="center"/>
          </w:tcPr>
          <w:p w14:paraId="62F6B7E0">
            <w:pPr>
              <w:spacing w:line="360" w:lineRule="auto"/>
              <w:jc w:val="center"/>
              <w:rPr>
                <w:rFonts w:ascii="Times New Roman" w:hAnsi="Times New Roman" w:cs="Times New Roman"/>
                <w:b/>
                <w:szCs w:val="21"/>
              </w:rPr>
            </w:pPr>
            <w:r>
              <w:rPr>
                <w:rFonts w:ascii="Times New Roman" w:hAnsi="Times New Roman" w:cs="Times New Roman"/>
                <w:b/>
                <w:szCs w:val="21"/>
              </w:rPr>
              <w:t>岗位名称</w:t>
            </w:r>
          </w:p>
        </w:tc>
        <w:tc>
          <w:tcPr>
            <w:tcW w:w="1752" w:type="dxa"/>
            <w:gridSpan w:val="3"/>
            <w:vAlign w:val="center"/>
          </w:tcPr>
          <w:p w14:paraId="2DF8FC05">
            <w:pPr>
              <w:spacing w:line="360" w:lineRule="auto"/>
              <w:jc w:val="center"/>
              <w:rPr>
                <w:rFonts w:ascii="Times New Roman" w:hAnsi="Times New Roman" w:cs="Times New Roman"/>
                <w:b/>
                <w:szCs w:val="21"/>
              </w:rPr>
            </w:pPr>
            <w:r>
              <w:rPr>
                <w:rFonts w:ascii="Times New Roman" w:hAnsi="Times New Roman" w:cs="Times New Roman"/>
                <w:b/>
                <w:szCs w:val="21"/>
              </w:rPr>
              <w:t>人数</w:t>
            </w:r>
          </w:p>
        </w:tc>
        <w:tc>
          <w:tcPr>
            <w:tcW w:w="2146" w:type="dxa"/>
            <w:gridSpan w:val="2"/>
            <w:vAlign w:val="center"/>
          </w:tcPr>
          <w:p w14:paraId="43E91805">
            <w:pPr>
              <w:spacing w:line="360" w:lineRule="auto"/>
              <w:jc w:val="center"/>
              <w:rPr>
                <w:rFonts w:ascii="Times New Roman" w:hAnsi="Times New Roman" w:cs="Times New Roman"/>
                <w:b/>
                <w:szCs w:val="21"/>
              </w:rPr>
            </w:pPr>
            <w:r>
              <w:rPr>
                <w:rFonts w:ascii="Times New Roman" w:hAnsi="Times New Roman" w:cs="Times New Roman"/>
                <w:b/>
                <w:szCs w:val="21"/>
              </w:rPr>
              <w:t>要求</w:t>
            </w:r>
          </w:p>
        </w:tc>
        <w:tc>
          <w:tcPr>
            <w:tcW w:w="1228" w:type="dxa"/>
            <w:vAlign w:val="center"/>
          </w:tcPr>
          <w:p w14:paraId="604B473D">
            <w:pPr>
              <w:spacing w:line="360" w:lineRule="auto"/>
              <w:jc w:val="center"/>
              <w:rPr>
                <w:rFonts w:ascii="Times New Roman" w:hAnsi="Times New Roman" w:cs="Times New Roman"/>
                <w:b/>
                <w:szCs w:val="21"/>
              </w:rPr>
            </w:pPr>
            <w:r>
              <w:rPr>
                <w:rFonts w:ascii="Times New Roman" w:hAnsi="Times New Roman" w:cs="Times New Roman"/>
                <w:b/>
                <w:szCs w:val="21"/>
              </w:rPr>
              <w:t>是否接受退休人员</w:t>
            </w:r>
          </w:p>
        </w:tc>
        <w:tc>
          <w:tcPr>
            <w:tcW w:w="1240" w:type="dxa"/>
            <w:vAlign w:val="center"/>
          </w:tcPr>
          <w:p w14:paraId="42F8DDAE">
            <w:pPr>
              <w:spacing w:line="360" w:lineRule="auto"/>
              <w:jc w:val="center"/>
              <w:rPr>
                <w:rFonts w:ascii="Times New Roman" w:hAnsi="Times New Roman" w:cs="Times New Roman"/>
                <w:b/>
                <w:szCs w:val="21"/>
              </w:rPr>
            </w:pPr>
            <w:r>
              <w:rPr>
                <w:rFonts w:ascii="Times New Roman" w:hAnsi="Times New Roman" w:cs="Times New Roman"/>
                <w:b/>
                <w:szCs w:val="21"/>
              </w:rPr>
              <w:t>工作时间</w:t>
            </w:r>
          </w:p>
        </w:tc>
      </w:tr>
      <w:tr w14:paraId="1B40E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8" w:type="dxa"/>
          <w:jc w:val="center"/>
        </w:trPr>
        <w:tc>
          <w:tcPr>
            <w:tcW w:w="704" w:type="dxa"/>
            <w:vAlign w:val="center"/>
          </w:tcPr>
          <w:p w14:paraId="727987B2">
            <w:pPr>
              <w:spacing w:line="360" w:lineRule="auto"/>
              <w:jc w:val="center"/>
              <w:rPr>
                <w:rFonts w:ascii="Times New Roman" w:hAnsi="Times New Roman" w:cs="Times New Roman"/>
                <w:szCs w:val="21"/>
              </w:rPr>
            </w:pPr>
            <w:r>
              <w:rPr>
                <w:rFonts w:ascii="Times New Roman" w:hAnsi="Times New Roman" w:cs="Times New Roman"/>
                <w:szCs w:val="21"/>
              </w:rPr>
              <w:t>1</w:t>
            </w:r>
          </w:p>
        </w:tc>
        <w:tc>
          <w:tcPr>
            <w:tcW w:w="2249" w:type="dxa"/>
            <w:vAlign w:val="center"/>
          </w:tcPr>
          <w:p w14:paraId="3B57A090">
            <w:pPr>
              <w:spacing w:line="360" w:lineRule="auto"/>
              <w:jc w:val="center"/>
              <w:rPr>
                <w:rFonts w:ascii="Times New Roman" w:hAnsi="Times New Roman" w:cs="Times New Roman"/>
                <w:szCs w:val="21"/>
              </w:rPr>
            </w:pPr>
            <w:r>
              <w:rPr>
                <w:rFonts w:hint="eastAsia" w:ascii="Times New Roman" w:hAnsi="Times New Roman" w:cs="Times New Roman"/>
                <w:szCs w:val="21"/>
              </w:rPr>
              <w:t>白班保安</w:t>
            </w:r>
          </w:p>
        </w:tc>
        <w:tc>
          <w:tcPr>
            <w:tcW w:w="1752" w:type="dxa"/>
            <w:gridSpan w:val="3"/>
            <w:vAlign w:val="center"/>
          </w:tcPr>
          <w:p w14:paraId="2BB7998B">
            <w:pPr>
              <w:spacing w:line="360" w:lineRule="auto"/>
              <w:jc w:val="center"/>
              <w:rPr>
                <w:rFonts w:ascii="Times New Roman" w:hAnsi="Times New Roman" w:cs="Times New Roman"/>
                <w:szCs w:val="21"/>
              </w:rPr>
            </w:pPr>
            <w:r>
              <w:rPr>
                <w:rFonts w:ascii="Times New Roman" w:hAnsi="Times New Roman" w:cs="Times New Roman"/>
                <w:szCs w:val="21"/>
              </w:rPr>
              <w:t>7</w:t>
            </w:r>
          </w:p>
        </w:tc>
        <w:tc>
          <w:tcPr>
            <w:tcW w:w="2146" w:type="dxa"/>
            <w:gridSpan w:val="2"/>
            <w:vAlign w:val="center"/>
          </w:tcPr>
          <w:p w14:paraId="3D8A2C2F">
            <w:pPr>
              <w:spacing w:line="360" w:lineRule="auto"/>
              <w:jc w:val="left"/>
              <w:rPr>
                <w:rFonts w:ascii="Times New Roman" w:hAnsi="Times New Roman" w:cs="Times New Roman"/>
                <w:szCs w:val="21"/>
              </w:rPr>
            </w:pPr>
            <w:r>
              <w:rPr>
                <w:rFonts w:hint="eastAsia" w:ascii="Times New Roman" w:hAnsi="Times New Roman" w:cs="Times New Roman"/>
                <w:szCs w:val="21"/>
              </w:rPr>
              <w:t>男女不限，50岁以下，</w:t>
            </w:r>
            <w:r>
              <w:rPr>
                <w:rFonts w:hint="eastAsia" w:ascii="Times New Roman" w:hAnsi="Times New Roman" w:eastAsia="宋体" w:cs="Times New Roman"/>
                <w:szCs w:val="21"/>
              </w:rPr>
              <w:t>提供开标日前三个月中连续两个月的由投标单位或其分公司为该人员缴纳的社会保险证明扫描件(如为初创企业和新录用人员，请提供相关证明材料扫描件），</w:t>
            </w:r>
            <w:r>
              <w:rPr>
                <w:rFonts w:hint="eastAsia" w:ascii="Times New Roman" w:hAnsi="Times New Roman" w:cs="Times New Roman"/>
                <w:szCs w:val="21"/>
              </w:rPr>
              <w:t>持职业资格证书（保安员）或公安机关盖章的保安员证上岗</w:t>
            </w:r>
          </w:p>
        </w:tc>
        <w:tc>
          <w:tcPr>
            <w:tcW w:w="1228" w:type="dxa"/>
            <w:vAlign w:val="center"/>
          </w:tcPr>
          <w:p w14:paraId="78CDD3DF">
            <w:pPr>
              <w:spacing w:line="360" w:lineRule="auto"/>
              <w:jc w:val="center"/>
              <w:rPr>
                <w:rFonts w:ascii="Times New Roman" w:hAnsi="Times New Roman" w:cs="Times New Roman"/>
                <w:szCs w:val="21"/>
              </w:rPr>
            </w:pPr>
            <w:r>
              <w:rPr>
                <w:rFonts w:hint="eastAsia" w:ascii="Times New Roman" w:hAnsi="Times New Roman" w:cs="Times New Roman"/>
                <w:szCs w:val="21"/>
              </w:rPr>
              <w:t>否</w:t>
            </w:r>
          </w:p>
        </w:tc>
        <w:tc>
          <w:tcPr>
            <w:tcW w:w="1240" w:type="dxa"/>
            <w:vAlign w:val="center"/>
          </w:tcPr>
          <w:p w14:paraId="0B461930">
            <w:pPr>
              <w:spacing w:line="360" w:lineRule="auto"/>
              <w:jc w:val="center"/>
              <w:rPr>
                <w:rFonts w:ascii="Times New Roman" w:hAnsi="Times New Roman" w:cs="Times New Roman"/>
                <w:szCs w:val="21"/>
              </w:rPr>
            </w:pPr>
            <w:r>
              <w:rPr>
                <w:rFonts w:hint="eastAsia" w:ascii="Times New Roman" w:hAnsi="Times New Roman" w:cs="Times New Roman"/>
                <w:szCs w:val="21"/>
              </w:rPr>
              <w:t>7点-17点</w:t>
            </w:r>
          </w:p>
        </w:tc>
      </w:tr>
      <w:tr w14:paraId="6A9F8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8" w:type="dxa"/>
          <w:jc w:val="center"/>
        </w:trPr>
        <w:tc>
          <w:tcPr>
            <w:tcW w:w="704" w:type="dxa"/>
            <w:vAlign w:val="center"/>
          </w:tcPr>
          <w:p w14:paraId="24E8ECE4">
            <w:pPr>
              <w:spacing w:line="360" w:lineRule="auto"/>
              <w:jc w:val="center"/>
              <w:rPr>
                <w:rFonts w:ascii="Times New Roman" w:hAnsi="Times New Roman" w:cs="Times New Roman"/>
                <w:szCs w:val="21"/>
              </w:rPr>
            </w:pPr>
            <w:r>
              <w:rPr>
                <w:rFonts w:ascii="Times New Roman" w:hAnsi="Times New Roman" w:cs="Times New Roman"/>
                <w:szCs w:val="21"/>
              </w:rPr>
              <w:t>2</w:t>
            </w:r>
          </w:p>
        </w:tc>
        <w:tc>
          <w:tcPr>
            <w:tcW w:w="2249" w:type="dxa"/>
            <w:vAlign w:val="center"/>
          </w:tcPr>
          <w:p w14:paraId="16D4B189">
            <w:pPr>
              <w:spacing w:line="360" w:lineRule="auto"/>
              <w:jc w:val="center"/>
              <w:rPr>
                <w:rFonts w:ascii="Times New Roman" w:hAnsi="Times New Roman" w:cs="Times New Roman"/>
                <w:szCs w:val="21"/>
              </w:rPr>
            </w:pPr>
            <w:r>
              <w:rPr>
                <w:rFonts w:hint="eastAsia" w:ascii="Times New Roman" w:hAnsi="Times New Roman" w:cs="Times New Roman"/>
                <w:szCs w:val="21"/>
              </w:rPr>
              <w:t>夜班保安</w:t>
            </w:r>
          </w:p>
        </w:tc>
        <w:tc>
          <w:tcPr>
            <w:tcW w:w="1752" w:type="dxa"/>
            <w:gridSpan w:val="3"/>
            <w:vAlign w:val="center"/>
          </w:tcPr>
          <w:p w14:paraId="78AB8BEA">
            <w:pPr>
              <w:spacing w:line="360" w:lineRule="auto"/>
              <w:jc w:val="center"/>
              <w:rPr>
                <w:rFonts w:ascii="Times New Roman" w:hAnsi="Times New Roman" w:cs="Times New Roman"/>
                <w:szCs w:val="21"/>
              </w:rPr>
            </w:pPr>
            <w:r>
              <w:rPr>
                <w:rFonts w:hint="eastAsia" w:ascii="Times New Roman" w:hAnsi="Times New Roman" w:cs="Times New Roman"/>
                <w:szCs w:val="21"/>
              </w:rPr>
              <w:t>4</w:t>
            </w:r>
          </w:p>
        </w:tc>
        <w:tc>
          <w:tcPr>
            <w:tcW w:w="2146" w:type="dxa"/>
            <w:gridSpan w:val="2"/>
            <w:vAlign w:val="center"/>
          </w:tcPr>
          <w:p w14:paraId="68238438">
            <w:pPr>
              <w:spacing w:line="360" w:lineRule="auto"/>
              <w:jc w:val="left"/>
              <w:rPr>
                <w:rFonts w:ascii="Times New Roman" w:hAnsi="Times New Roman" w:cs="Times New Roman"/>
                <w:szCs w:val="21"/>
              </w:rPr>
            </w:pPr>
            <w:r>
              <w:rPr>
                <w:rFonts w:hint="eastAsia" w:ascii="Times New Roman" w:hAnsi="Times New Roman" w:cs="Times New Roman"/>
                <w:szCs w:val="21"/>
              </w:rPr>
              <w:t>男女不限，50岁以下，</w:t>
            </w:r>
            <w:r>
              <w:rPr>
                <w:rFonts w:hint="eastAsia" w:ascii="Times New Roman" w:hAnsi="Times New Roman" w:eastAsia="宋体" w:cs="Times New Roman"/>
                <w:szCs w:val="21"/>
              </w:rPr>
              <w:t>提供开标日前三个月中连续两个月的由投标单位或其分公司为该人员缴纳的社会保险证明扫描件(如为初创企业和新录用人员，请提供相关证明材料扫描件），</w:t>
            </w:r>
            <w:r>
              <w:rPr>
                <w:rFonts w:hint="eastAsia" w:ascii="Times New Roman" w:hAnsi="Times New Roman" w:cs="Times New Roman"/>
                <w:szCs w:val="21"/>
              </w:rPr>
              <w:t>持职业资格证书（保安员）或公安机关盖章的保安员证上岗</w:t>
            </w:r>
          </w:p>
        </w:tc>
        <w:tc>
          <w:tcPr>
            <w:tcW w:w="1228" w:type="dxa"/>
            <w:vAlign w:val="center"/>
          </w:tcPr>
          <w:p w14:paraId="35944E0F">
            <w:pPr>
              <w:spacing w:line="360" w:lineRule="auto"/>
              <w:jc w:val="center"/>
              <w:rPr>
                <w:rFonts w:ascii="Times New Roman" w:hAnsi="Times New Roman" w:cs="Times New Roman"/>
                <w:szCs w:val="21"/>
              </w:rPr>
            </w:pPr>
            <w:r>
              <w:rPr>
                <w:rFonts w:hint="eastAsia" w:ascii="Times New Roman" w:hAnsi="Times New Roman" w:cs="Times New Roman"/>
                <w:szCs w:val="21"/>
              </w:rPr>
              <w:t>否</w:t>
            </w:r>
          </w:p>
        </w:tc>
        <w:tc>
          <w:tcPr>
            <w:tcW w:w="1240" w:type="dxa"/>
            <w:vAlign w:val="center"/>
          </w:tcPr>
          <w:p w14:paraId="158356A4">
            <w:pPr>
              <w:spacing w:line="360" w:lineRule="auto"/>
              <w:jc w:val="center"/>
              <w:rPr>
                <w:rFonts w:ascii="Times New Roman" w:hAnsi="Times New Roman" w:cs="Times New Roman"/>
                <w:szCs w:val="21"/>
              </w:rPr>
            </w:pPr>
            <w:r>
              <w:rPr>
                <w:rFonts w:hint="eastAsia" w:ascii="Times New Roman" w:hAnsi="Times New Roman" w:cs="Times New Roman"/>
                <w:szCs w:val="21"/>
              </w:rPr>
              <w:t>17点-次日7点</w:t>
            </w:r>
          </w:p>
        </w:tc>
      </w:tr>
      <w:tr w14:paraId="75D23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1D3EF2BE">
            <w:pPr>
              <w:spacing w:line="360" w:lineRule="auto"/>
              <w:jc w:val="center"/>
              <w:rPr>
                <w:rFonts w:ascii="Times New Roman" w:hAnsi="Times New Roman" w:cs="Times New Roman"/>
                <w:b/>
                <w:szCs w:val="21"/>
              </w:rPr>
            </w:pPr>
            <w:r>
              <w:rPr>
                <w:rFonts w:hint="eastAsia" w:ascii="Times New Roman" w:hAnsi="Times New Roman" w:cs="Times New Roman"/>
                <w:b/>
                <w:szCs w:val="21"/>
              </w:rPr>
              <w:t>3</w:t>
            </w:r>
          </w:p>
        </w:tc>
        <w:tc>
          <w:tcPr>
            <w:tcW w:w="2268" w:type="dxa"/>
            <w:gridSpan w:val="2"/>
            <w:vAlign w:val="center"/>
          </w:tcPr>
          <w:p w14:paraId="680471F6">
            <w:pPr>
              <w:spacing w:line="360" w:lineRule="auto"/>
              <w:jc w:val="center"/>
              <w:rPr>
                <w:rFonts w:ascii="Times New Roman" w:hAnsi="Times New Roman" w:cs="Times New Roman"/>
                <w:b/>
                <w:szCs w:val="21"/>
              </w:rPr>
            </w:pPr>
            <w:r>
              <w:rPr>
                <w:rFonts w:hint="eastAsia" w:ascii="宋体" w:hAnsi="宋体" w:cs="宋体"/>
                <w:sz w:val="24"/>
                <w:szCs w:val="24"/>
              </w:rPr>
              <w:t>消控室值守人员</w:t>
            </w:r>
          </w:p>
        </w:tc>
        <w:tc>
          <w:tcPr>
            <w:tcW w:w="1701" w:type="dxa"/>
            <w:vAlign w:val="center"/>
          </w:tcPr>
          <w:p w14:paraId="19AC6F15">
            <w:pPr>
              <w:spacing w:line="360" w:lineRule="auto"/>
              <w:jc w:val="center"/>
              <w:rPr>
                <w:rFonts w:ascii="Times New Roman" w:hAnsi="Times New Roman" w:cs="Times New Roman"/>
                <w:szCs w:val="21"/>
              </w:rPr>
            </w:pPr>
            <w:r>
              <w:rPr>
                <w:rFonts w:hint="eastAsia" w:ascii="Times New Roman" w:hAnsi="Times New Roman" w:cs="Times New Roman"/>
                <w:szCs w:val="21"/>
              </w:rPr>
              <w:t>4</w:t>
            </w:r>
          </w:p>
        </w:tc>
        <w:tc>
          <w:tcPr>
            <w:tcW w:w="2126" w:type="dxa"/>
            <w:gridSpan w:val="2"/>
            <w:vAlign w:val="center"/>
          </w:tcPr>
          <w:p w14:paraId="69277D26">
            <w:pPr>
              <w:spacing w:line="360" w:lineRule="auto"/>
              <w:jc w:val="left"/>
              <w:rPr>
                <w:rFonts w:ascii="Times New Roman" w:hAnsi="Times New Roman" w:cs="Times New Roman"/>
                <w:b/>
                <w:szCs w:val="21"/>
              </w:rPr>
            </w:pPr>
            <w:r>
              <w:rPr>
                <w:rFonts w:hint="eastAsia" w:ascii="Times New Roman" w:hAnsi="Times New Roman" w:cs="Times New Roman"/>
                <w:szCs w:val="21"/>
              </w:rPr>
              <w:t>男女不限，50岁以下，</w:t>
            </w:r>
            <w:r>
              <w:rPr>
                <w:rFonts w:hint="eastAsia" w:ascii="Times New Roman" w:hAnsi="Times New Roman" w:eastAsia="宋体" w:cs="Times New Roman"/>
                <w:szCs w:val="21"/>
              </w:rPr>
              <w:t>提供开标日前三个月中连续两个月的由投标单位或其分公司为该人员缴纳的社会保险证明扫描件(如为初创企业和新录用人员，请提供相关证明材料扫描件），具备有效期内的《中华人民共和国职业资格证（建（构）筑物消防员或消防设施操作员）》（中级）。</w:t>
            </w:r>
          </w:p>
        </w:tc>
        <w:tc>
          <w:tcPr>
            <w:tcW w:w="1276" w:type="dxa"/>
            <w:gridSpan w:val="2"/>
            <w:vAlign w:val="center"/>
          </w:tcPr>
          <w:p w14:paraId="213558B9">
            <w:pPr>
              <w:spacing w:line="360" w:lineRule="auto"/>
              <w:jc w:val="center"/>
              <w:rPr>
                <w:rFonts w:ascii="Times New Roman" w:hAnsi="Times New Roman" w:cs="Times New Roman"/>
                <w:szCs w:val="21"/>
              </w:rPr>
            </w:pPr>
            <w:r>
              <w:rPr>
                <w:rFonts w:hint="eastAsia" w:ascii="Times New Roman" w:hAnsi="Times New Roman" w:cs="Times New Roman"/>
                <w:szCs w:val="21"/>
              </w:rPr>
              <w:t>否</w:t>
            </w:r>
            <w:bookmarkStart w:id="39" w:name="_GoBack"/>
            <w:bookmarkEnd w:id="39"/>
          </w:p>
        </w:tc>
        <w:tc>
          <w:tcPr>
            <w:tcW w:w="1362" w:type="dxa"/>
            <w:gridSpan w:val="2"/>
            <w:vAlign w:val="center"/>
          </w:tcPr>
          <w:p w14:paraId="7BCA38A1">
            <w:pPr>
              <w:spacing w:line="360" w:lineRule="auto"/>
              <w:jc w:val="center"/>
              <w:rPr>
                <w:rFonts w:ascii="Times New Roman" w:hAnsi="Times New Roman" w:cs="Times New Roman"/>
                <w:b/>
                <w:szCs w:val="21"/>
              </w:rPr>
            </w:pPr>
            <w:r>
              <w:rPr>
                <w:rFonts w:hint="eastAsia" w:ascii="Times New Roman" w:hAnsi="Times New Roman" w:cs="Times New Roman"/>
                <w:szCs w:val="21"/>
              </w:rPr>
              <w:t>7点-17点</w:t>
            </w:r>
          </w:p>
        </w:tc>
      </w:tr>
      <w:tr w14:paraId="22B47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2" w:type="dxa"/>
            <w:gridSpan w:val="3"/>
            <w:vAlign w:val="center"/>
          </w:tcPr>
          <w:p w14:paraId="777FC065">
            <w:pPr>
              <w:spacing w:line="360" w:lineRule="auto"/>
              <w:jc w:val="center"/>
              <w:rPr>
                <w:rFonts w:ascii="Times New Roman" w:hAnsi="Times New Roman" w:cs="Times New Roman"/>
                <w:szCs w:val="21"/>
              </w:rPr>
            </w:pPr>
            <w:r>
              <w:rPr>
                <w:rFonts w:hint="eastAsia" w:ascii="Times New Roman" w:hAnsi="Times New Roman" w:cs="Times New Roman"/>
                <w:szCs w:val="21"/>
              </w:rPr>
              <w:t>合计人数</w:t>
            </w:r>
          </w:p>
        </w:tc>
        <w:tc>
          <w:tcPr>
            <w:tcW w:w="6465" w:type="dxa"/>
            <w:gridSpan w:val="7"/>
            <w:vAlign w:val="center"/>
          </w:tcPr>
          <w:p w14:paraId="29030E73">
            <w:pPr>
              <w:spacing w:line="360" w:lineRule="auto"/>
              <w:jc w:val="center"/>
              <w:rPr>
                <w:rFonts w:ascii="Times New Roman" w:hAnsi="Times New Roman" w:cs="Times New Roman"/>
                <w:szCs w:val="21"/>
              </w:rPr>
            </w:pPr>
            <w:r>
              <w:rPr>
                <w:rFonts w:ascii="Times New Roman" w:hAnsi="Times New Roman" w:cs="Times New Roman"/>
                <w:szCs w:val="21"/>
              </w:rPr>
              <w:t>15</w:t>
            </w:r>
            <w:r>
              <w:rPr>
                <w:rFonts w:hint="eastAsia" w:ascii="Times New Roman" w:hAnsi="Times New Roman" w:eastAsia="宋体" w:cs="Times New Roman"/>
                <w:b/>
                <w:bCs/>
                <w:szCs w:val="21"/>
              </w:rPr>
              <w:t>（以上</w:t>
            </w:r>
            <w:r>
              <w:rPr>
                <w:rFonts w:hint="eastAsia" w:ascii="Times New Roman" w:hAnsi="Times New Roman" w:cs="Times New Roman"/>
                <w:b/>
                <w:bCs/>
                <w:szCs w:val="21"/>
              </w:rPr>
              <w:t>全部</w:t>
            </w:r>
            <w:r>
              <w:rPr>
                <w:rFonts w:hint="eastAsia" w:ascii="Times New Roman" w:hAnsi="Times New Roman" w:eastAsia="宋体" w:cs="Times New Roman"/>
                <w:b/>
                <w:bCs/>
                <w:szCs w:val="21"/>
              </w:rPr>
              <w:t>人员需</w:t>
            </w:r>
            <w:r>
              <w:rPr>
                <w:rFonts w:hint="eastAsia" w:ascii="Times New Roman" w:hAnsi="Times New Roman" w:cs="Times New Roman"/>
                <w:b/>
                <w:bCs/>
                <w:szCs w:val="21"/>
              </w:rPr>
              <w:t>按各年龄要求提供</w:t>
            </w:r>
            <w:r>
              <w:rPr>
                <w:rFonts w:hint="eastAsia" w:ascii="Times New Roman" w:hAnsi="Times New Roman" w:eastAsia="宋体" w:cs="Times New Roman"/>
                <w:b/>
                <w:bCs/>
                <w:szCs w:val="21"/>
              </w:rPr>
              <w:t>有效期内</w:t>
            </w:r>
            <w:r>
              <w:rPr>
                <w:rFonts w:hint="eastAsia" w:ascii="Times New Roman" w:hAnsi="Times New Roman" w:cs="Times New Roman"/>
                <w:b/>
                <w:bCs/>
                <w:szCs w:val="21"/>
              </w:rPr>
              <w:t>身份证正反面扫描件，</w:t>
            </w:r>
            <w:r>
              <w:rPr>
                <w:rFonts w:hint="eastAsia" w:ascii="Times New Roman" w:hAnsi="Times New Roman" w:eastAsia="宋体" w:cs="Times New Roman"/>
                <w:b/>
                <w:bCs/>
                <w:szCs w:val="21"/>
              </w:rPr>
              <w:t>否则不予认定加分，全部</w:t>
            </w:r>
            <w:r>
              <w:rPr>
                <w:rFonts w:hint="eastAsia" w:ascii="Times New Roman" w:hAnsi="Times New Roman" w:cs="Times New Roman"/>
                <w:b/>
                <w:bCs/>
                <w:szCs w:val="21"/>
              </w:rPr>
              <w:t>人员需</w:t>
            </w:r>
            <w:r>
              <w:rPr>
                <w:rFonts w:hint="eastAsia" w:ascii="Times New Roman" w:hAnsi="Times New Roman" w:eastAsia="宋体" w:cs="Times New Roman"/>
                <w:b/>
                <w:bCs/>
                <w:szCs w:val="21"/>
              </w:rPr>
              <w:t>提供有效期内的全时段无犯罪记录证明）</w:t>
            </w:r>
          </w:p>
        </w:tc>
      </w:tr>
    </w:tbl>
    <w:p w14:paraId="226757A1">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注：保安服务单位需为我校</w:t>
      </w:r>
      <w:r>
        <w:rPr>
          <w:rFonts w:hint="eastAsia" w:ascii="宋体" w:hAnsi="宋体" w:eastAsia="宋体" w:cs="宋体"/>
          <w:kern w:val="0"/>
          <w:sz w:val="24"/>
          <w:szCs w:val="24"/>
          <w:lang w:bidi="ar"/>
        </w:rPr>
        <w:t>奥城校区配备保安员</w:t>
      </w:r>
      <w:r>
        <w:rPr>
          <w:rFonts w:ascii="宋体" w:hAnsi="宋体" w:eastAsia="宋体" w:cs="宋体"/>
          <w:kern w:val="0"/>
          <w:sz w:val="24"/>
          <w:szCs w:val="24"/>
          <w:lang w:bidi="ar"/>
        </w:rPr>
        <w:t>6</w:t>
      </w:r>
      <w:r>
        <w:rPr>
          <w:rFonts w:hint="eastAsia" w:ascii="宋体" w:hAnsi="宋体" w:eastAsia="宋体" w:cs="宋体"/>
          <w:kern w:val="0"/>
          <w:sz w:val="24"/>
          <w:szCs w:val="24"/>
          <w:lang w:bidi="ar"/>
        </w:rPr>
        <w:t>人，消控值守2人，</w:t>
      </w:r>
      <w:r>
        <w:rPr>
          <w:rFonts w:hint="eastAsia" w:ascii="Times New Roman" w:hAnsi="Times New Roman" w:cs="Times New Roman"/>
          <w:sz w:val="24"/>
          <w:szCs w:val="24"/>
        </w:rPr>
        <w:t>为我校</w:t>
      </w:r>
      <w:r>
        <w:rPr>
          <w:rFonts w:hint="eastAsia" w:ascii="宋体" w:hAnsi="宋体" w:eastAsia="宋体" w:cs="宋体"/>
          <w:kern w:val="0"/>
          <w:sz w:val="24"/>
          <w:szCs w:val="24"/>
          <w:lang w:bidi="ar"/>
        </w:rPr>
        <w:t>阳光1</w:t>
      </w:r>
      <w:r>
        <w:rPr>
          <w:rFonts w:ascii="宋体" w:hAnsi="宋体" w:eastAsia="宋体" w:cs="宋体"/>
          <w:kern w:val="0"/>
          <w:sz w:val="24"/>
          <w:szCs w:val="24"/>
          <w:lang w:bidi="ar"/>
        </w:rPr>
        <w:t>00</w:t>
      </w:r>
      <w:r>
        <w:rPr>
          <w:rFonts w:hint="eastAsia" w:ascii="宋体" w:hAnsi="宋体" w:eastAsia="宋体" w:cs="宋体"/>
          <w:kern w:val="0"/>
          <w:sz w:val="24"/>
          <w:szCs w:val="24"/>
          <w:lang w:bidi="ar"/>
        </w:rPr>
        <w:t>校区配备保安员</w:t>
      </w:r>
      <w:r>
        <w:rPr>
          <w:rFonts w:ascii="宋体" w:hAnsi="宋体" w:eastAsia="宋体" w:cs="宋体"/>
          <w:kern w:val="0"/>
          <w:sz w:val="24"/>
          <w:szCs w:val="24"/>
          <w:lang w:bidi="ar"/>
        </w:rPr>
        <w:t>5</w:t>
      </w:r>
      <w:r>
        <w:rPr>
          <w:rFonts w:hint="eastAsia" w:ascii="宋体" w:hAnsi="宋体" w:eastAsia="宋体" w:cs="宋体"/>
          <w:kern w:val="0"/>
          <w:sz w:val="24"/>
          <w:szCs w:val="24"/>
          <w:lang w:bidi="ar"/>
        </w:rPr>
        <w:t>人，消控值守2人，共计1</w:t>
      </w:r>
      <w:r>
        <w:rPr>
          <w:rFonts w:ascii="宋体" w:hAnsi="宋体" w:eastAsia="宋体" w:cs="宋体"/>
          <w:kern w:val="0"/>
          <w:sz w:val="24"/>
          <w:szCs w:val="24"/>
          <w:lang w:bidi="ar"/>
        </w:rPr>
        <w:t>5</w:t>
      </w:r>
      <w:r>
        <w:rPr>
          <w:rFonts w:hint="eastAsia" w:ascii="宋体" w:hAnsi="宋体" w:eastAsia="宋体" w:cs="宋体"/>
          <w:kern w:val="0"/>
          <w:sz w:val="24"/>
          <w:szCs w:val="24"/>
          <w:lang w:bidi="ar"/>
        </w:rPr>
        <w:t>人</w:t>
      </w:r>
      <w:r>
        <w:rPr>
          <w:rFonts w:hint="eastAsia" w:ascii="Times New Roman" w:hAnsi="Times New Roman" w:cs="Times New Roman"/>
          <w:sz w:val="24"/>
          <w:szCs w:val="24"/>
        </w:rPr>
        <w:t>。</w:t>
      </w:r>
    </w:p>
    <w:p w14:paraId="2364DC08">
      <w:pPr>
        <w:spacing w:line="360" w:lineRule="auto"/>
        <w:rPr>
          <w:rFonts w:ascii="Times New Roman" w:hAnsi="Times New Roman" w:cs="Times New Roman"/>
          <w:b/>
          <w:sz w:val="24"/>
          <w:szCs w:val="24"/>
        </w:rPr>
      </w:pPr>
      <w:r>
        <w:rPr>
          <w:rFonts w:hint="eastAsia" w:ascii="Times New Roman" w:hAnsi="Times New Roman" w:cs="Times New Roman"/>
          <w:b/>
          <w:sz w:val="24"/>
          <w:szCs w:val="24"/>
        </w:rPr>
        <w:t>五、</w:t>
      </w:r>
      <w:r>
        <w:rPr>
          <w:rFonts w:hint="eastAsia"/>
          <w:b/>
          <w:color w:val="000000"/>
          <w:sz w:val="24"/>
          <w:szCs w:val="24"/>
        </w:rPr>
        <w:t>各岗位人员具体工作内容、职责及服务标准</w:t>
      </w:r>
    </w:p>
    <w:p w14:paraId="444178A0">
      <w:pPr>
        <w:numPr>
          <w:ilvl w:val="0"/>
          <w:numId w:val="1"/>
        </w:numPr>
        <w:spacing w:line="360" w:lineRule="auto"/>
        <w:ind w:firstLine="480" w:firstLineChars="200"/>
        <w:rPr>
          <w:rFonts w:ascii="宋体" w:hAnsi="宋体" w:eastAsia="宋体" w:cs="宋体"/>
          <w:sz w:val="24"/>
          <w:szCs w:val="24"/>
        </w:rPr>
      </w:pPr>
      <w:bookmarkStart w:id="6" w:name="_Toc23283"/>
      <w:bookmarkStart w:id="7" w:name="_Toc5358"/>
      <w:bookmarkStart w:id="8" w:name="_Toc15118"/>
      <w:r>
        <w:rPr>
          <w:rFonts w:hint="eastAsia" w:ascii="宋体" w:hAnsi="宋体" w:eastAsia="宋体" w:cs="宋体"/>
          <w:sz w:val="24"/>
          <w:szCs w:val="24"/>
        </w:rPr>
        <w:t>能在最短的时间了解和熟悉学校的地形、地貌及固定人员的情况；</w:t>
      </w:r>
      <w:bookmarkEnd w:id="6"/>
      <w:bookmarkEnd w:id="7"/>
      <w:bookmarkEnd w:id="8"/>
    </w:p>
    <w:p w14:paraId="6C2A8E01">
      <w:pPr>
        <w:numPr>
          <w:ilvl w:val="0"/>
          <w:numId w:val="1"/>
        </w:numPr>
        <w:spacing w:line="360" w:lineRule="auto"/>
        <w:ind w:firstLine="480" w:firstLineChars="200"/>
        <w:rPr>
          <w:rFonts w:ascii="宋体" w:hAnsi="宋体" w:eastAsia="宋体" w:cs="宋体"/>
          <w:sz w:val="24"/>
          <w:szCs w:val="24"/>
        </w:rPr>
      </w:pPr>
      <w:bookmarkStart w:id="9" w:name="_Toc8886"/>
      <w:bookmarkStart w:id="10" w:name="_Toc30436"/>
      <w:bookmarkStart w:id="11" w:name="_Toc14503"/>
      <w:r>
        <w:rPr>
          <w:rFonts w:hint="eastAsia" w:ascii="宋体" w:hAnsi="宋体" w:eastAsia="宋体" w:cs="宋体"/>
          <w:sz w:val="24"/>
          <w:szCs w:val="24"/>
        </w:rPr>
        <w:t>能在最短的时间了解和熟悉学校各楼层的分布情况，了解重点部位的位置，消防器材的分布情况，了解学校的各个出入口的位置；</w:t>
      </w:r>
      <w:bookmarkEnd w:id="9"/>
      <w:bookmarkEnd w:id="10"/>
      <w:bookmarkEnd w:id="11"/>
    </w:p>
    <w:p w14:paraId="1A6881C2">
      <w:pPr>
        <w:numPr>
          <w:ilvl w:val="0"/>
          <w:numId w:val="1"/>
        </w:numPr>
        <w:spacing w:line="360" w:lineRule="auto"/>
        <w:ind w:firstLine="480" w:firstLineChars="200"/>
        <w:rPr>
          <w:rFonts w:ascii="宋体" w:hAnsi="宋体" w:eastAsia="宋体" w:cs="宋体"/>
          <w:sz w:val="24"/>
          <w:szCs w:val="24"/>
        </w:rPr>
      </w:pPr>
      <w:bookmarkStart w:id="12" w:name="_Toc12224"/>
      <w:bookmarkStart w:id="13" w:name="_Toc5702"/>
      <w:bookmarkStart w:id="14" w:name="_Toc12678"/>
      <w:r>
        <w:rPr>
          <w:rFonts w:hint="eastAsia" w:ascii="宋体" w:hAnsi="宋体" w:eastAsia="宋体" w:cs="宋体"/>
          <w:sz w:val="24"/>
          <w:szCs w:val="24"/>
        </w:rPr>
        <w:t>能尽快掌握学校师生的体态、面貌。能严格执行门禁制度，严格控制外来人员进校，严格来访登记制度，不准闲杂人员、衣冠不整者入校；</w:t>
      </w:r>
      <w:bookmarkEnd w:id="12"/>
      <w:bookmarkEnd w:id="13"/>
      <w:bookmarkEnd w:id="14"/>
    </w:p>
    <w:p w14:paraId="27A42DCC">
      <w:pPr>
        <w:numPr>
          <w:ilvl w:val="0"/>
          <w:numId w:val="1"/>
        </w:numPr>
        <w:spacing w:line="360" w:lineRule="auto"/>
        <w:ind w:firstLine="480" w:firstLineChars="200"/>
        <w:rPr>
          <w:rFonts w:ascii="宋体" w:hAnsi="宋体" w:eastAsia="宋体" w:cs="宋体"/>
          <w:sz w:val="24"/>
          <w:szCs w:val="24"/>
        </w:rPr>
      </w:pPr>
      <w:bookmarkStart w:id="15" w:name="_Toc14889"/>
      <w:bookmarkStart w:id="16" w:name="_Toc26440"/>
      <w:bookmarkStart w:id="17" w:name="_Toc10628"/>
      <w:r>
        <w:rPr>
          <w:rFonts w:hint="eastAsia" w:ascii="宋体" w:hAnsi="宋体" w:eastAsia="宋体" w:cs="宋体"/>
          <w:sz w:val="24"/>
          <w:szCs w:val="24"/>
        </w:rPr>
        <w:t>做好窗口工作，不与来访者发生冲突，说普通话，使用文明语言；</w:t>
      </w:r>
      <w:bookmarkEnd w:id="15"/>
      <w:bookmarkEnd w:id="16"/>
      <w:bookmarkEnd w:id="17"/>
    </w:p>
    <w:p w14:paraId="105FD231">
      <w:pPr>
        <w:numPr>
          <w:ilvl w:val="0"/>
          <w:numId w:val="1"/>
        </w:numPr>
        <w:spacing w:line="360" w:lineRule="auto"/>
        <w:ind w:firstLine="480" w:firstLineChars="200"/>
        <w:rPr>
          <w:rFonts w:ascii="宋体" w:hAnsi="宋体" w:eastAsia="宋体" w:cs="宋体"/>
          <w:sz w:val="24"/>
          <w:szCs w:val="24"/>
        </w:rPr>
      </w:pPr>
      <w:bookmarkStart w:id="18" w:name="_Toc16874"/>
      <w:bookmarkStart w:id="19" w:name="_Toc11659"/>
      <w:bookmarkStart w:id="20" w:name="_Toc6201"/>
      <w:r>
        <w:rPr>
          <w:rFonts w:hint="eastAsia" w:ascii="宋体" w:hAnsi="宋体" w:eastAsia="宋体" w:cs="宋体"/>
          <w:sz w:val="24"/>
          <w:szCs w:val="24"/>
        </w:rPr>
        <w:t>对大宗物品出校要进行检查，校对有关部门开具的证明，证物相符放行，并做好记录（尤其节假日期间）；</w:t>
      </w:r>
      <w:bookmarkEnd w:id="18"/>
      <w:bookmarkEnd w:id="19"/>
      <w:bookmarkEnd w:id="20"/>
    </w:p>
    <w:p w14:paraId="42E98AD4">
      <w:pPr>
        <w:numPr>
          <w:ilvl w:val="0"/>
          <w:numId w:val="1"/>
        </w:numPr>
        <w:spacing w:line="360" w:lineRule="auto"/>
        <w:ind w:firstLine="480" w:firstLineChars="200"/>
        <w:rPr>
          <w:rFonts w:ascii="宋体" w:hAnsi="宋体" w:eastAsia="宋体" w:cs="宋体"/>
          <w:sz w:val="24"/>
          <w:szCs w:val="24"/>
        </w:rPr>
      </w:pPr>
      <w:bookmarkStart w:id="21" w:name="_Toc26438"/>
      <w:bookmarkStart w:id="22" w:name="_Toc29283"/>
      <w:bookmarkStart w:id="23" w:name="_Toc4241"/>
      <w:r>
        <w:rPr>
          <w:rFonts w:hint="eastAsia" w:ascii="宋体" w:hAnsi="宋体" w:eastAsia="宋体" w:cs="宋体"/>
          <w:sz w:val="24"/>
          <w:szCs w:val="24"/>
        </w:rPr>
        <w:t>做好收发工作，报刊信件分检及时准确；对挂号信件要及时通知本人来取，并做好签收记录；</w:t>
      </w:r>
      <w:bookmarkEnd w:id="21"/>
      <w:bookmarkEnd w:id="22"/>
      <w:bookmarkEnd w:id="23"/>
    </w:p>
    <w:p w14:paraId="4ACEB878">
      <w:pPr>
        <w:numPr>
          <w:ilvl w:val="0"/>
          <w:numId w:val="1"/>
        </w:numPr>
        <w:spacing w:line="360" w:lineRule="auto"/>
        <w:ind w:firstLine="480" w:firstLineChars="200"/>
        <w:rPr>
          <w:rFonts w:ascii="宋体" w:hAnsi="宋体" w:eastAsia="宋体" w:cs="宋体"/>
          <w:sz w:val="24"/>
          <w:szCs w:val="24"/>
        </w:rPr>
      </w:pPr>
      <w:bookmarkStart w:id="24" w:name="_Toc27799"/>
      <w:bookmarkStart w:id="25" w:name="_Toc12863"/>
      <w:bookmarkStart w:id="26" w:name="_Toc24801"/>
      <w:r>
        <w:rPr>
          <w:rFonts w:hint="eastAsia" w:ascii="宋体" w:hAnsi="宋体" w:eastAsia="宋体" w:cs="宋体"/>
          <w:sz w:val="24"/>
          <w:szCs w:val="24"/>
        </w:rPr>
        <w:t>机动车严禁入校；教师及来访人员自行车一律按规定停放，指挥车辆停放整齐；</w:t>
      </w:r>
      <w:bookmarkEnd w:id="24"/>
      <w:bookmarkEnd w:id="25"/>
      <w:bookmarkEnd w:id="26"/>
    </w:p>
    <w:p w14:paraId="7EAA81F7">
      <w:pPr>
        <w:numPr>
          <w:ilvl w:val="0"/>
          <w:numId w:val="1"/>
        </w:numPr>
        <w:spacing w:line="360" w:lineRule="auto"/>
        <w:ind w:firstLine="480" w:firstLineChars="200"/>
        <w:rPr>
          <w:rFonts w:ascii="宋体" w:hAnsi="宋体" w:eastAsia="宋体" w:cs="宋体"/>
          <w:sz w:val="24"/>
          <w:szCs w:val="24"/>
        </w:rPr>
      </w:pPr>
      <w:bookmarkStart w:id="27" w:name="_Toc13783"/>
      <w:bookmarkStart w:id="28" w:name="_Toc2276"/>
      <w:bookmarkStart w:id="29" w:name="_Toc22991"/>
      <w:r>
        <w:rPr>
          <w:rFonts w:hint="eastAsia" w:ascii="宋体" w:hAnsi="宋体" w:eastAsia="宋体" w:cs="宋体"/>
          <w:sz w:val="24"/>
          <w:szCs w:val="24"/>
        </w:rPr>
        <w:t>做好传达室和学校门前卫生三包，做好卫生责任区清洁工作；按时锁好学校大门，检查有无可疑情况，一经发现及时处理并上报；学生上下学高峰期，应提前30分钟到校门口疏导车辆、人流，及时排除校门外（左右50米）的摊点，做到无商业行为、无车辆堵塞或障碍物，配合学校合理安排家长接送区，有效疏通学生拥挤现象。要提高警惕，发现危害学生安全的行为要及时制止，排除不安全因素，防止意外事故的发生。保证校门口外通道畅通无阻。</w:t>
      </w:r>
      <w:bookmarkEnd w:id="27"/>
      <w:bookmarkEnd w:id="28"/>
      <w:bookmarkEnd w:id="29"/>
    </w:p>
    <w:p w14:paraId="01204AE1">
      <w:pPr>
        <w:numPr>
          <w:ilvl w:val="0"/>
          <w:numId w:val="1"/>
        </w:numPr>
        <w:spacing w:line="360" w:lineRule="auto"/>
        <w:ind w:firstLine="480" w:firstLineChars="200"/>
        <w:rPr>
          <w:rFonts w:ascii="宋体" w:hAnsi="宋体" w:eastAsia="宋体" w:cs="宋体"/>
          <w:sz w:val="24"/>
          <w:szCs w:val="24"/>
        </w:rPr>
      </w:pPr>
      <w:bookmarkStart w:id="30" w:name="_Toc29840"/>
      <w:bookmarkStart w:id="31" w:name="_Toc221"/>
      <w:bookmarkStart w:id="32" w:name="_Toc13593"/>
      <w:r>
        <w:rPr>
          <w:rFonts w:hint="eastAsia" w:ascii="宋体" w:hAnsi="宋体" w:eastAsia="宋体" w:cs="宋体"/>
          <w:sz w:val="24"/>
          <w:szCs w:val="24"/>
        </w:rPr>
        <w:t>严禁任何人员携带危险品进校，夜间不准留宿他人；</w:t>
      </w:r>
      <w:bookmarkEnd w:id="30"/>
      <w:bookmarkEnd w:id="31"/>
      <w:bookmarkEnd w:id="32"/>
    </w:p>
    <w:p w14:paraId="027EF1A1">
      <w:pPr>
        <w:numPr>
          <w:ilvl w:val="0"/>
          <w:numId w:val="1"/>
        </w:numPr>
        <w:spacing w:line="360" w:lineRule="auto"/>
        <w:ind w:firstLine="480" w:firstLineChars="200"/>
        <w:rPr>
          <w:rFonts w:ascii="Times New Roman" w:hAnsi="Times New Roman" w:cs="Times New Roman"/>
          <w:sz w:val="24"/>
          <w:szCs w:val="24"/>
        </w:rPr>
      </w:pPr>
      <w:bookmarkStart w:id="33" w:name="_Toc14198"/>
      <w:bookmarkStart w:id="34" w:name="_Toc21612"/>
      <w:bookmarkStart w:id="35" w:name="_Toc13052"/>
      <w:r>
        <w:rPr>
          <w:rFonts w:hint="eastAsia" w:ascii="宋体" w:hAnsi="宋体" w:eastAsia="宋体" w:cs="宋体"/>
          <w:sz w:val="24"/>
          <w:szCs w:val="24"/>
        </w:rPr>
        <w:t>维护好校园秩序和安全，发现治安事件及时采取措施并上报领导，必要时及时报警；严格落实校门开闭制度。上课期间保持校门关闭，学生持班主任开具的证明方可出校；来访人员事先与校内人员取得联系，办好登记手续后方可入校；发现可疑人、事或其他治安信息，及时报相关领导，同时采取有效措施；必要时，启动报警器或拨打110报警。</w:t>
      </w:r>
      <w:bookmarkEnd w:id="33"/>
      <w:bookmarkEnd w:id="34"/>
      <w:bookmarkEnd w:id="35"/>
      <w:bookmarkStart w:id="36" w:name="_Toc30711"/>
      <w:bookmarkStart w:id="37" w:name="_Toc18683"/>
      <w:bookmarkStart w:id="38" w:name="_Toc10639"/>
    </w:p>
    <w:p w14:paraId="73AD6A41">
      <w:pPr>
        <w:numPr>
          <w:ilvl w:val="0"/>
          <w:numId w:val="1"/>
        </w:numPr>
        <w:spacing w:line="360" w:lineRule="auto"/>
        <w:ind w:firstLine="480" w:firstLineChars="200"/>
        <w:rPr>
          <w:rFonts w:ascii="Times New Roman" w:hAnsi="Times New Roman" w:cs="Times New Roman"/>
          <w:sz w:val="24"/>
          <w:szCs w:val="24"/>
        </w:rPr>
      </w:pPr>
      <w:r>
        <w:rPr>
          <w:rFonts w:hint="eastAsia" w:ascii="宋体" w:hAnsi="宋体" w:eastAsia="宋体" w:cs="宋体"/>
          <w:sz w:val="24"/>
          <w:szCs w:val="24"/>
        </w:rPr>
        <w:t>按学校规定时间锁好大门，检查后门，检查校内有无可疑情况，发现问题及时处理上报。</w:t>
      </w:r>
      <w:bookmarkEnd w:id="36"/>
      <w:bookmarkEnd w:id="37"/>
      <w:bookmarkEnd w:id="38"/>
    </w:p>
    <w:p w14:paraId="4F3B9BCA">
      <w:pPr>
        <w:spacing w:line="360" w:lineRule="auto"/>
        <w:rPr>
          <w:rFonts w:ascii="Times New Roman" w:hAnsi="Times New Roman" w:cs="Times New Roman"/>
          <w:b/>
          <w:sz w:val="24"/>
          <w:szCs w:val="24"/>
        </w:rPr>
      </w:pPr>
      <w:r>
        <w:rPr>
          <w:rFonts w:hint="eastAsia" w:ascii="Times New Roman" w:hAnsi="Times New Roman" w:cs="Times New Roman"/>
          <w:b/>
          <w:sz w:val="24"/>
          <w:szCs w:val="24"/>
        </w:rPr>
        <w:t>六、应急服务要求</w:t>
      </w:r>
    </w:p>
    <w:p w14:paraId="7293F60A">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w:t>
      </w:r>
      <w:r>
        <w:rPr>
          <w:rFonts w:hint="eastAsia" w:ascii="Times New Roman" w:hAnsi="Times New Roman" w:cs="Times New Roman"/>
          <w:sz w:val="24"/>
          <w:szCs w:val="24"/>
        </w:rPr>
        <w:t>保安</w:t>
      </w:r>
      <w:r>
        <w:rPr>
          <w:rFonts w:ascii="Times New Roman" w:hAnsi="Times New Roman" w:cs="Times New Roman"/>
          <w:sz w:val="24"/>
          <w:szCs w:val="24"/>
        </w:rPr>
        <w:t>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6B64C0DC">
      <w:pPr>
        <w:spacing w:line="360" w:lineRule="auto"/>
        <w:rPr>
          <w:rFonts w:ascii="Times New Roman" w:hAnsi="Times New Roman" w:cs="Times New Roman"/>
          <w:b/>
          <w:sz w:val="24"/>
          <w:szCs w:val="24"/>
        </w:rPr>
      </w:pPr>
      <w:r>
        <w:rPr>
          <w:rFonts w:hint="eastAsia" w:ascii="Times New Roman" w:hAnsi="Times New Roman" w:cs="Times New Roman"/>
          <w:b/>
          <w:sz w:val="24"/>
          <w:szCs w:val="24"/>
        </w:rPr>
        <w:t>七、人员保密要求</w:t>
      </w:r>
    </w:p>
    <w:p w14:paraId="0E9D008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保证保安服务过程中有可能获取的保密信息不泄露的措施，包括但不限于制定保密制度、服务人员保密培训、重点岗位双人服务、泄密惩罚办法。</w:t>
      </w:r>
    </w:p>
    <w:p w14:paraId="267A4061">
      <w:pPr>
        <w:spacing w:line="360" w:lineRule="auto"/>
        <w:rPr>
          <w:rFonts w:ascii="Times New Roman" w:hAnsi="Times New Roman" w:cs="Times New Roman"/>
          <w:b/>
          <w:sz w:val="24"/>
          <w:szCs w:val="24"/>
        </w:rPr>
      </w:pPr>
      <w:r>
        <w:rPr>
          <w:rFonts w:hint="eastAsia" w:ascii="Times New Roman" w:hAnsi="Times New Roman" w:cs="Times New Roman"/>
          <w:b/>
          <w:sz w:val="24"/>
          <w:szCs w:val="24"/>
        </w:rPr>
        <w:t>八、人员稳定性要求</w:t>
      </w:r>
    </w:p>
    <w:p w14:paraId="6134E2F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rPr>
        <w:t>30</w:t>
      </w:r>
      <w:r>
        <w:rPr>
          <w:rFonts w:hint="eastAsia" w:ascii="Times New Roman" w:hAnsi="Times New Roman" w:cs="Times New Roman"/>
          <w:sz w:val="24"/>
          <w:szCs w:val="24"/>
        </w:rPr>
        <w:t>%，更换人员不得低于采购需求，且应经采购人同意。</w:t>
      </w:r>
    </w:p>
    <w:p w14:paraId="3E3E4A8D">
      <w:pPr>
        <w:spacing w:line="360" w:lineRule="auto"/>
        <w:rPr>
          <w:rFonts w:ascii="Times New Roman" w:hAnsi="Times New Roman" w:cs="Times New Roman"/>
          <w:b/>
          <w:sz w:val="24"/>
          <w:szCs w:val="24"/>
        </w:rPr>
      </w:pPr>
      <w:r>
        <w:rPr>
          <w:rFonts w:hint="eastAsia" w:ascii="Times New Roman" w:hAnsi="Times New Roman" w:cs="Times New Roman"/>
          <w:b/>
          <w:sz w:val="24"/>
          <w:szCs w:val="24"/>
        </w:rPr>
        <w:t>九、进驻和接管要求</w:t>
      </w:r>
    </w:p>
    <w:p w14:paraId="45CFCEF4">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14:paraId="64EDB710">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十、费用分割</w:t>
      </w:r>
    </w:p>
    <w:p w14:paraId="0FF45D17">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保安服务人员的服装、装备费由成交供应商提供。</w:t>
      </w:r>
    </w:p>
    <w:p w14:paraId="41759FCF">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不提供保安服务人员免费食宿。</w:t>
      </w:r>
    </w:p>
    <w:p w14:paraId="02F80694">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十一、保安服务时间、服务地点及付款方式</w:t>
      </w:r>
    </w:p>
    <w:p w14:paraId="3FFC0ABA">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服务</w:t>
      </w:r>
      <w:r>
        <w:rPr>
          <w:rFonts w:ascii="Times New Roman" w:hAnsi="Times New Roman" w:cs="Times New Roman"/>
          <w:sz w:val="24"/>
          <w:szCs w:val="24"/>
        </w:rPr>
        <w:t>时间：</w:t>
      </w:r>
      <w:r>
        <w:rPr>
          <w:rFonts w:hint="eastAsia" w:ascii="Times New Roman" w:hAnsi="Times New Roman" w:cs="Times New Roman"/>
          <w:sz w:val="24"/>
          <w:szCs w:val="24"/>
        </w:rPr>
        <w:t>自合同签订之日起1</w:t>
      </w:r>
      <w:r>
        <w:rPr>
          <w:rFonts w:ascii="Times New Roman" w:hAnsi="Times New Roman" w:cs="Times New Roman"/>
          <w:sz w:val="24"/>
          <w:szCs w:val="24"/>
        </w:rPr>
        <w:t>4</w:t>
      </w:r>
      <w:r>
        <w:rPr>
          <w:rFonts w:hint="eastAsia" w:ascii="Times New Roman" w:hAnsi="Times New Roman" w:cs="Times New Roman"/>
          <w:sz w:val="24"/>
          <w:szCs w:val="24"/>
        </w:rPr>
        <w:t>个月</w:t>
      </w:r>
      <w:r>
        <w:rPr>
          <w:rFonts w:hint="eastAsia" w:ascii="Times New Roman" w:hAnsi="Times New Roman" w:eastAsia="宋体" w:cs="Times New Roman"/>
          <w:sz w:val="24"/>
        </w:rPr>
        <w:t>（特殊情况以合同为准）</w:t>
      </w:r>
    </w:p>
    <w:p w14:paraId="047C3CE8">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服务</w:t>
      </w:r>
      <w:r>
        <w:rPr>
          <w:rFonts w:ascii="Times New Roman" w:hAnsi="Times New Roman" w:cs="Times New Roman"/>
          <w:sz w:val="24"/>
          <w:szCs w:val="24"/>
        </w:rPr>
        <w:t>地点：</w:t>
      </w:r>
      <w:r>
        <w:rPr>
          <w:rFonts w:hint="eastAsia" w:ascii="宋体" w:hAnsi="宋体" w:eastAsia="宋体" w:cs="宋体"/>
          <w:sz w:val="24"/>
          <w:szCs w:val="24"/>
        </w:rPr>
        <w:t>天津市第九中学奥城校区、阳光1</w:t>
      </w:r>
      <w:r>
        <w:rPr>
          <w:rFonts w:ascii="宋体" w:hAnsi="宋体" w:eastAsia="宋体" w:cs="宋体"/>
          <w:sz w:val="24"/>
          <w:szCs w:val="24"/>
        </w:rPr>
        <w:t>00</w:t>
      </w:r>
      <w:r>
        <w:rPr>
          <w:rFonts w:hint="eastAsia" w:ascii="宋体" w:hAnsi="宋体" w:eastAsia="宋体" w:cs="宋体"/>
          <w:sz w:val="24"/>
          <w:szCs w:val="24"/>
        </w:rPr>
        <w:t>校区</w:t>
      </w:r>
      <w:r>
        <w:rPr>
          <w:rFonts w:hint="eastAsia" w:ascii="Times New Roman" w:hAnsi="Times New Roman" w:eastAsia="宋体" w:cs="Times New Roman"/>
          <w:sz w:val="24"/>
        </w:rPr>
        <w:t>（特殊情况以合同为准）</w:t>
      </w:r>
    </w:p>
    <w:p w14:paraId="30A23222">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付款方式：</w:t>
      </w:r>
      <w:r>
        <w:rPr>
          <w:rFonts w:hint="eastAsia"/>
          <w:sz w:val="24"/>
        </w:rPr>
        <w:t>按月付款，每月结束，经采购人考核后，15日内支付上一月服务费</w:t>
      </w:r>
      <w:r>
        <w:rPr>
          <w:rFonts w:hint="eastAsia" w:ascii="Times New Roman" w:hAnsi="Times New Roman" w:eastAsia="宋体" w:cs="Times New Roman"/>
          <w:sz w:val="24"/>
        </w:rPr>
        <w:t>（特殊情况以合同为准）</w:t>
      </w:r>
    </w:p>
    <w:p w14:paraId="4547F7CA">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十二、多包的项目是否接受兼投兼中</w:t>
      </w:r>
    </w:p>
    <w:p w14:paraId="4428C5B1">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本项目不涉及</w:t>
      </w:r>
    </w:p>
    <w:p w14:paraId="27D983FC">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十三、保安服务过程中，对保安公司评价考核验收标准</w:t>
      </w:r>
    </w:p>
    <w:p w14:paraId="31B126FC">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在人员素质方面，重点考核着装规范、仪态仪表及纪律遵守情况，要求制服整洁、标识清晰，并严格按时到岗、杜绝脱岗行为。服务质量以客户满意度为核心指标，定期开展问卷调查，满意度低于80%需整改；同时统计违规违纪次数，作为负面评价依据。应急处理能力注重实战表现，如响应速度、流程规范性及演练参与度，确保突发事件高效处置。设备管理要求安防设施完好率达标，定期检查记录完整。考核结果直接关联激励措施：优秀表现可获绩效奖励或评优资格，而重大失误或重复违规将面临经济处罚甚至终止合作。</w:t>
      </w:r>
    </w:p>
    <w:p w14:paraId="3AA5A1DE">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十四、保安服务过程中须执行的国家相关标准、行业标准、地方标准或其他标准、规范</w:t>
      </w:r>
    </w:p>
    <w:p w14:paraId="00AAF363">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十五、其他要求</w:t>
      </w:r>
    </w:p>
    <w:p w14:paraId="1EC54E2E">
      <w:pPr>
        <w:wordWrap w:val="0"/>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1、投标人须承诺，本项目不得分包及转包。投标文件中须提供承诺书并加盖公章。</w:t>
      </w:r>
    </w:p>
    <w:p w14:paraId="5372EB71">
      <w:pPr>
        <w:wordWrap w:val="0"/>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2、投标人须承诺，若我单位中标，所拟派的服务人员无心因性及心源性疾病，且在服务人员上岗前进行心因性及心源性疾病排查。投标文件中须提供承诺书并加盖公章。</w:t>
      </w:r>
    </w:p>
    <w:p w14:paraId="6C2F08B5">
      <w:pPr>
        <w:wordWrap w:val="0"/>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3.须提供有效期内《保安服务许可证》 ，非天津注册供应商一旦成交，须在合同规定时间内到天津市公安机关进行备案，须提供备案承诺书。</w:t>
      </w:r>
    </w:p>
    <w:p w14:paraId="1371E8B8">
      <w:pPr>
        <w:wordWrap w:val="0"/>
        <w:spacing w:line="360" w:lineRule="auto"/>
        <w:ind w:firstLine="482" w:firstLineChars="200"/>
        <w:rPr>
          <w:rFonts w:ascii="宋体" w:hAnsi="宋体" w:eastAsia="宋体" w:cs="宋体"/>
          <w:b/>
          <w:bCs/>
          <w:sz w:val="24"/>
          <w:szCs w:val="24"/>
        </w:rPr>
      </w:pPr>
    </w:p>
    <w:p w14:paraId="4BA691FD">
      <w:pPr>
        <w:spacing w:line="360" w:lineRule="auto"/>
        <w:rPr>
          <w:rFonts w:ascii="Times New Roman" w:hAnsi="Times New Roman" w:cs="Times New Roman"/>
          <w:b/>
          <w:sz w:val="24"/>
          <w:szCs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23835"/>
    </w:sdtPr>
    <w:sdtContent>
      <w:p w14:paraId="04280E13">
        <w:pPr>
          <w:pStyle w:val="3"/>
          <w:jc w:val="center"/>
        </w:pPr>
        <w:r>
          <w:fldChar w:fldCharType="begin"/>
        </w:r>
        <w:r>
          <w:instrText xml:space="preserve">PAGE   \* MERGEFORMAT</w:instrText>
        </w:r>
        <w:r>
          <w:fldChar w:fldCharType="separate"/>
        </w:r>
        <w:r>
          <w:rPr>
            <w:lang w:val="zh-CN"/>
          </w:rPr>
          <w:t>1</w:t>
        </w:r>
        <w:r>
          <w:fldChar w:fldCharType="end"/>
        </w:r>
      </w:p>
    </w:sdtContent>
  </w:sdt>
  <w:p w14:paraId="12FAFCCA">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FC8EB9"/>
    <w:multiLevelType w:val="singleLevel"/>
    <w:tmpl w:val="8CFC8EB9"/>
    <w:lvl w:ilvl="0" w:tentative="0">
      <w:start w:val="1"/>
      <w:numFmt w:val="decimal"/>
      <w:suff w:val="nothing"/>
      <w:lvlText w:val="%1．"/>
      <w:lvlJc w:val="left"/>
      <w:pPr>
        <w:ind w:left="0" w:firstLine="400"/>
      </w:pPr>
      <w:rPr>
        <w:rFonts w:hint="default" w:asciiTheme="minorEastAsia" w:hAnsiTheme="minorEastAsia" w:eastAsiaTheme="minorEastAsia" w:cstheme="minor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180"/>
    <w:rsid w:val="0000760C"/>
    <w:rsid w:val="00016F98"/>
    <w:rsid w:val="0003379E"/>
    <w:rsid w:val="000378B2"/>
    <w:rsid w:val="00041F8F"/>
    <w:rsid w:val="00051078"/>
    <w:rsid w:val="00085B00"/>
    <w:rsid w:val="000B04E8"/>
    <w:rsid w:val="000C3CED"/>
    <w:rsid w:val="000D0AB5"/>
    <w:rsid w:val="000D4A9C"/>
    <w:rsid w:val="000E3C50"/>
    <w:rsid w:val="000F0B61"/>
    <w:rsid w:val="00141664"/>
    <w:rsid w:val="0015324F"/>
    <w:rsid w:val="0016472D"/>
    <w:rsid w:val="001678B0"/>
    <w:rsid w:val="00193BCD"/>
    <w:rsid w:val="001A5C56"/>
    <w:rsid w:val="001C0D26"/>
    <w:rsid w:val="001D2ED7"/>
    <w:rsid w:val="001D357E"/>
    <w:rsid w:val="001E070E"/>
    <w:rsid w:val="001F403B"/>
    <w:rsid w:val="002274D7"/>
    <w:rsid w:val="00237B44"/>
    <w:rsid w:val="0024212B"/>
    <w:rsid w:val="00263E55"/>
    <w:rsid w:val="002868F3"/>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154A9"/>
    <w:rsid w:val="00625F1C"/>
    <w:rsid w:val="00634CD9"/>
    <w:rsid w:val="00652A1A"/>
    <w:rsid w:val="006534F9"/>
    <w:rsid w:val="00662743"/>
    <w:rsid w:val="00674640"/>
    <w:rsid w:val="006764CF"/>
    <w:rsid w:val="00680E10"/>
    <w:rsid w:val="00686BBC"/>
    <w:rsid w:val="006A1FE2"/>
    <w:rsid w:val="006A20EF"/>
    <w:rsid w:val="006A3081"/>
    <w:rsid w:val="006B78F6"/>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5CD8"/>
    <w:rsid w:val="00883214"/>
    <w:rsid w:val="008901C0"/>
    <w:rsid w:val="008A1E8A"/>
    <w:rsid w:val="008A3B8A"/>
    <w:rsid w:val="008B0880"/>
    <w:rsid w:val="008D6B2D"/>
    <w:rsid w:val="008D79C9"/>
    <w:rsid w:val="008E1F93"/>
    <w:rsid w:val="008F1094"/>
    <w:rsid w:val="008F53DF"/>
    <w:rsid w:val="00930783"/>
    <w:rsid w:val="00947EC9"/>
    <w:rsid w:val="00954A38"/>
    <w:rsid w:val="009561B7"/>
    <w:rsid w:val="00960592"/>
    <w:rsid w:val="00962475"/>
    <w:rsid w:val="00977FB6"/>
    <w:rsid w:val="0098214B"/>
    <w:rsid w:val="00993F3C"/>
    <w:rsid w:val="009B3625"/>
    <w:rsid w:val="009B6776"/>
    <w:rsid w:val="009D584E"/>
    <w:rsid w:val="009E0796"/>
    <w:rsid w:val="009E0E52"/>
    <w:rsid w:val="009E3FC7"/>
    <w:rsid w:val="009E7D35"/>
    <w:rsid w:val="00A10884"/>
    <w:rsid w:val="00A158E6"/>
    <w:rsid w:val="00A2459A"/>
    <w:rsid w:val="00A560B2"/>
    <w:rsid w:val="00A560CB"/>
    <w:rsid w:val="00A567D4"/>
    <w:rsid w:val="00A60CFE"/>
    <w:rsid w:val="00A92B69"/>
    <w:rsid w:val="00AA56EC"/>
    <w:rsid w:val="00AB748E"/>
    <w:rsid w:val="00AC2BCB"/>
    <w:rsid w:val="00B0010E"/>
    <w:rsid w:val="00B30F32"/>
    <w:rsid w:val="00B31B1F"/>
    <w:rsid w:val="00B61999"/>
    <w:rsid w:val="00B73F77"/>
    <w:rsid w:val="00BA05DA"/>
    <w:rsid w:val="00BA4D83"/>
    <w:rsid w:val="00BC3509"/>
    <w:rsid w:val="00BD2FB3"/>
    <w:rsid w:val="00BF4037"/>
    <w:rsid w:val="00C175A4"/>
    <w:rsid w:val="00C23E6E"/>
    <w:rsid w:val="00C323E1"/>
    <w:rsid w:val="00C604D7"/>
    <w:rsid w:val="00C6183A"/>
    <w:rsid w:val="00C82D44"/>
    <w:rsid w:val="00C960D2"/>
    <w:rsid w:val="00C975D7"/>
    <w:rsid w:val="00CC7180"/>
    <w:rsid w:val="00CD09E3"/>
    <w:rsid w:val="00CD5840"/>
    <w:rsid w:val="00CE4078"/>
    <w:rsid w:val="00CE4DAC"/>
    <w:rsid w:val="00CF0AA7"/>
    <w:rsid w:val="00CF5DE0"/>
    <w:rsid w:val="00D00BFE"/>
    <w:rsid w:val="00D0592C"/>
    <w:rsid w:val="00D26DDC"/>
    <w:rsid w:val="00D56790"/>
    <w:rsid w:val="00D57E7B"/>
    <w:rsid w:val="00D621E3"/>
    <w:rsid w:val="00DA3B07"/>
    <w:rsid w:val="00DB12D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F4502"/>
    <w:rsid w:val="022F4847"/>
    <w:rsid w:val="087208D2"/>
    <w:rsid w:val="09386829"/>
    <w:rsid w:val="0FCE4DEA"/>
    <w:rsid w:val="21884CC4"/>
    <w:rsid w:val="23602CBD"/>
    <w:rsid w:val="2917152A"/>
    <w:rsid w:val="2B1623FD"/>
    <w:rsid w:val="4D9400AB"/>
    <w:rsid w:val="5828169F"/>
    <w:rsid w:val="6645250B"/>
    <w:rsid w:val="7B1A01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ody Text"/>
    <w:basedOn w:val="1"/>
    <w:next w:val="1"/>
    <w:qFormat/>
    <w:uiPriority w:val="0"/>
    <w:pPr>
      <w:spacing w:after="156" w:afterLines="50"/>
      <w:jc w:val="center"/>
    </w:pPr>
    <w:rPr>
      <w:rFonts w:ascii="宋体" w:hAnsi="宋体"/>
      <w:b/>
      <w:bCs/>
      <w:sz w:val="44"/>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10"/>
    <w:qFormat/>
    <w:uiPriority w:val="10"/>
    <w:pPr>
      <w:spacing w:before="240" w:after="60"/>
      <w:jc w:val="center"/>
      <w:outlineLvl w:val="0"/>
    </w:pPr>
    <w:rPr>
      <w:rFonts w:eastAsia="宋体" w:asciiTheme="majorHAnsi" w:hAnsiTheme="majorHAnsi" w:cstheme="majorBidi"/>
      <w:b/>
      <w:bCs/>
      <w:sz w:val="32"/>
      <w:szCs w:val="32"/>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unhideWhenUsed/>
    <w:qFormat/>
    <w:uiPriority w:val="99"/>
    <w:rPr>
      <w:color w:val="0000FF" w:themeColor="hyperlink"/>
      <w:u w:val="single"/>
      <w14:textFill>
        <w14:solidFill>
          <w14:schemeClr w14:val="hlink"/>
        </w14:solidFill>
      </w14:textFill>
    </w:rPr>
  </w:style>
  <w:style w:type="character" w:customStyle="1" w:styleId="10">
    <w:name w:val="标题 字符"/>
    <w:basedOn w:val="8"/>
    <w:link w:val="5"/>
    <w:qFormat/>
    <w:uiPriority w:val="10"/>
    <w:rPr>
      <w:rFonts w:eastAsia="宋体" w:asciiTheme="majorHAnsi" w:hAnsiTheme="majorHAnsi" w:cstheme="majorBidi"/>
      <w:b/>
      <w:bCs/>
      <w:sz w:val="32"/>
      <w:szCs w:val="32"/>
    </w:rPr>
  </w:style>
  <w:style w:type="character" w:customStyle="1" w:styleId="11">
    <w:name w:val="页眉 字符"/>
    <w:basedOn w:val="8"/>
    <w:link w:val="4"/>
    <w:qFormat/>
    <w:uiPriority w:val="99"/>
    <w:rPr>
      <w:sz w:val="18"/>
      <w:szCs w:val="18"/>
    </w:rPr>
  </w:style>
  <w:style w:type="character" w:customStyle="1" w:styleId="12">
    <w:name w:val="页脚 字符"/>
    <w:basedOn w:val="8"/>
    <w:link w:val="3"/>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5</Pages>
  <Words>2549</Words>
  <Characters>2593</Characters>
  <Lines>18</Lines>
  <Paragraphs>5</Paragraphs>
  <TotalTime>5</TotalTime>
  <ScaleCrop>false</ScaleCrop>
  <LinksUpToDate>false</LinksUpToDate>
  <CharactersWithSpaces>2596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2025-12-17T04:31:00Z</dcterms:created>
  <dc:creator>未定义</dc:creator>
  <cp:lastModifiedBy>Mr an</cp:lastModifiedBy>
  <cp:lastPrinted>2016-08-19T01:16:00Z</cp:lastPrinted>
  <dcterms:modified xsi:type="dcterms:W3CDTF">2025-12-17T06:16:03Z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6AB094FE2A0E4DEFA98B898CB6815EDB_13</vt:lpwstr>
  </property>
  <property fmtid="{D5CDD505-2E9C-101B-9397-08002B2CF9AE}" pid="4" name="KSOTemplateDocerSaveRecord">
    <vt:lpwstr>eyJoZGlkIjoiYjk4OGZhZmMzNmE4ZDE2MTdhM2ZlMzlkNjliMTc3MjIiLCJ1c2VySWQiOiI3NjA0ODM2MTMifQ==</vt:lpwstr>
  </property>
</Properties>
</file>