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8EA33">
      <w:pPr>
        <w:pStyle w:val="6"/>
      </w:pPr>
      <w:r>
        <w:rPr>
          <w:rFonts w:hint="eastAsia"/>
        </w:rPr>
        <w:t>项目需求书（货物</w:t>
      </w:r>
      <w:r>
        <w:t>-</w:t>
      </w:r>
      <w:r>
        <w:rPr>
          <w:rFonts w:hint="eastAsia"/>
        </w:rPr>
        <w:t>台式计算机、便携式计算机、一体式计算机、工作站、通用服务器、操作系统、数据库）</w:t>
      </w:r>
    </w:p>
    <w:p w14:paraId="009E76B4"/>
    <w:p w14:paraId="2E131678">
      <w:pPr>
        <w:spacing w:line="360" w:lineRule="auto"/>
        <w:ind w:firstLine="480" w:firstLineChars="200"/>
        <w:rPr>
          <w:sz w:val="24"/>
          <w:szCs w:val="24"/>
        </w:rPr>
      </w:pPr>
      <w:r>
        <w:rPr>
          <w:rFonts w:hint="eastAsia"/>
          <w:sz w:val="24"/>
          <w:szCs w:val="24"/>
        </w:rPr>
        <w:t>采购需求中涉及以上财政部、工信部印发采购需求标准的产品时，采购人可以选择两种方式提出采购需求：</w:t>
      </w:r>
    </w:p>
    <w:p w14:paraId="06581691">
      <w:pPr>
        <w:spacing w:line="360" w:lineRule="auto"/>
        <w:ind w:firstLine="480" w:firstLineChars="200"/>
        <w:rPr>
          <w:rFonts w:ascii="Times New Roman" w:hAnsi="Times New Roman"/>
          <w:sz w:val="24"/>
          <w:szCs w:val="24"/>
        </w:rPr>
      </w:pPr>
      <w:r>
        <w:rPr>
          <w:rFonts w:ascii="Times New Roman" w:hAnsi="Times New Roman"/>
          <w:sz w:val="24"/>
          <w:szCs w:val="24"/>
        </w:rPr>
        <w:t>一、按《台式计算机政府采购需求标准（2023年版）》（财库[2023]29号）、《</w:t>
      </w:r>
      <w:r>
        <w:rPr>
          <w:rFonts w:hint="eastAsia" w:ascii="Times New Roman" w:hAnsi="Times New Roman"/>
          <w:sz w:val="24"/>
          <w:szCs w:val="24"/>
        </w:rPr>
        <w:t>便携式</w:t>
      </w:r>
      <w:r>
        <w:rPr>
          <w:rFonts w:ascii="Times New Roman" w:hAnsi="Times New Roman"/>
          <w:sz w:val="24"/>
          <w:szCs w:val="24"/>
        </w:rPr>
        <w:t>计算机政府采购需求标准（2023年版）》（财库[2023]</w:t>
      </w:r>
      <w:r>
        <w:rPr>
          <w:rFonts w:hint="eastAsia" w:ascii="Times New Roman" w:hAnsi="Times New Roman"/>
          <w:sz w:val="24"/>
          <w:szCs w:val="24"/>
        </w:rPr>
        <w:t>30</w:t>
      </w:r>
      <w:r>
        <w:rPr>
          <w:rFonts w:ascii="Times New Roman" w:hAnsi="Times New Roman"/>
          <w:sz w:val="24"/>
          <w:szCs w:val="24"/>
        </w:rPr>
        <w:t>号）《</w:t>
      </w:r>
      <w:r>
        <w:rPr>
          <w:rFonts w:hint="eastAsia" w:ascii="Times New Roman" w:hAnsi="Times New Roman"/>
          <w:sz w:val="24"/>
          <w:szCs w:val="24"/>
        </w:rPr>
        <w:t>一体式</w:t>
      </w:r>
      <w:r>
        <w:rPr>
          <w:rFonts w:ascii="Times New Roman" w:hAnsi="Times New Roman"/>
          <w:sz w:val="24"/>
          <w:szCs w:val="24"/>
        </w:rPr>
        <w:t>计算机政府采购需求标准（2023年版）》（财库[2023]</w:t>
      </w:r>
      <w:r>
        <w:rPr>
          <w:rFonts w:hint="eastAsia" w:ascii="Times New Roman" w:hAnsi="Times New Roman"/>
          <w:sz w:val="24"/>
          <w:szCs w:val="24"/>
        </w:rPr>
        <w:t>31</w:t>
      </w:r>
      <w:r>
        <w:rPr>
          <w:rFonts w:ascii="Times New Roman" w:hAnsi="Times New Roman"/>
          <w:sz w:val="24"/>
          <w:szCs w:val="24"/>
        </w:rPr>
        <w:t>号）《</w:t>
      </w:r>
      <w:r>
        <w:rPr>
          <w:rFonts w:hint="eastAsia" w:ascii="Times New Roman" w:hAnsi="Times New Roman"/>
          <w:sz w:val="24"/>
          <w:szCs w:val="24"/>
        </w:rPr>
        <w:t>工作站</w:t>
      </w:r>
      <w:r>
        <w:rPr>
          <w:rFonts w:ascii="Times New Roman" w:hAnsi="Times New Roman"/>
          <w:sz w:val="24"/>
          <w:szCs w:val="24"/>
        </w:rPr>
        <w:t>政府采购需求标准（2023年版）》（财库[2023]</w:t>
      </w:r>
      <w:r>
        <w:rPr>
          <w:rFonts w:hint="eastAsia" w:ascii="Times New Roman" w:hAnsi="Times New Roman"/>
          <w:sz w:val="24"/>
          <w:szCs w:val="24"/>
        </w:rPr>
        <w:t>32</w:t>
      </w:r>
      <w:r>
        <w:rPr>
          <w:rFonts w:ascii="Times New Roman" w:hAnsi="Times New Roman"/>
          <w:sz w:val="24"/>
          <w:szCs w:val="24"/>
        </w:rPr>
        <w:t>号）《通用服务器政府采购需求标准（2023年版）》（财库[2023]</w:t>
      </w:r>
      <w:r>
        <w:rPr>
          <w:rFonts w:hint="eastAsia" w:ascii="Times New Roman" w:hAnsi="Times New Roman"/>
          <w:sz w:val="24"/>
          <w:szCs w:val="24"/>
        </w:rPr>
        <w:t>33</w:t>
      </w:r>
      <w:r>
        <w:rPr>
          <w:rFonts w:ascii="Times New Roman" w:hAnsi="Times New Roman"/>
          <w:sz w:val="24"/>
          <w:szCs w:val="24"/>
        </w:rPr>
        <w:t>号）《</w:t>
      </w:r>
      <w:r>
        <w:rPr>
          <w:rFonts w:hint="eastAsia" w:ascii="Times New Roman" w:hAnsi="Times New Roman"/>
          <w:sz w:val="24"/>
          <w:szCs w:val="24"/>
        </w:rPr>
        <w:t>操作系统</w:t>
      </w:r>
      <w:r>
        <w:rPr>
          <w:rFonts w:ascii="Times New Roman" w:hAnsi="Times New Roman"/>
          <w:sz w:val="24"/>
          <w:szCs w:val="24"/>
        </w:rPr>
        <w:t>政府采购需求标准（2023年版）》（财库[2023]</w:t>
      </w:r>
      <w:r>
        <w:rPr>
          <w:rFonts w:hint="eastAsia" w:ascii="Times New Roman" w:hAnsi="Times New Roman"/>
          <w:sz w:val="24"/>
          <w:szCs w:val="24"/>
        </w:rPr>
        <w:t>34</w:t>
      </w:r>
      <w:r>
        <w:rPr>
          <w:rFonts w:ascii="Times New Roman" w:hAnsi="Times New Roman"/>
          <w:sz w:val="24"/>
          <w:szCs w:val="24"/>
        </w:rPr>
        <w:t>号）《</w:t>
      </w:r>
      <w:r>
        <w:rPr>
          <w:rFonts w:hint="eastAsia" w:ascii="Times New Roman" w:hAnsi="Times New Roman"/>
          <w:sz w:val="24"/>
          <w:szCs w:val="24"/>
        </w:rPr>
        <w:t>数据库</w:t>
      </w:r>
      <w:r>
        <w:rPr>
          <w:rFonts w:ascii="Times New Roman" w:hAnsi="Times New Roman"/>
          <w:sz w:val="24"/>
          <w:szCs w:val="24"/>
        </w:rPr>
        <w:t>政府采购需求标准（2023年版）》（财库[2023]</w:t>
      </w:r>
      <w:r>
        <w:rPr>
          <w:rFonts w:hint="eastAsia" w:ascii="Times New Roman" w:hAnsi="Times New Roman"/>
          <w:sz w:val="24"/>
          <w:szCs w:val="24"/>
        </w:rPr>
        <w:t>35</w:t>
      </w:r>
      <w:r>
        <w:rPr>
          <w:rFonts w:ascii="Times New Roman" w:hAnsi="Times New Roman"/>
          <w:sz w:val="24"/>
          <w:szCs w:val="24"/>
        </w:rPr>
        <w:t>号），使用我中心官网“下载中心”提供的Excel需求模板逐条提出采购需求。</w:t>
      </w:r>
      <w:r>
        <w:rPr>
          <w:rFonts w:hint="eastAsia" w:ascii="Times New Roman" w:hAnsi="Times New Roman"/>
          <w:sz w:val="24"/>
          <w:szCs w:val="24"/>
          <w:highlight w:val="yellow"/>
        </w:rPr>
        <w:t>【这个不用管】</w:t>
      </w:r>
    </w:p>
    <w:p w14:paraId="73BCC92D">
      <w:pPr>
        <w:spacing w:line="360" w:lineRule="auto"/>
        <w:ind w:firstLine="480" w:firstLineChars="200"/>
        <w:rPr>
          <w:rFonts w:ascii="Times New Roman" w:hAnsi="Times New Roman"/>
          <w:sz w:val="24"/>
          <w:szCs w:val="24"/>
        </w:rPr>
      </w:pPr>
      <w:r>
        <w:rPr>
          <w:rFonts w:hint="eastAsia" w:ascii="Times New Roman" w:hAnsi="Times New Roman"/>
          <w:sz w:val="24"/>
          <w:szCs w:val="24"/>
        </w:rPr>
        <w:t>二</w:t>
      </w:r>
      <w:r>
        <w:rPr>
          <w:rFonts w:hint="eastAsia" w:ascii="Times New Roman" w:hAnsi="Times New Roman"/>
          <w:sz w:val="24"/>
          <w:szCs w:val="24"/>
          <w:highlight w:val="yellow"/>
        </w:rPr>
        <w:t>、按以下方式提供采购需求【按这个方式填写】</w:t>
      </w:r>
    </w:p>
    <w:tbl>
      <w:tblPr>
        <w:tblStyle w:val="7"/>
        <w:tblW w:w="8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289"/>
        <w:gridCol w:w="5523"/>
        <w:gridCol w:w="710"/>
        <w:gridCol w:w="805"/>
      </w:tblGrid>
      <w:tr w14:paraId="678DE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65" w:type="dxa"/>
            <w:shd w:val="clear" w:color="auto" w:fill="auto"/>
            <w:vAlign w:val="center"/>
          </w:tcPr>
          <w:p w14:paraId="7B30A9D4">
            <w:pPr>
              <w:jc w:val="center"/>
              <w:rPr>
                <w:rFonts w:ascii="Times New Roman" w:hAnsi="Times New Roman"/>
                <w:b/>
              </w:rPr>
            </w:pPr>
            <w:r>
              <w:rPr>
                <w:rFonts w:ascii="Times New Roman" w:hAnsi="Times New Roman"/>
                <w:b/>
              </w:rPr>
              <w:t>序号</w:t>
            </w:r>
          </w:p>
        </w:tc>
        <w:tc>
          <w:tcPr>
            <w:tcW w:w="1289" w:type="dxa"/>
            <w:shd w:val="clear" w:color="auto" w:fill="auto"/>
            <w:vAlign w:val="center"/>
          </w:tcPr>
          <w:p w14:paraId="42224B1F">
            <w:pPr>
              <w:jc w:val="center"/>
              <w:rPr>
                <w:rFonts w:ascii="Times New Roman" w:hAnsi="Times New Roman"/>
                <w:b/>
              </w:rPr>
            </w:pPr>
            <w:r>
              <w:rPr>
                <w:rFonts w:hint="eastAsia" w:ascii="Times New Roman" w:hAnsi="Times New Roman"/>
                <w:b/>
              </w:rPr>
              <w:t>采购</w:t>
            </w:r>
            <w:r>
              <w:rPr>
                <w:rFonts w:ascii="Times New Roman" w:hAnsi="Times New Roman"/>
                <w:b/>
              </w:rPr>
              <w:t>标的</w:t>
            </w:r>
          </w:p>
        </w:tc>
        <w:tc>
          <w:tcPr>
            <w:tcW w:w="5523" w:type="dxa"/>
            <w:shd w:val="clear" w:color="auto" w:fill="auto"/>
            <w:vAlign w:val="center"/>
          </w:tcPr>
          <w:p w14:paraId="21DD9EC1">
            <w:pPr>
              <w:jc w:val="center"/>
              <w:rPr>
                <w:rFonts w:ascii="Times New Roman" w:hAnsi="Times New Roman"/>
                <w:b/>
              </w:rPr>
            </w:pPr>
            <w:r>
              <w:rPr>
                <w:rFonts w:ascii="Times New Roman" w:hAnsi="Times New Roman"/>
                <w:b/>
              </w:rPr>
              <w:t>技术参数</w:t>
            </w:r>
          </w:p>
        </w:tc>
        <w:tc>
          <w:tcPr>
            <w:tcW w:w="710" w:type="dxa"/>
            <w:shd w:val="clear" w:color="auto" w:fill="auto"/>
            <w:vAlign w:val="center"/>
          </w:tcPr>
          <w:p w14:paraId="781B4ED8">
            <w:pPr>
              <w:jc w:val="center"/>
              <w:rPr>
                <w:rFonts w:ascii="Times New Roman" w:hAnsi="Times New Roman"/>
                <w:b/>
              </w:rPr>
            </w:pPr>
            <w:r>
              <w:rPr>
                <w:rFonts w:ascii="Times New Roman" w:hAnsi="Times New Roman"/>
                <w:b/>
              </w:rPr>
              <w:t>单位</w:t>
            </w:r>
          </w:p>
        </w:tc>
        <w:tc>
          <w:tcPr>
            <w:tcW w:w="805" w:type="dxa"/>
            <w:shd w:val="clear" w:color="auto" w:fill="auto"/>
            <w:vAlign w:val="center"/>
          </w:tcPr>
          <w:p w14:paraId="7B842313">
            <w:pPr>
              <w:jc w:val="center"/>
              <w:rPr>
                <w:rFonts w:ascii="Times New Roman" w:hAnsi="Times New Roman"/>
                <w:b/>
              </w:rPr>
            </w:pPr>
            <w:r>
              <w:rPr>
                <w:rFonts w:ascii="Times New Roman" w:hAnsi="Times New Roman"/>
                <w:b/>
              </w:rPr>
              <w:t>数量</w:t>
            </w:r>
          </w:p>
        </w:tc>
      </w:tr>
      <w:tr w14:paraId="5E11E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shd w:val="clear" w:color="auto" w:fill="auto"/>
            <w:vAlign w:val="center"/>
          </w:tcPr>
          <w:p w14:paraId="328163FB">
            <w:pPr>
              <w:jc w:val="center"/>
              <w:rPr>
                <w:rFonts w:ascii="Times New Roman" w:hAnsi="Times New Roman"/>
              </w:rPr>
            </w:pPr>
            <w:r>
              <w:rPr>
                <w:rFonts w:ascii="Times New Roman" w:hAnsi="Times New Roman"/>
              </w:rPr>
              <w:t>1</w:t>
            </w:r>
          </w:p>
        </w:tc>
        <w:tc>
          <w:tcPr>
            <w:tcW w:w="1289" w:type="dxa"/>
            <w:shd w:val="clear" w:color="auto" w:fill="auto"/>
            <w:vAlign w:val="center"/>
          </w:tcPr>
          <w:p w14:paraId="1E145B16">
            <w:pPr>
              <w:jc w:val="center"/>
              <w:rPr>
                <w:rFonts w:hint="eastAsia" w:ascii="Times New Roman" w:hAnsi="Times New Roman" w:eastAsia="宋体"/>
                <w:lang w:val="en-US" w:eastAsia="zh-CN"/>
              </w:rPr>
            </w:pPr>
            <w:r>
              <w:rPr>
                <w:rFonts w:ascii="Times New Roman" w:hAnsi="Times New Roman"/>
              </w:rPr>
              <w:t>台式计算机</w:t>
            </w:r>
            <w:r>
              <w:rPr>
                <w:rFonts w:hint="eastAsia" w:ascii="Times New Roman" w:hAnsi="Times New Roman"/>
                <w:lang w:val="en-US" w:eastAsia="zh-CN"/>
              </w:rPr>
              <w:t>一</w:t>
            </w:r>
          </w:p>
        </w:tc>
        <w:tc>
          <w:tcPr>
            <w:tcW w:w="5523" w:type="dxa"/>
            <w:shd w:val="clear" w:color="auto" w:fill="auto"/>
            <w:vAlign w:val="center"/>
          </w:tcPr>
          <w:p w14:paraId="0FB72042">
            <w:pPr>
              <w:rPr>
                <w:rFonts w:hint="eastAsia" w:ascii="宋体" w:hAnsi="宋体" w:eastAsia="宋体" w:cs="宋体"/>
                <w:sz w:val="21"/>
                <w:szCs w:val="21"/>
                <w:lang w:eastAsia="zh-CN"/>
              </w:rPr>
            </w:pPr>
            <w:r>
              <w:rPr>
                <w:rFonts w:hint="eastAsia" w:ascii="宋体" w:hAnsi="宋体" w:eastAsia="宋体" w:cs="宋体"/>
                <w:sz w:val="21"/>
                <w:szCs w:val="21"/>
              </w:rPr>
              <w:t>★</w:t>
            </w:r>
            <w:r>
              <w:rPr>
                <w:rFonts w:hint="eastAsia" w:ascii="宋体" w:hAnsi="宋体" w:eastAsia="宋体" w:cs="宋体"/>
                <w:sz w:val="21"/>
                <w:szCs w:val="21"/>
                <w:lang w:val="en-US" w:eastAsia="zh-CN"/>
              </w:rPr>
              <w:t>1.</w:t>
            </w:r>
            <w:r>
              <w:rPr>
                <w:rFonts w:hint="eastAsia" w:ascii="宋体" w:hAnsi="宋体" w:eastAsia="宋体" w:cs="宋体"/>
                <w:sz w:val="21"/>
                <w:szCs w:val="21"/>
              </w:rPr>
              <w:t>CPU信息</w:t>
            </w:r>
            <w:r>
              <w:rPr>
                <w:rFonts w:hint="eastAsia" w:ascii="宋体" w:hAnsi="宋体" w:eastAsia="宋体" w:cs="宋体"/>
                <w:sz w:val="21"/>
                <w:szCs w:val="21"/>
                <w:lang w:eastAsia="zh-CN"/>
              </w:rPr>
              <w:t>：C86架构,核数≥8核，单核主频≥3.0Ghz，CPU符合国家安全可靠测评要求，安全可靠等级≥I级，在中国信息安全测评中心和国家保密科技测评中心网站等官方渠道可查看安全可靠测评结果。</w:t>
            </w:r>
          </w:p>
          <w:p w14:paraId="37BFF675">
            <w:pPr>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内存配置容量：≥16GB</w:t>
            </w:r>
          </w:p>
          <w:p w14:paraId="535E92E0">
            <w:pPr>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内存类型：支持DDR4及以上内存类型</w:t>
            </w:r>
          </w:p>
          <w:p w14:paraId="1CCB64AC">
            <w:pPr>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内存条配置数量（板载内存不涉及）：≥1</w:t>
            </w:r>
          </w:p>
          <w:p w14:paraId="7F36AD55">
            <w:pPr>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主板集成模块：与处理器相匹配的芯片组</w:t>
            </w:r>
          </w:p>
          <w:p w14:paraId="1B9CA258">
            <w:pPr>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主板支持的CPU和内存情况：1颗国产C86架构处理器，4个DDR4内存插槽</w:t>
            </w:r>
          </w:p>
          <w:p w14:paraId="1E77964C">
            <w:pPr>
              <w:numPr>
                <w:ilvl w:val="0"/>
                <w:numId w:val="1"/>
              </w:numPr>
              <w:rPr>
                <w:rFonts w:hint="eastAsia" w:ascii="宋体" w:hAnsi="宋体" w:eastAsia="宋体" w:cs="宋体"/>
                <w:sz w:val="21"/>
                <w:szCs w:val="21"/>
                <w:lang w:val="en-US" w:eastAsia="zh-CN"/>
              </w:rPr>
            </w:pPr>
            <w:r>
              <w:rPr>
                <w:rFonts w:hint="eastAsia" w:ascii="宋体" w:hAnsi="宋体" w:eastAsia="宋体" w:cs="宋体"/>
                <w:sz w:val="21"/>
                <w:szCs w:val="21"/>
                <w:lang w:eastAsia="zh-CN"/>
              </w:rPr>
              <w:t>主板内置PCIe插槽数量：主板提供PCIe Gen 4插槽数量不少于3个，1个PCIe x16，1个PCIe x8，1个PCIe x1扩展槽</w:t>
            </w:r>
            <w:r>
              <w:rPr>
                <w:rFonts w:hint="eastAsia" w:ascii="宋体" w:hAnsi="宋体" w:eastAsia="宋体" w:cs="宋体"/>
                <w:sz w:val="21"/>
                <w:szCs w:val="21"/>
                <w:lang w:val="en-US" w:eastAsia="zh-CN"/>
              </w:rPr>
              <w:t xml:space="preserve"> </w:t>
            </w:r>
          </w:p>
          <w:p w14:paraId="417C50C6">
            <w:pPr>
              <w:numPr>
                <w:ilvl w:val="0"/>
                <w:numId w:val="1"/>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特殊孔位及接口：≥8个USB 3.0接口</w:t>
            </w:r>
          </w:p>
          <w:p w14:paraId="0F3C97BE">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★9.主板其他内置接口：≥1个M.2 接口；≥3个SATA3.0接口；≥8个USB接口（其中前置≥4个USB 3.0接口；后置≥4个USB 3.0接口）</w:t>
            </w:r>
          </w:p>
          <w:p w14:paraId="63F0544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★10.单内存插槽最大可支持容量（板载内存不涉及）：≥16GB</w:t>
            </w:r>
          </w:p>
          <w:p w14:paraId="6C4F8B0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★11.内存插槽满配时提供的最高内存总容量：≥64GB</w:t>
            </w:r>
          </w:p>
          <w:p w14:paraId="2283A79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★12.固态盘数量：≥1 个</w:t>
            </w:r>
          </w:p>
          <w:p w14:paraId="7313597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★13.固态存储容量：≥512GB</w:t>
            </w:r>
          </w:p>
          <w:p w14:paraId="7640037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★14.机械硬盘数量：≥1个</w:t>
            </w:r>
          </w:p>
          <w:p w14:paraId="7CB6D34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★15.机械硬盘总容量：≥1TB</w:t>
            </w:r>
          </w:p>
          <w:p w14:paraId="6BB2525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★16.机械硬盘转速：≥5400rpm</w:t>
            </w:r>
          </w:p>
          <w:p w14:paraId="4EC35CDF">
            <w:pPr>
              <w:numPr>
                <w:ilvl w:val="0"/>
                <w:numId w:val="2"/>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机械硬盘接口协议：支持SATA3.0及以上或SAS3.0及以上接口</w:t>
            </w:r>
          </w:p>
          <w:p w14:paraId="220CCEBA">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★18.机械硬盘形态：2.5英寸或3.5英寸等</w:t>
            </w:r>
          </w:p>
          <w:p w14:paraId="7BECECD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19固态存储接口协议：UFS/SATA/PCIe/NVMe等类型接口协议</w:t>
            </w:r>
          </w:p>
          <w:p w14:paraId="5AA9BB8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★20.固态存储形态：采用插卡或板载等形态，可选用符合M.2 或 2.5 寸 SATA 或 mSATA 等标准的插卡形态</w:t>
            </w:r>
          </w:p>
          <w:p w14:paraId="17D9A10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21.存储设备扩展盘位：≥0</w:t>
            </w:r>
          </w:p>
          <w:p w14:paraId="549F904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★22.存储设备其他参数要求：固态盘应符合SJ/T11654相关规定</w:t>
            </w:r>
          </w:p>
          <w:p w14:paraId="7966A92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★23.显卡类型：独立显卡</w:t>
            </w:r>
          </w:p>
          <w:p w14:paraId="2D73AA4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★24.独立显卡显存类型：配置独立显卡，显存类型应为DDR4或以上</w:t>
            </w:r>
          </w:p>
          <w:p w14:paraId="248EA97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★25.独立显卡显存位宽：配置独立显卡，显存位宽≥64 位</w:t>
            </w:r>
          </w:p>
          <w:p w14:paraId="5D573CC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★26.独立显卡显存容量：配置独立显卡，显存容量≥2GB</w:t>
            </w:r>
          </w:p>
          <w:p w14:paraId="631D61C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27.独立显卡接口协议：支持 PCIe 协议版本大于等于 2.0 或 HT（HyperTransport）协议版本大于等于 3.0 的独立显卡接口协议</w:t>
            </w:r>
          </w:p>
          <w:p w14:paraId="0110A68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28.传声器数量：≥0</w:t>
            </w:r>
          </w:p>
          <w:p w14:paraId="5006148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29.扬声器数量：≥0</w:t>
            </w:r>
          </w:p>
          <w:p w14:paraId="3741CA6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★30.鼠标数量：≥1 个</w:t>
            </w:r>
          </w:p>
          <w:p w14:paraId="1C307A8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★31.键盘数量：≥1 个</w:t>
            </w:r>
          </w:p>
          <w:p w14:paraId="42FA402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32.摄像头数量：≥0 个</w:t>
            </w:r>
          </w:p>
          <w:p w14:paraId="76703F4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33.光驱数量：≥0 个</w:t>
            </w:r>
          </w:p>
          <w:p w14:paraId="237C2ACC">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★34.键盘按键数目：61 键/86 键/101 键/104 键等</w:t>
            </w:r>
          </w:p>
          <w:p w14:paraId="3E63372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★35.键盘连接方式：有线或无线</w:t>
            </w:r>
          </w:p>
          <w:p w14:paraId="2449036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★36.键盘键程：2.3mm ~ 4.0mm</w:t>
            </w:r>
          </w:p>
          <w:p w14:paraId="3B83C3B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★37.键盘按键压力：按键压力应在 0.54 N±0.14N</w:t>
            </w:r>
          </w:p>
          <w:p w14:paraId="63CC79B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★38.有线键盘连接线：≥1.5 米</w:t>
            </w:r>
          </w:p>
          <w:p w14:paraId="53D2E406">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★39.键盘颜色：黑色</w:t>
            </w:r>
          </w:p>
          <w:p w14:paraId="346BBFD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40.键盘其他要求：键盘外观结构、连接方式、主要功能、安全、电磁兼容性、可靠性应符合GB/T14081的相关规定</w:t>
            </w:r>
          </w:p>
          <w:p w14:paraId="3DBC702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★41.鼠标连接方式：有线或无线</w:t>
            </w:r>
          </w:p>
          <w:p w14:paraId="08098FD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★42.有线鼠标连接线：≥1.5 米</w:t>
            </w:r>
          </w:p>
          <w:p w14:paraId="070069A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★43.鼠标DPI分辨率：800~ 1600</w:t>
            </w:r>
          </w:p>
          <w:p w14:paraId="77BD20F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★44.鼠标颜色：黑色</w:t>
            </w:r>
          </w:p>
          <w:p w14:paraId="5164117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★45.鼠标其他要求：其它参数应符合GB/T26245的相关规定</w:t>
            </w:r>
          </w:p>
          <w:p w14:paraId="04941DC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46.内置光驱：≥0 个</w:t>
            </w:r>
          </w:p>
          <w:p w14:paraId="05B61F9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★47.有线网卡数量：≥1</w:t>
            </w:r>
          </w:p>
          <w:p w14:paraId="2F251A8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48.无线网卡及天线数量：≥0</w:t>
            </w:r>
          </w:p>
          <w:p w14:paraId="2CFD82A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49.单无线网卡天线数量：≥0</w:t>
            </w:r>
          </w:p>
          <w:p w14:paraId="0FBC8B4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★50.USB接口数量：机箱前面板应提供不少于 4 个 USB 3.0接口</w:t>
            </w:r>
          </w:p>
          <w:p w14:paraId="231D415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★51.视频接口数量：≥2</w:t>
            </w:r>
          </w:p>
          <w:p w14:paraId="74BABF3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★52.音频接口数量：提供前置2个音频接口，后置3个音频接口</w:t>
            </w:r>
          </w:p>
          <w:p w14:paraId="287E06B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★53.整机外观：a) 产品表面不应有凹痕、划伤、裂缝、变形和污染等。表面涂层均匀，不应起泡、龟裂、脱落和磨损，金属零部件无锈蚀及其它机械损伤；</w:t>
            </w:r>
          </w:p>
          <w:p w14:paraId="587842B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 产品表面说明功能的文字、符号、标志，应清晰、端正、牢固</w:t>
            </w:r>
          </w:p>
          <w:p w14:paraId="639E72C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★54.状态指示灯：在产品显著位置提供状态指示功能，如运行状态，并由供应商提供详细参数</w:t>
            </w:r>
          </w:p>
          <w:p w14:paraId="080A9E2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整机结构：a)产品内部结构应符合通用部件的安装需求；b)所有输入输出接口应符合相关国家或行业标准；c)产品零部件应紧固无松动，可插拔部件应可靠连接，开关、按钮和其它控制部件应灵活可靠，布局应方便使用；d)所有I/O连接器及需插接线缆的部位应预留采购人操作空间，方便插拔解锁与插拔线缆；e)可插拔板卡插槽部位应预留安装、拆卸或更换板卡空间；f)拆装可能接触到的金属剪口或金属尖角部位应做防划伤处理，以保证安全；g)整机内部走线应规整，固线结构和位置要合理可靠并做防割线处理，需便于理线和插拔操作，走线应不影响系统各主要部件组装和拆卸；h)如需通过孔走线，过线孔应做防割线处理；i)各插头位置和插拔方向应合理，应做到插拔无障碍设计，具备防呆设计，有效避免误操作；j)各主要部件拆装无障碍，使用常规工具拆装，无特殊拆装工具需求；k)各主要部件拆装步骤要少，各自拆装需避免相互干扰；l)对于整机或零部件外表面为高亮面的，应粘贴保护膜，保护膜需粘贴牢固，运输、组装等过程不易脱落，撕下无残留</w:t>
            </w:r>
          </w:p>
          <w:p w14:paraId="21068603">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★56.机箱防护要求：机箱应符合GB/T4208中IP20防护要求</w:t>
            </w:r>
          </w:p>
          <w:p w14:paraId="71ED6F5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★57.整机噪音：产品工作在空闲状态下，产品的声功率级应不超过3.1Bel</w:t>
            </w:r>
          </w:p>
          <w:p w14:paraId="4356D77C">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58.整机散热：在环境温度25℃及处理器满载情况下，产品表面温度应符合如下要求：a)出风口在机箱后面板情况下，出风口温度不高于55℃;b)可触及面温度不高于45℃;c)显示器表面温度：显示屏不高于38℃,显示屏上下灯带位置温度（如涉及）不高于40℃,出风口温度不高于45℃</w:t>
            </w:r>
          </w:p>
          <w:p w14:paraId="09A60FE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★59.整机能效限定值：产品能效限定值应达到GB28380标准中能效等级II级</w:t>
            </w:r>
          </w:p>
          <w:p w14:paraId="7089FFE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★60.机身材质：塑料/金属等</w:t>
            </w:r>
          </w:p>
          <w:p w14:paraId="0AA79F4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★61.机身颜色：灰色/黑色等商务色系</w:t>
            </w:r>
          </w:p>
          <w:p w14:paraId="161F7D2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★62.机箱尺寸容量：</w:t>
            </w:r>
            <w:r>
              <w:rPr>
                <w:rFonts w:hint="eastAsia" w:ascii="宋体" w:hAnsi="宋体" w:eastAsia="宋体" w:cs="宋体"/>
                <w:color w:val="FF0000"/>
                <w:sz w:val="21"/>
                <w:szCs w:val="21"/>
                <w:lang w:val="en-US" w:eastAsia="zh-CN"/>
              </w:rPr>
              <w:t>13.6L ≦机箱体积≦14L</w:t>
            </w:r>
          </w:p>
          <w:p w14:paraId="1C1A7F4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★63.CPU物理核数：≥8</w:t>
            </w:r>
          </w:p>
          <w:p w14:paraId="3B244E8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★64.CPU主频：≥3.0GHz</w:t>
            </w:r>
          </w:p>
          <w:p w14:paraId="113AD97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★65.CPU末级缓存容量：≥16MB</w:t>
            </w:r>
          </w:p>
          <w:p w14:paraId="38AABCF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★66.CPU支持的内存最高速率：≥3200MT/s</w:t>
            </w:r>
          </w:p>
          <w:p w14:paraId="54B4A61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★67.内存读写速率：≥2666MT/s</w:t>
            </w:r>
          </w:p>
          <w:p w14:paraId="7DA2FEF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★68.显示分辨率：≥1920x1080</w:t>
            </w:r>
          </w:p>
          <w:p w14:paraId="065A96E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★69.显卡显示芯片核心频率：≥1300MHz</w:t>
            </w:r>
          </w:p>
          <w:p w14:paraId="4313016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★70.显存等效频率：≥2400MT/s</w:t>
            </w:r>
          </w:p>
          <w:p w14:paraId="6E241A6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★71.显卡可支持多屏同时显示数量：显卡应支持 2 块屏幕同时显示，分辨率应不低于 1920×1080</w:t>
            </w:r>
          </w:p>
          <w:p w14:paraId="3A1F9AB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★72.有线网卡速率：最高速率应不低于 1000Mbps</w:t>
            </w:r>
          </w:p>
          <w:p w14:paraId="6270A6D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★73.内存扩展接口(板载内存不涉及)：具备≥4个内存插槽</w:t>
            </w:r>
          </w:p>
          <w:p w14:paraId="409E9BB6">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74.存储扩展接口(板载存储不涉及)：供应商给出主板支持存储扩展接口类型，如UFS3.0、SATA3.0、SAS3.0、M.2等类型接口</w:t>
            </w:r>
          </w:p>
          <w:p w14:paraId="44C7FCD8">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★75.主板USB瞬间过流保护：支持有瞬间过流保护功能</w:t>
            </w:r>
          </w:p>
          <w:p w14:paraId="4004089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★76.主板防静电保护：支持防静电保护功能</w:t>
            </w:r>
          </w:p>
          <w:p w14:paraId="641B3E9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★77.I/O接口功能：≥8个USB 3.0接口（其中前置USB 3.0数量≥4个）</w:t>
            </w:r>
          </w:p>
          <w:p w14:paraId="108F17D4">
            <w:pPr>
              <w:numPr>
                <w:ilvl w:val="0"/>
                <w:numId w:val="0"/>
              </w:numPr>
              <w:ind w:leftChars="0"/>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★78.显卡外接显示接口：显卡至少支持VGA、HDMI、DVI、DP、Type-C中2种显示接口，并随机配备其中一种相应接口显示器连接线（≥1.5m）</w:t>
            </w:r>
          </w:p>
          <w:p w14:paraId="3533414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79.独立显卡数量：≥1</w:t>
            </w:r>
          </w:p>
          <w:p w14:paraId="56FADF8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★80.存储功能：通过 SATA 固态存储/PCIe 固态存储/SATA 硬磁盘等存储部件提供存储功能</w:t>
            </w:r>
          </w:p>
          <w:p w14:paraId="5B948A2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★81.网络功能：支持访问网络和数据交换功能</w:t>
            </w:r>
          </w:p>
          <w:p w14:paraId="56F5B0C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★82.数据传输：支持数据传输能力，并提供数据流量和异常日志记录功能</w:t>
            </w:r>
          </w:p>
          <w:p w14:paraId="704A1DB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★83.有线网卡接口类型：支持 RJ45 接口</w:t>
            </w:r>
          </w:p>
          <w:p w14:paraId="324A41F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★84网络设备拆装：若配备无线网卡和蓝牙模块，需支持物理拆装</w:t>
            </w:r>
          </w:p>
          <w:p w14:paraId="28F4EF8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★85.音频接口类型：支持 3.5mm 孔径 3 段式或 4 段式接口</w:t>
            </w:r>
          </w:p>
          <w:p w14:paraId="1E095FE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★86.HDMI、DP、Type-C显示接口要求：若提供 HDMI 或 DP 或 Type-C 作为显示接口，应支持音频和视频同步输出</w:t>
            </w:r>
          </w:p>
          <w:p w14:paraId="328A6AC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★87.电源线适配能力：电源适配器电线组件应符合GB/T15934的要求，可拆线的插头和连接器可以不做要求</w:t>
            </w:r>
          </w:p>
          <w:p w14:paraId="22BAD86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★88.中文信息处理要求：符合GB18030的相关规定</w:t>
            </w:r>
          </w:p>
          <w:p w14:paraId="5233E94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★89.操作系统备份及还原功能：支持操作系统备份及还原功能</w:t>
            </w:r>
          </w:p>
          <w:p w14:paraId="0D3BA12C">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★90.固件备份还原能力：支持备份和还原固件能力</w:t>
            </w:r>
          </w:p>
          <w:p w14:paraId="2B48BFD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★91.操作系统及驱动升级：支持通过网络、闪存盘等方式对操作系统、驱动进行升级</w:t>
            </w:r>
          </w:p>
          <w:p w14:paraId="01180D2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★92.固件升级：支持通过网络、闪存盘等方式对固件进行升级</w:t>
            </w:r>
          </w:p>
          <w:p w14:paraId="6ED75CB3">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★93.BIOS支持关闭通讯接口：支持BIOS关闭以太网及USB接口</w:t>
            </w:r>
          </w:p>
          <w:p w14:paraId="55706EB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★94.固件查看信息：支持查看固件版本、内存信息、主板信息、处理器信息和系统时间信息等功能</w:t>
            </w:r>
          </w:p>
          <w:p w14:paraId="5E07503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★95.固件设置启动顺序：支持设置启动顺序功能，并按照设置的启动顺序启动</w:t>
            </w:r>
          </w:p>
          <w:p w14:paraId="5D59036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★96.固件设置口令：支持设置口令功能</w:t>
            </w:r>
          </w:p>
          <w:p w14:paraId="40A33F9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★97.固件设置网络引导：支持网络引导启动和关闭功能</w:t>
            </w:r>
          </w:p>
          <w:p w14:paraId="5AB918F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★98.固态存储寿命：TBW≥85TB（条件：256GB硬盘容量）</w:t>
            </w:r>
          </w:p>
          <w:p w14:paraId="7B29127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★99.键盘按键寿命：≥1000万次</w:t>
            </w:r>
          </w:p>
          <w:p w14:paraId="46F788FC">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★100.鼠标按键寿命：≥500万次</w:t>
            </w:r>
          </w:p>
          <w:p w14:paraId="0D243B03">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★101.键盘鼠标线材寿命：键盘鼠标所用线材经±60°弯折不低于3000次，功能、外观完好</w:t>
            </w:r>
          </w:p>
          <w:p w14:paraId="715407F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★102.风扇寿命：≥4万小时</w:t>
            </w:r>
          </w:p>
          <w:p w14:paraId="368372E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★103.电磁兼容性要求的抗扰度：通过电磁兼容性的测试</w:t>
            </w:r>
          </w:p>
          <w:p w14:paraId="6FC44A3C">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★104.环境条件要求的气候环境适应性：符合GB/T9813.1中规定</w:t>
            </w:r>
          </w:p>
          <w:p w14:paraId="099C73E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★105.环境条件要求的振动适应性：符合GB/T9813.1中规定</w:t>
            </w:r>
          </w:p>
          <w:p w14:paraId="4636B12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★106.环境条件要求的冲击适应性：符合GB/T9813.1中规定</w:t>
            </w:r>
          </w:p>
          <w:p w14:paraId="7EBFF766">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★107.环境条件要求的碰撞适应性：符合GB/T9813.1中规定</w:t>
            </w:r>
          </w:p>
          <w:p w14:paraId="4BEE0766">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★108.环境条件要求的运输包装件跌落适应性：符合GB/T9813.1中规定</w:t>
            </w:r>
          </w:p>
          <w:p w14:paraId="06F3E47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★109.MTBF测试：MTBF(m1)≥100万小时</w:t>
            </w:r>
          </w:p>
          <w:p w14:paraId="3475B9E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★110.常用软件兼容：支持流式软件、版式软件、浏览器、邮件采购人端、解压软件、多媒体、图形图像处理等常用软件</w:t>
            </w:r>
          </w:p>
          <w:p w14:paraId="05DA2C3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★111.数据库兼容：兼容3个及以上厂商的数据库产品</w:t>
            </w:r>
          </w:p>
          <w:p w14:paraId="0C80AC9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★112.中间件兼容：兼容3个及以上厂商中间件产品</w:t>
            </w:r>
          </w:p>
          <w:p w14:paraId="7A79362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★113.平台软件兼容：兼容3个及以上厂商云计算及大数据平台</w:t>
            </w:r>
          </w:p>
          <w:p w14:paraId="7FF5923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★114.标志、包装、运输和贮存：符合GB/T9813.1和商品包装政府采购需求标准的相关规定</w:t>
            </w:r>
          </w:p>
          <w:p w14:paraId="469FC92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★115.配置检查工具：供应商提供自检测工具</w:t>
            </w:r>
          </w:p>
          <w:p w14:paraId="3DEC755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★116.服务响应：a)供应商提供电话、电子邮件、远程连接等多种形式服务；</w:t>
            </w:r>
          </w:p>
          <w:p w14:paraId="6ADBED3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b)供应商提供同城 4h、异地 12h 技术响应服务，2 个工作日解决问题，对于未能解决的问题和故障应提供可行的升级方案，并提供周转设备或更换设备；</w:t>
            </w:r>
          </w:p>
          <w:p w14:paraId="53E654E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c)建立全国技术服务体系和服务团体，符合专业服务体系标准要求，提供原厂中文服务；</w:t>
            </w:r>
          </w:p>
          <w:p w14:paraId="75F5419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d)服务周期内提供产品的维修、换件和升级服务；</w:t>
            </w:r>
          </w:p>
          <w:p w14:paraId="74904FE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e）产品生命周期结束后，原厂需提供符合工信部要求的IT资产环保处置服务，包括上门回收、数据销毁、环保拆解，并提供《资产环保处置证明》，服务可通过电话或官方网站查询；</w:t>
            </w:r>
          </w:p>
          <w:p w14:paraId="6B592D0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★117.服务周期：原厂保修服务不低于三年，原厂400电话可查</w:t>
            </w:r>
          </w:p>
          <w:p w14:paraId="1FD8DD56">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★118.预装操作系统：预装桌面操作系统</w:t>
            </w:r>
          </w:p>
          <w:p w14:paraId="40554A9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★119.培训服务：供应商提供培训材料、产品手册、培训视频等培训相关内容</w:t>
            </w:r>
          </w:p>
          <w:p w14:paraId="10B552C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★120.典型问题解决手册：供应商提供典型问题解决说明文档或视频</w:t>
            </w:r>
          </w:p>
          <w:p w14:paraId="4FC4E29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★121.厂家升级软件与扩容服务：供应商提供上门升级部件/软件与扩容的增值服务</w:t>
            </w:r>
          </w:p>
          <w:p w14:paraId="77779156">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★122.整机质量服务要求：免费服务周期（含换件和维修）保修服务不低于三年，原厂400电话可查</w:t>
            </w:r>
          </w:p>
          <w:p w14:paraId="1292ABA3">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★123.合格证书要求：供应商提供产品合格证</w:t>
            </w:r>
          </w:p>
          <w:p w14:paraId="234A3806">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★124.开箱组装/使用指导要求：供应商提供开箱组装/使用指导</w:t>
            </w:r>
          </w:p>
          <w:p w14:paraId="54DBB2F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★125.驱动下载服务要求：供应商提供驱动光盘或下载方式</w:t>
            </w:r>
          </w:p>
          <w:p w14:paraId="5440A9A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★126.兼容适配软件下载服务要求：供应商提供兼容适配软件下载渠道（光盘、网站）</w:t>
            </w:r>
          </w:p>
          <w:p w14:paraId="5AEB0E4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127.跨架构平台应用兼容：供应商提供跨架构平台的应用兼容工具，支持一种或者一种以上不同架构平台的应用</w:t>
            </w:r>
          </w:p>
          <w:p w14:paraId="059E2D4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★128.产品部件保障：供应商保障产品主要部件，提供不低于八年的备件服务能力（自购买之日起），或提供可兼容原设备的升级换代产品</w:t>
            </w:r>
          </w:p>
          <w:p w14:paraId="4C024DE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★129.抗干扰性：当产品部件出现供应风险时，供应商应通知采购人并提供风险应对方案确保产品的服务保障</w:t>
            </w:r>
          </w:p>
          <w:p w14:paraId="50994D7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★130.供应能力证明：供应商提供供应链稳定承诺书，确保产品的部件在产品服务周期内稳定供货</w:t>
            </w:r>
          </w:p>
          <w:p w14:paraId="129C085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★131.关键部件安全要求：CPU 和操作系统等关键部件应当符合安全可靠测评要求</w:t>
            </w:r>
          </w:p>
          <w:p w14:paraId="4F289D6C">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★132.密码算法实现：CPU芯片应符合GM/T0008的相关规定，或芯片密码模块应符合GB/T37092或GM/T0028的相关规定</w:t>
            </w:r>
          </w:p>
          <w:p w14:paraId="66C0B36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133.USB端口管控：支持USB端口管控</w:t>
            </w:r>
          </w:p>
          <w:p w14:paraId="2E3E4E2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134.安全物理锁：支持安全物理锁</w:t>
            </w:r>
          </w:p>
          <w:p w14:paraId="47ECE34C">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135.信息安全基本要求：a)产品应符合GB/T39276的5.2的规定；b)生产厂商应建立漏洞跟踪表，保证产品版本涉及到的漏洞(如驱动程序等)可查看；c)产品不得包含已知的恶意代码或漏洞，不存在未声明的指令、功能、接口</w:t>
            </w:r>
          </w:p>
          <w:p w14:paraId="77034F3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★136.固件安全启动：支持固件安全启动功能，固件启动过程中只有通过启动校验才能正常启动</w:t>
            </w:r>
          </w:p>
          <w:p w14:paraId="70D40EB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★137.限用物质的限量要求：符合GB/T26572中规定</w:t>
            </w:r>
          </w:p>
        </w:tc>
        <w:tc>
          <w:tcPr>
            <w:tcW w:w="710" w:type="dxa"/>
            <w:shd w:val="clear" w:color="auto" w:fill="auto"/>
            <w:vAlign w:val="center"/>
          </w:tcPr>
          <w:p w14:paraId="3FC1F78F">
            <w:pPr>
              <w:jc w:val="center"/>
              <w:rPr>
                <w:rFonts w:ascii="Times New Roman" w:hAnsi="Times New Roman"/>
              </w:rPr>
            </w:pPr>
            <w:r>
              <w:rPr>
                <w:rFonts w:hint="eastAsia" w:ascii="Times New Roman" w:hAnsi="Times New Roman"/>
              </w:rPr>
              <w:t>台</w:t>
            </w:r>
          </w:p>
        </w:tc>
        <w:tc>
          <w:tcPr>
            <w:tcW w:w="805" w:type="dxa"/>
            <w:shd w:val="clear" w:color="auto" w:fill="auto"/>
            <w:vAlign w:val="center"/>
          </w:tcPr>
          <w:p w14:paraId="3DEF667B">
            <w:pPr>
              <w:jc w:val="center"/>
              <w:rPr>
                <w:rFonts w:hint="default" w:ascii="Times New Roman" w:hAnsi="Times New Roman" w:eastAsia="宋体"/>
                <w:lang w:val="en-US" w:eastAsia="zh-CN"/>
              </w:rPr>
            </w:pPr>
            <w:r>
              <w:rPr>
                <w:rFonts w:hint="eastAsia" w:ascii="Times New Roman" w:hAnsi="Times New Roman"/>
                <w:lang w:val="en-US" w:eastAsia="zh-CN"/>
              </w:rPr>
              <w:t>40</w:t>
            </w:r>
          </w:p>
        </w:tc>
      </w:tr>
      <w:tr w14:paraId="14FB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shd w:val="clear" w:color="auto" w:fill="auto"/>
            <w:vAlign w:val="center"/>
          </w:tcPr>
          <w:p w14:paraId="46BC80DB">
            <w:pPr>
              <w:jc w:val="center"/>
              <w:rPr>
                <w:rFonts w:hint="eastAsia" w:ascii="Times New Roman" w:hAnsi="Times New Roman" w:eastAsia="宋体"/>
                <w:lang w:val="en-US" w:eastAsia="zh-CN"/>
              </w:rPr>
            </w:pPr>
            <w:r>
              <w:rPr>
                <w:rFonts w:hint="eastAsia" w:ascii="Times New Roman" w:hAnsi="Times New Roman"/>
                <w:lang w:val="en-US" w:eastAsia="zh-CN"/>
              </w:rPr>
              <w:t>2</w:t>
            </w:r>
          </w:p>
        </w:tc>
        <w:tc>
          <w:tcPr>
            <w:tcW w:w="1289" w:type="dxa"/>
            <w:shd w:val="clear" w:color="auto" w:fill="auto"/>
            <w:vAlign w:val="center"/>
          </w:tcPr>
          <w:p w14:paraId="672F7A0A">
            <w:pPr>
              <w:jc w:val="center"/>
              <w:rPr>
                <w:rFonts w:hint="default" w:ascii="Times New Roman" w:hAnsi="Times New Roman" w:eastAsia="宋体"/>
                <w:lang w:val="en-US" w:eastAsia="zh-CN"/>
              </w:rPr>
            </w:pPr>
            <w:r>
              <w:rPr>
                <w:rFonts w:hint="eastAsia" w:ascii="Times New Roman" w:hAnsi="Times New Roman"/>
                <w:lang w:val="en-US" w:eastAsia="zh-CN"/>
              </w:rPr>
              <w:t>台式计算机二</w:t>
            </w:r>
          </w:p>
        </w:tc>
        <w:tc>
          <w:tcPr>
            <w:tcW w:w="5523" w:type="dxa"/>
            <w:shd w:val="clear" w:color="auto" w:fill="auto"/>
            <w:vAlign w:val="center"/>
          </w:tcPr>
          <w:p w14:paraId="2E29A2F8">
            <w:pPr>
              <w:rPr>
                <w:rFonts w:hint="eastAsia" w:ascii="宋体" w:hAnsi="宋体" w:eastAsia="宋体" w:cs="宋体"/>
                <w:sz w:val="21"/>
                <w:szCs w:val="21"/>
                <w:lang w:eastAsia="zh-CN"/>
              </w:rPr>
            </w:pPr>
            <w:r>
              <w:rPr>
                <w:rFonts w:hint="eastAsia" w:ascii="宋体" w:hAnsi="宋体" w:eastAsia="宋体" w:cs="宋体"/>
                <w:sz w:val="21"/>
                <w:szCs w:val="21"/>
              </w:rPr>
              <w:t>★</w:t>
            </w:r>
            <w:r>
              <w:rPr>
                <w:rFonts w:hint="eastAsia" w:ascii="宋体" w:hAnsi="宋体" w:eastAsia="宋体" w:cs="宋体"/>
                <w:sz w:val="21"/>
                <w:szCs w:val="21"/>
                <w:lang w:val="en-US" w:eastAsia="zh-CN"/>
              </w:rPr>
              <w:t>1.</w:t>
            </w:r>
            <w:r>
              <w:rPr>
                <w:rFonts w:hint="eastAsia" w:ascii="宋体" w:hAnsi="宋体" w:eastAsia="宋体" w:cs="宋体"/>
                <w:sz w:val="21"/>
                <w:szCs w:val="21"/>
              </w:rPr>
              <w:t>CPU信息</w:t>
            </w:r>
            <w:r>
              <w:rPr>
                <w:rFonts w:hint="eastAsia" w:ascii="宋体" w:hAnsi="宋体" w:eastAsia="宋体" w:cs="宋体"/>
                <w:sz w:val="21"/>
                <w:szCs w:val="21"/>
                <w:lang w:eastAsia="zh-CN"/>
              </w:rPr>
              <w:t>：C86架构,核数≥8核，单核主频≥3.0Ghz，CPU符合国家安全可靠测评要求，安全可靠等级≥I级，在中国信息安全测评中心和国家保密科技测评中心网站等官方渠道可查看安全可靠测评结果。</w:t>
            </w:r>
          </w:p>
          <w:p w14:paraId="565AD0DE">
            <w:pPr>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内存配置容量：≥8GB</w:t>
            </w:r>
          </w:p>
          <w:p w14:paraId="202926B5">
            <w:pPr>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内存类型：支持DDR4及以上内存类型</w:t>
            </w:r>
          </w:p>
          <w:p w14:paraId="661B7E5B">
            <w:pPr>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内存条配置数量（板载内存不涉及）：≥1</w:t>
            </w:r>
          </w:p>
          <w:p w14:paraId="657A7ED9">
            <w:pPr>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主板集成模块：与处理器相匹配的芯片组</w:t>
            </w:r>
          </w:p>
          <w:p w14:paraId="78A80140">
            <w:pPr>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主板支持的CPU和内存情况：1颗国产C86架构处理器，4个DDR4内存插槽</w:t>
            </w:r>
          </w:p>
          <w:p w14:paraId="30907044">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r>
              <w:rPr>
                <w:rFonts w:hint="eastAsia" w:ascii="宋体" w:hAnsi="宋体" w:eastAsia="宋体" w:cs="宋体"/>
                <w:sz w:val="21"/>
                <w:szCs w:val="21"/>
                <w:lang w:eastAsia="zh-CN"/>
              </w:rPr>
              <w:t>主板内置PCIe插槽数量：主板提供PCIe Gen 4插槽数量不少于3个，1个PCIe x16，1个PCIe x8，1个PCIe x1扩展槽</w:t>
            </w:r>
            <w:r>
              <w:rPr>
                <w:rFonts w:hint="eastAsia" w:ascii="宋体" w:hAnsi="宋体" w:eastAsia="宋体" w:cs="宋体"/>
                <w:sz w:val="21"/>
                <w:szCs w:val="21"/>
                <w:lang w:val="en-US" w:eastAsia="zh-CN"/>
              </w:rPr>
              <w:t xml:space="preserve"> </w:t>
            </w:r>
          </w:p>
          <w:p w14:paraId="409FB45F">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8.特殊孔位及接口：≥8个USB 3.0接口</w:t>
            </w:r>
          </w:p>
          <w:p w14:paraId="1A2A258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★9.主板其他内置接口：≥1个M.2 接口；≥3个SATA3.0接口；≥8个USB接口（其中前置≥4个USB 3.0接口；后置≥4个USB 3.0接口）</w:t>
            </w:r>
          </w:p>
          <w:p w14:paraId="19F76D1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★10.单内存插槽最大可支持容量（板载内存不涉及）：≥16GB</w:t>
            </w:r>
          </w:p>
          <w:p w14:paraId="2371DBB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★11.内存插槽满配时提供的最高内存总容量：≥64GB</w:t>
            </w:r>
          </w:p>
          <w:p w14:paraId="4485F5A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★12.固态盘数量：≥1 个</w:t>
            </w:r>
          </w:p>
          <w:p w14:paraId="20760F1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★13.固态存储容量：≥512GB</w:t>
            </w:r>
          </w:p>
          <w:p w14:paraId="0E618B06">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14.固态存储接口协议：UFS/SATA/PCIe/NVMe等类型接口协议</w:t>
            </w:r>
          </w:p>
          <w:p w14:paraId="684F534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★15.固态存储形态：采用插卡或板载等形态，可选用符合M.2 或 2.5 寸 SATA 或 mSATA 等标准的插卡形态</w:t>
            </w:r>
          </w:p>
          <w:p w14:paraId="6AA5E8F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★16.存储设备扩展盘位：≥1</w:t>
            </w:r>
          </w:p>
          <w:p w14:paraId="57009F1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★17.存储设备其他参数要求：固态盘应符合SJ/T11654相关规定</w:t>
            </w:r>
          </w:p>
          <w:p w14:paraId="505274F6">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★18.显卡类型：独立显卡</w:t>
            </w:r>
          </w:p>
          <w:p w14:paraId="18F5A96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★19.独立显卡显存类型：配置独立显卡，显存类型应为DDR4或以上</w:t>
            </w:r>
          </w:p>
          <w:p w14:paraId="690FC61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★20.独立显卡显存位宽：配置独立显卡，显存位宽≥64 位</w:t>
            </w:r>
          </w:p>
          <w:p w14:paraId="21AA65F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★21.独立显卡显存容量：配置独立显卡，显存容量≥2GB</w:t>
            </w:r>
          </w:p>
          <w:p w14:paraId="540F8231">
            <w:pPr>
              <w:numPr>
                <w:ilvl w:val="0"/>
                <w:numId w:val="3"/>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独立显卡接口协议：支持 PCIe 协议版本大于等于 2.0 或 HT（HyperTransport）协议版本大于等于 3.0 的独立显卡接口协议</w:t>
            </w:r>
          </w:p>
          <w:p w14:paraId="125F03DB">
            <w:pPr>
              <w:numPr>
                <w:ilvl w:val="0"/>
                <w:numId w:val="3"/>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传声器数量：≥0</w:t>
            </w:r>
          </w:p>
          <w:p w14:paraId="038146B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24.扬声器数量：≥0</w:t>
            </w:r>
          </w:p>
          <w:p w14:paraId="4DD6409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★25.鼠标数量：≥1 个</w:t>
            </w:r>
          </w:p>
          <w:p w14:paraId="26733A2C">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★26.键盘数量：≥1 个</w:t>
            </w:r>
          </w:p>
          <w:p w14:paraId="4CD3ABC3">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27.摄像头数量：≥0 个</w:t>
            </w:r>
          </w:p>
          <w:p w14:paraId="5683534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28.光驱数量：≥0 个</w:t>
            </w:r>
          </w:p>
          <w:p w14:paraId="0B956D6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★29.键盘按键数目：61 键/86 键/101 键/104 键等</w:t>
            </w:r>
          </w:p>
          <w:p w14:paraId="531B340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★30.键盘连接方式：有线或无线</w:t>
            </w:r>
          </w:p>
          <w:p w14:paraId="66FA7CE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★31.键盘键程：2.3mm ~ 4.0mm</w:t>
            </w:r>
          </w:p>
          <w:p w14:paraId="3A3A092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★32.键盘按键压力：按键压力应在 0.54 N±0.14N</w:t>
            </w:r>
          </w:p>
          <w:p w14:paraId="16239D4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★33.有线键盘连接线：≥1.5 米</w:t>
            </w:r>
          </w:p>
          <w:p w14:paraId="19A6978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★34.键盘颜色：黑色</w:t>
            </w:r>
          </w:p>
          <w:p w14:paraId="3F5464D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35.键盘其他要求：键盘外观结构、连接方式、主要功能、安全、电磁兼容性、可靠性应符合GB/T14081的相关规定</w:t>
            </w:r>
          </w:p>
          <w:p w14:paraId="4C8633E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★36.鼠标连接方式：有线或无线</w:t>
            </w:r>
          </w:p>
          <w:p w14:paraId="1CE1B69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★37.有线鼠标连接线：≥1.5 米</w:t>
            </w:r>
          </w:p>
          <w:p w14:paraId="408DD77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★38.鼠标DPI分辨率：800~ 1600</w:t>
            </w:r>
          </w:p>
          <w:p w14:paraId="6DE0CDF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★39.鼠标颜色：黑色</w:t>
            </w:r>
          </w:p>
          <w:p w14:paraId="11383E4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★40.鼠标其他要求：其它参数应符合GB/T26245的相关规定</w:t>
            </w:r>
          </w:p>
          <w:p w14:paraId="69C634A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41.内置光驱：≥0 个</w:t>
            </w:r>
          </w:p>
          <w:p w14:paraId="190BFB0C">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★42.有线网卡数量：≥1</w:t>
            </w:r>
          </w:p>
          <w:p w14:paraId="38F6021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43.无线网卡及天线数量：≥0</w:t>
            </w:r>
          </w:p>
          <w:p w14:paraId="1B20DCF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44.单无线网卡天线数量：≥0</w:t>
            </w:r>
          </w:p>
          <w:p w14:paraId="56BAC8C6">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★45.USB接口数量：机箱前面板应提供不少于 4 个 USB 3.0接口</w:t>
            </w:r>
          </w:p>
          <w:p w14:paraId="2661FCF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★46.视频接口数量：≥2</w:t>
            </w:r>
          </w:p>
          <w:p w14:paraId="6E8292A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★47.音频接口数量：提供前置2个音频接口，后置3个音频接口</w:t>
            </w:r>
          </w:p>
          <w:p w14:paraId="199E752C">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★48.整机外观：a) 产品表面不应有凹痕、划伤、裂缝、变形和污染等。表面涂层均匀，不应起泡、龟裂、脱落和磨损，金属零部件无锈蚀及其它机械损伤；</w:t>
            </w:r>
          </w:p>
          <w:p w14:paraId="2151465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 产品表面说明功能的文字、符号、标志，应清晰、端正、牢固</w:t>
            </w:r>
          </w:p>
          <w:p w14:paraId="4966FF7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★49.状态指示灯：在产品显著位置提供状态指示功能，如运行状态，并由供应商提供详细参数</w:t>
            </w:r>
          </w:p>
          <w:p w14:paraId="5726F5B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50.整机结构：a)产品内部结构应符合通用部件的安装需求；b)所有输入输出接口应符合相关国家或行业标准；c)产品零部件应紧固无松动，可插拔部件应可靠连接，开关、按钮和其它控制部件应灵活可靠，布局应方便使用；d)所有I/O连接器及需插接线缆的部位应预留采购人操作空间，方便插拔解锁与插拔线缆；e)可插拔板卡插槽部位应预留安装、拆卸或更换板卡空间；f)拆装可能接触到的金属剪口或金属尖角部位应做防划伤处理，以保证安全；g)整机内部走线应规整，固线结构和位置要合理可靠并做防割线处理，需便于理线和插拔操作，走线应不影响系统各主要部件组装和拆卸；h)如需通过孔走线，过线孔应做防割线处理；i)各插头位置和插拔方向应合理，应做到插拔无障碍设计，具备防呆设计，有效避免误操作；j)各主要部件拆装无障碍，使用常规工具拆装，无特殊拆装工具需求；k)各主要部件拆装步骤要少，各自拆装需避免相互干扰；l)对于整机或零部件外表面为高亮面的，应粘贴保护膜，保护膜需粘贴牢固，运输、组装等过程不易脱落，撕下无残留</w:t>
            </w:r>
          </w:p>
          <w:p w14:paraId="57D8BB7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★51.机箱防护要求：机箱应符合GB/T4208中IP20防护要求</w:t>
            </w:r>
          </w:p>
          <w:p w14:paraId="70F14163">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★52.整机噪音：产品工作在空闲状态下，产品的声功率级应不超过3.1Bel</w:t>
            </w:r>
          </w:p>
          <w:p w14:paraId="7B25505C">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53.整机散热：在环境温度25℃及处理器满载情况下，产品表面温度应符合如下要求：a)出风口在机箱后面板情况下，出风口温度不高于55℃;b)可触及面温度不高于45℃;c)显示器表面温度：显示屏不高于38℃,显示屏上下灯带位置温度（如涉及）不高于40℃,出风口温度不高于45℃</w:t>
            </w:r>
          </w:p>
          <w:p w14:paraId="739C5E2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★54.整机能效限定值：产品能效限定值应至少达到GB28380标准中能效等级II级</w:t>
            </w:r>
          </w:p>
          <w:p w14:paraId="29FA0C26">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★55.机身材质：塑料/金属等</w:t>
            </w:r>
          </w:p>
          <w:p w14:paraId="0CE3F97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★56.机身颜色：灰色/黑色等商务色系</w:t>
            </w:r>
          </w:p>
          <w:p w14:paraId="66A712E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★57.机箱尺寸容量：</w:t>
            </w:r>
            <w:r>
              <w:rPr>
                <w:rFonts w:hint="eastAsia" w:ascii="宋体" w:hAnsi="宋体" w:eastAsia="宋体" w:cs="宋体"/>
                <w:color w:val="FF0000"/>
                <w:sz w:val="21"/>
                <w:szCs w:val="21"/>
                <w:lang w:val="en-US" w:eastAsia="zh-CN"/>
              </w:rPr>
              <w:t>13.6L ≦机箱体积≦14L</w:t>
            </w:r>
          </w:p>
          <w:p w14:paraId="1B96F7E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★58.CPU物理核数：≥8</w:t>
            </w:r>
          </w:p>
          <w:p w14:paraId="0A6ABE5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★59.CPU主频：≥3.0GHz</w:t>
            </w:r>
          </w:p>
          <w:p w14:paraId="2600E45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★60.CPU末级缓存容量：≥16MB</w:t>
            </w:r>
          </w:p>
          <w:p w14:paraId="165E1A0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★61.CPU支持的内存最高速率：≥3200MT/s</w:t>
            </w:r>
          </w:p>
          <w:p w14:paraId="252F4E1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★62.内存读写速率：≥2666MT/s</w:t>
            </w:r>
          </w:p>
          <w:p w14:paraId="5D5EF57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★63.显示分辨率：≥1920x1080</w:t>
            </w:r>
          </w:p>
          <w:p w14:paraId="64B4921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★64.显卡显示芯片核心频率：≥1300MHz</w:t>
            </w:r>
          </w:p>
          <w:p w14:paraId="17ECB5FC">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★65.显存等效频率：≥2400MT/s</w:t>
            </w:r>
          </w:p>
          <w:p w14:paraId="3FB5E7D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★66.显卡可支持多屏同时显示数量：显卡应支持 2 块屏幕同时显示，分辨率应不低于 1920×1080</w:t>
            </w:r>
          </w:p>
          <w:p w14:paraId="29BB020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★67.有线网卡速率：最高速率应不低于 1000Mbps</w:t>
            </w:r>
          </w:p>
          <w:p w14:paraId="59233F1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★68.内存扩展接口(板载内存不涉及)：具备≥4个内存插槽69.存储扩展接口(板载存储不涉及)：供应商给出主板支持存储扩展接口类型，如UFS3.0、SATA3.0、SAS3.0、M.2等类型接口</w:t>
            </w:r>
          </w:p>
          <w:p w14:paraId="32ABB462">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★70.主板USB瞬间过流保护：支持有瞬间过流保护功能</w:t>
            </w:r>
          </w:p>
          <w:p w14:paraId="08FA63C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★71.主板防静电保护：支持防静电保护功能</w:t>
            </w:r>
          </w:p>
          <w:p w14:paraId="486539D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★72.I/O接口功能：≥8个USB 3.0接口（其中前置USB 3.0数量≥4个）</w:t>
            </w:r>
          </w:p>
          <w:p w14:paraId="1BB3CE92">
            <w:pPr>
              <w:numPr>
                <w:ilvl w:val="0"/>
                <w:numId w:val="0"/>
              </w:numPr>
              <w:ind w:leftChars="0"/>
              <w:rPr>
                <w:rFonts w:hint="eastAsia" w:ascii="宋体" w:hAnsi="宋体" w:eastAsia="宋体" w:cs="宋体"/>
                <w:color w:val="FF0000"/>
                <w:sz w:val="21"/>
                <w:szCs w:val="21"/>
                <w:lang w:val="en-US" w:eastAsia="zh-CN"/>
              </w:rPr>
            </w:pPr>
            <w:r>
              <w:rPr>
                <w:rFonts w:hint="eastAsia" w:ascii="宋体" w:hAnsi="宋体" w:eastAsia="宋体" w:cs="宋体"/>
                <w:sz w:val="21"/>
                <w:szCs w:val="21"/>
                <w:lang w:val="en-US" w:eastAsia="zh-CN"/>
              </w:rPr>
              <w:t>★73.</w:t>
            </w:r>
            <w:r>
              <w:rPr>
                <w:rFonts w:hint="eastAsia" w:ascii="宋体" w:hAnsi="宋体" w:eastAsia="宋体" w:cs="宋体"/>
                <w:color w:val="FF0000"/>
                <w:sz w:val="21"/>
                <w:szCs w:val="21"/>
                <w:lang w:val="en-US" w:eastAsia="zh-CN"/>
              </w:rPr>
              <w:t>显卡外接显示接口：显卡至少支持VGA、HDMI、DVI、DP、Type-C中2种显示接口，并随机配备其中一种相应接口显示器连接线（≥1.5m）</w:t>
            </w:r>
          </w:p>
          <w:p w14:paraId="5615D7F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74.独立显卡数量：≥1</w:t>
            </w:r>
          </w:p>
          <w:p w14:paraId="6AD9818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★75.存储功能：通过 SATA 固态存储/PCIe 固态存储/SATA 硬磁盘等存储部件提供存储功能</w:t>
            </w:r>
          </w:p>
          <w:p w14:paraId="5462447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★76.网络功能：支持访问网络和数据交换功能</w:t>
            </w:r>
          </w:p>
          <w:p w14:paraId="1F6DFF5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★77.数据传输：支持数据传输能力，并提供数据流量和异常日志记录功能</w:t>
            </w:r>
          </w:p>
          <w:p w14:paraId="4EAB763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★78.有线网卡接口类型：支持 RJ45 接口</w:t>
            </w:r>
          </w:p>
          <w:p w14:paraId="0385783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★79网络设备拆装：若配备无线网卡和蓝牙模块，需支持物理拆装</w:t>
            </w:r>
          </w:p>
          <w:p w14:paraId="48E5846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★80.音频接口类型：支持 3.5mm 孔径 3 段式或 4 段式接口</w:t>
            </w:r>
          </w:p>
          <w:p w14:paraId="6E3FC9F3">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★81.HDMI、DP、Type-C显示接口要求：若提供 HDMI 或 DP 或 Type-C 作为显示接口，应支持音频和视频同步输出</w:t>
            </w:r>
          </w:p>
          <w:p w14:paraId="07AC5B5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★82.电源线适配能力：电源适配器电线组件应符合GB/T15934的要求，可拆线的插头和连接器可以不做要求</w:t>
            </w:r>
          </w:p>
          <w:p w14:paraId="3874F2B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★83.中文信息处理要求：符合GB18030的相关规定</w:t>
            </w:r>
          </w:p>
          <w:p w14:paraId="5066018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★84.操作系统备份及还原功能：支持操作系统备份及还原功能</w:t>
            </w:r>
          </w:p>
          <w:p w14:paraId="4031BC2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★85.固件备份还原能力：支持备份和还原固件能力</w:t>
            </w:r>
          </w:p>
          <w:p w14:paraId="5F15D44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★86.操作系统及驱动升级：支持通过网络、闪存盘等方式对操作系统、驱动进行升级</w:t>
            </w:r>
          </w:p>
          <w:p w14:paraId="499417C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★87.固件升级：支持通过网络、闪存盘等方式对固件进行升级</w:t>
            </w:r>
          </w:p>
          <w:p w14:paraId="7B98C82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★88.BIOS支持关闭通讯接口：支持BIOS关闭以太网及USB接口</w:t>
            </w:r>
          </w:p>
          <w:p w14:paraId="11810CD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★89.固件查看信息：支持查看固件版本、内存信息、主板信息、处理器信息和系统时间信息等功能</w:t>
            </w:r>
          </w:p>
          <w:p w14:paraId="7BAEF85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★90.固件设置启动顺序：支持设置启动顺序功能，并按照设置的启动顺序启动</w:t>
            </w:r>
          </w:p>
          <w:p w14:paraId="16A7BC2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★91.固件设置口令：支持设置口令功能</w:t>
            </w:r>
          </w:p>
          <w:p w14:paraId="55D4447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★92.固件设置网络引导：支持网络引导启动和关闭功能</w:t>
            </w:r>
          </w:p>
          <w:p w14:paraId="7AD6AC9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★93.固态存储寿命：TBW≥85TB（条件：256GB硬盘容量）</w:t>
            </w:r>
          </w:p>
          <w:p w14:paraId="413A234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★94.键盘按键寿命：≥1000万次</w:t>
            </w:r>
          </w:p>
          <w:p w14:paraId="2D4EB46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★95.鼠标按键寿命：≥500万次</w:t>
            </w:r>
          </w:p>
          <w:p w14:paraId="59C8367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★96.键盘鼠标线材寿命：键盘鼠标所用线材经±60°弯折不低于3000次，功能、外观完好</w:t>
            </w:r>
          </w:p>
          <w:p w14:paraId="38BAED2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★97.风扇寿命：≥4万小时</w:t>
            </w:r>
          </w:p>
          <w:p w14:paraId="08FEAF3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★98.电磁兼容性要求的抗扰度：通过电磁兼容性的测试</w:t>
            </w:r>
          </w:p>
          <w:p w14:paraId="0BA0AEB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★99.环境条件要求的气候环境适应性：符合GB/T9813.1中规定</w:t>
            </w:r>
          </w:p>
          <w:p w14:paraId="10CE3C0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★100.环境条件要求的振动适应性：符合GB/T9813.1中规定</w:t>
            </w:r>
          </w:p>
          <w:p w14:paraId="1358B0C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★101.环境条件要求的冲击适应性：符合GB/T9813.1中规定</w:t>
            </w:r>
          </w:p>
          <w:p w14:paraId="3A327DA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★102.环境条件要求的碰撞适应性：符合GB/T9813.1中规定</w:t>
            </w:r>
          </w:p>
          <w:p w14:paraId="408E5DF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★103.环境条件要求的运输包装件跌落适应性：符合GB/T9813.1中规定</w:t>
            </w:r>
          </w:p>
          <w:p w14:paraId="4264C77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★104.MTBF测试：MTBF(m1)≥100万小时</w:t>
            </w:r>
          </w:p>
          <w:p w14:paraId="565AD5EC">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★105.常用软件兼容：支持流式软件、版式软件、浏览器、邮件采购人端、解压软件、多媒体、图形图像处理等常用软件</w:t>
            </w:r>
          </w:p>
          <w:p w14:paraId="0263BB7F">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★106.数据库兼容：兼容3个及以上厂商的数据库产品</w:t>
            </w:r>
          </w:p>
          <w:p w14:paraId="582EE5E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★107.中间件兼容：兼容3个及以上厂商中间件产品</w:t>
            </w:r>
          </w:p>
          <w:p w14:paraId="4785E4A8">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★108.平台软件兼容：兼容3个及以上厂商云计算及大数据平台</w:t>
            </w:r>
          </w:p>
          <w:p w14:paraId="1839371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★109.标志、包装、运输和贮存：符合GB/T9813.1和商品包装政府采购需求标准的相关规定</w:t>
            </w:r>
          </w:p>
          <w:p w14:paraId="12BE81CA">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★110.配置检查工具：供应商提供自检测工具</w:t>
            </w:r>
          </w:p>
          <w:p w14:paraId="64CB873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★111.服务响应：a)供应商提供电话、电子邮件、远程连接等多种形式服务；</w:t>
            </w:r>
          </w:p>
          <w:p w14:paraId="76B2110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b)供应商提供同城 4h、异地 12h 技术响应服务，2 个工作日解决问题，对于未能解决的问题和故障应提供可行的升级方案，并提供周转设备或更换设备；</w:t>
            </w:r>
          </w:p>
          <w:p w14:paraId="2372AAA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c)建立全国技术服务体系和服务团体，符合专业服务体系标准要求，提供原厂中文服务；</w:t>
            </w:r>
          </w:p>
          <w:p w14:paraId="6D1F5A0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d)服务周期内提供产品的维修、换件和升级服务；</w:t>
            </w:r>
          </w:p>
          <w:p w14:paraId="6DD17EE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e）产品生命周期结束后，原厂需提供符合工信部要求的IT资产环保处置服务，包括上门回收、数据销毁、环保拆解，并提供《资产环保处置证明》，服务可通过电话或官方网站查询；</w:t>
            </w:r>
          </w:p>
          <w:p w14:paraId="7150AAE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★112.服务周期：原厂保修服务不低于三年，原厂400电话可查</w:t>
            </w:r>
          </w:p>
          <w:p w14:paraId="56F073F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★113.预装操作系统：预装桌面操作系统</w:t>
            </w:r>
          </w:p>
          <w:p w14:paraId="2E797CA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★114.培训服务：供应商提供培训材料、产品手册、培训视频等培训相关内容</w:t>
            </w:r>
          </w:p>
          <w:p w14:paraId="70ECABFD">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★115.典型问题解决手册：供应商提供典型问题解决说明文档或视频</w:t>
            </w:r>
          </w:p>
          <w:p w14:paraId="396169F3">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★116.厂家升级软件与扩容服务：供应商提供上门升级部件/软件与扩容的增值服务</w:t>
            </w:r>
          </w:p>
          <w:p w14:paraId="50CB2807">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★117.整机质量服务要求：免费服务周期（含换件和维修）保修服务不低于三年，原厂400电话可查</w:t>
            </w:r>
          </w:p>
          <w:p w14:paraId="4F7DFC1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★118.合格证书要求：供应商提供产品合格证</w:t>
            </w:r>
          </w:p>
          <w:p w14:paraId="44A1D4B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★119.开箱组装/使用指导要求：供应商提供开箱组装/使用指导</w:t>
            </w:r>
          </w:p>
          <w:p w14:paraId="21F2B60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★120.驱动下载服务要求：供应商提供驱动光盘或下载方式</w:t>
            </w:r>
          </w:p>
          <w:p w14:paraId="6F7DEBE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★121.兼容适配软件下载服务要求：供应商提供兼容适配软件下载渠道（光盘、网站）</w:t>
            </w:r>
          </w:p>
          <w:p w14:paraId="6A6A101B">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122.跨架构平台应用兼容：供应商提供跨架构平台的应用兼容工具，支持一种或者一种以上不同架构平台的应用</w:t>
            </w:r>
          </w:p>
          <w:p w14:paraId="7BC2783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★123.产品部件保障：供应商保障产品主要部件，提供不低于八年的备件服务能力（自购买之日起），或提供可兼容原设备的升级换代产品</w:t>
            </w:r>
          </w:p>
          <w:p w14:paraId="36E78491">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★124.抗干扰性：当产品部件出现供应风险时，供应商应通知采购人并提供风险应对方案确保产品的服务保障</w:t>
            </w:r>
          </w:p>
          <w:p w14:paraId="7C2E3C85">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★125.供应能力证明：供应商提供供应链稳定承诺书，确保产品的部件在产品服务周期内稳定供货</w:t>
            </w:r>
          </w:p>
          <w:p w14:paraId="3A7B662E">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★126.关键部件安全要求：CPU 和操作系统等关键部件应当符合安全可靠测评要求</w:t>
            </w:r>
          </w:p>
          <w:p w14:paraId="78C19224">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★127.密码算法实现：CPU芯片应符合GM/T0008的相关规定，或芯片密码模块应符合GB/T37092或GM/T0028的相关规定</w:t>
            </w:r>
          </w:p>
          <w:p w14:paraId="4C1C7A3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128.USB端口管控：支持USB端口管控</w:t>
            </w:r>
          </w:p>
          <w:p w14:paraId="362E87D2">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129.安全物理锁：支持安全物理锁</w:t>
            </w:r>
          </w:p>
          <w:p w14:paraId="38D2BE10">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★130.a)产品应符合GB/T39276的5.2的规定；b)生产厂商应建立漏洞跟踪表，保证产品版本涉及到的漏洞(如驱动程序等)可查看；c)产品不得包含已知的恶意代码或漏洞，不存在未声明的指令、功能、接口</w:t>
            </w:r>
          </w:p>
          <w:p w14:paraId="0F939676">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★131.支持固件安全启动功能，固件启动过程中只有通过启动校验才能正常启动</w:t>
            </w:r>
          </w:p>
          <w:p w14:paraId="6CB5D432">
            <w:pPr>
              <w:jc w:val="left"/>
              <w:rPr>
                <w:rFonts w:hint="eastAsia" w:ascii="宋体" w:hAnsi="宋体" w:eastAsia="宋体" w:cs="宋体"/>
                <w:sz w:val="21"/>
                <w:szCs w:val="21"/>
              </w:rPr>
            </w:pPr>
            <w:r>
              <w:rPr>
                <w:rFonts w:hint="eastAsia" w:ascii="宋体" w:hAnsi="宋体" w:eastAsia="宋体" w:cs="宋体"/>
                <w:sz w:val="21"/>
                <w:szCs w:val="21"/>
                <w:lang w:val="en-US" w:eastAsia="zh-CN"/>
              </w:rPr>
              <w:t>★132.限用物质的限量要求：符合GB/T26572中规定</w:t>
            </w:r>
          </w:p>
        </w:tc>
        <w:tc>
          <w:tcPr>
            <w:tcW w:w="710" w:type="dxa"/>
            <w:shd w:val="clear" w:color="auto" w:fill="auto"/>
            <w:vAlign w:val="center"/>
          </w:tcPr>
          <w:p w14:paraId="2E1AD2D2">
            <w:pPr>
              <w:jc w:val="center"/>
              <w:rPr>
                <w:rFonts w:hint="eastAsia" w:ascii="Times New Roman" w:hAnsi="Times New Roman" w:eastAsia="宋体"/>
                <w:lang w:val="en-US" w:eastAsia="zh-CN"/>
              </w:rPr>
            </w:pPr>
            <w:r>
              <w:rPr>
                <w:rFonts w:hint="eastAsia" w:ascii="Times New Roman" w:hAnsi="Times New Roman"/>
                <w:lang w:val="en-US" w:eastAsia="zh-CN"/>
              </w:rPr>
              <w:t>台</w:t>
            </w:r>
          </w:p>
        </w:tc>
        <w:tc>
          <w:tcPr>
            <w:tcW w:w="805" w:type="dxa"/>
            <w:shd w:val="clear" w:color="auto" w:fill="auto"/>
            <w:vAlign w:val="center"/>
          </w:tcPr>
          <w:p w14:paraId="50108AFE">
            <w:pPr>
              <w:jc w:val="center"/>
              <w:rPr>
                <w:rFonts w:hint="default" w:ascii="Times New Roman" w:hAnsi="Times New Roman" w:eastAsia="宋体"/>
                <w:lang w:val="en-US" w:eastAsia="zh-CN"/>
              </w:rPr>
            </w:pPr>
            <w:r>
              <w:rPr>
                <w:rFonts w:hint="eastAsia" w:ascii="Times New Roman" w:hAnsi="Times New Roman"/>
                <w:lang w:val="en-US" w:eastAsia="zh-CN"/>
              </w:rPr>
              <w:t>67</w:t>
            </w:r>
          </w:p>
        </w:tc>
      </w:tr>
      <w:tr w14:paraId="299F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shd w:val="clear" w:color="auto" w:fill="auto"/>
            <w:vAlign w:val="center"/>
          </w:tcPr>
          <w:p w14:paraId="20B897E5">
            <w:pPr>
              <w:jc w:val="center"/>
              <w:rPr>
                <w:rFonts w:hint="eastAsia" w:ascii="Times New Roman" w:hAnsi="Times New Roman" w:eastAsia="宋体"/>
                <w:lang w:eastAsia="zh-CN"/>
              </w:rPr>
            </w:pPr>
            <w:r>
              <w:rPr>
                <w:rFonts w:hint="eastAsia" w:ascii="Times New Roman" w:hAnsi="Times New Roman"/>
                <w:lang w:val="en-US" w:eastAsia="zh-CN"/>
              </w:rPr>
              <w:t>3</w:t>
            </w:r>
          </w:p>
        </w:tc>
        <w:tc>
          <w:tcPr>
            <w:tcW w:w="1289" w:type="dxa"/>
            <w:shd w:val="clear" w:color="auto" w:fill="auto"/>
            <w:vAlign w:val="center"/>
          </w:tcPr>
          <w:p w14:paraId="45F02FAE">
            <w:pPr>
              <w:jc w:val="center"/>
              <w:rPr>
                <w:rFonts w:ascii="Times New Roman" w:hAnsi="Times New Roman"/>
              </w:rPr>
            </w:pPr>
            <w:r>
              <w:rPr>
                <w:rFonts w:hint="eastAsia" w:ascii="Times New Roman" w:hAnsi="Times New Roman"/>
              </w:rPr>
              <w:t>桌面操作系统</w:t>
            </w:r>
          </w:p>
        </w:tc>
        <w:tc>
          <w:tcPr>
            <w:tcW w:w="5523" w:type="dxa"/>
            <w:shd w:val="clear" w:color="auto" w:fill="auto"/>
            <w:vAlign w:val="center"/>
          </w:tcPr>
          <w:p w14:paraId="6B74AFEC">
            <w:pPr>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基础标准：操作系统应当符合安全可靠测评要求，操作系统产品拥有软件著作权证书。</w:t>
            </w:r>
          </w:p>
          <w:p w14:paraId="15EB5943">
            <w:pPr>
              <w:jc w:val="left"/>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val="en-US" w:eastAsia="zh-CN"/>
              </w:rPr>
              <w:t>..</w:t>
            </w:r>
            <w:r>
              <w:rPr>
                <w:rFonts w:hint="eastAsia" w:ascii="宋体" w:hAnsi="宋体" w:eastAsia="宋体" w:cs="宋体"/>
                <w:sz w:val="21"/>
                <w:szCs w:val="21"/>
              </w:rPr>
              <w:t>可维护性：</w:t>
            </w:r>
          </w:p>
          <w:p w14:paraId="3D13ED02">
            <w:pPr>
              <w:jc w:val="left"/>
              <w:rPr>
                <w:rFonts w:hint="eastAsia" w:ascii="宋体" w:hAnsi="宋体" w:eastAsia="宋体" w:cs="宋体"/>
                <w:sz w:val="21"/>
                <w:szCs w:val="21"/>
              </w:rPr>
            </w:pPr>
            <w:r>
              <w:rPr>
                <w:rFonts w:hint="eastAsia" w:ascii="宋体" w:hAnsi="宋体" w:eastAsia="宋体" w:cs="宋体"/>
                <w:sz w:val="21"/>
                <w:szCs w:val="21"/>
              </w:rPr>
              <w:t>1）操作系统针对NVME磁盘，提供软raid管理和监控工具：对nvme磁盘具有便捷创建和清理软RAID功能。支持通过智能监控，实时监控软RAID组故障、慢盘故障、硬件故障等，并提供告警功能。具有自动完成移除盘、点亮硬盘指示等和将硬盘加加入软raid组等功能，极大地提升软RAID的运维效率和用户体验。</w:t>
            </w:r>
          </w:p>
          <w:p w14:paraId="455EF820">
            <w:pPr>
              <w:jc w:val="left"/>
              <w:rPr>
                <w:rFonts w:hint="eastAsia" w:ascii="宋体" w:hAnsi="宋体" w:eastAsia="宋体" w:cs="宋体"/>
                <w:sz w:val="21"/>
                <w:szCs w:val="21"/>
              </w:rPr>
            </w:pPr>
            <w:r>
              <w:rPr>
                <w:rFonts w:hint="eastAsia" w:ascii="宋体" w:hAnsi="宋体" w:eastAsia="宋体" w:cs="宋体"/>
                <w:sz w:val="21"/>
                <w:szCs w:val="21"/>
              </w:rPr>
              <w:t>2）操作系统提供I/O诊断工具，具有系统调用追踪（记录系统内核中各种系统调用的信息,包括调用者、参数、返回值等）、I/O性能分析（收集iops、延迟、吞吐量等 I/O 相关的统计数据）等功能，便于快速定位I/O问题；提供网络诊断工具，具有内核网络协议栈延时统计、故障诊断、异常检测等功能；提供网络延时探测工具，具有探测网络链路中各节点的时延信息功能，便于快速确定问题边界。</w:t>
            </w:r>
          </w:p>
          <w:p w14:paraId="26F0DDAE">
            <w:pPr>
              <w:jc w:val="left"/>
              <w:rPr>
                <w:rFonts w:hint="eastAsia" w:ascii="宋体" w:hAnsi="宋体" w:eastAsia="宋体" w:cs="宋体"/>
                <w:sz w:val="21"/>
                <w:szCs w:val="21"/>
              </w:rPr>
            </w:pPr>
            <w:r>
              <w:rPr>
                <w:rFonts w:hint="eastAsia" w:ascii="宋体" w:hAnsi="宋体" w:eastAsia="宋体" w:cs="宋体"/>
                <w:sz w:val="21"/>
                <w:szCs w:val="21"/>
              </w:rPr>
              <w:t>3)操作系统提供自研场景调优工具，通过执行一条命令，收集服务器的全量性能数据，包含CPU、内存、网络、I/O、系统配置详细数据，并形成可视化数据报告，用于分析系统性能指标，自动定位系统瓶颈及提供可视化的调优指导，引导客户实施优化，提升场景应用性能；支持智能调优，通过AI迭代运算得出最佳配置参数组合，提升客户场景应用性能；支持冷热火焰图。</w:t>
            </w:r>
          </w:p>
          <w:p w14:paraId="3EE582F2">
            <w:pPr>
              <w:jc w:val="left"/>
              <w:rPr>
                <w:rFonts w:hint="eastAsia" w:ascii="宋体" w:hAnsi="宋体" w:eastAsia="宋体" w:cs="宋体"/>
                <w:sz w:val="21"/>
                <w:szCs w:val="21"/>
              </w:rPr>
            </w:pPr>
            <w:r>
              <w:rPr>
                <w:rFonts w:hint="eastAsia" w:ascii="宋体" w:hAnsi="宋体" w:eastAsia="宋体" w:cs="宋体"/>
                <w:sz w:val="21"/>
                <w:szCs w:val="21"/>
              </w:rPr>
              <w:t>4)操作系统提供自研应用性能监控工具，支持监控应用性能指标、系统资源（CPU、内存）、进程（进程状态、进程数和僵尸进程）、网络（网卡带宽、网卡使用率）、磁盘（磁盘分区使用、inode使用和磁盘时延）。支持应用和系统监控联动功能，当监控到应用性能指标异常时，同步实时获取系统监控信息，综合两部分内容，形成最终监控结果，帮助用户判断及分析应用性能问题。</w:t>
            </w:r>
          </w:p>
          <w:p w14:paraId="4E38A667">
            <w:pPr>
              <w:jc w:val="left"/>
              <w:rPr>
                <w:rFonts w:hint="eastAsia" w:ascii="宋体" w:hAnsi="宋体" w:eastAsia="宋体" w:cs="宋体"/>
                <w:sz w:val="21"/>
                <w:szCs w:val="21"/>
              </w:rPr>
            </w:pPr>
            <w:r>
              <w:rPr>
                <w:rFonts w:hint="eastAsia" w:ascii="宋体" w:hAnsi="宋体" w:eastAsia="宋体" w:cs="宋体"/>
                <w:sz w:val="21"/>
                <w:szCs w:val="21"/>
              </w:rPr>
              <w:t>5)操作系统提供自研智能运维工具，具有系统体检（CVE漏洞扫描、BUG缺陷检查、服务状态检查、调试模式检查、合理配置检查、常规配置检查）、日志收集（全量日志收集、选择日志收集、系统监控日志收集）和系统监控（进程监控、文件监控、内存监控、网络监控）等功能，简化系统运维复杂度。</w:t>
            </w:r>
          </w:p>
          <w:p w14:paraId="7CB37AB8">
            <w:pPr>
              <w:jc w:val="left"/>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val="en-US" w:eastAsia="zh-CN"/>
              </w:rPr>
              <w:t>.</w:t>
            </w:r>
            <w:r>
              <w:rPr>
                <w:rFonts w:hint="eastAsia" w:ascii="宋体" w:hAnsi="宋体" w:eastAsia="宋体" w:cs="宋体"/>
                <w:sz w:val="21"/>
                <w:szCs w:val="21"/>
              </w:rPr>
              <w:t>安全特性：</w:t>
            </w:r>
          </w:p>
          <w:p w14:paraId="55DDE2B7">
            <w:pPr>
              <w:jc w:val="left"/>
              <w:rPr>
                <w:rFonts w:hint="eastAsia" w:ascii="宋体" w:hAnsi="宋体" w:eastAsia="宋体" w:cs="宋体"/>
                <w:sz w:val="21"/>
                <w:szCs w:val="21"/>
              </w:rPr>
            </w:pPr>
            <w:r>
              <w:rPr>
                <w:rFonts w:hint="eastAsia" w:ascii="宋体" w:hAnsi="宋体" w:eastAsia="宋体" w:cs="宋体"/>
                <w:sz w:val="21"/>
                <w:szCs w:val="21"/>
              </w:rPr>
              <w:t>1）操作系统提供双体系架构的同品牌自研可信执行环境与通用计算环境，支持可信度量、可信启动、白名单策略、可信根、资源隔离和交互机制、数据安全访问等功能的完整可信信任链。支持图形化界面的监测、设置和度量报告。</w:t>
            </w:r>
          </w:p>
          <w:p w14:paraId="79E11177">
            <w:pPr>
              <w:jc w:val="left"/>
              <w:rPr>
                <w:rFonts w:hint="eastAsia" w:ascii="宋体" w:hAnsi="宋体" w:eastAsia="宋体" w:cs="宋体"/>
                <w:sz w:val="21"/>
                <w:szCs w:val="21"/>
              </w:rPr>
            </w:pPr>
            <w:r>
              <w:rPr>
                <w:rFonts w:hint="eastAsia" w:ascii="宋体" w:hAnsi="宋体" w:eastAsia="宋体" w:cs="宋体"/>
                <w:sz w:val="21"/>
                <w:szCs w:val="21"/>
              </w:rPr>
              <w:t>2)操作系统支持基于硬件可信根:TCM1.0、TCM2.0、TPM2.0 的静态度量 PCR 扩展功能。（全架构(X86、ARM、龙芯)支持基于硬件可信根TPM2.0的静态度量 PCR 扩展功能:S5000c支持基于硬件可信根 TCM1.0及TCM2.0 的静态度量 PCR 扩展功能）。</w:t>
            </w:r>
          </w:p>
          <w:p w14:paraId="20B872A9">
            <w:pPr>
              <w:jc w:val="left"/>
              <w:rPr>
                <w:rFonts w:hint="eastAsia" w:ascii="宋体" w:hAnsi="宋体" w:eastAsia="宋体" w:cs="宋体"/>
                <w:sz w:val="21"/>
                <w:szCs w:val="21"/>
              </w:rPr>
            </w:pPr>
            <w:r>
              <w:rPr>
                <w:rFonts w:hint="eastAsia" w:ascii="宋体" w:hAnsi="宋体" w:eastAsia="宋体" w:cs="宋体"/>
                <w:sz w:val="21"/>
                <w:szCs w:val="21"/>
              </w:rPr>
              <w:t>3)操作系统支持动态完整性度量特性通过在程序运行时对内存中的关键数据（如代码段）进行度量，并将度量结果和基准值进行对比，确定内存数据是否被篡改，从而检测攻击行为，并采取应对措施。</w:t>
            </w:r>
          </w:p>
          <w:p w14:paraId="4E600418">
            <w:pPr>
              <w:jc w:val="left"/>
              <w:rPr>
                <w:rFonts w:hint="eastAsia" w:ascii="宋体" w:hAnsi="宋体" w:eastAsia="宋体" w:cs="宋体"/>
                <w:sz w:val="21"/>
                <w:szCs w:val="21"/>
              </w:rPr>
            </w:pPr>
            <w:r>
              <w:rPr>
                <w:rFonts w:hint="eastAsia" w:ascii="宋体" w:hAnsi="宋体" w:eastAsia="宋体" w:cs="宋体"/>
                <w:sz w:val="21"/>
                <w:szCs w:val="21"/>
              </w:rPr>
              <w:t>- 支持度量用户态进程、内核模块、内核内存代码段数据，系统调用表、中断向量表。</w:t>
            </w:r>
          </w:p>
          <w:p w14:paraId="32BD0349">
            <w:pPr>
              <w:jc w:val="left"/>
              <w:rPr>
                <w:rFonts w:hint="eastAsia" w:ascii="宋体" w:hAnsi="宋体" w:eastAsia="宋体" w:cs="宋体"/>
                <w:sz w:val="21"/>
                <w:szCs w:val="21"/>
              </w:rPr>
            </w:pPr>
            <w:r>
              <w:rPr>
                <w:rFonts w:hint="eastAsia" w:ascii="宋体" w:hAnsi="宋体" w:eastAsia="宋体" w:cs="宋体"/>
                <w:sz w:val="21"/>
                <w:szCs w:val="21"/>
              </w:rPr>
              <w:t>- 支持将度量结果扩展至 TPM 2.0 /TCM1.0/TCM2.0芯片 PCR 寄存器。</w:t>
            </w:r>
          </w:p>
          <w:p w14:paraId="3F98B6FF">
            <w:pPr>
              <w:jc w:val="left"/>
              <w:rPr>
                <w:rFonts w:hint="eastAsia" w:ascii="宋体" w:hAnsi="宋体" w:eastAsia="宋体" w:cs="宋体"/>
                <w:sz w:val="21"/>
                <w:szCs w:val="21"/>
              </w:rPr>
            </w:pPr>
            <w:r>
              <w:rPr>
                <w:rFonts w:hint="eastAsia" w:ascii="宋体" w:hAnsi="宋体" w:eastAsia="宋体" w:cs="宋体"/>
                <w:sz w:val="21"/>
                <w:szCs w:val="21"/>
              </w:rPr>
              <w:t>- 支持配置度量策略。</w:t>
            </w:r>
          </w:p>
          <w:p w14:paraId="538899B8">
            <w:pPr>
              <w:jc w:val="left"/>
              <w:rPr>
                <w:rFonts w:hint="eastAsia" w:ascii="宋体" w:hAnsi="宋体" w:eastAsia="宋体" w:cs="宋体"/>
                <w:sz w:val="21"/>
                <w:szCs w:val="21"/>
              </w:rPr>
            </w:pPr>
            <w:r>
              <w:rPr>
                <w:rFonts w:hint="eastAsia" w:ascii="宋体" w:hAnsi="宋体" w:eastAsia="宋体" w:cs="宋体"/>
                <w:sz w:val="21"/>
                <w:szCs w:val="21"/>
              </w:rPr>
              <w:t>- 支持国密 SM3 度量算法</w:t>
            </w:r>
          </w:p>
          <w:p w14:paraId="060C1B2A">
            <w:pPr>
              <w:jc w:val="left"/>
              <w:rPr>
                <w:rFonts w:hint="eastAsia" w:ascii="宋体" w:hAnsi="宋体" w:eastAsia="宋体" w:cs="宋体"/>
                <w:sz w:val="21"/>
                <w:szCs w:val="21"/>
              </w:rPr>
            </w:pPr>
            <w:r>
              <w:rPr>
                <w:rFonts w:hint="eastAsia" w:ascii="宋体" w:hAnsi="宋体" w:eastAsia="宋体" w:cs="宋体"/>
                <w:sz w:val="21"/>
                <w:szCs w:val="21"/>
              </w:rPr>
              <w:t>4)操作系统提供安全加固包括安全服务、内核参数、安全网络、系统命令、系统审计、系统设置、潜在危险等16类检查项，提供等保三级、安全默认模板；提供自定义模板，用户可针对139个加固项快速细粒度的自定义并加固，用户也可以根据大类（16个大类）进行粗粒度的自定义和加固。提供简单易用的图形和命令行交互式工具，方便用户进行操作。并能进行加固还原。</w:t>
            </w:r>
          </w:p>
          <w:p w14:paraId="791D595E">
            <w:pPr>
              <w:jc w:val="left"/>
              <w:rPr>
                <w:rFonts w:hint="eastAsia" w:ascii="宋体" w:hAnsi="宋体" w:eastAsia="宋体" w:cs="宋体"/>
                <w:sz w:val="21"/>
                <w:szCs w:val="21"/>
              </w:rPr>
            </w:pPr>
            <w:r>
              <w:rPr>
                <w:rFonts w:hint="eastAsia" w:ascii="宋体" w:hAnsi="宋体" w:eastAsia="宋体" w:cs="宋体"/>
                <w:sz w:val="21"/>
                <w:szCs w:val="21"/>
              </w:rPr>
              <w:t>5）操作系统内置自研私有数据隔离保护技术，具备私有数据隔离保护功能，可实现包括管理员在内的任何其他用户，都不能进行非授权访问，提供一箱一密的管理能力。支持同时新建多个保护箱。提供与操作系统同品牌自研的私有数据隔离保护软件。</w:t>
            </w:r>
          </w:p>
          <w:p w14:paraId="18A964CE">
            <w:pPr>
              <w:jc w:val="left"/>
              <w:rPr>
                <w:rFonts w:hint="eastAsia" w:ascii="宋体" w:hAnsi="宋体" w:eastAsia="宋体" w:cs="宋体"/>
                <w:sz w:val="21"/>
                <w:szCs w:val="21"/>
              </w:rPr>
            </w:pPr>
            <w:r>
              <w:rPr>
                <w:rFonts w:hint="eastAsia" w:ascii="宋体" w:hAnsi="宋体" w:eastAsia="宋体" w:cs="宋体"/>
                <w:sz w:val="21"/>
                <w:szCs w:val="21"/>
              </w:rPr>
              <w:t>6）操作系统提供应用程序的控制功能，可对全系统中的二进制执行程序、动态库进行执行控制，可以对bash、dash、python、perl等脚本的执行进行管控。</w:t>
            </w:r>
          </w:p>
          <w:p w14:paraId="37208D82">
            <w:pPr>
              <w:jc w:val="left"/>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val="en-US" w:eastAsia="zh-CN"/>
              </w:rPr>
              <w:t>.</w:t>
            </w:r>
            <w:r>
              <w:rPr>
                <w:rFonts w:hint="eastAsia" w:ascii="宋体" w:hAnsi="宋体" w:eastAsia="宋体" w:cs="宋体"/>
                <w:sz w:val="21"/>
                <w:szCs w:val="21"/>
              </w:rPr>
              <w:t>服务要求：操作系统产品服务由操作系统厂商的正式员工提供，不由代理商提供，操作系统厂商在本地应有不少于12人的技术服务团队。</w:t>
            </w:r>
          </w:p>
          <w:p w14:paraId="50FC9E67">
            <w:pPr>
              <w:jc w:val="left"/>
              <w:rPr>
                <w:rFonts w:hint="eastAsia" w:ascii="宋体" w:hAnsi="宋体" w:eastAsia="宋体" w:cs="宋体"/>
                <w:sz w:val="21"/>
                <w:szCs w:val="21"/>
                <w:lang w:val="en-US" w:eastAsia="zh-CN"/>
              </w:rPr>
            </w:pPr>
            <w:r>
              <w:rPr>
                <w:rFonts w:hint="eastAsia" w:ascii="宋体" w:hAnsi="宋体" w:eastAsia="宋体" w:cs="宋体"/>
                <w:sz w:val="21"/>
                <w:szCs w:val="21"/>
              </w:rPr>
              <w:t>★</w:t>
            </w:r>
            <w:r>
              <w:rPr>
                <w:rFonts w:hint="eastAsia" w:ascii="宋体" w:hAnsi="宋体" w:eastAsia="宋体" w:cs="宋体"/>
                <w:sz w:val="21"/>
                <w:szCs w:val="21"/>
                <w:lang w:val="en-US" w:eastAsia="zh-CN"/>
              </w:rPr>
              <w:t>5.提供不低于三年补丁更新及跨版本升级服务。</w:t>
            </w:r>
          </w:p>
          <w:p w14:paraId="42BF9A55">
            <w:pPr>
              <w:jc w:val="left"/>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6..原厂可查产品授权书，授权使用范围为本招标单位。</w:t>
            </w:r>
          </w:p>
        </w:tc>
        <w:tc>
          <w:tcPr>
            <w:tcW w:w="710" w:type="dxa"/>
            <w:shd w:val="clear" w:color="auto" w:fill="auto"/>
            <w:vAlign w:val="center"/>
          </w:tcPr>
          <w:p w14:paraId="0F54D9C0">
            <w:pPr>
              <w:jc w:val="center"/>
              <w:rPr>
                <w:rFonts w:ascii="Times New Roman" w:hAnsi="Times New Roman"/>
              </w:rPr>
            </w:pPr>
            <w:r>
              <w:rPr>
                <w:rFonts w:ascii="Times New Roman" w:hAnsi="Times New Roman"/>
              </w:rPr>
              <w:t>套</w:t>
            </w:r>
          </w:p>
        </w:tc>
        <w:tc>
          <w:tcPr>
            <w:tcW w:w="805" w:type="dxa"/>
            <w:shd w:val="clear" w:color="auto" w:fill="auto"/>
            <w:vAlign w:val="center"/>
          </w:tcPr>
          <w:p w14:paraId="0F88DF72">
            <w:pPr>
              <w:jc w:val="center"/>
              <w:rPr>
                <w:rFonts w:hint="default" w:ascii="Times New Roman" w:hAnsi="Times New Roman" w:eastAsia="宋体"/>
                <w:lang w:val="en-US" w:eastAsia="zh-CN"/>
              </w:rPr>
            </w:pPr>
            <w:r>
              <w:rPr>
                <w:rFonts w:hint="eastAsia" w:ascii="Times New Roman" w:hAnsi="Times New Roman"/>
                <w:lang w:val="en-US" w:eastAsia="zh-CN"/>
              </w:rPr>
              <w:t>131</w:t>
            </w:r>
          </w:p>
        </w:tc>
      </w:tr>
      <w:tr w14:paraId="306A9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shd w:val="clear" w:color="auto" w:fill="auto"/>
            <w:vAlign w:val="center"/>
          </w:tcPr>
          <w:p w14:paraId="07767E87">
            <w:pPr>
              <w:jc w:val="center"/>
              <w:rPr>
                <w:rFonts w:hint="eastAsia" w:ascii="Times New Roman" w:hAnsi="Times New Roman" w:eastAsia="宋体"/>
                <w:lang w:eastAsia="zh-CN"/>
              </w:rPr>
            </w:pPr>
            <w:r>
              <w:rPr>
                <w:rFonts w:hint="eastAsia" w:ascii="Times New Roman" w:hAnsi="Times New Roman"/>
                <w:lang w:val="en-US" w:eastAsia="zh-CN"/>
              </w:rPr>
              <w:t>4</w:t>
            </w:r>
          </w:p>
        </w:tc>
        <w:tc>
          <w:tcPr>
            <w:tcW w:w="1289" w:type="dxa"/>
            <w:shd w:val="clear" w:color="auto" w:fill="auto"/>
            <w:vAlign w:val="center"/>
          </w:tcPr>
          <w:p w14:paraId="1B727A2C">
            <w:pPr>
              <w:jc w:val="center"/>
              <w:rPr>
                <w:rFonts w:hint="eastAsia" w:ascii="Times New Roman" w:hAnsi="Times New Roman" w:eastAsia="宋体"/>
                <w:lang w:val="en-US" w:eastAsia="zh-CN"/>
              </w:rPr>
            </w:pPr>
            <w:r>
              <w:rPr>
                <w:rFonts w:hint="eastAsia" w:ascii="Times New Roman" w:hAnsi="Times New Roman"/>
                <w:lang w:val="en-US" w:eastAsia="zh-CN"/>
              </w:rPr>
              <w:t>流式软件</w:t>
            </w:r>
          </w:p>
        </w:tc>
        <w:tc>
          <w:tcPr>
            <w:tcW w:w="5523" w:type="dxa"/>
            <w:shd w:val="clear" w:color="auto" w:fill="auto"/>
            <w:vAlign w:val="center"/>
          </w:tcPr>
          <w:p w14:paraId="6FAD2B6B">
            <w:pPr>
              <w:pStyle w:val="5"/>
              <w:spacing w:before="0" w:beforeAutospacing="0" w:after="0" w:afterAutospacing="0" w:line="240" w:lineRule="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1.</w:t>
            </w:r>
            <w:r>
              <w:rPr>
                <w:rFonts w:hint="eastAsia" w:ascii="宋体" w:hAnsi="宋体" w:eastAsia="宋体" w:cs="宋体"/>
                <w:sz w:val="21"/>
                <w:szCs w:val="21"/>
              </w:rPr>
              <w:t>支持Loonarch、ARM技术路线CPU。</w:t>
            </w:r>
          </w:p>
          <w:p w14:paraId="0A206318">
            <w:pPr>
              <w:spacing w:line="240" w:lineRule="auto"/>
              <w:jc w:val="left"/>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i w:val="0"/>
                <w:iCs w:val="0"/>
                <w:color w:val="000000"/>
                <w:kern w:val="0"/>
                <w:sz w:val="21"/>
                <w:szCs w:val="21"/>
                <w:u w:val="none"/>
                <w:lang w:val="en-US" w:eastAsia="zh-CN" w:bidi="ar"/>
              </w:rPr>
              <w:t>2.适配</w:t>
            </w:r>
            <w:r>
              <w:rPr>
                <w:rFonts w:hint="eastAsia" w:ascii="宋体" w:hAnsi="宋体" w:eastAsia="宋体" w:cs="宋体"/>
                <w:sz w:val="21"/>
                <w:szCs w:val="21"/>
              </w:rPr>
              <w:t>中国信息安全测评中心安全可靠测评</w:t>
            </w:r>
            <w:r>
              <w:rPr>
                <w:rFonts w:hint="eastAsia" w:ascii="宋体" w:hAnsi="宋体" w:eastAsia="宋体" w:cs="宋体"/>
                <w:sz w:val="21"/>
                <w:szCs w:val="21"/>
                <w:lang w:val="en-US" w:eastAsia="zh-CN"/>
              </w:rPr>
              <w:t>的</w:t>
            </w:r>
            <w:r>
              <w:rPr>
                <w:rFonts w:hint="eastAsia" w:ascii="宋体" w:hAnsi="宋体" w:eastAsia="宋体" w:cs="宋体"/>
                <w:i w:val="0"/>
                <w:iCs w:val="0"/>
                <w:color w:val="000000"/>
                <w:kern w:val="0"/>
                <w:sz w:val="21"/>
                <w:szCs w:val="21"/>
                <w:u w:val="none"/>
                <w:lang w:val="en-US" w:eastAsia="zh-CN" w:bidi="ar"/>
              </w:rPr>
              <w:t>麒麟、统信、鸿蒙等操作系统</w:t>
            </w:r>
            <w:r>
              <w:rPr>
                <w:rFonts w:hint="eastAsia" w:ascii="宋体" w:hAnsi="宋体" w:eastAsia="宋体" w:cs="宋体"/>
                <w:sz w:val="21"/>
                <w:szCs w:val="21"/>
              </w:rPr>
              <w:t>。</w:t>
            </w:r>
          </w:p>
          <w:p w14:paraId="232F0385">
            <w:pPr>
              <w:spacing w:line="240" w:lineRule="auto"/>
              <w:jc w:val="left"/>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3.支持“段落重排”、“删除空行”、“智能格式整理”等操作，快捷地对文字格式重新整理。</w:t>
            </w:r>
          </w:p>
          <w:p w14:paraId="39A44A03">
            <w:pPr>
              <w:spacing w:line="240" w:lineRule="auto"/>
              <w:jc w:val="left"/>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4.支持强大的图片处理工具，可对图片进行裁剪、大小调整、颜色、亮度、对比度，可设置透明色，进行压缩、阴影、旋转等图像处理。</w:t>
            </w:r>
          </w:p>
          <w:p w14:paraId="7652BB2A">
            <w:pPr>
              <w:spacing w:line="240" w:lineRule="auto"/>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rPr>
              <w:t>自动识别正文的段落结构，生成对应目录，节省手动设置标题格式时间</w:t>
            </w:r>
          </w:p>
          <w:p w14:paraId="458B105F">
            <w:pPr>
              <w:pStyle w:val="5"/>
              <w:spacing w:before="0" w:beforeAutospacing="0" w:after="0" w:afterAutospacing="0" w:line="240" w:lineRule="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6.</w:t>
            </w:r>
            <w:r>
              <w:rPr>
                <w:rFonts w:hint="eastAsia" w:ascii="宋体" w:hAnsi="宋体" w:eastAsia="宋体" w:cs="宋体"/>
                <w:sz w:val="21"/>
                <w:szCs w:val="21"/>
              </w:rPr>
              <w:t>文字，表格，演示三个组件均支持在输出OFD时可设置输出范围。输出范围"支持根据需要仅输出对应的页、工作表或者幻灯片，提高导出效率。</w:t>
            </w:r>
          </w:p>
          <w:p w14:paraId="5D8F1148">
            <w:pPr>
              <w:spacing w:line="240" w:lineRule="auto"/>
              <w:jc w:val="left"/>
              <w:rPr>
                <w:rFonts w:hint="eastAsia" w:ascii="宋体" w:hAnsi="宋体" w:eastAsia="宋体" w:cs="宋体"/>
                <w:sz w:val="21"/>
                <w:szCs w:val="21"/>
              </w:rPr>
            </w:pPr>
            <w:r>
              <w:rPr>
                <w:rFonts w:hint="eastAsia" w:ascii="宋体" w:hAnsi="宋体" w:eastAsia="宋体" w:cs="宋体"/>
                <w:b/>
                <w:bCs/>
                <w:sz w:val="21"/>
                <w:szCs w:val="21"/>
              </w:rPr>
              <w:t>提供功能界面截图证明。</w:t>
            </w:r>
          </w:p>
          <w:p w14:paraId="6F5E37B1">
            <w:pPr>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支持强大的图片处理工具，可对图片进行裁剪、大小调整、颜色、亮度、对比度，可设置透明色，进行压缩、阴影、旋转等图像处理。</w:t>
            </w:r>
          </w:p>
          <w:p w14:paraId="6A625D31">
            <w:pPr>
              <w:pStyle w:val="5"/>
              <w:spacing w:before="0" w:beforeAutospacing="0" w:after="0" w:afterAutospacing="0" w:line="240" w:lineRule="auto"/>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★支持章节导航、书签导航。章节导航支持显示章节内容、更改章节标题、增加节、删除节、合并节。书签导航支持显示书签，按照书签的名称和位置排序。</w:t>
            </w:r>
          </w:p>
          <w:p w14:paraId="2904EB7C">
            <w:pPr>
              <w:spacing w:line="240" w:lineRule="auto"/>
              <w:jc w:val="left"/>
              <w:rPr>
                <w:rFonts w:hint="eastAsia" w:ascii="宋体" w:hAnsi="宋体" w:eastAsia="宋体" w:cs="宋体"/>
                <w:sz w:val="21"/>
                <w:szCs w:val="21"/>
              </w:rPr>
            </w:pPr>
            <w:r>
              <w:rPr>
                <w:rFonts w:hint="eastAsia" w:ascii="宋体" w:hAnsi="宋体" w:eastAsia="宋体" w:cs="宋体"/>
                <w:b/>
                <w:bCs/>
                <w:sz w:val="21"/>
                <w:szCs w:val="21"/>
              </w:rPr>
              <w:t>提供功能界面截图证明。</w:t>
            </w:r>
          </w:p>
          <w:p w14:paraId="21BC7F9D">
            <w:pPr>
              <w:pStyle w:val="5"/>
              <w:spacing w:before="0" w:beforeAutospacing="0" w:after="0" w:afterAutospacing="0" w:line="240" w:lineRule="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9.</w:t>
            </w:r>
            <w:r>
              <w:rPr>
                <w:rFonts w:hint="eastAsia" w:ascii="宋体" w:hAnsi="宋体" w:eastAsia="宋体" w:cs="宋体"/>
                <w:sz w:val="21"/>
                <w:szCs w:val="21"/>
              </w:rPr>
              <w:t>支持选中编号编辑，更方便的更改编号格式和位置。支持段落柄功能，快速设置、查看当前段落、选区的段落属性。</w:t>
            </w:r>
          </w:p>
          <w:p w14:paraId="56719AD5">
            <w:pPr>
              <w:spacing w:line="240" w:lineRule="auto"/>
              <w:jc w:val="left"/>
              <w:rPr>
                <w:rFonts w:hint="eastAsia" w:ascii="宋体" w:hAnsi="宋体" w:eastAsia="宋体" w:cs="宋体"/>
                <w:sz w:val="21"/>
                <w:szCs w:val="21"/>
              </w:rPr>
            </w:pPr>
            <w:r>
              <w:rPr>
                <w:rFonts w:hint="eastAsia" w:ascii="宋体" w:hAnsi="宋体" w:eastAsia="宋体" w:cs="宋体"/>
                <w:b/>
                <w:bCs/>
                <w:sz w:val="21"/>
                <w:szCs w:val="21"/>
              </w:rPr>
              <w:t>提供功能界面截图证明。</w:t>
            </w:r>
          </w:p>
          <w:p w14:paraId="2C01F1AE">
            <w:pPr>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支持“拆分表格”，用户拆分数据量大的表格时使用复制-粘贴拆分表格效率极低，还容易出现错误，使用“拆分表格”功能可拆分工作表或工作簿，使复杂的工作变的简单，操作灵活，显著提升工作效率。</w:t>
            </w:r>
          </w:p>
          <w:p w14:paraId="77B930C7">
            <w:pPr>
              <w:pStyle w:val="5"/>
              <w:spacing w:before="0" w:beforeAutospacing="0" w:after="0" w:afterAutospacing="0" w:line="240" w:lineRule="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11.</w:t>
            </w:r>
            <w:r>
              <w:rPr>
                <w:rFonts w:hint="eastAsia" w:ascii="宋体" w:hAnsi="宋体" w:eastAsia="宋体" w:cs="宋体"/>
                <w:sz w:val="21"/>
                <w:szCs w:val="21"/>
              </w:rPr>
              <w:t>支持“文件瘦身”。该功能可以通过对文件中的对象、重复样式、空白单元格内容进行瘦身，减小文件体积，提升文件打开效率。</w:t>
            </w:r>
          </w:p>
          <w:p w14:paraId="1C339834">
            <w:pPr>
              <w:spacing w:line="240" w:lineRule="auto"/>
              <w:jc w:val="left"/>
              <w:rPr>
                <w:rFonts w:hint="eastAsia" w:ascii="宋体" w:hAnsi="宋体" w:eastAsia="宋体" w:cs="宋体"/>
                <w:sz w:val="21"/>
                <w:szCs w:val="21"/>
              </w:rPr>
            </w:pPr>
            <w:r>
              <w:rPr>
                <w:rFonts w:hint="eastAsia" w:ascii="宋体" w:hAnsi="宋体" w:eastAsia="宋体" w:cs="宋体"/>
                <w:b/>
                <w:bCs/>
                <w:sz w:val="21"/>
                <w:szCs w:val="21"/>
              </w:rPr>
              <w:t>提供功能界面截图证明。</w:t>
            </w:r>
          </w:p>
          <w:p w14:paraId="28A850EE">
            <w:pPr>
              <w:pStyle w:val="5"/>
              <w:spacing w:before="0" w:beforeAutospacing="0" w:after="0" w:afterAutospacing="0" w:line="240" w:lineRule="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12.</w:t>
            </w:r>
            <w:r>
              <w:rPr>
                <w:rFonts w:hint="eastAsia" w:ascii="宋体" w:hAnsi="宋体" w:eastAsia="宋体" w:cs="宋体"/>
                <w:sz w:val="21"/>
                <w:szCs w:val="21"/>
              </w:rPr>
              <w:t>支持放映幻灯片时，按设置时间进行倒计时。  便于培训、授课时更好的设置和提醒课件休息时间。</w:t>
            </w:r>
          </w:p>
          <w:p w14:paraId="741A5093">
            <w:pPr>
              <w:spacing w:line="240" w:lineRule="auto"/>
              <w:jc w:val="left"/>
              <w:rPr>
                <w:rFonts w:hint="eastAsia" w:ascii="宋体" w:hAnsi="宋体" w:eastAsia="宋体" w:cs="宋体"/>
                <w:sz w:val="21"/>
                <w:szCs w:val="21"/>
              </w:rPr>
            </w:pPr>
            <w:r>
              <w:rPr>
                <w:rFonts w:hint="eastAsia" w:ascii="宋体" w:hAnsi="宋体" w:eastAsia="宋体" w:cs="宋体"/>
                <w:b/>
                <w:bCs/>
                <w:sz w:val="21"/>
                <w:szCs w:val="21"/>
              </w:rPr>
              <w:t>提供功能界面截图证明。</w:t>
            </w:r>
          </w:p>
          <w:p w14:paraId="74B7A297">
            <w:pPr>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13.</w:t>
            </w:r>
            <w:r>
              <w:rPr>
                <w:rFonts w:hint="eastAsia" w:ascii="宋体" w:hAnsi="宋体" w:eastAsia="宋体" w:cs="宋体"/>
                <w:sz w:val="21"/>
                <w:szCs w:val="21"/>
              </w:rPr>
              <w:t>文字、表格、演示均支持文本识别功能，可以截取系统内的图片或PDF中的文字，进行提取识别，方便用户将已经识别的字符直接添加入文档内，不需要再手动输入。</w:t>
            </w:r>
          </w:p>
          <w:p w14:paraId="17FD0703">
            <w:pPr>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14.</w:t>
            </w:r>
            <w:r>
              <w:rPr>
                <w:rFonts w:hint="eastAsia" w:ascii="宋体" w:hAnsi="宋体" w:eastAsia="宋体" w:cs="宋体"/>
                <w:sz w:val="21"/>
                <w:szCs w:val="21"/>
              </w:rPr>
              <w:t>普通视图支持使用画笔工具绘制墨迹，方便用户随手绘制墨迹内容，更加灵活。</w:t>
            </w:r>
          </w:p>
          <w:p w14:paraId="6A6814CA">
            <w:pPr>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15.</w:t>
            </w:r>
            <w:r>
              <w:rPr>
                <w:rFonts w:hint="eastAsia" w:ascii="宋体" w:hAnsi="宋体" w:eastAsia="宋体" w:cs="宋体"/>
                <w:sz w:val="21"/>
                <w:szCs w:val="21"/>
              </w:rPr>
              <w:t>支持二次开发功能，支持JS API即浏览器去控件调用API、C++语言的二次开发接口调用。支持应用程序嵌入浏览器、com加载项满足OA版本需求。为第三方业务开发提供开发平台，支持C/S、B/S架构。</w:t>
            </w:r>
          </w:p>
          <w:p w14:paraId="71520F86">
            <w:pPr>
              <w:spacing w:line="240" w:lineRule="auto"/>
              <w:jc w:val="left"/>
              <w:rPr>
                <w:rFonts w:hint="eastAsia" w:ascii="宋体" w:hAnsi="宋体" w:eastAsia="宋体" w:cs="宋体"/>
                <w:sz w:val="21"/>
                <w:szCs w:val="21"/>
              </w:rPr>
            </w:pPr>
            <w:r>
              <w:rPr>
                <w:rFonts w:hint="eastAsia" w:ascii="宋体" w:hAnsi="宋体" w:eastAsia="宋体" w:cs="宋体"/>
                <w:sz w:val="21"/>
                <w:szCs w:val="21"/>
                <w:lang w:val="en-US" w:eastAsia="zh-CN"/>
              </w:rPr>
              <w:t>16.</w:t>
            </w:r>
            <w:r>
              <w:rPr>
                <w:rFonts w:hint="eastAsia" w:ascii="宋体" w:hAnsi="宋体" w:eastAsia="宋体" w:cs="宋体"/>
                <w:sz w:val="21"/>
                <w:szCs w:val="21"/>
              </w:rPr>
              <w:t>支持OLE对象插入，支持doc、docx、xls、xlsx、ppt、pptx格式对象插入式，支持对象插入后打开。</w:t>
            </w:r>
          </w:p>
        </w:tc>
        <w:tc>
          <w:tcPr>
            <w:tcW w:w="710" w:type="dxa"/>
            <w:shd w:val="clear" w:color="auto" w:fill="auto"/>
            <w:vAlign w:val="center"/>
          </w:tcPr>
          <w:p w14:paraId="2E92BC5A">
            <w:pPr>
              <w:jc w:val="center"/>
              <w:rPr>
                <w:rFonts w:ascii="Times New Roman" w:hAnsi="Times New Roman"/>
              </w:rPr>
            </w:pPr>
            <w:r>
              <w:rPr>
                <w:rFonts w:ascii="Times New Roman" w:hAnsi="Times New Roman"/>
              </w:rPr>
              <w:t>套</w:t>
            </w:r>
          </w:p>
        </w:tc>
        <w:tc>
          <w:tcPr>
            <w:tcW w:w="805" w:type="dxa"/>
            <w:shd w:val="clear" w:color="auto" w:fill="auto"/>
            <w:vAlign w:val="center"/>
          </w:tcPr>
          <w:p w14:paraId="3D11981B">
            <w:pPr>
              <w:jc w:val="center"/>
              <w:rPr>
                <w:rFonts w:hint="default" w:ascii="Times New Roman" w:hAnsi="Times New Roman" w:eastAsia="宋体"/>
                <w:lang w:val="en-US" w:eastAsia="zh-CN"/>
              </w:rPr>
            </w:pPr>
            <w:r>
              <w:rPr>
                <w:rFonts w:hint="eastAsia" w:ascii="Times New Roman" w:hAnsi="Times New Roman"/>
                <w:lang w:val="en-US" w:eastAsia="zh-CN"/>
              </w:rPr>
              <w:t>131</w:t>
            </w:r>
          </w:p>
        </w:tc>
      </w:tr>
      <w:tr w14:paraId="3F612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shd w:val="clear" w:color="auto" w:fill="auto"/>
            <w:vAlign w:val="center"/>
          </w:tcPr>
          <w:p w14:paraId="6B0CF884">
            <w:pPr>
              <w:jc w:val="center"/>
              <w:rPr>
                <w:rFonts w:hint="eastAsia" w:ascii="Times New Roman" w:hAnsi="Times New Roman" w:eastAsia="宋体"/>
                <w:lang w:eastAsia="zh-CN"/>
              </w:rPr>
            </w:pPr>
            <w:r>
              <w:rPr>
                <w:rFonts w:hint="eastAsia" w:ascii="Times New Roman" w:hAnsi="Times New Roman"/>
                <w:lang w:val="en-US" w:eastAsia="zh-CN"/>
              </w:rPr>
              <w:t>5</w:t>
            </w:r>
          </w:p>
        </w:tc>
        <w:tc>
          <w:tcPr>
            <w:tcW w:w="1289" w:type="dxa"/>
            <w:shd w:val="clear" w:color="auto" w:fill="auto"/>
            <w:vAlign w:val="center"/>
          </w:tcPr>
          <w:p w14:paraId="0638954F">
            <w:pPr>
              <w:jc w:val="center"/>
              <w:rPr>
                <w:rFonts w:hint="eastAsia" w:ascii="Times New Roman" w:hAnsi="Times New Roman" w:eastAsia="宋体"/>
                <w:lang w:val="en-US" w:eastAsia="zh-CN"/>
              </w:rPr>
            </w:pPr>
            <w:r>
              <w:rPr>
                <w:rFonts w:hint="eastAsia" w:ascii="Times New Roman" w:hAnsi="Times New Roman"/>
                <w:lang w:val="en-US" w:eastAsia="zh-CN"/>
              </w:rPr>
              <w:t>杀毒软件</w:t>
            </w:r>
          </w:p>
        </w:tc>
        <w:tc>
          <w:tcPr>
            <w:tcW w:w="5523" w:type="dxa"/>
            <w:shd w:val="clear" w:color="auto" w:fill="auto"/>
            <w:vAlign w:val="center"/>
          </w:tcPr>
          <w:p w14:paraId="4BD3FA72">
            <w:pPr>
              <w:jc w:val="left"/>
              <w:rPr>
                <w:rFonts w:hint="eastAsia" w:ascii="宋体" w:hAnsi="宋体" w:eastAsia="宋体" w:cs="宋体"/>
              </w:rPr>
            </w:pPr>
            <w:r>
              <w:rPr>
                <w:rFonts w:hint="eastAsia" w:ascii="宋体" w:hAnsi="宋体" w:cs="宋体"/>
                <w:lang w:val="en-US" w:eastAsia="zh-CN"/>
              </w:rPr>
              <w:t>1.支持中标麒麟服务器（兆芯、鲲鹏920）V7.0、银河麒麟服务器（兆芯）V4.0，麒麟V10/统信UOS等国产化环境部署</w:t>
            </w:r>
          </w:p>
          <w:p w14:paraId="436AD1C0">
            <w:pPr>
              <w:jc w:val="left"/>
              <w:rPr>
                <w:rFonts w:hint="eastAsia" w:ascii="宋体" w:hAnsi="宋体" w:eastAsia="宋体" w:cs="宋体"/>
              </w:rPr>
            </w:pPr>
            <w:r>
              <w:rPr>
                <w:rFonts w:hint="eastAsia" w:ascii="宋体" w:hAnsi="宋体" w:eastAsia="宋体" w:cs="宋体"/>
              </w:rPr>
              <w:t>★</w:t>
            </w:r>
            <w:r>
              <w:rPr>
                <w:rFonts w:hint="eastAsia" w:ascii="宋体" w:hAnsi="宋体" w:cs="宋体"/>
                <w:lang w:val="en-US" w:eastAsia="zh-CN"/>
              </w:rPr>
              <w:t>2.</w:t>
            </w:r>
            <w:r>
              <w:rPr>
                <w:rFonts w:hint="eastAsia" w:ascii="宋体" w:hAnsi="宋体" w:eastAsia="宋体" w:cs="宋体"/>
              </w:rPr>
              <w:t>客户端支持中标麒麟V7.0、银河麒麟V4.0、麒麟V10以及统信UOS V20、中科方德等主流国产化操作系统</w:t>
            </w:r>
          </w:p>
          <w:p w14:paraId="56D03F10">
            <w:pPr>
              <w:numPr>
                <w:ilvl w:val="0"/>
                <w:numId w:val="4"/>
              </w:numPr>
              <w:jc w:val="left"/>
              <w:rPr>
                <w:rFonts w:hint="eastAsia" w:ascii="宋体" w:hAnsi="宋体" w:eastAsia="宋体" w:cs="宋体"/>
              </w:rPr>
            </w:pPr>
            <w:r>
              <w:rPr>
                <w:rFonts w:hint="eastAsia" w:ascii="宋体" w:hAnsi="宋体" w:eastAsia="宋体" w:cs="宋体"/>
              </w:rPr>
              <w:t>支持展示发现并处理病毒数/执行病毒扫描/安全警报，支持绘制病毒疫情曲线图</w:t>
            </w:r>
          </w:p>
          <w:p w14:paraId="0CB55A29">
            <w:pPr>
              <w:pStyle w:val="2"/>
              <w:numPr>
                <w:numId w:val="0"/>
              </w:numPr>
              <w:rPr>
                <w:rFonts w:hint="default" w:eastAsia="宋体"/>
                <w:lang w:val="en-US" w:eastAsia="zh-CN"/>
              </w:rPr>
            </w:pPr>
            <w:r>
              <w:rPr>
                <w:rFonts w:hint="eastAsia"/>
                <w:lang w:val="en-US" w:eastAsia="zh-CN"/>
              </w:rPr>
              <w:t>4.支持展示当前服务器 CPU/内存/磁盘/网络流量/数据库/运行时间等数据信息</w:t>
            </w:r>
          </w:p>
          <w:p w14:paraId="6C746085">
            <w:pPr>
              <w:jc w:val="left"/>
              <w:rPr>
                <w:rFonts w:hint="eastAsia" w:ascii="宋体" w:hAnsi="宋体" w:eastAsia="宋体" w:cs="宋体"/>
              </w:rPr>
            </w:pPr>
            <w:r>
              <w:rPr>
                <w:rFonts w:hint="eastAsia" w:ascii="宋体" w:hAnsi="宋体" w:cs="宋体"/>
                <w:lang w:val="en-US" w:eastAsia="zh-CN"/>
              </w:rPr>
              <w:t>5.</w:t>
            </w:r>
            <w:r>
              <w:rPr>
                <w:rFonts w:hint="eastAsia" w:ascii="宋体" w:hAnsi="宋体" w:eastAsia="宋体" w:cs="宋体"/>
              </w:rPr>
              <w:t>支持终端名称/IP/染毒时间统计，支持病毒名称/病毒类型/发现时间统计</w:t>
            </w:r>
          </w:p>
          <w:p w14:paraId="477FC3CF">
            <w:pPr>
              <w:jc w:val="left"/>
              <w:rPr>
                <w:rFonts w:hint="eastAsia" w:ascii="宋体" w:hAnsi="宋体" w:eastAsia="宋体" w:cs="宋体"/>
              </w:rPr>
            </w:pPr>
            <w:r>
              <w:rPr>
                <w:rFonts w:hint="eastAsia" w:ascii="宋体" w:hAnsi="宋体" w:eastAsia="宋体" w:cs="宋体"/>
              </w:rPr>
              <w:t>★</w:t>
            </w:r>
            <w:r>
              <w:rPr>
                <w:rFonts w:hint="eastAsia" w:ascii="宋体" w:hAnsi="宋体" w:cs="宋体"/>
                <w:lang w:val="en-US" w:eastAsia="zh-CN"/>
              </w:rPr>
              <w:t>6.</w:t>
            </w:r>
            <w:r>
              <w:rPr>
                <w:rFonts w:hint="eastAsia" w:ascii="宋体" w:hAnsi="宋体" w:eastAsia="宋体" w:cs="宋体"/>
              </w:rPr>
              <w:t>首页数据展示面板显示内容用户可自定义选择、布局可通过拖拽方式修改</w:t>
            </w:r>
          </w:p>
          <w:p w14:paraId="10EBFD33">
            <w:pPr>
              <w:jc w:val="left"/>
              <w:rPr>
                <w:rFonts w:hint="eastAsia" w:ascii="宋体" w:hAnsi="宋体" w:eastAsia="宋体" w:cs="宋体"/>
              </w:rPr>
            </w:pPr>
            <w:r>
              <w:rPr>
                <w:rFonts w:hint="eastAsia" w:ascii="宋体" w:hAnsi="宋体" w:cs="宋体"/>
                <w:lang w:val="en-US" w:eastAsia="zh-CN"/>
              </w:rPr>
              <w:t>7.</w:t>
            </w:r>
            <w:r>
              <w:rPr>
                <w:rFonts w:hint="eastAsia" w:ascii="宋体" w:hAnsi="宋体" w:eastAsia="宋体" w:cs="宋体"/>
              </w:rPr>
              <w:t>可以启动自动告警，当CPU利用率、内存使用率和病毒数超出阈值，会自动给管理员发送告警信息</w:t>
            </w:r>
          </w:p>
          <w:p w14:paraId="28F8767E">
            <w:pPr>
              <w:jc w:val="left"/>
              <w:rPr>
                <w:rFonts w:hint="eastAsia" w:ascii="宋体" w:hAnsi="宋体" w:eastAsia="宋体" w:cs="宋体"/>
              </w:rPr>
            </w:pPr>
            <w:r>
              <w:rPr>
                <w:rFonts w:hint="eastAsia" w:ascii="宋体" w:hAnsi="宋体" w:cs="宋体"/>
                <w:lang w:val="en-US" w:eastAsia="zh-CN"/>
              </w:rPr>
              <w:t>8</w:t>
            </w:r>
            <w:r>
              <w:rPr>
                <w:rFonts w:hint="eastAsia" w:ascii="宋体" w:hAnsi="宋体" w:eastAsia="宋体" w:cs="宋体"/>
              </w:rPr>
              <w:t>.可查看全网或特定分组内终端的安全情况，包括计算机名、IP地址、病毒数、病毒库更新时间</w:t>
            </w:r>
            <w:r>
              <w:rPr>
                <w:rFonts w:hint="eastAsia" w:ascii="宋体" w:hAnsi="宋体" w:cs="宋体"/>
                <w:lang w:eastAsia="zh-CN"/>
              </w:rPr>
              <w:t>；</w:t>
            </w:r>
            <w:r>
              <w:rPr>
                <w:rFonts w:hint="eastAsia" w:ascii="宋体" w:hAnsi="宋体" w:eastAsia="宋体" w:cs="宋体"/>
              </w:rPr>
              <w:t>支持通过操作系统、计算机名称、IP、MAC 等多个条件的进行终端筛选</w:t>
            </w:r>
            <w:r>
              <w:rPr>
                <w:rFonts w:hint="eastAsia" w:ascii="宋体" w:hAnsi="宋体" w:cs="宋体"/>
                <w:lang w:eastAsia="zh-CN"/>
              </w:rPr>
              <w:t>；</w:t>
            </w:r>
            <w:r>
              <w:rPr>
                <w:rFonts w:hint="eastAsia" w:ascii="宋体" w:hAnsi="宋体" w:eastAsia="宋体" w:cs="宋体"/>
              </w:rPr>
              <w:t>支持对终端进行分组转移和手动删除终端操作</w:t>
            </w:r>
          </w:p>
          <w:p w14:paraId="7E81CCE1">
            <w:pPr>
              <w:jc w:val="left"/>
              <w:rPr>
                <w:rFonts w:hint="default" w:ascii="宋体" w:hAnsi="宋体" w:eastAsia="宋体" w:cs="宋体"/>
                <w:lang w:val="en-US" w:eastAsia="zh-CN"/>
              </w:rPr>
            </w:pPr>
            <w:r>
              <w:rPr>
                <w:rFonts w:hint="eastAsia" w:ascii="宋体" w:hAnsi="宋体" w:cs="宋体"/>
                <w:lang w:val="en-US" w:eastAsia="zh-CN"/>
              </w:rPr>
              <w:t>9.展示全网或分组终端的计算机名、IP地址、主程序版本、病毒库日期;可以对指定或全部终端进行病毒库、主程序版本升级操作；支持查看终端版本分布比例</w:t>
            </w:r>
          </w:p>
          <w:p w14:paraId="07BCFDF3">
            <w:pPr>
              <w:jc w:val="left"/>
              <w:rPr>
                <w:rFonts w:hint="default" w:ascii="宋体" w:hAnsi="宋体" w:eastAsia="宋体" w:cs="宋体"/>
                <w:lang w:val="en-US" w:eastAsia="zh-CN"/>
              </w:rPr>
            </w:pPr>
            <w:r>
              <w:rPr>
                <w:rFonts w:hint="eastAsia" w:ascii="宋体" w:hAnsi="宋体" w:cs="宋体"/>
                <w:lang w:val="en-US" w:eastAsia="zh-CN"/>
              </w:rPr>
              <w:t>10.支持对所选终端发布公告消息且支持设置有效期，可查看终端的基本信息（计算机名、操作系统、分组信息等）；可查看和修改单台终端的策略；支持查看终端上的病毒查杀日志，包括病毒名、感染文件路径和查杀结果</w:t>
            </w:r>
          </w:p>
          <w:p w14:paraId="7371E07C">
            <w:pPr>
              <w:jc w:val="left"/>
              <w:rPr>
                <w:rFonts w:hint="eastAsia" w:ascii="宋体" w:hAnsi="宋体" w:eastAsia="宋体" w:cs="宋体"/>
              </w:rPr>
            </w:pPr>
            <w:r>
              <w:rPr>
                <w:rFonts w:hint="eastAsia" w:ascii="宋体" w:hAnsi="宋体" w:cs="宋体"/>
                <w:lang w:val="en-US" w:eastAsia="zh-CN"/>
              </w:rPr>
              <w:t>11.</w:t>
            </w:r>
            <w:r>
              <w:rPr>
                <w:rFonts w:hint="eastAsia" w:ascii="宋体" w:hAnsi="宋体" w:eastAsia="宋体" w:cs="宋体"/>
              </w:rPr>
              <w:t>支持对计算机快速扫描、全盘扫描和强力扫描，并自动处理扫描结果；强力扫描模式下支持忽略本地扫描文件类型限制</w:t>
            </w:r>
          </w:p>
          <w:p w14:paraId="69DFF035">
            <w:pPr>
              <w:jc w:val="left"/>
              <w:rPr>
                <w:rFonts w:hint="eastAsia" w:ascii="宋体" w:hAnsi="宋体" w:eastAsia="宋体" w:cs="宋体"/>
              </w:rPr>
            </w:pPr>
            <w:r>
              <w:rPr>
                <w:rFonts w:hint="eastAsia" w:ascii="宋体" w:hAnsi="宋体" w:eastAsia="宋体" w:cs="宋体"/>
              </w:rPr>
              <w:t>★</w:t>
            </w:r>
            <w:r>
              <w:rPr>
                <w:rFonts w:hint="eastAsia" w:ascii="宋体" w:hAnsi="宋体" w:cs="宋体"/>
                <w:lang w:val="en-US" w:eastAsia="zh-CN"/>
              </w:rPr>
              <w:t>12.</w:t>
            </w:r>
            <w:r>
              <w:rPr>
                <w:rFonts w:hint="eastAsia" w:ascii="宋体" w:hAnsi="宋体" w:eastAsia="宋体" w:cs="宋体"/>
              </w:rPr>
              <w:t>支持产品在断网状态下具备不依赖病毒库特征的情况下对未知病毒查杀的能力（提供2个以上国家知识产权局颁发的专利受理证明）</w:t>
            </w:r>
          </w:p>
          <w:p w14:paraId="4A0D8FFA">
            <w:pPr>
              <w:jc w:val="left"/>
              <w:rPr>
                <w:rFonts w:hint="eastAsia" w:ascii="宋体" w:hAnsi="宋体" w:eastAsia="宋体" w:cs="宋体"/>
              </w:rPr>
            </w:pPr>
            <w:r>
              <w:rPr>
                <w:rFonts w:hint="eastAsia" w:ascii="宋体" w:hAnsi="宋体" w:eastAsia="宋体" w:cs="宋体"/>
              </w:rPr>
              <w:t>★</w:t>
            </w:r>
            <w:r>
              <w:rPr>
                <w:rFonts w:hint="eastAsia" w:ascii="宋体" w:hAnsi="宋体" w:cs="宋体"/>
                <w:lang w:val="en-US" w:eastAsia="zh-CN"/>
              </w:rPr>
              <w:t>13.</w:t>
            </w:r>
            <w:r>
              <w:rPr>
                <w:rFonts w:hint="eastAsia" w:ascii="宋体" w:hAnsi="宋体" w:eastAsia="宋体" w:cs="宋体"/>
              </w:rPr>
              <w:t>具备国产化自主研发机器学习的恶意程序检测引擎（提供专利受理证书）</w:t>
            </w:r>
          </w:p>
          <w:p w14:paraId="2C5A42AF">
            <w:pPr>
              <w:jc w:val="left"/>
              <w:rPr>
                <w:rFonts w:hint="eastAsia" w:ascii="宋体" w:hAnsi="宋体" w:eastAsia="宋体" w:cs="宋体"/>
              </w:rPr>
            </w:pPr>
            <w:r>
              <w:rPr>
                <w:rFonts w:hint="eastAsia" w:ascii="宋体" w:hAnsi="宋体" w:eastAsia="宋体" w:cs="宋体"/>
              </w:rPr>
              <w:t>★</w:t>
            </w:r>
            <w:r>
              <w:rPr>
                <w:rFonts w:hint="eastAsia" w:ascii="宋体" w:hAnsi="宋体" w:cs="宋体"/>
                <w:lang w:val="en-US" w:eastAsia="zh-CN"/>
              </w:rPr>
              <w:t>14.</w:t>
            </w:r>
            <w:r>
              <w:rPr>
                <w:rFonts w:hint="eastAsia" w:ascii="宋体" w:hAnsi="宋体" w:eastAsia="宋体" w:cs="宋体"/>
              </w:rPr>
              <w:t>支持连接公有云进行样本的鉴定，并且公有云特征库不少于310亿（提供承诺函或者官网截图）</w:t>
            </w:r>
          </w:p>
          <w:p w14:paraId="0C9BD286">
            <w:pPr>
              <w:jc w:val="left"/>
              <w:rPr>
                <w:rFonts w:hint="eastAsia" w:ascii="宋体" w:hAnsi="宋体" w:eastAsia="宋体" w:cs="宋体"/>
              </w:rPr>
            </w:pPr>
            <w:r>
              <w:rPr>
                <w:rFonts w:hint="eastAsia" w:ascii="宋体" w:hAnsi="宋体" w:cs="宋体"/>
                <w:lang w:val="en-US" w:eastAsia="zh-CN"/>
              </w:rPr>
              <w:t>15.</w:t>
            </w:r>
            <w:r>
              <w:rPr>
                <w:rFonts w:hint="eastAsia" w:ascii="宋体" w:hAnsi="宋体" w:eastAsia="宋体" w:cs="宋体"/>
              </w:rPr>
              <w:t>通过选择时间范围，或者明确病毒类型，或者通过病毒名，快速批量恢复企业内部被误杀的文件。</w:t>
            </w:r>
          </w:p>
          <w:p w14:paraId="13F1164B">
            <w:pPr>
              <w:pStyle w:val="2"/>
              <w:rPr>
                <w:rFonts w:hint="eastAsia" w:ascii="宋体" w:hAnsi="宋体" w:eastAsia="宋体" w:cs="宋体"/>
              </w:rPr>
            </w:pPr>
            <w:r>
              <w:rPr>
                <w:rFonts w:hint="eastAsia" w:ascii="宋体" w:hAnsi="宋体" w:eastAsia="宋体" w:cs="宋体"/>
              </w:rPr>
              <w:t>★</w:t>
            </w:r>
            <w:r>
              <w:rPr>
                <w:rFonts w:hint="eastAsia" w:hAnsi="宋体" w:cs="宋体"/>
                <w:lang w:val="en-US" w:eastAsia="zh-CN"/>
              </w:rPr>
              <w:t>16.</w:t>
            </w:r>
            <w:r>
              <w:rPr>
                <w:rFonts w:hint="eastAsia" w:ascii="宋体" w:hAnsi="宋体" w:eastAsia="宋体" w:cs="宋体"/>
              </w:rPr>
              <w:t>支持设置隔离区存储上限，支持定义存储空间达到90%时，自动清理制定年限的文件或者保证隔离区留出20%的存储空间（提供产品截图）</w:t>
            </w:r>
          </w:p>
          <w:p w14:paraId="27514450">
            <w:pPr>
              <w:pStyle w:val="2"/>
              <w:rPr>
                <w:rFonts w:hint="eastAsia" w:ascii="宋体" w:hAnsi="宋体" w:eastAsia="宋体" w:cs="宋体"/>
              </w:rPr>
            </w:pPr>
            <w:r>
              <w:rPr>
                <w:rFonts w:hint="eastAsia" w:hAnsi="宋体" w:cs="宋体"/>
                <w:lang w:val="en-US" w:eastAsia="zh-CN"/>
              </w:rPr>
              <w:t>17.</w:t>
            </w:r>
            <w:r>
              <w:rPr>
                <w:rFonts w:hint="eastAsia" w:ascii="宋体" w:hAnsi="宋体" w:eastAsia="宋体" w:cs="宋体"/>
              </w:rPr>
              <w:t>支持设置定时查杀任务，定时查杀任务支持全盘扫描和快速扫描，支持以周或月来设置定时查杀频率，支持同一终端或分组设置多条定时查杀策略</w:t>
            </w:r>
          </w:p>
          <w:p w14:paraId="3659F941">
            <w:pPr>
              <w:pStyle w:val="2"/>
              <w:rPr>
                <w:rFonts w:hint="eastAsia" w:ascii="宋体" w:hAnsi="宋体" w:eastAsia="宋体" w:cs="宋体"/>
              </w:rPr>
            </w:pPr>
            <w:r>
              <w:rPr>
                <w:rFonts w:hint="eastAsia" w:hAnsi="宋体" w:cs="宋体"/>
                <w:lang w:val="en-US" w:eastAsia="zh-CN"/>
              </w:rPr>
              <w:t>18.</w:t>
            </w:r>
            <w:r>
              <w:rPr>
                <w:rFonts w:hint="eastAsia" w:ascii="宋体" w:hAnsi="宋体" w:eastAsia="宋体" w:cs="宋体"/>
              </w:rPr>
              <w:t>支持文件系统实时防护，监控文件类型包含所有文件或者程序及文档</w:t>
            </w:r>
          </w:p>
          <w:p w14:paraId="7F05C170">
            <w:pPr>
              <w:pStyle w:val="2"/>
              <w:rPr>
                <w:rFonts w:hint="eastAsia" w:ascii="宋体" w:hAnsi="宋体" w:eastAsia="宋体" w:cs="宋体"/>
              </w:rPr>
            </w:pPr>
            <w:r>
              <w:rPr>
                <w:rFonts w:hint="eastAsia" w:hAnsi="宋体" w:cs="宋体"/>
                <w:lang w:val="en-US" w:eastAsia="zh-CN"/>
              </w:rPr>
              <w:t>19.</w:t>
            </w:r>
            <w:r>
              <w:rPr>
                <w:rFonts w:hint="eastAsia" w:ascii="宋体" w:hAnsi="宋体" w:eastAsia="宋体" w:cs="宋体"/>
              </w:rPr>
              <w:t>支持发现病毒时可自动处理，让用户选择如何处理，仅上报不处理</w:t>
            </w:r>
          </w:p>
          <w:p w14:paraId="403212ED">
            <w:pPr>
              <w:pStyle w:val="2"/>
              <w:rPr>
                <w:rFonts w:hint="eastAsia" w:ascii="宋体" w:hAnsi="宋体" w:eastAsia="宋体" w:cs="宋体"/>
              </w:rPr>
            </w:pPr>
            <w:r>
              <w:rPr>
                <w:rFonts w:hint="eastAsia" w:ascii="宋体" w:hAnsi="宋体" w:eastAsia="宋体" w:cs="宋体"/>
              </w:rPr>
              <w:t>★</w:t>
            </w:r>
            <w:r>
              <w:rPr>
                <w:rFonts w:hint="eastAsia" w:hAnsi="宋体" w:cs="宋体"/>
                <w:lang w:val="en-US" w:eastAsia="zh-CN"/>
              </w:rPr>
              <w:t>20.</w:t>
            </w:r>
            <w:r>
              <w:rPr>
                <w:rFonts w:hint="eastAsia" w:ascii="宋体" w:hAnsi="宋体" w:eastAsia="宋体" w:cs="宋体"/>
              </w:rPr>
              <w:t>支持能够监控间谍文件、拦截局域网病毒，勒索病毒防护，宏病毒免疫（提供产品截图）</w:t>
            </w:r>
          </w:p>
          <w:p w14:paraId="7EE1C306">
            <w:pPr>
              <w:pStyle w:val="2"/>
              <w:rPr>
                <w:rFonts w:hint="eastAsia" w:ascii="宋体" w:hAnsi="宋体" w:eastAsia="宋体" w:cs="宋体"/>
              </w:rPr>
            </w:pPr>
            <w:r>
              <w:rPr>
                <w:rFonts w:hint="eastAsia" w:hAnsi="宋体" w:cs="宋体"/>
                <w:lang w:val="en-US" w:eastAsia="zh-CN"/>
              </w:rPr>
              <w:t>21.</w:t>
            </w:r>
            <w:r>
              <w:rPr>
                <w:rFonts w:hint="eastAsia" w:ascii="宋体" w:hAnsi="宋体" w:eastAsia="宋体" w:cs="宋体"/>
              </w:rPr>
              <w:t>支持配置监控压缩包的大小，层数，允许添加压缩包格式类型</w:t>
            </w:r>
          </w:p>
          <w:p w14:paraId="15144BDF">
            <w:pPr>
              <w:pStyle w:val="2"/>
              <w:rPr>
                <w:rFonts w:hint="eastAsia" w:ascii="宋体" w:hAnsi="宋体" w:eastAsia="宋体" w:cs="宋体"/>
              </w:rPr>
            </w:pPr>
            <w:r>
              <w:rPr>
                <w:rFonts w:hint="eastAsia" w:hAnsi="宋体" w:cs="宋体"/>
                <w:lang w:val="en-US" w:eastAsia="zh-CN"/>
              </w:rPr>
              <w:t>22.</w:t>
            </w:r>
            <w:r>
              <w:rPr>
                <w:rFonts w:hint="eastAsia" w:ascii="宋体" w:hAnsi="宋体" w:eastAsia="宋体" w:cs="宋体"/>
              </w:rPr>
              <w:t>统计全网终端或指定分组的病毒情况，支持根据不同的时间和分组为查询条件进行日志统计分析，可以根据病毒名对日志进行搜索</w:t>
            </w:r>
          </w:p>
          <w:p w14:paraId="297A4839">
            <w:pPr>
              <w:pStyle w:val="2"/>
              <w:rPr>
                <w:rFonts w:hint="eastAsia" w:ascii="宋体" w:hAnsi="宋体" w:eastAsia="宋体" w:cs="宋体"/>
              </w:rPr>
            </w:pPr>
            <w:r>
              <w:rPr>
                <w:rFonts w:hint="eastAsia" w:hAnsi="宋体" w:cs="宋体"/>
                <w:lang w:val="en-US" w:eastAsia="zh-CN"/>
              </w:rPr>
              <w:t>23.</w:t>
            </w:r>
            <w:r>
              <w:rPr>
                <w:rFonts w:hint="eastAsia" w:ascii="宋体" w:hAnsi="宋体" w:eastAsia="宋体" w:cs="宋体"/>
              </w:rPr>
              <w:t>展示管理员各种类别的详细操作日志，包括登录登出、授权管理、策略管理、任务管理、级联管理，方便企业追踪溯源，支持设置日志保留时间。</w:t>
            </w:r>
          </w:p>
          <w:p w14:paraId="5D97DC34">
            <w:pPr>
              <w:pStyle w:val="2"/>
              <w:rPr>
                <w:rFonts w:hint="eastAsia" w:ascii="宋体" w:hAnsi="宋体" w:eastAsia="宋体" w:cs="宋体"/>
              </w:rPr>
            </w:pPr>
            <w:r>
              <w:rPr>
                <w:rFonts w:hint="eastAsia" w:hAnsi="宋体" w:cs="宋体"/>
                <w:lang w:val="en-US" w:eastAsia="zh-CN"/>
              </w:rPr>
              <w:t>24.</w:t>
            </w:r>
            <w:r>
              <w:rPr>
                <w:rFonts w:hint="eastAsia" w:ascii="宋体" w:hAnsi="宋体" w:eastAsia="宋体" w:cs="宋体"/>
              </w:rPr>
              <w:t>展示各种终端事件日志，包括病毒扫描、隔离区和白名单等事件日志，支持全网终端升级或指定分组信息的日志查询功能，显示终端升级日志详情</w:t>
            </w:r>
          </w:p>
          <w:p w14:paraId="6C52438F">
            <w:pPr>
              <w:pStyle w:val="2"/>
              <w:rPr>
                <w:rFonts w:hint="eastAsia" w:ascii="宋体" w:hAnsi="宋体" w:eastAsia="宋体" w:cs="宋体"/>
              </w:rPr>
            </w:pPr>
            <w:r>
              <w:rPr>
                <w:rFonts w:hint="eastAsia" w:hAnsi="宋体" w:cs="宋体"/>
                <w:lang w:val="en-US" w:eastAsia="zh-CN"/>
              </w:rPr>
              <w:t>25.</w:t>
            </w:r>
            <w:r>
              <w:rPr>
                <w:rFonts w:hint="eastAsia" w:ascii="宋体" w:hAnsi="宋体" w:eastAsia="宋体" w:cs="宋体"/>
              </w:rPr>
              <w:t>可定时生成病毒疫情报告、系统状态报，通过邮件发送给管理员</w:t>
            </w:r>
          </w:p>
          <w:p w14:paraId="580BBA92">
            <w:pPr>
              <w:jc w:val="left"/>
              <w:rPr>
                <w:rFonts w:hint="eastAsia" w:ascii="宋体" w:hAnsi="宋体" w:cs="宋体"/>
                <w:lang w:val="en-US" w:eastAsia="zh-CN"/>
              </w:rPr>
            </w:pPr>
            <w:r>
              <w:rPr>
                <w:rFonts w:hint="eastAsia" w:ascii="宋体" w:hAnsi="宋体" w:cs="宋体"/>
                <w:lang w:val="en-US" w:eastAsia="zh-CN"/>
              </w:rPr>
              <w:t>26.支持创建普通管理员、审计管理员和账号管理员色，并与所能管理的分组范围进行关联</w:t>
            </w:r>
          </w:p>
          <w:p w14:paraId="4C71C5CD">
            <w:pPr>
              <w:pStyle w:val="2"/>
              <w:rPr>
                <w:rFonts w:hint="default" w:ascii="宋体" w:hAnsi="宋体" w:cs="宋体"/>
                <w:lang w:val="en-US" w:eastAsia="zh-CN"/>
              </w:rPr>
            </w:pPr>
            <w:r>
              <w:rPr>
                <w:rFonts w:hint="eastAsia" w:hAnsi="宋体" w:cs="宋体"/>
                <w:lang w:val="en-US" w:eastAsia="zh-CN"/>
              </w:rPr>
              <w:t>27.可对管理员账号进行密码重置、信息修改、禁用与解锁、删除等操作，可以设置访问管控中心服务器的允许IP和禁止IP，增强安全性。可以设置接入终端的白名单和黑名单IP段</w:t>
            </w:r>
          </w:p>
          <w:p w14:paraId="3DCFD6F8">
            <w:pPr>
              <w:pStyle w:val="2"/>
              <w:rPr>
                <w:rFonts w:hint="default" w:ascii="宋体" w:hAnsi="宋体" w:cs="宋体"/>
                <w:lang w:val="en-US" w:eastAsia="zh-CN"/>
              </w:rPr>
            </w:pPr>
            <w:r>
              <w:rPr>
                <w:rFonts w:hint="eastAsia" w:hAnsi="宋体" w:cs="宋体"/>
                <w:lang w:val="en-US" w:eastAsia="zh-CN"/>
              </w:rPr>
              <w:t>28.错峰扫描：支持设置可以同时扫描的终端数；错峰升级：支持设置允许同时升级的终端数；升级带宽：支持限制每个终端最大的升级带宽</w:t>
            </w:r>
          </w:p>
          <w:p w14:paraId="6FBB9923">
            <w:pPr>
              <w:pStyle w:val="2"/>
              <w:rPr>
                <w:rFonts w:hint="eastAsia" w:ascii="宋体" w:hAnsi="宋体" w:cs="宋体"/>
                <w:lang w:val="en-US" w:eastAsia="zh-CN"/>
              </w:rPr>
            </w:pPr>
            <w:r>
              <w:rPr>
                <w:rFonts w:hint="eastAsia" w:hAnsi="宋体" w:cs="宋体"/>
                <w:lang w:val="en-US" w:eastAsia="zh-CN"/>
              </w:rPr>
              <w:t>29.</w:t>
            </w:r>
            <w:r>
              <w:rPr>
                <w:rFonts w:hint="eastAsia" w:ascii="宋体" w:hAnsi="宋体" w:cs="宋体"/>
                <w:lang w:val="en-US" w:eastAsia="zh-CN"/>
              </w:rPr>
              <w:t>可以手动或自动执行数据备份策略，支持导入备份数据</w:t>
            </w:r>
          </w:p>
          <w:p w14:paraId="4EFCFAC5">
            <w:pPr>
              <w:pStyle w:val="2"/>
              <w:rPr>
                <w:rFonts w:hint="eastAsia" w:ascii="宋体" w:hAnsi="宋体" w:cs="宋体"/>
                <w:lang w:val="en-US" w:eastAsia="zh-CN"/>
              </w:rPr>
            </w:pPr>
            <w:r>
              <w:rPr>
                <w:rFonts w:hint="eastAsia" w:hAnsi="宋体" w:cs="宋体"/>
                <w:lang w:val="en-US" w:eastAsia="zh-CN"/>
              </w:rPr>
              <w:t>30.</w:t>
            </w:r>
            <w:r>
              <w:rPr>
                <w:rFonts w:hint="eastAsia" w:ascii="宋体" w:hAnsi="宋体" w:cs="宋体"/>
                <w:lang w:val="en-US" w:eastAsia="zh-CN"/>
              </w:rPr>
              <w:t>产品获公安部颁发的销售许可证，提供有效期内证书复印件并加盖厂商公章</w:t>
            </w:r>
          </w:p>
          <w:p w14:paraId="7EDC4195">
            <w:pPr>
              <w:pStyle w:val="2"/>
              <w:rPr>
                <w:rFonts w:hint="eastAsia" w:ascii="宋体" w:hAnsi="宋体" w:cs="宋体"/>
                <w:lang w:val="en-US" w:eastAsia="zh-CN"/>
              </w:rPr>
            </w:pPr>
            <w:r>
              <w:rPr>
                <w:rFonts w:hint="eastAsia" w:hAnsi="宋体" w:cs="宋体"/>
                <w:lang w:val="en-US" w:eastAsia="zh-CN"/>
              </w:rPr>
              <w:t>31.</w:t>
            </w:r>
            <w:r>
              <w:rPr>
                <w:rFonts w:hint="eastAsia" w:ascii="宋体" w:hAnsi="宋体" w:cs="宋体"/>
                <w:lang w:val="en-US" w:eastAsia="zh-CN"/>
              </w:rPr>
              <w:t>提供国家版权局颁发的《计算机软件著作权登记证书》复印件并加盖厂商公章</w:t>
            </w:r>
          </w:p>
          <w:p w14:paraId="180F7AD5">
            <w:pPr>
              <w:jc w:val="left"/>
              <w:rPr>
                <w:rFonts w:hint="eastAsia" w:ascii="宋体" w:hAnsi="宋体" w:eastAsia="宋体" w:cs="宋体"/>
                <w:lang w:val="en-US" w:eastAsia="zh-CN"/>
              </w:rPr>
            </w:pPr>
            <w:r>
              <w:rPr>
                <w:rFonts w:hint="eastAsia" w:ascii="宋体" w:hAnsi="宋体" w:eastAsia="宋体" w:cs="宋体"/>
              </w:rPr>
              <w:t>★</w:t>
            </w:r>
            <w:r>
              <w:rPr>
                <w:rFonts w:hint="eastAsia" w:ascii="宋体" w:hAnsi="宋体" w:cs="宋体"/>
                <w:lang w:val="en-US" w:eastAsia="zh-CN"/>
              </w:rPr>
              <w:t>32</w:t>
            </w:r>
            <w:r>
              <w:rPr>
                <w:rFonts w:hint="eastAsia" w:ascii="宋体" w:hAnsi="宋体" w:eastAsia="宋体" w:cs="宋体"/>
                <w:lang w:val="en-US" w:eastAsia="zh-CN"/>
              </w:rPr>
              <w:t>.提供不低于三年病毒库更新及跨版本升级服务。</w:t>
            </w:r>
          </w:p>
          <w:p w14:paraId="0D647517">
            <w:pPr>
              <w:jc w:val="left"/>
              <w:rPr>
                <w:rFonts w:hint="default" w:ascii="Times New Roman" w:hAnsi="Times New Roman"/>
                <w:lang w:val="en-US" w:eastAsia="zh-CN"/>
              </w:rPr>
            </w:pPr>
            <w:r>
              <w:rPr>
                <w:rFonts w:hint="eastAsia" w:ascii="宋体" w:hAnsi="宋体" w:eastAsia="宋体" w:cs="宋体"/>
              </w:rPr>
              <w:t>★</w:t>
            </w:r>
            <w:r>
              <w:rPr>
                <w:rFonts w:hint="eastAsia" w:ascii="宋体" w:hAnsi="宋体" w:cs="宋体"/>
                <w:lang w:val="en-US" w:eastAsia="zh-CN"/>
              </w:rPr>
              <w:t>33</w:t>
            </w:r>
            <w:r>
              <w:rPr>
                <w:rFonts w:hint="eastAsia" w:ascii="宋体" w:hAnsi="宋体" w:eastAsia="宋体" w:cs="宋体"/>
                <w:lang w:val="en-US" w:eastAsia="zh-CN"/>
              </w:rPr>
              <w:t>.原厂可查产品授权书，授权使用范围为本招标单位。</w:t>
            </w:r>
          </w:p>
        </w:tc>
        <w:tc>
          <w:tcPr>
            <w:tcW w:w="710" w:type="dxa"/>
            <w:shd w:val="clear" w:color="auto" w:fill="auto"/>
            <w:vAlign w:val="center"/>
          </w:tcPr>
          <w:p w14:paraId="34A86F80">
            <w:pPr>
              <w:jc w:val="center"/>
              <w:rPr>
                <w:rFonts w:ascii="Times New Roman" w:hAnsi="Times New Roman"/>
              </w:rPr>
            </w:pPr>
            <w:r>
              <w:rPr>
                <w:rFonts w:ascii="Times New Roman" w:hAnsi="Times New Roman"/>
              </w:rPr>
              <w:t>套</w:t>
            </w:r>
          </w:p>
        </w:tc>
        <w:tc>
          <w:tcPr>
            <w:tcW w:w="805" w:type="dxa"/>
            <w:shd w:val="clear" w:color="auto" w:fill="auto"/>
            <w:vAlign w:val="center"/>
          </w:tcPr>
          <w:p w14:paraId="6F0D6E67">
            <w:pPr>
              <w:jc w:val="center"/>
              <w:rPr>
                <w:rFonts w:hint="default" w:ascii="Times New Roman" w:hAnsi="Times New Roman" w:eastAsia="宋体"/>
                <w:lang w:val="en-US" w:eastAsia="zh-CN"/>
              </w:rPr>
            </w:pPr>
            <w:r>
              <w:rPr>
                <w:rFonts w:hint="eastAsia" w:ascii="Times New Roman" w:hAnsi="Times New Roman"/>
                <w:lang w:val="en-US" w:eastAsia="zh-CN"/>
              </w:rPr>
              <w:t>131</w:t>
            </w:r>
            <w:bookmarkStart w:id="0" w:name="_GoBack"/>
            <w:bookmarkEnd w:id="0"/>
          </w:p>
        </w:tc>
      </w:tr>
    </w:tbl>
    <w:p w14:paraId="3E34374C">
      <w:pPr>
        <w:spacing w:line="360" w:lineRule="auto"/>
        <w:ind w:firstLine="480" w:firstLineChars="200"/>
        <w:rPr>
          <w:rFonts w:ascii="Times New Roman" w:hAnsi="Times New Roman"/>
          <w:sz w:val="24"/>
          <w:szCs w:val="24"/>
        </w:rPr>
      </w:pPr>
      <w:r>
        <w:rPr>
          <w:rFonts w:ascii="Times New Roman" w:hAnsi="Times New Roman"/>
          <w:sz w:val="24"/>
          <w:szCs w:val="24"/>
        </w:rPr>
        <w:t>填写说明：</w:t>
      </w:r>
    </w:p>
    <w:p w14:paraId="1539FE29">
      <w:pPr>
        <w:spacing w:line="360" w:lineRule="auto"/>
        <w:ind w:firstLine="480" w:firstLineChars="200"/>
        <w:rPr>
          <w:rFonts w:ascii="Times New Roman" w:hAnsi="Times New Roman"/>
          <w:sz w:val="24"/>
          <w:szCs w:val="24"/>
        </w:rPr>
      </w:pPr>
      <w:r>
        <w:rPr>
          <w:rFonts w:ascii="Times New Roman" w:hAnsi="Times New Roman"/>
          <w:sz w:val="24"/>
          <w:szCs w:val="24"/>
        </w:rPr>
        <w:t>1. 以上技术参数为示例，采购人应根据相关法律法规和项目实际需求提出；对于高于或多于财政部、工信部政府采购需求标准文件中的技术条款，应明确提出，其余条款可要求满足财政部、工信部政府采购需求标准文件即可。</w:t>
      </w:r>
    </w:p>
    <w:p w14:paraId="5D8692FC">
      <w:pPr>
        <w:spacing w:line="360" w:lineRule="auto"/>
        <w:ind w:firstLine="480" w:firstLineChars="200"/>
        <w:rPr>
          <w:rFonts w:ascii="Times New Roman" w:hAnsi="Times New Roman"/>
          <w:sz w:val="24"/>
          <w:szCs w:val="24"/>
        </w:rPr>
      </w:pPr>
      <w:r>
        <w:rPr>
          <w:rFonts w:hint="eastAsia" w:ascii="Times New Roman" w:hAnsi="Times New Roman"/>
          <w:sz w:val="24"/>
          <w:szCs w:val="24"/>
        </w:rPr>
        <w:t>2. 对于</w:t>
      </w:r>
      <w:r>
        <w:rPr>
          <w:rFonts w:ascii="Times New Roman" w:hAnsi="Times New Roman"/>
          <w:sz w:val="24"/>
          <w:szCs w:val="24"/>
        </w:rPr>
        <w:t>其余条款，采购人可以要求满足财政部、工信部政府采购需求标准文件中全部</w:t>
      </w:r>
      <w:r>
        <w:rPr>
          <w:rFonts w:hint="eastAsia" w:ascii="Times New Roman" w:hAnsi="Times New Roman"/>
          <w:sz w:val="24"/>
          <w:szCs w:val="24"/>
        </w:rPr>
        <w:t>标注“*”规定，也可以要求</w:t>
      </w:r>
      <w:r>
        <w:rPr>
          <w:rFonts w:ascii="Times New Roman" w:hAnsi="Times New Roman"/>
          <w:sz w:val="24"/>
          <w:szCs w:val="24"/>
        </w:rPr>
        <w:t>满足财政部、工信部政府采购需求标准文件中全部</w:t>
      </w:r>
      <w:r>
        <w:rPr>
          <w:rFonts w:hint="eastAsia" w:ascii="Times New Roman" w:hAnsi="Times New Roman"/>
          <w:sz w:val="24"/>
          <w:szCs w:val="24"/>
        </w:rPr>
        <w:t>规定；</w:t>
      </w:r>
    </w:p>
    <w:p w14:paraId="10F48132">
      <w:pPr>
        <w:spacing w:line="360" w:lineRule="auto"/>
        <w:ind w:firstLine="480" w:firstLineChars="200"/>
        <w:rPr>
          <w:rFonts w:ascii="Times New Roman" w:hAnsi="Times New Roman"/>
          <w:sz w:val="24"/>
          <w:szCs w:val="24"/>
        </w:rPr>
      </w:pPr>
      <w:r>
        <w:rPr>
          <w:rFonts w:hint="eastAsia" w:ascii="Times New Roman" w:hAnsi="Times New Roman"/>
          <w:sz w:val="24"/>
          <w:szCs w:val="24"/>
        </w:rPr>
        <w:t>3. 关于安全可靠测评，根据财政部、工信部政府采购需求标准文件的要求，乡镇以上党政机关、已经党委和政府直属事业单位及部门所属为机关提供支持保障的事业单位应要求CPU、操作系统、数据库通过安全可靠测评，并设置为标准★的实质性要求；其余采购人可以要求CPU、操作系统、数据库通过安全可靠测评，也可以明确“接受通过安全可靠测评的产品，也接受未通过安全可靠测评的产品”。</w:t>
      </w:r>
    </w:p>
    <w:p w14:paraId="6EE9B544">
      <w:pPr>
        <w:spacing w:line="360" w:lineRule="auto"/>
        <w:ind w:firstLine="480" w:firstLineChars="200"/>
        <w:rPr>
          <w:rFonts w:ascii="Times New Roman" w:hAnsi="Times New Roman"/>
          <w:sz w:val="24"/>
          <w:szCs w:val="24"/>
        </w:rPr>
      </w:pPr>
      <w:r>
        <w:rPr>
          <w:rFonts w:hint="eastAsia" w:ascii="Times New Roman" w:hAnsi="Times New Roman"/>
          <w:sz w:val="24"/>
          <w:szCs w:val="24"/>
        </w:rPr>
        <w:t>4. 台式计算机、工作站应明确“供应商应提供显示器品牌型号，并承诺满足《台式计算机政府采购需求标准（2023年版）》（财库[2023]29号）或《工作站政府采购需求标准（2023年版）》（财库[2023]32号）中显示设备的要求，且显示器具备节能产品认证证书”。</w:t>
      </w:r>
    </w:p>
    <w:p w14:paraId="31F6781A">
      <w:pPr>
        <w:spacing w:line="360" w:lineRule="auto"/>
        <w:ind w:firstLine="480" w:firstLineChars="200"/>
        <w:rPr>
          <w:rFonts w:ascii="Times New Roman" w:hAnsi="Times New Roman"/>
          <w:sz w:val="24"/>
          <w:szCs w:val="24"/>
        </w:rPr>
      </w:pPr>
      <w:r>
        <w:rPr>
          <w:rFonts w:hint="eastAsia" w:ascii="Times New Roman" w:hAnsi="Times New Roman"/>
          <w:sz w:val="24"/>
          <w:szCs w:val="24"/>
        </w:rPr>
        <w:t>注：按《政府采购法实施条例》第34条和《政府采购需求管理办法》（财库[2021]22号）第19条的规定，台式计算机、便携式计算机、一体式计算机、工作站、通用服务器、操作系统、数据库应采用最低评标价法的评审方法。</w:t>
      </w:r>
    </w:p>
    <w:p w14:paraId="448F5F76">
      <w:pPr>
        <w:spacing w:line="360" w:lineRule="auto"/>
        <w:ind w:firstLine="480" w:firstLineChars="200"/>
        <w:rPr>
          <w:rFonts w:ascii="Times New Roman" w:hAnsi="Times New Roman"/>
          <w:sz w:val="24"/>
          <w:szCs w:val="24"/>
        </w:rPr>
      </w:pPr>
      <w:r>
        <w:rPr>
          <w:rFonts w:hint="eastAsia" w:ascii="Times New Roman" w:hAnsi="Times New Roman"/>
          <w:sz w:val="24"/>
          <w:szCs w:val="24"/>
        </w:rPr>
        <w:t>按以上采购需求标准文件的要求，台式计算机、便携式计算机、一体式计算机、工作站、通用服务器、操作系统、数据库预算累计达到50万元的应当单独分包采购。</w:t>
      </w:r>
    </w:p>
    <w:p w14:paraId="68E1B24E">
      <w:pPr>
        <w:spacing w:line="360" w:lineRule="auto"/>
        <w:ind w:firstLine="480" w:firstLineChars="200"/>
        <w:rPr>
          <w:rFonts w:ascii="Times New Roman" w:hAnsi="Times New Roman"/>
          <w:sz w:val="24"/>
          <w:szCs w:val="24"/>
        </w:rPr>
      </w:pPr>
    </w:p>
    <w:p w14:paraId="0764F104">
      <w:pPr>
        <w:spacing w:line="360" w:lineRule="auto"/>
        <w:ind w:firstLine="480" w:firstLineChars="200"/>
        <w:rPr>
          <w:rFonts w:ascii="Times New Roman" w:hAnsi="Times New Roman"/>
          <w:sz w:val="24"/>
          <w:szCs w:val="24"/>
        </w:rPr>
      </w:pPr>
    </w:p>
    <w:p w14:paraId="1F02A760">
      <w:pPr>
        <w:spacing w:line="360" w:lineRule="auto"/>
        <w:ind w:firstLine="480" w:firstLineChars="200"/>
        <w:rPr>
          <w:rFonts w:ascii="Times New Roman" w:hAnsi="Times New Roman"/>
          <w:sz w:val="24"/>
          <w:szCs w:val="24"/>
        </w:rPr>
      </w:pPr>
    </w:p>
    <w:p w14:paraId="2B2AEC5C">
      <w:pPr>
        <w:spacing w:line="360" w:lineRule="auto"/>
        <w:ind w:firstLine="480" w:firstLineChars="200"/>
        <w:rPr>
          <w:sz w:val="24"/>
        </w:rPr>
      </w:pPr>
    </w:p>
    <w:p w14:paraId="7A3B9279">
      <w:pPr>
        <w:spacing w:line="360" w:lineRule="auto"/>
        <w:ind w:firstLine="480" w:firstLineChars="200"/>
        <w:rPr>
          <w:sz w:val="24"/>
        </w:rPr>
      </w:pPr>
    </w:p>
    <w:p w14:paraId="751DB2CB">
      <w:pPr>
        <w:spacing w:line="360" w:lineRule="auto"/>
        <w:ind w:firstLine="480" w:firstLineChars="200"/>
        <w:rPr>
          <w:sz w:val="24"/>
        </w:rPr>
      </w:pPr>
    </w:p>
    <w:p w14:paraId="744AD250">
      <w:pPr>
        <w:spacing w:line="360" w:lineRule="auto"/>
        <w:ind w:firstLine="480" w:firstLineChars="200"/>
        <w:rPr>
          <w:sz w:val="24"/>
        </w:rPr>
      </w:pPr>
    </w:p>
    <w:p w14:paraId="5684BA6D"/>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AF99F4"/>
    <w:multiLevelType w:val="singleLevel"/>
    <w:tmpl w:val="A1AF99F4"/>
    <w:lvl w:ilvl="0" w:tentative="0">
      <w:start w:val="22"/>
      <w:numFmt w:val="decimal"/>
      <w:lvlText w:val="%1."/>
      <w:lvlJc w:val="left"/>
      <w:pPr>
        <w:tabs>
          <w:tab w:val="left" w:pos="312"/>
        </w:tabs>
      </w:pPr>
    </w:lvl>
  </w:abstractNum>
  <w:abstractNum w:abstractNumId="1">
    <w:nsid w:val="D4D47BBE"/>
    <w:multiLevelType w:val="singleLevel"/>
    <w:tmpl w:val="D4D47BBE"/>
    <w:lvl w:ilvl="0" w:tentative="0">
      <w:start w:val="7"/>
      <w:numFmt w:val="decimal"/>
      <w:lvlText w:val="%1."/>
      <w:lvlJc w:val="left"/>
      <w:pPr>
        <w:tabs>
          <w:tab w:val="left" w:pos="312"/>
        </w:tabs>
      </w:pPr>
    </w:lvl>
  </w:abstractNum>
  <w:abstractNum w:abstractNumId="2">
    <w:nsid w:val="E05C4F45"/>
    <w:multiLevelType w:val="singleLevel"/>
    <w:tmpl w:val="E05C4F45"/>
    <w:lvl w:ilvl="0" w:tentative="0">
      <w:start w:val="3"/>
      <w:numFmt w:val="decimal"/>
      <w:lvlText w:val="%1."/>
      <w:lvlJc w:val="left"/>
      <w:pPr>
        <w:tabs>
          <w:tab w:val="left" w:pos="312"/>
        </w:tabs>
      </w:pPr>
    </w:lvl>
  </w:abstractNum>
  <w:abstractNum w:abstractNumId="3">
    <w:nsid w:val="2A0979D6"/>
    <w:multiLevelType w:val="singleLevel"/>
    <w:tmpl w:val="2A0979D6"/>
    <w:lvl w:ilvl="0" w:tentative="0">
      <w:start w:val="17"/>
      <w:numFmt w:val="decimal"/>
      <w:lvlText w:val="%1."/>
      <w:lvlJc w:val="left"/>
      <w:pPr>
        <w:tabs>
          <w:tab w:val="left" w:pos="312"/>
        </w:tabs>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46F6"/>
    <w:rsid w:val="00054EFD"/>
    <w:rsid w:val="0006538B"/>
    <w:rsid w:val="0009313E"/>
    <w:rsid w:val="001B7E08"/>
    <w:rsid w:val="002C6F04"/>
    <w:rsid w:val="004E1C95"/>
    <w:rsid w:val="004F3FF8"/>
    <w:rsid w:val="005C2CF8"/>
    <w:rsid w:val="005E1A79"/>
    <w:rsid w:val="006320F6"/>
    <w:rsid w:val="006A2982"/>
    <w:rsid w:val="006D3F56"/>
    <w:rsid w:val="006D66CB"/>
    <w:rsid w:val="00725669"/>
    <w:rsid w:val="007429B6"/>
    <w:rsid w:val="007F0814"/>
    <w:rsid w:val="008A6D72"/>
    <w:rsid w:val="008F3C2D"/>
    <w:rsid w:val="00935BD4"/>
    <w:rsid w:val="0098256B"/>
    <w:rsid w:val="009A4C38"/>
    <w:rsid w:val="009C3304"/>
    <w:rsid w:val="009D73E4"/>
    <w:rsid w:val="00A43A85"/>
    <w:rsid w:val="00A66FEF"/>
    <w:rsid w:val="00AA0623"/>
    <w:rsid w:val="00BC63D5"/>
    <w:rsid w:val="00C6145C"/>
    <w:rsid w:val="00C63EC3"/>
    <w:rsid w:val="00D4101A"/>
    <w:rsid w:val="00ED0384"/>
    <w:rsid w:val="00EE33BC"/>
    <w:rsid w:val="00EF46F6"/>
    <w:rsid w:val="00FA0722"/>
    <w:rsid w:val="052B4902"/>
    <w:rsid w:val="072D6233"/>
    <w:rsid w:val="09FC4B43"/>
    <w:rsid w:val="1E5F3B62"/>
    <w:rsid w:val="36D5471E"/>
    <w:rsid w:val="4ADD3A25"/>
    <w:rsid w:val="59AA0720"/>
    <w:rsid w:val="5C7B286D"/>
    <w:rsid w:val="6F1B08BF"/>
    <w:rsid w:val="7AD31130"/>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3">
    <w:name w:val="footer"/>
    <w:basedOn w:val="1"/>
    <w:link w:val="12"/>
    <w:unhideWhenUsed/>
    <w:qFormat/>
    <w:uiPriority w:val="99"/>
    <w:pPr>
      <w:tabs>
        <w:tab w:val="center" w:pos="4153"/>
        <w:tab w:val="right" w:pos="8306"/>
      </w:tabs>
      <w:snapToGrid w:val="0"/>
      <w:jc w:val="left"/>
    </w:pPr>
    <w:rPr>
      <w:kern w:val="0"/>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styleId="6">
    <w:name w:val="Title"/>
    <w:basedOn w:val="1"/>
    <w:next w:val="1"/>
    <w:link w:val="10"/>
    <w:qFormat/>
    <w:uiPriority w:val="10"/>
    <w:pPr>
      <w:spacing w:before="240" w:after="60"/>
      <w:jc w:val="center"/>
      <w:outlineLvl w:val="0"/>
    </w:pPr>
    <w:rPr>
      <w:rFonts w:ascii="Cambria" w:hAnsi="Cambria"/>
      <w:b/>
      <w:bCs/>
      <w:kern w:val="0"/>
      <w:sz w:val="32"/>
      <w:szCs w:val="32"/>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标题 Char"/>
    <w:link w:val="6"/>
    <w:qFormat/>
    <w:uiPriority w:val="10"/>
    <w:rPr>
      <w:rFonts w:ascii="Cambria" w:hAnsi="Cambria" w:eastAsia="宋体" w:cs="Times New Roman"/>
      <w:b/>
      <w:bCs/>
      <w:sz w:val="32"/>
      <w:szCs w:val="32"/>
    </w:rPr>
  </w:style>
  <w:style w:type="character" w:customStyle="1" w:styleId="11">
    <w:name w:val="页眉 Char"/>
    <w:link w:val="4"/>
    <w:qFormat/>
    <w:uiPriority w:val="99"/>
    <w:rPr>
      <w:sz w:val="18"/>
      <w:szCs w:val="18"/>
    </w:rPr>
  </w:style>
  <w:style w:type="character" w:customStyle="1" w:styleId="12">
    <w:name w:val="页脚 Char"/>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18</Pages>
  <Words>8538</Words>
  <Characters>10375</Characters>
  <Lines>18</Lines>
  <Paragraphs>5</Paragraphs>
  <TotalTime>51</TotalTime>
  <ScaleCrop>false</ScaleCrop>
  <LinksUpToDate>false</LinksUpToDate>
  <CharactersWithSpaces>10531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2025-10-16T09:40:00Z</dcterms:created>
  <dc:creator>ggzy</dc:creator>
  <cp:lastModifiedBy>陌上花发可以缓缓醉矣</cp:lastModifiedBy>
  <dcterms:modified xsi:type="dcterms:W3CDTF">2026-10-27T07:10:11Z</dcterms:modified>
  <dc:title>项目需求书（货物-台式计算机、便携式计算机、一体式计算机、工作站、通用服务器、操作系统、数据库）</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FDF5B1031AC246568F5F3B514859B19A_13</vt:lpwstr>
  </property>
  <property fmtid="{D5CDD505-2E9C-101B-9397-08002B2CF9AE}" pid="4" name="KSOTemplateDocerSaveRecord">
    <vt:lpwstr>eyJoZGlkIjoiZGU5ODY5OGJkODY1MGU0MjZiZWU5MmNjYjc2YWM3MTIiLCJ1c2VySWQiOiI1MjA4NTUwMTUifQ==</vt:lpwstr>
  </property>
</Properties>
</file>