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8EA33">
      <w:pPr>
        <w:pStyle w:val="4"/>
      </w:pPr>
      <w:r>
        <w:rPr>
          <w:rFonts w:hint="eastAsia"/>
        </w:rPr>
        <w:t>项目需求书（货物</w:t>
      </w:r>
      <w:r>
        <w:t>-</w:t>
      </w:r>
      <w:r>
        <w:rPr>
          <w:rFonts w:hint="eastAsia"/>
        </w:rPr>
        <w:t>台式计算机、便携式计算机、一体式计算机、工作站、通用服务器、操作系统、数据库）</w:t>
      </w:r>
    </w:p>
    <w:p w14:paraId="009E76B4"/>
    <w:p w14:paraId="2E131678">
      <w:pPr>
        <w:spacing w:line="360" w:lineRule="auto"/>
        <w:ind w:firstLine="480" w:firstLineChars="200"/>
        <w:rPr>
          <w:sz w:val="24"/>
          <w:szCs w:val="24"/>
        </w:rPr>
      </w:pPr>
      <w:r>
        <w:rPr>
          <w:rFonts w:hint="eastAsia"/>
          <w:sz w:val="24"/>
          <w:szCs w:val="24"/>
        </w:rPr>
        <w:t>采购需求中涉及以上财政部、工信部印发采购需求标准的产品时，采购人可以选择两种方式提出采购需求：</w:t>
      </w:r>
    </w:p>
    <w:p w14:paraId="06581691">
      <w:pPr>
        <w:spacing w:line="360" w:lineRule="auto"/>
        <w:ind w:firstLine="480" w:firstLineChars="200"/>
        <w:rPr>
          <w:rFonts w:ascii="Times New Roman" w:hAnsi="Times New Roman"/>
          <w:sz w:val="24"/>
          <w:szCs w:val="24"/>
        </w:rPr>
      </w:pPr>
      <w:r>
        <w:rPr>
          <w:rFonts w:ascii="Times New Roman" w:hAnsi="Times New Roman"/>
          <w:sz w:val="24"/>
          <w:szCs w:val="24"/>
        </w:rPr>
        <w:t>一、按《台式计算机政府采购需求标准（2023年版）》（财库[2023]29号）、《</w:t>
      </w:r>
      <w:r>
        <w:rPr>
          <w:rFonts w:hint="eastAsia" w:ascii="Times New Roman" w:hAnsi="Times New Roman"/>
          <w:sz w:val="24"/>
          <w:szCs w:val="24"/>
        </w:rPr>
        <w:t>便携式</w:t>
      </w:r>
      <w:r>
        <w:rPr>
          <w:rFonts w:ascii="Times New Roman" w:hAnsi="Times New Roman"/>
          <w:sz w:val="24"/>
          <w:szCs w:val="24"/>
        </w:rPr>
        <w:t>计算机政府采购需求标准（2023年版）》（财库[2023]</w:t>
      </w:r>
      <w:r>
        <w:rPr>
          <w:rFonts w:hint="eastAsia" w:ascii="Times New Roman" w:hAnsi="Times New Roman"/>
          <w:sz w:val="24"/>
          <w:szCs w:val="24"/>
        </w:rPr>
        <w:t>30</w:t>
      </w:r>
      <w:r>
        <w:rPr>
          <w:rFonts w:ascii="Times New Roman" w:hAnsi="Times New Roman"/>
          <w:sz w:val="24"/>
          <w:szCs w:val="24"/>
        </w:rPr>
        <w:t>号）《</w:t>
      </w:r>
      <w:r>
        <w:rPr>
          <w:rFonts w:hint="eastAsia" w:ascii="Times New Roman" w:hAnsi="Times New Roman"/>
          <w:sz w:val="24"/>
          <w:szCs w:val="24"/>
        </w:rPr>
        <w:t>一体式</w:t>
      </w:r>
      <w:r>
        <w:rPr>
          <w:rFonts w:ascii="Times New Roman" w:hAnsi="Times New Roman"/>
          <w:sz w:val="24"/>
          <w:szCs w:val="24"/>
        </w:rPr>
        <w:t>计算机政府采购需求标准（2023年版）》（财库[2023]</w:t>
      </w:r>
      <w:r>
        <w:rPr>
          <w:rFonts w:hint="eastAsia" w:ascii="Times New Roman" w:hAnsi="Times New Roman"/>
          <w:sz w:val="24"/>
          <w:szCs w:val="24"/>
        </w:rPr>
        <w:t>31</w:t>
      </w:r>
      <w:r>
        <w:rPr>
          <w:rFonts w:ascii="Times New Roman" w:hAnsi="Times New Roman"/>
          <w:sz w:val="24"/>
          <w:szCs w:val="24"/>
        </w:rPr>
        <w:t>号）《</w:t>
      </w:r>
      <w:r>
        <w:rPr>
          <w:rFonts w:hint="eastAsia" w:ascii="Times New Roman" w:hAnsi="Times New Roman"/>
          <w:sz w:val="24"/>
          <w:szCs w:val="24"/>
        </w:rPr>
        <w:t>工作站</w:t>
      </w:r>
      <w:r>
        <w:rPr>
          <w:rFonts w:ascii="Times New Roman" w:hAnsi="Times New Roman"/>
          <w:sz w:val="24"/>
          <w:szCs w:val="24"/>
        </w:rPr>
        <w:t>政府采购需求标准（2023年版）》（财库[2023]</w:t>
      </w:r>
      <w:r>
        <w:rPr>
          <w:rFonts w:hint="eastAsia" w:ascii="Times New Roman" w:hAnsi="Times New Roman"/>
          <w:sz w:val="24"/>
          <w:szCs w:val="24"/>
        </w:rPr>
        <w:t>32</w:t>
      </w:r>
      <w:r>
        <w:rPr>
          <w:rFonts w:ascii="Times New Roman" w:hAnsi="Times New Roman"/>
          <w:sz w:val="24"/>
          <w:szCs w:val="24"/>
        </w:rPr>
        <w:t>号）《通用服务器政府采购需求标准（2023年版）》（财库[2023]</w:t>
      </w:r>
      <w:r>
        <w:rPr>
          <w:rFonts w:hint="eastAsia" w:ascii="Times New Roman" w:hAnsi="Times New Roman"/>
          <w:sz w:val="24"/>
          <w:szCs w:val="24"/>
        </w:rPr>
        <w:t>33</w:t>
      </w:r>
      <w:r>
        <w:rPr>
          <w:rFonts w:ascii="Times New Roman" w:hAnsi="Times New Roman"/>
          <w:sz w:val="24"/>
          <w:szCs w:val="24"/>
        </w:rPr>
        <w:t>号）《</w:t>
      </w:r>
      <w:r>
        <w:rPr>
          <w:rFonts w:hint="eastAsia" w:ascii="Times New Roman" w:hAnsi="Times New Roman"/>
          <w:sz w:val="24"/>
          <w:szCs w:val="24"/>
        </w:rPr>
        <w:t>操作系统</w:t>
      </w:r>
      <w:r>
        <w:rPr>
          <w:rFonts w:ascii="Times New Roman" w:hAnsi="Times New Roman"/>
          <w:sz w:val="24"/>
          <w:szCs w:val="24"/>
        </w:rPr>
        <w:t>政府采购需求标准（2023年版）》（财库[2023]</w:t>
      </w:r>
      <w:r>
        <w:rPr>
          <w:rFonts w:hint="eastAsia" w:ascii="Times New Roman" w:hAnsi="Times New Roman"/>
          <w:sz w:val="24"/>
          <w:szCs w:val="24"/>
        </w:rPr>
        <w:t>34</w:t>
      </w:r>
      <w:r>
        <w:rPr>
          <w:rFonts w:ascii="Times New Roman" w:hAnsi="Times New Roman"/>
          <w:sz w:val="24"/>
          <w:szCs w:val="24"/>
        </w:rPr>
        <w:t>号）《</w:t>
      </w:r>
      <w:r>
        <w:rPr>
          <w:rFonts w:hint="eastAsia" w:ascii="Times New Roman" w:hAnsi="Times New Roman"/>
          <w:sz w:val="24"/>
          <w:szCs w:val="24"/>
        </w:rPr>
        <w:t>数据库</w:t>
      </w:r>
      <w:r>
        <w:rPr>
          <w:rFonts w:ascii="Times New Roman" w:hAnsi="Times New Roman"/>
          <w:sz w:val="24"/>
          <w:szCs w:val="24"/>
        </w:rPr>
        <w:t>政府采购需求标准（2023年版）》（财库[2023]</w:t>
      </w:r>
      <w:r>
        <w:rPr>
          <w:rFonts w:hint="eastAsia" w:ascii="Times New Roman" w:hAnsi="Times New Roman"/>
          <w:sz w:val="24"/>
          <w:szCs w:val="24"/>
        </w:rPr>
        <w:t>35</w:t>
      </w:r>
      <w:r>
        <w:rPr>
          <w:rFonts w:ascii="Times New Roman" w:hAnsi="Times New Roman"/>
          <w:sz w:val="24"/>
          <w:szCs w:val="24"/>
        </w:rPr>
        <w:t>号），使用我中心官网“下载中心”提供的Excel需求模板逐条提出采购需求。</w:t>
      </w:r>
      <w:r>
        <w:rPr>
          <w:rFonts w:hint="eastAsia" w:ascii="Times New Roman" w:hAnsi="Times New Roman"/>
          <w:sz w:val="24"/>
          <w:szCs w:val="24"/>
          <w:highlight w:val="yellow"/>
        </w:rPr>
        <w:t>【这个不用管】</w:t>
      </w:r>
    </w:p>
    <w:p w14:paraId="73BCC92D">
      <w:pPr>
        <w:spacing w:line="360" w:lineRule="auto"/>
        <w:ind w:firstLine="480" w:firstLineChars="200"/>
        <w:rPr>
          <w:rFonts w:ascii="Times New Roman" w:hAnsi="Times New Roman"/>
          <w:sz w:val="24"/>
          <w:szCs w:val="24"/>
        </w:rPr>
      </w:pPr>
      <w:r>
        <w:rPr>
          <w:rFonts w:hint="eastAsia" w:ascii="Times New Roman" w:hAnsi="Times New Roman"/>
          <w:sz w:val="24"/>
          <w:szCs w:val="24"/>
        </w:rPr>
        <w:t>二</w:t>
      </w:r>
      <w:r>
        <w:rPr>
          <w:rFonts w:hint="eastAsia" w:ascii="Times New Roman" w:hAnsi="Times New Roman"/>
          <w:sz w:val="24"/>
          <w:szCs w:val="24"/>
          <w:highlight w:val="yellow"/>
        </w:rPr>
        <w:t>、按以下方式提供采购需求【按这个方式填写】</w:t>
      </w:r>
    </w:p>
    <w:tbl>
      <w:tblPr>
        <w:tblStyle w:val="5"/>
        <w:tblW w:w="8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289"/>
        <w:gridCol w:w="5523"/>
        <w:gridCol w:w="710"/>
        <w:gridCol w:w="805"/>
      </w:tblGrid>
      <w:tr w14:paraId="678D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5" w:type="dxa"/>
            <w:shd w:val="clear" w:color="auto" w:fill="auto"/>
            <w:vAlign w:val="center"/>
          </w:tcPr>
          <w:p w14:paraId="7B30A9D4">
            <w:pPr>
              <w:jc w:val="center"/>
              <w:rPr>
                <w:rFonts w:ascii="Times New Roman" w:hAnsi="Times New Roman"/>
                <w:b/>
              </w:rPr>
            </w:pPr>
            <w:r>
              <w:rPr>
                <w:rFonts w:ascii="Times New Roman" w:hAnsi="Times New Roman"/>
                <w:b/>
              </w:rPr>
              <w:t>序号</w:t>
            </w:r>
          </w:p>
        </w:tc>
        <w:tc>
          <w:tcPr>
            <w:tcW w:w="1289" w:type="dxa"/>
            <w:shd w:val="clear" w:color="auto" w:fill="auto"/>
            <w:vAlign w:val="center"/>
          </w:tcPr>
          <w:p w14:paraId="42224B1F">
            <w:pPr>
              <w:jc w:val="center"/>
              <w:rPr>
                <w:rFonts w:ascii="Times New Roman" w:hAnsi="Times New Roman"/>
                <w:b/>
              </w:rPr>
            </w:pPr>
            <w:r>
              <w:rPr>
                <w:rFonts w:hint="eastAsia" w:ascii="Times New Roman" w:hAnsi="Times New Roman"/>
                <w:b/>
              </w:rPr>
              <w:t>采购</w:t>
            </w:r>
            <w:r>
              <w:rPr>
                <w:rFonts w:ascii="Times New Roman" w:hAnsi="Times New Roman"/>
                <w:b/>
              </w:rPr>
              <w:t>标的</w:t>
            </w:r>
          </w:p>
        </w:tc>
        <w:tc>
          <w:tcPr>
            <w:tcW w:w="5523" w:type="dxa"/>
            <w:shd w:val="clear" w:color="auto" w:fill="auto"/>
            <w:vAlign w:val="center"/>
          </w:tcPr>
          <w:p w14:paraId="21DD9EC1">
            <w:pPr>
              <w:jc w:val="center"/>
              <w:rPr>
                <w:rFonts w:ascii="Times New Roman" w:hAnsi="Times New Roman"/>
                <w:b/>
              </w:rPr>
            </w:pPr>
            <w:r>
              <w:rPr>
                <w:rFonts w:ascii="Times New Roman" w:hAnsi="Times New Roman"/>
                <w:b/>
              </w:rPr>
              <w:t>技术参数</w:t>
            </w:r>
          </w:p>
        </w:tc>
        <w:tc>
          <w:tcPr>
            <w:tcW w:w="710" w:type="dxa"/>
            <w:shd w:val="clear" w:color="auto" w:fill="auto"/>
            <w:vAlign w:val="center"/>
          </w:tcPr>
          <w:p w14:paraId="781B4ED8">
            <w:pPr>
              <w:jc w:val="center"/>
              <w:rPr>
                <w:rFonts w:ascii="Times New Roman" w:hAnsi="Times New Roman"/>
                <w:b/>
              </w:rPr>
            </w:pPr>
            <w:r>
              <w:rPr>
                <w:rFonts w:ascii="Times New Roman" w:hAnsi="Times New Roman"/>
                <w:b/>
              </w:rPr>
              <w:t>单位</w:t>
            </w:r>
          </w:p>
        </w:tc>
        <w:tc>
          <w:tcPr>
            <w:tcW w:w="805" w:type="dxa"/>
            <w:shd w:val="clear" w:color="auto" w:fill="auto"/>
            <w:vAlign w:val="center"/>
          </w:tcPr>
          <w:p w14:paraId="7B842313">
            <w:pPr>
              <w:jc w:val="center"/>
              <w:rPr>
                <w:rFonts w:ascii="Times New Roman" w:hAnsi="Times New Roman"/>
                <w:b/>
              </w:rPr>
            </w:pPr>
            <w:r>
              <w:rPr>
                <w:rFonts w:ascii="Times New Roman" w:hAnsi="Times New Roman"/>
                <w:b/>
              </w:rPr>
              <w:t>数量</w:t>
            </w:r>
          </w:p>
        </w:tc>
      </w:tr>
      <w:tr w14:paraId="5E11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328163FB">
            <w:pPr>
              <w:jc w:val="center"/>
              <w:rPr>
                <w:rFonts w:ascii="Times New Roman" w:hAnsi="Times New Roman"/>
              </w:rPr>
            </w:pPr>
            <w:r>
              <w:rPr>
                <w:rFonts w:ascii="Times New Roman" w:hAnsi="Times New Roman"/>
              </w:rPr>
              <w:t>1</w:t>
            </w:r>
          </w:p>
        </w:tc>
        <w:tc>
          <w:tcPr>
            <w:tcW w:w="1289" w:type="dxa"/>
            <w:shd w:val="clear" w:color="auto" w:fill="auto"/>
            <w:vAlign w:val="center"/>
          </w:tcPr>
          <w:p w14:paraId="1E145B16">
            <w:pPr>
              <w:jc w:val="center"/>
              <w:rPr>
                <w:rFonts w:hint="eastAsia" w:ascii="Times New Roman" w:hAnsi="Times New Roman" w:eastAsia="宋体"/>
                <w:lang w:val="en-US" w:eastAsia="zh-CN"/>
              </w:rPr>
            </w:pPr>
            <w:r>
              <w:rPr>
                <w:rFonts w:ascii="Times New Roman" w:hAnsi="Times New Roman"/>
              </w:rPr>
              <w:t>台式计算机</w:t>
            </w:r>
            <w:r>
              <w:rPr>
                <w:rFonts w:hint="eastAsia" w:ascii="Times New Roman" w:hAnsi="Times New Roman"/>
                <w:lang w:val="en-US" w:eastAsia="zh-CN"/>
              </w:rPr>
              <w:t>一</w:t>
            </w:r>
          </w:p>
        </w:tc>
        <w:tc>
          <w:tcPr>
            <w:tcW w:w="5523" w:type="dxa"/>
            <w:shd w:val="clear" w:color="auto" w:fill="auto"/>
            <w:vAlign w:val="center"/>
          </w:tcPr>
          <w:p w14:paraId="6C56461E">
            <w:pPr>
              <w:rPr>
                <w:rFonts w:hint="eastAsia" w:ascii="Times New Roman" w:hAnsi="Times New Roman"/>
                <w:lang w:eastAsia="zh-CN"/>
              </w:rPr>
            </w:pPr>
            <w:r>
              <w:rPr>
                <w:rFonts w:hint="eastAsia" w:ascii="Times New Roman" w:hAnsi="Times New Roman"/>
              </w:rPr>
              <w:t>★</w:t>
            </w:r>
            <w:r>
              <w:rPr>
                <w:rFonts w:hint="eastAsia" w:ascii="Times New Roman" w:hAnsi="Times New Roman"/>
                <w:lang w:val="en-US" w:eastAsia="zh-CN"/>
              </w:rPr>
              <w:t>1.</w:t>
            </w:r>
            <w:r>
              <w:rPr>
                <w:rFonts w:hint="eastAsia" w:ascii="Times New Roman" w:hAnsi="Times New Roman"/>
              </w:rPr>
              <w:t>CPU信息</w:t>
            </w:r>
            <w:r>
              <w:rPr>
                <w:rFonts w:hint="eastAsia" w:ascii="Times New Roman" w:hAnsi="Times New Roman"/>
                <w:lang w:eastAsia="zh-CN"/>
              </w:rPr>
              <w:t>：CPU架构ARM，安全可靠测评等级II级</w:t>
            </w:r>
          </w:p>
          <w:p w14:paraId="1738B33E">
            <w:pPr>
              <w:rPr>
                <w:rFonts w:hint="eastAsia" w:ascii="Times New Roman" w:hAnsi="Times New Roman"/>
                <w:lang w:eastAsia="zh-CN"/>
              </w:rPr>
            </w:pPr>
            <w:r>
              <w:rPr>
                <w:rFonts w:hint="eastAsia" w:ascii="Times New Roman" w:hAnsi="Times New Roman"/>
                <w:lang w:eastAsia="zh-CN"/>
              </w:rPr>
              <w:t>物理核心数≥8；最高主频≥2GHz；末级缓存容量≥8MB</w:t>
            </w:r>
          </w:p>
          <w:p w14:paraId="0CFB1B82">
            <w:pPr>
              <w:rPr>
                <w:rFonts w:hint="eastAsia" w:ascii="Times New Roman" w:hAnsi="Times New Roman"/>
                <w:lang w:eastAsia="zh-CN"/>
              </w:rPr>
            </w:pPr>
            <w:r>
              <w:rPr>
                <w:rFonts w:hint="eastAsia" w:ascii="Times New Roman" w:hAnsi="Times New Roman"/>
                <w:lang w:eastAsia="zh-CN"/>
              </w:rPr>
              <w:t>线程数≥12；内存最高速率：≥6400MT/s；供应商给出其他CPU信息：热设计功耗、支持的内存通道数、位宽</w:t>
            </w:r>
          </w:p>
          <w:p w14:paraId="37BFF675">
            <w:pPr>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2.</w:t>
            </w:r>
            <w:r>
              <w:rPr>
                <w:rFonts w:hint="eastAsia" w:ascii="Times New Roman" w:hAnsi="Times New Roman"/>
                <w:lang w:eastAsia="zh-CN"/>
              </w:rPr>
              <w:t>内存配置容量：≥16GB</w:t>
            </w:r>
          </w:p>
          <w:p w14:paraId="535E92E0">
            <w:pPr>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3.</w:t>
            </w:r>
            <w:r>
              <w:rPr>
                <w:rFonts w:hint="eastAsia" w:ascii="Times New Roman" w:hAnsi="Times New Roman"/>
                <w:lang w:eastAsia="zh-CN"/>
              </w:rPr>
              <w:t>内存类型：支持DDR5/LPDDR5/LPDDR5X及以上内存类型</w:t>
            </w:r>
          </w:p>
          <w:p w14:paraId="1CCB64AC">
            <w:pPr>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4.</w:t>
            </w:r>
            <w:r>
              <w:rPr>
                <w:rFonts w:hint="eastAsia" w:ascii="Times New Roman" w:hAnsi="Times New Roman"/>
                <w:lang w:eastAsia="zh-CN"/>
              </w:rPr>
              <w:t>内存条配置数量（板载内存不涉及）：≥1</w:t>
            </w:r>
          </w:p>
          <w:p w14:paraId="7F36AD55">
            <w:pPr>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5.</w:t>
            </w:r>
            <w:r>
              <w:rPr>
                <w:rFonts w:hint="eastAsia" w:ascii="Times New Roman" w:hAnsi="Times New Roman"/>
                <w:lang w:eastAsia="zh-CN"/>
              </w:rPr>
              <w:t>主板集成模块：集成资源扩展模块、计算处理模块、音频扩展模块等，主板的互联拓扑可通过处理器或交换电路实现</w:t>
            </w:r>
          </w:p>
          <w:p w14:paraId="1B9CA258">
            <w:pPr>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6.</w:t>
            </w:r>
            <w:r>
              <w:rPr>
                <w:rFonts w:hint="eastAsia" w:ascii="Times New Roman" w:hAnsi="Times New Roman"/>
                <w:lang w:eastAsia="zh-CN"/>
              </w:rPr>
              <w:t>主板支持的CPU和内存情况：供应商给出主板支持的CPU和内存型号和数量</w:t>
            </w:r>
          </w:p>
          <w:p w14:paraId="29E60930">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7.</w:t>
            </w:r>
            <w:r>
              <w:rPr>
                <w:rFonts w:hint="default" w:ascii="Times New Roman" w:hAnsi="Times New Roman"/>
                <w:lang w:val="en-US" w:eastAsia="zh-CN"/>
              </w:rPr>
              <w:t>主板其他内置接口</w:t>
            </w:r>
            <w:r>
              <w:rPr>
                <w:rFonts w:hint="eastAsia" w:ascii="Times New Roman" w:hAnsi="Times New Roman"/>
                <w:lang w:val="en-US" w:eastAsia="zh-CN"/>
              </w:rPr>
              <w:t>：供应商给出相关SATA、M.2、USB接口数量及占用状态</w:t>
            </w:r>
          </w:p>
          <w:p w14:paraId="63F05449">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8.</w:t>
            </w:r>
            <w:r>
              <w:rPr>
                <w:rFonts w:hint="default" w:ascii="Times New Roman" w:hAnsi="Times New Roman"/>
                <w:lang w:val="en-US" w:eastAsia="zh-CN"/>
              </w:rPr>
              <w:t>单内存插槽最大可支持容量（板载内存不涉及）</w:t>
            </w:r>
            <w:r>
              <w:rPr>
                <w:rFonts w:hint="eastAsia" w:ascii="Times New Roman" w:hAnsi="Times New Roman"/>
                <w:lang w:val="en-US" w:eastAsia="zh-CN"/>
              </w:rPr>
              <w:t>：≥8GB</w:t>
            </w:r>
          </w:p>
          <w:p w14:paraId="6C4F8B0A">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9.</w:t>
            </w:r>
            <w:r>
              <w:rPr>
                <w:rFonts w:hint="default" w:ascii="Times New Roman" w:hAnsi="Times New Roman"/>
                <w:lang w:val="en-US" w:eastAsia="zh-CN"/>
              </w:rPr>
              <w:t>内存插槽满配时提供的最高内存总容量</w:t>
            </w:r>
            <w:r>
              <w:rPr>
                <w:rFonts w:hint="eastAsia" w:ascii="Times New Roman" w:hAnsi="Times New Roman"/>
                <w:lang w:val="en-US" w:eastAsia="zh-CN"/>
              </w:rPr>
              <w:t>：≥16GB</w:t>
            </w:r>
          </w:p>
          <w:p w14:paraId="2283A790">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10.</w:t>
            </w:r>
            <w:r>
              <w:rPr>
                <w:rFonts w:hint="default" w:ascii="Times New Roman" w:hAnsi="Times New Roman"/>
                <w:lang w:val="en-US" w:eastAsia="zh-CN"/>
              </w:rPr>
              <w:t>固态盘数量</w:t>
            </w:r>
            <w:r>
              <w:rPr>
                <w:rFonts w:hint="eastAsia" w:ascii="Times New Roman" w:hAnsi="Times New Roman"/>
                <w:lang w:val="en-US" w:eastAsia="zh-CN"/>
              </w:rPr>
              <w:t>：≥1 个</w:t>
            </w:r>
          </w:p>
          <w:p w14:paraId="73135970">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12.</w:t>
            </w:r>
            <w:r>
              <w:rPr>
                <w:rFonts w:hint="default" w:ascii="Times New Roman" w:hAnsi="Times New Roman"/>
                <w:lang w:val="en-US" w:eastAsia="zh-CN"/>
              </w:rPr>
              <w:t>固态存储容量</w:t>
            </w:r>
            <w:r>
              <w:rPr>
                <w:rFonts w:hint="eastAsia" w:ascii="Times New Roman" w:hAnsi="Times New Roman"/>
                <w:lang w:val="en-US" w:eastAsia="zh-CN"/>
              </w:rPr>
              <w:t>：≥512GB</w:t>
            </w:r>
          </w:p>
          <w:p w14:paraId="58E57450">
            <w:pPr>
              <w:numPr>
                <w:numId w:val="0"/>
              </w:numPr>
              <w:ind w:leftChars="0"/>
              <w:rPr>
                <w:rFonts w:hint="eastAsia" w:ascii="Times New Roman" w:hAnsi="Times New Roman"/>
                <w:lang w:val="en-US" w:eastAsia="zh-CN"/>
              </w:rPr>
            </w:pPr>
            <w:r>
              <w:rPr>
                <w:rFonts w:hint="eastAsia" w:ascii="Times New Roman" w:hAnsi="Times New Roman"/>
                <w:lang w:val="en-US" w:eastAsia="zh-CN"/>
              </w:rPr>
              <w:t>13.固态存储接口协议：UFS/SATA/PCIe/NVMe等类型接口协议</w:t>
            </w:r>
          </w:p>
          <w:p w14:paraId="5AA9BB82">
            <w:pPr>
              <w:numPr>
                <w:numId w:val="0"/>
              </w:numPr>
              <w:ind w:leftChars="0"/>
              <w:rPr>
                <w:rFonts w:hint="default"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14.</w:t>
            </w:r>
            <w:r>
              <w:rPr>
                <w:rFonts w:hint="default" w:ascii="Times New Roman" w:hAnsi="Times New Roman"/>
                <w:lang w:val="en-US" w:eastAsia="zh-CN"/>
              </w:rPr>
              <w:t>固态存储形态</w:t>
            </w:r>
            <w:r>
              <w:rPr>
                <w:rFonts w:hint="eastAsia" w:ascii="Times New Roman" w:hAnsi="Times New Roman"/>
                <w:lang w:val="en-US" w:eastAsia="zh-CN"/>
              </w:rPr>
              <w:t>：采用插卡或板载等形态，可选用符合M.2或2.5寸SATA或mSATA等标准的插卡形态</w:t>
            </w:r>
          </w:p>
          <w:p w14:paraId="17D9A102">
            <w:pPr>
              <w:numPr>
                <w:numId w:val="0"/>
              </w:numPr>
              <w:ind w:leftChars="0"/>
              <w:rPr>
                <w:rFonts w:hint="eastAsia" w:ascii="Times New Roman" w:hAnsi="Times New Roman"/>
                <w:lang w:val="en-US" w:eastAsia="zh-CN"/>
              </w:rPr>
            </w:pPr>
            <w:r>
              <w:rPr>
                <w:rFonts w:hint="eastAsia" w:ascii="Times New Roman" w:hAnsi="Times New Roman"/>
                <w:lang w:val="en-US" w:eastAsia="zh-CN"/>
              </w:rPr>
              <w:t>15.存储设备扩展盘位：≥0</w:t>
            </w:r>
          </w:p>
          <w:p w14:paraId="3BA3101A">
            <w:pPr>
              <w:numPr>
                <w:numId w:val="0"/>
              </w:numPr>
              <w:ind w:leftChars="0"/>
              <w:rPr>
                <w:rFonts w:hint="eastAsia" w:ascii="Times New Roman" w:hAnsi="Times New Roman"/>
                <w:lang w:val="en-US" w:eastAsia="zh-CN"/>
              </w:rPr>
            </w:pPr>
            <w:r>
              <w:rPr>
                <w:rFonts w:hint="eastAsia" w:ascii="Times New Roman" w:hAnsi="Times New Roman"/>
                <w:lang w:val="en-US" w:eastAsia="zh-CN"/>
              </w:rPr>
              <w:t>★16.存储设备其他参数要求：固态盘应符合SJ/T11654相关规定</w:t>
            </w:r>
          </w:p>
          <w:p w14:paraId="7966A92D">
            <w:pPr>
              <w:numPr>
                <w:numId w:val="0"/>
              </w:numPr>
              <w:ind w:leftChars="0"/>
              <w:rPr>
                <w:rFonts w:hint="eastAsia" w:ascii="Times New Roman" w:hAnsi="Times New Roman"/>
                <w:lang w:val="en-US" w:eastAsia="zh-CN"/>
              </w:rPr>
            </w:pPr>
            <w:r>
              <w:rPr>
                <w:rFonts w:hint="eastAsia" w:ascii="Times New Roman" w:hAnsi="Times New Roman"/>
                <w:lang w:val="en-US" w:eastAsia="zh-CN"/>
              </w:rPr>
              <w:t>★17.显卡类型：独立显卡或集成显卡</w:t>
            </w:r>
          </w:p>
          <w:p w14:paraId="52B07074">
            <w:pPr>
              <w:numPr>
                <w:numId w:val="0"/>
              </w:numPr>
              <w:ind w:leftChars="0"/>
              <w:rPr>
                <w:rFonts w:hint="eastAsia" w:ascii="Times New Roman" w:hAnsi="Times New Roman"/>
                <w:lang w:val="en-US" w:eastAsia="zh-CN"/>
              </w:rPr>
            </w:pPr>
            <w:r>
              <w:rPr>
                <w:rFonts w:hint="eastAsia" w:ascii="Times New Roman" w:hAnsi="Times New Roman"/>
                <w:lang w:val="en-US" w:eastAsia="zh-CN"/>
              </w:rPr>
              <w:t>★18.独立显卡显存类型：若配置独立显卡，显存类型应为DDR3/DDR4/GDDR5/GDDR6/LPDDR4</w:t>
            </w:r>
          </w:p>
          <w:p w14:paraId="248EA975">
            <w:pPr>
              <w:numPr>
                <w:numId w:val="0"/>
              </w:numPr>
              <w:ind w:leftChars="0"/>
              <w:rPr>
                <w:rFonts w:hint="eastAsia" w:ascii="Times New Roman" w:hAnsi="Times New Roman"/>
                <w:lang w:val="en-US" w:eastAsia="zh-CN"/>
              </w:rPr>
            </w:pPr>
            <w:r>
              <w:rPr>
                <w:rFonts w:hint="eastAsia" w:ascii="Times New Roman" w:hAnsi="Times New Roman"/>
                <w:lang w:val="en-US" w:eastAsia="zh-CN"/>
              </w:rPr>
              <w:t>★19.独立显卡显存位宽：若配置独立显卡，显存位宽≥16位</w:t>
            </w:r>
          </w:p>
          <w:p w14:paraId="5D573CC9">
            <w:pPr>
              <w:numPr>
                <w:numId w:val="0"/>
              </w:numPr>
              <w:ind w:leftChars="0"/>
              <w:rPr>
                <w:rFonts w:hint="eastAsia" w:ascii="Times New Roman" w:hAnsi="Times New Roman"/>
                <w:lang w:val="en-US" w:eastAsia="zh-CN"/>
              </w:rPr>
            </w:pPr>
            <w:r>
              <w:rPr>
                <w:rFonts w:hint="eastAsia" w:ascii="Times New Roman" w:hAnsi="Times New Roman"/>
                <w:lang w:val="en-US" w:eastAsia="zh-CN"/>
              </w:rPr>
              <w:t>★20.独立显卡显存容量：若配置独立显卡，显存容量≥2GB</w:t>
            </w:r>
          </w:p>
          <w:p w14:paraId="0110A68A">
            <w:pPr>
              <w:numPr>
                <w:numId w:val="0"/>
              </w:numPr>
              <w:ind w:leftChars="0"/>
              <w:rPr>
                <w:rFonts w:hint="eastAsia" w:ascii="Times New Roman" w:hAnsi="Times New Roman"/>
                <w:lang w:val="en-US" w:eastAsia="zh-CN"/>
              </w:rPr>
            </w:pPr>
            <w:r>
              <w:rPr>
                <w:rFonts w:hint="eastAsia" w:ascii="Times New Roman" w:hAnsi="Times New Roman"/>
                <w:lang w:val="en-US" w:eastAsia="zh-CN"/>
              </w:rPr>
              <w:t>21.传声器数量：≥0</w:t>
            </w:r>
          </w:p>
          <w:p w14:paraId="5006148D">
            <w:pPr>
              <w:numPr>
                <w:numId w:val="0"/>
              </w:numPr>
              <w:ind w:leftChars="0"/>
              <w:rPr>
                <w:rFonts w:hint="eastAsia" w:ascii="Times New Roman" w:hAnsi="Times New Roman"/>
                <w:lang w:val="en-US" w:eastAsia="zh-CN"/>
              </w:rPr>
            </w:pPr>
            <w:r>
              <w:rPr>
                <w:rFonts w:hint="eastAsia" w:ascii="Times New Roman" w:hAnsi="Times New Roman"/>
                <w:lang w:val="en-US" w:eastAsia="zh-CN"/>
              </w:rPr>
              <w:t>22.扬声器数量：≥0</w:t>
            </w:r>
          </w:p>
          <w:p w14:paraId="3741CA61">
            <w:pPr>
              <w:numPr>
                <w:numId w:val="0"/>
              </w:numPr>
              <w:ind w:leftChars="0"/>
              <w:rPr>
                <w:rFonts w:hint="eastAsia" w:ascii="Times New Roman" w:hAnsi="Times New Roman"/>
                <w:lang w:val="en-US" w:eastAsia="zh-CN"/>
              </w:rPr>
            </w:pPr>
            <w:r>
              <w:rPr>
                <w:rFonts w:hint="eastAsia" w:ascii="Times New Roman" w:hAnsi="Times New Roman"/>
                <w:lang w:val="en-US" w:eastAsia="zh-CN"/>
              </w:rPr>
              <w:t>★23.鼠标数量：≥1 个</w:t>
            </w:r>
          </w:p>
          <w:p w14:paraId="1C307A8B">
            <w:pPr>
              <w:numPr>
                <w:numId w:val="0"/>
              </w:numPr>
              <w:ind w:leftChars="0"/>
              <w:rPr>
                <w:rFonts w:hint="eastAsia" w:ascii="Times New Roman" w:hAnsi="Times New Roman"/>
                <w:lang w:val="en-US" w:eastAsia="zh-CN"/>
              </w:rPr>
            </w:pPr>
            <w:r>
              <w:rPr>
                <w:rFonts w:hint="eastAsia" w:ascii="Times New Roman" w:hAnsi="Times New Roman"/>
                <w:lang w:val="en-US" w:eastAsia="zh-CN"/>
              </w:rPr>
              <w:t>★24.键盘数量：≥1 个</w:t>
            </w:r>
          </w:p>
          <w:p w14:paraId="237C2ACC">
            <w:pPr>
              <w:numPr>
                <w:numId w:val="0"/>
              </w:numPr>
              <w:ind w:leftChars="0"/>
              <w:rPr>
                <w:rFonts w:hint="eastAsia" w:ascii="Times New Roman" w:hAnsi="Times New Roman"/>
                <w:lang w:val="en-US" w:eastAsia="zh-CN"/>
              </w:rPr>
            </w:pPr>
            <w:r>
              <w:rPr>
                <w:rFonts w:hint="eastAsia" w:ascii="Times New Roman" w:hAnsi="Times New Roman"/>
                <w:lang w:val="en-US" w:eastAsia="zh-CN"/>
              </w:rPr>
              <w:t>★25.键盘按键数目：61 键/86 键/101 键/104 键等</w:t>
            </w:r>
          </w:p>
          <w:p w14:paraId="3E633727">
            <w:pPr>
              <w:numPr>
                <w:numId w:val="0"/>
              </w:numPr>
              <w:ind w:leftChars="0"/>
              <w:rPr>
                <w:rFonts w:hint="eastAsia" w:ascii="Times New Roman" w:hAnsi="Times New Roman"/>
                <w:lang w:val="en-US" w:eastAsia="zh-CN"/>
              </w:rPr>
            </w:pPr>
            <w:r>
              <w:rPr>
                <w:rFonts w:hint="eastAsia" w:ascii="Times New Roman" w:hAnsi="Times New Roman"/>
                <w:lang w:val="en-US" w:eastAsia="zh-CN"/>
              </w:rPr>
              <w:t>★26.键盘连接方式：有线或无线</w:t>
            </w:r>
          </w:p>
          <w:p w14:paraId="3B172FAA">
            <w:pPr>
              <w:numPr>
                <w:numId w:val="0"/>
              </w:numPr>
              <w:ind w:leftChars="0"/>
              <w:rPr>
                <w:rFonts w:hint="eastAsia" w:ascii="Times New Roman" w:hAnsi="Times New Roman"/>
                <w:lang w:val="en-US" w:eastAsia="zh-CN"/>
              </w:rPr>
            </w:pPr>
            <w:r>
              <w:rPr>
                <w:rFonts w:hint="eastAsia" w:ascii="Times New Roman" w:hAnsi="Times New Roman"/>
                <w:lang w:val="en-US" w:eastAsia="zh-CN"/>
              </w:rPr>
              <w:t>★27.键盘键程：2.3mm~4.0mm</w:t>
            </w:r>
          </w:p>
          <w:p w14:paraId="3B83C3B5">
            <w:pPr>
              <w:numPr>
                <w:numId w:val="0"/>
              </w:numPr>
              <w:ind w:leftChars="0"/>
              <w:rPr>
                <w:rFonts w:hint="eastAsia" w:ascii="Times New Roman" w:hAnsi="Times New Roman"/>
                <w:lang w:val="en-US" w:eastAsia="zh-CN"/>
              </w:rPr>
            </w:pPr>
            <w:r>
              <w:rPr>
                <w:rFonts w:hint="eastAsia" w:ascii="Times New Roman" w:hAnsi="Times New Roman"/>
                <w:lang w:val="en-US" w:eastAsia="zh-CN"/>
              </w:rPr>
              <w:t>★28.键盘按键压力：按键压力应在0.54N±0.14N</w:t>
            </w:r>
          </w:p>
          <w:p w14:paraId="63CC79B5">
            <w:pPr>
              <w:numPr>
                <w:numId w:val="0"/>
              </w:numPr>
              <w:ind w:leftChars="0"/>
              <w:rPr>
                <w:rFonts w:hint="eastAsia" w:ascii="Times New Roman" w:hAnsi="Times New Roman"/>
                <w:lang w:val="en-US" w:eastAsia="zh-CN"/>
              </w:rPr>
            </w:pPr>
            <w:r>
              <w:rPr>
                <w:rFonts w:hint="eastAsia" w:ascii="Times New Roman" w:hAnsi="Times New Roman"/>
                <w:lang w:val="en-US" w:eastAsia="zh-CN"/>
              </w:rPr>
              <w:t>★29.有线键盘连接线：≥1.5 米</w:t>
            </w:r>
          </w:p>
          <w:p w14:paraId="53D2E406">
            <w:pPr>
              <w:numPr>
                <w:numId w:val="0"/>
              </w:numPr>
              <w:ind w:leftChars="0"/>
              <w:rPr>
                <w:rFonts w:hint="eastAsia" w:ascii="Times New Roman" w:hAnsi="Times New Roman"/>
                <w:lang w:val="en-US" w:eastAsia="zh-CN"/>
              </w:rPr>
            </w:pPr>
            <w:r>
              <w:rPr>
                <w:rFonts w:hint="eastAsia" w:ascii="Times New Roman" w:hAnsi="Times New Roman"/>
                <w:lang w:val="en-US" w:eastAsia="zh-CN"/>
              </w:rPr>
              <w:t>★30.键盘颜色：黑色</w:t>
            </w:r>
          </w:p>
          <w:p w14:paraId="3DBC7025">
            <w:pPr>
              <w:numPr>
                <w:numId w:val="0"/>
              </w:numPr>
              <w:ind w:leftChars="0"/>
              <w:rPr>
                <w:rFonts w:hint="eastAsia" w:ascii="Times New Roman" w:hAnsi="Times New Roman"/>
                <w:lang w:val="en-US" w:eastAsia="zh-CN"/>
              </w:rPr>
            </w:pPr>
            <w:r>
              <w:rPr>
                <w:rFonts w:hint="eastAsia" w:ascii="Times New Roman" w:hAnsi="Times New Roman"/>
                <w:lang w:val="en-US" w:eastAsia="zh-CN"/>
              </w:rPr>
              <w:t>31.键盘其他要求：键盘外观结构、连接方式、主要功能、安全、电磁兼容性、可靠性应符合GB/T14081的相关规定</w:t>
            </w:r>
          </w:p>
          <w:p w14:paraId="6A102F7C">
            <w:pPr>
              <w:numPr>
                <w:ilvl w:val="0"/>
                <w:numId w:val="0"/>
              </w:numPr>
              <w:ind w:leftChars="0"/>
              <w:rPr>
                <w:rFonts w:hint="default" w:ascii="Times New Roman" w:hAnsi="Times New Roman"/>
                <w:lang w:val="en-US" w:eastAsia="zh-CN"/>
              </w:rPr>
            </w:pPr>
            <w:r>
              <w:rPr>
                <w:rFonts w:hint="eastAsia" w:ascii="Times New Roman" w:hAnsi="Times New Roman"/>
                <w:lang w:val="en-US" w:eastAsia="zh-CN"/>
              </w:rPr>
              <w:t>★32鼠标连接方式：有线或无线</w:t>
            </w:r>
          </w:p>
          <w:p w14:paraId="08098FDE">
            <w:pPr>
              <w:numPr>
                <w:numId w:val="0"/>
              </w:numPr>
              <w:ind w:leftChars="0"/>
              <w:rPr>
                <w:rFonts w:hint="eastAsia" w:ascii="Times New Roman" w:hAnsi="Times New Roman"/>
                <w:lang w:val="en-US" w:eastAsia="zh-CN"/>
              </w:rPr>
            </w:pPr>
            <w:r>
              <w:rPr>
                <w:rFonts w:hint="eastAsia" w:ascii="Times New Roman" w:hAnsi="Times New Roman"/>
                <w:lang w:val="en-US" w:eastAsia="zh-CN"/>
              </w:rPr>
              <w:t>★33.有线鼠标连接线：≥1.5 米</w:t>
            </w:r>
          </w:p>
          <w:p w14:paraId="070069A0">
            <w:pPr>
              <w:numPr>
                <w:numId w:val="0"/>
              </w:numPr>
              <w:ind w:leftChars="0"/>
              <w:rPr>
                <w:rFonts w:hint="eastAsia" w:ascii="Times New Roman" w:hAnsi="Times New Roman"/>
                <w:lang w:val="en-US" w:eastAsia="zh-CN"/>
              </w:rPr>
            </w:pPr>
            <w:r>
              <w:rPr>
                <w:rFonts w:hint="eastAsia" w:ascii="Times New Roman" w:hAnsi="Times New Roman"/>
                <w:lang w:val="en-US" w:eastAsia="zh-CN"/>
              </w:rPr>
              <w:t>★34.鼠标DPI分辨率：800~ 1600</w:t>
            </w:r>
          </w:p>
          <w:p w14:paraId="77BD20FB">
            <w:pPr>
              <w:numPr>
                <w:numId w:val="0"/>
              </w:numPr>
              <w:ind w:leftChars="0"/>
              <w:rPr>
                <w:rFonts w:hint="default" w:ascii="Times New Roman" w:hAnsi="Times New Roman"/>
                <w:lang w:val="en-US" w:eastAsia="zh-CN"/>
              </w:rPr>
            </w:pPr>
            <w:r>
              <w:rPr>
                <w:rFonts w:hint="eastAsia" w:ascii="Times New Roman" w:hAnsi="Times New Roman"/>
                <w:lang w:val="en-US" w:eastAsia="zh-CN"/>
              </w:rPr>
              <w:t>★35.鼠标颜色：黑色</w:t>
            </w:r>
          </w:p>
          <w:p w14:paraId="0AA0792A">
            <w:pPr>
              <w:numPr>
                <w:numId w:val="0"/>
              </w:numPr>
              <w:ind w:leftChars="0"/>
              <w:rPr>
                <w:rFonts w:hint="eastAsia" w:ascii="Times New Roman" w:hAnsi="Times New Roman"/>
                <w:lang w:val="en-US" w:eastAsia="zh-CN"/>
              </w:rPr>
            </w:pPr>
            <w:r>
              <w:rPr>
                <w:rFonts w:hint="eastAsia" w:ascii="Times New Roman" w:hAnsi="Times New Roman"/>
                <w:lang w:val="en-US" w:eastAsia="zh-CN"/>
              </w:rPr>
              <w:t>★36.鼠标其他要求：其它参数应符合GB/T26245的相关规定</w:t>
            </w:r>
          </w:p>
          <w:p w14:paraId="05B61F91">
            <w:pPr>
              <w:numPr>
                <w:numId w:val="0"/>
              </w:numPr>
              <w:ind w:leftChars="0"/>
              <w:rPr>
                <w:rFonts w:hint="eastAsia" w:ascii="Times New Roman" w:hAnsi="Times New Roman"/>
                <w:lang w:val="en-US" w:eastAsia="zh-CN"/>
              </w:rPr>
            </w:pPr>
            <w:r>
              <w:rPr>
                <w:rFonts w:hint="eastAsia" w:ascii="Times New Roman" w:hAnsi="Times New Roman"/>
                <w:lang w:val="en-US" w:eastAsia="zh-CN"/>
              </w:rPr>
              <w:t>★37.有线网卡数量：≥1</w:t>
            </w:r>
          </w:p>
          <w:p w14:paraId="2F251A88">
            <w:pPr>
              <w:numPr>
                <w:numId w:val="0"/>
              </w:numPr>
              <w:ind w:leftChars="0"/>
              <w:rPr>
                <w:rFonts w:hint="eastAsia" w:ascii="Times New Roman" w:hAnsi="Times New Roman"/>
                <w:lang w:val="en-US" w:eastAsia="zh-CN"/>
              </w:rPr>
            </w:pPr>
            <w:r>
              <w:rPr>
                <w:rFonts w:hint="eastAsia" w:ascii="Times New Roman" w:hAnsi="Times New Roman"/>
                <w:lang w:val="en-US" w:eastAsia="zh-CN"/>
              </w:rPr>
              <w:t>38.无线网卡及天线数量：≥0</w:t>
            </w:r>
          </w:p>
          <w:p w14:paraId="2CFD82A4">
            <w:pPr>
              <w:numPr>
                <w:numId w:val="0"/>
              </w:numPr>
              <w:ind w:leftChars="0"/>
              <w:rPr>
                <w:rFonts w:hint="eastAsia" w:ascii="Times New Roman" w:hAnsi="Times New Roman"/>
                <w:lang w:val="en-US" w:eastAsia="zh-CN"/>
              </w:rPr>
            </w:pPr>
            <w:r>
              <w:rPr>
                <w:rFonts w:hint="eastAsia" w:ascii="Times New Roman" w:hAnsi="Times New Roman"/>
                <w:lang w:val="en-US" w:eastAsia="zh-CN"/>
              </w:rPr>
              <w:t>39.单无线网卡天线数量：≥0</w:t>
            </w:r>
          </w:p>
          <w:p w14:paraId="0FBC8B49">
            <w:pPr>
              <w:numPr>
                <w:numId w:val="0"/>
              </w:numPr>
              <w:ind w:leftChars="0"/>
              <w:rPr>
                <w:rFonts w:hint="eastAsia" w:ascii="Times New Roman" w:hAnsi="Times New Roman"/>
                <w:lang w:val="en-US" w:eastAsia="zh-CN"/>
              </w:rPr>
            </w:pPr>
            <w:r>
              <w:rPr>
                <w:rFonts w:hint="eastAsia" w:ascii="Times New Roman" w:hAnsi="Times New Roman"/>
                <w:lang w:val="en-US" w:eastAsia="zh-CN"/>
              </w:rPr>
              <w:t>★40.USB接口数量：机箱前面板应提供不少于3个USB接口（含2个USB3.0及以上接口）</w:t>
            </w:r>
          </w:p>
          <w:p w14:paraId="231D4154">
            <w:pPr>
              <w:numPr>
                <w:numId w:val="0"/>
              </w:numPr>
              <w:ind w:leftChars="0"/>
              <w:rPr>
                <w:rFonts w:hint="default" w:ascii="Times New Roman" w:hAnsi="Times New Roman"/>
                <w:lang w:val="en-US" w:eastAsia="zh-CN"/>
              </w:rPr>
            </w:pPr>
            <w:r>
              <w:rPr>
                <w:rFonts w:hint="eastAsia" w:ascii="Times New Roman" w:hAnsi="Times New Roman"/>
                <w:lang w:val="en-US" w:eastAsia="zh-CN"/>
              </w:rPr>
              <w:t>★41.视频接口数量：≥1</w:t>
            </w:r>
          </w:p>
          <w:p w14:paraId="2ECB2E31">
            <w:pPr>
              <w:numPr>
                <w:numId w:val="0"/>
              </w:numPr>
              <w:ind w:leftChars="0"/>
              <w:rPr>
                <w:rFonts w:hint="eastAsia" w:ascii="Times New Roman" w:hAnsi="Times New Roman"/>
                <w:lang w:val="en-US" w:eastAsia="zh-CN"/>
              </w:rPr>
            </w:pPr>
            <w:r>
              <w:rPr>
                <w:rFonts w:hint="eastAsia" w:ascii="Times New Roman" w:hAnsi="Times New Roman"/>
                <w:lang w:val="en-US" w:eastAsia="zh-CN"/>
              </w:rPr>
              <w:t>★42.音频接口数量：≥1</w:t>
            </w:r>
          </w:p>
          <w:p w14:paraId="587842BD">
            <w:pPr>
              <w:numPr>
                <w:numId w:val="0"/>
              </w:numPr>
              <w:ind w:leftChars="0"/>
              <w:rPr>
                <w:rFonts w:hint="eastAsia" w:ascii="Times New Roman" w:hAnsi="Times New Roman"/>
                <w:lang w:val="en-US" w:eastAsia="zh-CN"/>
              </w:rPr>
            </w:pPr>
            <w:r>
              <w:rPr>
                <w:rFonts w:hint="eastAsia" w:ascii="Times New Roman" w:hAnsi="Times New Roman"/>
                <w:lang w:val="en-US" w:eastAsia="zh-CN"/>
              </w:rPr>
              <w:t>★43.整机外观：a)产品表面不应有凹痕、划伤、裂缝、变形和污染等。表面涂层均匀，不应起泡、龟裂、脱落和磨损，金属零部件无锈蚀及其它机械损伤；b)产品表面说明功能的文字、符号、标志，应清晰、端正、牢固</w:t>
            </w:r>
          </w:p>
          <w:p w14:paraId="639E72CD">
            <w:pPr>
              <w:numPr>
                <w:numId w:val="0"/>
              </w:numPr>
              <w:ind w:leftChars="0"/>
              <w:rPr>
                <w:rFonts w:hint="eastAsia" w:ascii="Times New Roman" w:hAnsi="Times New Roman"/>
                <w:lang w:val="en-US" w:eastAsia="zh-CN"/>
              </w:rPr>
            </w:pPr>
            <w:r>
              <w:rPr>
                <w:rFonts w:hint="eastAsia" w:ascii="Times New Roman" w:hAnsi="Times New Roman"/>
                <w:lang w:val="en-US" w:eastAsia="zh-CN"/>
              </w:rPr>
              <w:t>★44.状态指示灯：在产品显著位置提供状态指示功能，如运行状态，并由供应商提供详细参数</w:t>
            </w:r>
          </w:p>
          <w:p w14:paraId="441195AC">
            <w:pPr>
              <w:numPr>
                <w:numId w:val="0"/>
              </w:numPr>
              <w:ind w:leftChars="0"/>
              <w:rPr>
                <w:rFonts w:hint="eastAsia" w:ascii="Times New Roman" w:hAnsi="Times New Roman"/>
                <w:lang w:val="en-US" w:eastAsia="zh-CN"/>
              </w:rPr>
            </w:pPr>
            <w:r>
              <w:rPr>
                <w:rFonts w:hint="eastAsia" w:ascii="Times New Roman" w:hAnsi="Times New Roman"/>
                <w:lang w:val="en-US" w:eastAsia="zh-CN"/>
              </w:rPr>
              <w:t>★45.整机结构：a)机箱应符合GB/T4208、GB/T26246的相关规定；b)产品内部结构应符合通用部件的安装需求；c)所有输入输出接口应符合相关国家或行业标准；d)产品零部件应紧固无松动，可插拔部件应可靠连接，开关、按钮和其它控制部件应灵活可靠，布局应方便使用；e)所有I/O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如需通过孔走线，过线孔应做防割线处理；j)各插头位置和插拔方向应合理，应做到插拔无障碍设计，具备防呆设计，有效避免误操作；k)各主要部件拆装无障碍，使用常规工具拆装，无特殊拆装工具需求；l)各主要部件拆装步骤要少，各自拆装需避免相互干扰；m)对于整机或零部件外表面为高亮面的，应粘贴保护膜，保护膜需粘贴牢固，运输、组装等过程不易脱落，撕下无残留；n)其它要求应符合GB/T9813.1的相关规定</w:t>
            </w:r>
          </w:p>
          <w:p w14:paraId="17B3FDD4">
            <w:pPr>
              <w:numPr>
                <w:numId w:val="0"/>
              </w:numPr>
              <w:ind w:leftChars="0"/>
              <w:rPr>
                <w:rFonts w:hint="eastAsia" w:ascii="Times New Roman" w:hAnsi="Times New Roman"/>
                <w:lang w:val="en-US" w:eastAsia="zh-CN"/>
              </w:rPr>
            </w:pPr>
            <w:r>
              <w:rPr>
                <w:rFonts w:hint="eastAsia" w:ascii="Times New Roman" w:hAnsi="Times New Roman"/>
                <w:lang w:val="en-US" w:eastAsia="zh-CN"/>
              </w:rPr>
              <w:t>★46.机箱防护要求：机箱应符合GB/T4208中IP20防护要求</w:t>
            </w:r>
          </w:p>
          <w:p w14:paraId="21FBD00B">
            <w:pPr>
              <w:numPr>
                <w:numId w:val="0"/>
              </w:numPr>
              <w:ind w:leftChars="0"/>
              <w:rPr>
                <w:rFonts w:hint="eastAsia" w:ascii="Times New Roman" w:hAnsi="Times New Roman"/>
                <w:lang w:val="en-US" w:eastAsia="zh-CN"/>
              </w:rPr>
            </w:pPr>
            <w:r>
              <w:rPr>
                <w:rFonts w:hint="eastAsia" w:ascii="Times New Roman" w:hAnsi="Times New Roman"/>
                <w:lang w:val="en-US" w:eastAsia="zh-CN"/>
              </w:rPr>
              <w:t>★47.整机噪音：产品工作在空闲状态下，产品的声功率级应不超过4.5Bel</w:t>
            </w:r>
          </w:p>
          <w:p w14:paraId="4356D77C">
            <w:pPr>
              <w:numPr>
                <w:numId w:val="0"/>
              </w:numPr>
              <w:ind w:leftChars="0"/>
              <w:rPr>
                <w:rFonts w:hint="eastAsia" w:ascii="Times New Roman" w:hAnsi="Times New Roman"/>
                <w:lang w:val="en-US" w:eastAsia="zh-CN"/>
              </w:rPr>
            </w:pPr>
            <w:r>
              <w:rPr>
                <w:rFonts w:hint="eastAsia" w:ascii="Times New Roman" w:hAnsi="Times New Roman"/>
                <w:lang w:val="en-US" w:eastAsia="zh-CN"/>
              </w:rPr>
              <w:t>★48.整机散热：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p w14:paraId="3EC50078">
            <w:pPr>
              <w:numPr>
                <w:numId w:val="0"/>
              </w:numPr>
              <w:ind w:leftChars="0"/>
              <w:rPr>
                <w:rFonts w:hint="eastAsia" w:ascii="Times New Roman" w:hAnsi="Times New Roman"/>
                <w:lang w:val="en-US" w:eastAsia="zh-CN"/>
              </w:rPr>
            </w:pPr>
            <w:r>
              <w:rPr>
                <w:rFonts w:hint="eastAsia" w:ascii="Times New Roman" w:hAnsi="Times New Roman"/>
                <w:lang w:val="en-US" w:eastAsia="zh-CN"/>
              </w:rPr>
              <w:t>★49.整机能效限定值：产品能效限定值应达到GB28380-2012标准中能效等级2级及以上</w:t>
            </w:r>
          </w:p>
          <w:p w14:paraId="7089FFE9">
            <w:pPr>
              <w:numPr>
                <w:numId w:val="0"/>
              </w:numPr>
              <w:ind w:leftChars="0"/>
              <w:rPr>
                <w:rFonts w:hint="eastAsia" w:ascii="Times New Roman" w:hAnsi="Times New Roman"/>
                <w:lang w:val="en-US" w:eastAsia="zh-CN"/>
              </w:rPr>
            </w:pPr>
            <w:r>
              <w:rPr>
                <w:rFonts w:hint="eastAsia" w:ascii="Times New Roman" w:hAnsi="Times New Roman"/>
                <w:lang w:val="en-US" w:eastAsia="zh-CN"/>
              </w:rPr>
              <w:t>★50.机身材质：塑料/金属等</w:t>
            </w:r>
          </w:p>
          <w:p w14:paraId="0AA79F4B">
            <w:pPr>
              <w:numPr>
                <w:numId w:val="0"/>
              </w:numPr>
              <w:ind w:leftChars="0"/>
              <w:rPr>
                <w:rFonts w:hint="eastAsia" w:ascii="Times New Roman" w:hAnsi="Times New Roman"/>
                <w:lang w:val="en-US" w:eastAsia="zh-CN"/>
              </w:rPr>
            </w:pPr>
            <w:r>
              <w:rPr>
                <w:rFonts w:hint="eastAsia" w:ascii="Times New Roman" w:hAnsi="Times New Roman"/>
                <w:lang w:val="en-US" w:eastAsia="zh-CN"/>
              </w:rPr>
              <w:t>★51.机身颜色：灰色/黑色等商务色系</w:t>
            </w:r>
          </w:p>
          <w:p w14:paraId="161F7D2F">
            <w:pPr>
              <w:numPr>
                <w:numId w:val="0"/>
              </w:numPr>
              <w:ind w:leftChars="0"/>
              <w:rPr>
                <w:rFonts w:hint="eastAsia" w:ascii="Times New Roman" w:hAnsi="Times New Roman"/>
                <w:lang w:val="en-US" w:eastAsia="zh-CN"/>
              </w:rPr>
            </w:pPr>
            <w:r>
              <w:rPr>
                <w:rFonts w:hint="eastAsia" w:ascii="Times New Roman" w:hAnsi="Times New Roman"/>
                <w:lang w:val="en-US" w:eastAsia="zh-CN"/>
              </w:rPr>
              <w:t>★52.机箱尺寸容量：机箱体积应不大于30L</w:t>
            </w:r>
          </w:p>
          <w:p w14:paraId="1C1A7F47">
            <w:pPr>
              <w:numPr>
                <w:numId w:val="0"/>
              </w:numPr>
              <w:ind w:leftChars="0"/>
              <w:rPr>
                <w:rFonts w:hint="eastAsia" w:ascii="Times New Roman" w:hAnsi="Times New Roman"/>
                <w:lang w:val="en-US" w:eastAsia="zh-CN"/>
              </w:rPr>
            </w:pPr>
            <w:r>
              <w:rPr>
                <w:rFonts w:hint="eastAsia" w:ascii="Times New Roman" w:hAnsi="Times New Roman"/>
                <w:lang w:val="en-US" w:eastAsia="zh-CN"/>
              </w:rPr>
              <w:t>★53.CPU物理核数：≥8</w:t>
            </w:r>
          </w:p>
          <w:p w14:paraId="3B244E8B">
            <w:pPr>
              <w:numPr>
                <w:numId w:val="0"/>
              </w:numPr>
              <w:ind w:leftChars="0"/>
              <w:rPr>
                <w:rFonts w:hint="eastAsia" w:ascii="Times New Roman" w:hAnsi="Times New Roman"/>
                <w:lang w:val="en-US" w:eastAsia="zh-CN"/>
              </w:rPr>
            </w:pPr>
            <w:r>
              <w:rPr>
                <w:rFonts w:hint="eastAsia" w:ascii="Times New Roman" w:hAnsi="Times New Roman"/>
                <w:lang w:val="en-US" w:eastAsia="zh-CN"/>
              </w:rPr>
              <w:t>★54.CPU主频：≥2GHz</w:t>
            </w:r>
          </w:p>
          <w:p w14:paraId="4D25D666">
            <w:pPr>
              <w:numPr>
                <w:numId w:val="0"/>
              </w:numPr>
              <w:ind w:leftChars="0"/>
              <w:rPr>
                <w:rFonts w:hint="eastAsia" w:ascii="Times New Roman" w:hAnsi="Times New Roman"/>
                <w:lang w:val="en-US" w:eastAsia="zh-CN"/>
              </w:rPr>
            </w:pPr>
            <w:r>
              <w:rPr>
                <w:rFonts w:hint="eastAsia" w:ascii="Times New Roman" w:hAnsi="Times New Roman"/>
                <w:lang w:val="en-US" w:eastAsia="zh-CN"/>
              </w:rPr>
              <w:t>★55.CPU末级缓存容量：≥8MB</w:t>
            </w:r>
          </w:p>
          <w:p w14:paraId="38AABCF8">
            <w:pPr>
              <w:numPr>
                <w:numId w:val="0"/>
              </w:numPr>
              <w:ind w:leftChars="0"/>
              <w:rPr>
                <w:rFonts w:hint="eastAsia" w:ascii="Times New Roman" w:hAnsi="Times New Roman"/>
                <w:lang w:val="en-US" w:eastAsia="zh-CN"/>
              </w:rPr>
            </w:pPr>
            <w:r>
              <w:rPr>
                <w:rFonts w:hint="eastAsia" w:ascii="Times New Roman" w:hAnsi="Times New Roman"/>
                <w:lang w:val="en-US" w:eastAsia="zh-CN"/>
              </w:rPr>
              <w:t>★56.CPU支持的内存最高速率：≥6400MT/s</w:t>
            </w:r>
          </w:p>
          <w:p w14:paraId="54B4A611">
            <w:pPr>
              <w:numPr>
                <w:numId w:val="0"/>
              </w:numPr>
              <w:ind w:leftChars="0"/>
              <w:rPr>
                <w:rFonts w:hint="eastAsia" w:ascii="Times New Roman" w:hAnsi="Times New Roman"/>
                <w:lang w:val="en-US" w:eastAsia="zh-CN"/>
              </w:rPr>
            </w:pPr>
            <w:r>
              <w:rPr>
                <w:rFonts w:hint="eastAsia" w:ascii="Times New Roman" w:hAnsi="Times New Roman"/>
                <w:lang w:val="en-US" w:eastAsia="zh-CN"/>
              </w:rPr>
              <w:t>★57.内存读写速率：≥2666MT/s</w:t>
            </w:r>
          </w:p>
          <w:p w14:paraId="2F8BCCBF">
            <w:pPr>
              <w:numPr>
                <w:numId w:val="0"/>
              </w:numPr>
              <w:ind w:leftChars="0"/>
              <w:rPr>
                <w:rFonts w:hint="eastAsia" w:ascii="Times New Roman" w:hAnsi="Times New Roman"/>
                <w:lang w:val="en-US" w:eastAsia="zh-CN"/>
              </w:rPr>
            </w:pPr>
            <w:r>
              <w:rPr>
                <w:rFonts w:hint="eastAsia" w:ascii="Times New Roman" w:hAnsi="Times New Roman"/>
                <w:lang w:val="en-US" w:eastAsia="zh-CN"/>
              </w:rPr>
              <w:t>★58.显示分辨率：≥1920x1080</w:t>
            </w:r>
          </w:p>
          <w:p w14:paraId="36A8A918">
            <w:pPr>
              <w:numPr>
                <w:numId w:val="0"/>
              </w:numPr>
              <w:ind w:leftChars="0"/>
              <w:rPr>
                <w:rFonts w:hint="eastAsia" w:ascii="Times New Roman" w:hAnsi="Times New Roman"/>
                <w:lang w:val="en-US" w:eastAsia="zh-CN"/>
              </w:rPr>
            </w:pPr>
            <w:r>
              <w:rPr>
                <w:rFonts w:hint="eastAsia" w:ascii="Times New Roman" w:hAnsi="Times New Roman"/>
                <w:lang w:val="en-US" w:eastAsia="zh-CN"/>
              </w:rPr>
              <w:t>★59.显卡显示芯片核心频率：≥300MHz</w:t>
            </w:r>
          </w:p>
          <w:p w14:paraId="43130162">
            <w:pPr>
              <w:numPr>
                <w:numId w:val="0"/>
              </w:numPr>
              <w:ind w:leftChars="0"/>
              <w:rPr>
                <w:rFonts w:hint="eastAsia" w:ascii="Times New Roman" w:hAnsi="Times New Roman"/>
                <w:lang w:val="en-US" w:eastAsia="zh-CN"/>
              </w:rPr>
            </w:pPr>
            <w:r>
              <w:rPr>
                <w:rFonts w:hint="eastAsia" w:ascii="Times New Roman" w:hAnsi="Times New Roman"/>
                <w:lang w:val="en-US" w:eastAsia="zh-CN"/>
              </w:rPr>
              <w:t>★60.显存等效频率：≥1000MT/s</w:t>
            </w:r>
          </w:p>
          <w:p w14:paraId="7848B8E0">
            <w:pPr>
              <w:numPr>
                <w:numId w:val="0"/>
              </w:numPr>
              <w:ind w:leftChars="0"/>
              <w:rPr>
                <w:rFonts w:hint="eastAsia" w:ascii="Times New Roman" w:hAnsi="Times New Roman"/>
                <w:lang w:val="en-US" w:eastAsia="zh-CN"/>
              </w:rPr>
            </w:pPr>
            <w:r>
              <w:rPr>
                <w:rFonts w:hint="eastAsia" w:ascii="Times New Roman" w:hAnsi="Times New Roman"/>
                <w:lang w:val="en-US" w:eastAsia="zh-CN"/>
              </w:rPr>
              <w:t>★61.显卡可支持多屏同时显示数量：显卡应支持2块屏幕同时显示，分辨率应不低于1920×1080</w:t>
            </w:r>
          </w:p>
          <w:p w14:paraId="0C30200B">
            <w:pPr>
              <w:numPr>
                <w:numId w:val="0"/>
              </w:numPr>
              <w:ind w:leftChars="0"/>
              <w:rPr>
                <w:rFonts w:hint="eastAsia" w:ascii="Times New Roman" w:hAnsi="Times New Roman"/>
                <w:lang w:val="en-US" w:eastAsia="zh-CN"/>
              </w:rPr>
            </w:pPr>
            <w:r>
              <w:rPr>
                <w:rFonts w:hint="eastAsia" w:ascii="Times New Roman" w:hAnsi="Times New Roman"/>
                <w:lang w:val="en-US" w:eastAsia="zh-CN"/>
              </w:rPr>
              <w:t>★62.有线网卡速率：最高速率应不低于1000Mbps，应支持10Mbps、100Mbps、1000Mbps速率自适应</w:t>
            </w:r>
          </w:p>
          <w:p w14:paraId="16FBF6F4">
            <w:pPr>
              <w:numPr>
                <w:ilvl w:val="0"/>
                <w:numId w:val="1"/>
              </w:numPr>
              <w:ind w:leftChars="0"/>
              <w:rPr>
                <w:rFonts w:hint="eastAsia" w:ascii="Times New Roman" w:hAnsi="Times New Roman"/>
                <w:lang w:val="en-US" w:eastAsia="zh-CN"/>
              </w:rPr>
            </w:pPr>
            <w:r>
              <w:rPr>
                <w:rFonts w:hint="eastAsia" w:ascii="Times New Roman" w:hAnsi="Times New Roman"/>
                <w:lang w:val="en-US" w:eastAsia="zh-CN"/>
              </w:rPr>
              <w:t>支持无线网络通信技术协议：支持WAPI或WiFi5.0及以上协议</w:t>
            </w:r>
          </w:p>
          <w:p w14:paraId="5B08AD37">
            <w:pPr>
              <w:numPr>
                <w:ilvl w:val="0"/>
                <w:numId w:val="1"/>
              </w:numPr>
              <w:ind w:leftChars="0"/>
              <w:rPr>
                <w:rFonts w:hint="eastAsia" w:ascii="Times New Roman" w:hAnsi="Times New Roman"/>
                <w:lang w:val="en-US" w:eastAsia="zh-CN"/>
              </w:rPr>
            </w:pPr>
            <w:r>
              <w:rPr>
                <w:rFonts w:hint="eastAsia" w:ascii="Times New Roman" w:hAnsi="Times New Roman"/>
                <w:lang w:val="en-US" w:eastAsia="zh-CN"/>
              </w:rPr>
              <w:t>无线网卡频宽：≥20MHz</w:t>
            </w:r>
          </w:p>
          <w:p w14:paraId="6270A6D2">
            <w:pPr>
              <w:numPr>
                <w:numId w:val="0"/>
              </w:numPr>
              <w:rPr>
                <w:rFonts w:hint="eastAsia" w:ascii="Times New Roman" w:hAnsi="Times New Roman"/>
                <w:lang w:val="en-US" w:eastAsia="zh-CN"/>
              </w:rPr>
            </w:pPr>
            <w:r>
              <w:rPr>
                <w:rFonts w:hint="eastAsia" w:ascii="Times New Roman" w:hAnsi="Times New Roman"/>
                <w:lang w:val="en-US" w:eastAsia="zh-CN"/>
              </w:rPr>
              <w:t>★65.内存扩展接口(板载内存不涉及)：≥2个</w:t>
            </w:r>
          </w:p>
          <w:p w14:paraId="409E9BB6">
            <w:pPr>
              <w:numPr>
                <w:numId w:val="0"/>
              </w:numPr>
              <w:rPr>
                <w:rFonts w:hint="eastAsia" w:ascii="Times New Roman" w:hAnsi="Times New Roman"/>
                <w:lang w:val="en-US" w:eastAsia="zh-CN"/>
              </w:rPr>
            </w:pPr>
            <w:r>
              <w:rPr>
                <w:rFonts w:hint="eastAsia" w:ascii="Times New Roman" w:hAnsi="Times New Roman"/>
                <w:lang w:val="en-US" w:eastAsia="zh-CN"/>
              </w:rPr>
              <w:t>66.存储扩展接口(板载存储不涉及)：供应商给出主板支持存储扩展接口类型，如UFS3.0、SATA3.0、SAS3.0、M.2等类型接口</w:t>
            </w:r>
          </w:p>
          <w:p w14:paraId="44C7FCD8">
            <w:pPr>
              <w:numPr>
                <w:numId w:val="0"/>
              </w:numPr>
              <w:rPr>
                <w:rFonts w:hint="eastAsia" w:ascii="Times New Roman" w:hAnsi="Times New Roman"/>
                <w:lang w:val="en-US" w:eastAsia="zh-CN"/>
              </w:rPr>
            </w:pPr>
            <w:r>
              <w:rPr>
                <w:rFonts w:hint="eastAsia" w:ascii="Times New Roman" w:hAnsi="Times New Roman"/>
                <w:lang w:val="en-US" w:eastAsia="zh-CN"/>
              </w:rPr>
              <w:t>★67.主板USB瞬间过流保护：支持有瞬间过流保护功能</w:t>
            </w:r>
          </w:p>
          <w:p w14:paraId="40040898">
            <w:pPr>
              <w:numPr>
                <w:numId w:val="0"/>
              </w:numPr>
              <w:ind w:leftChars="0"/>
              <w:rPr>
                <w:rFonts w:hint="eastAsia" w:ascii="Times New Roman" w:hAnsi="Times New Roman"/>
                <w:lang w:val="en-US" w:eastAsia="zh-CN"/>
              </w:rPr>
            </w:pPr>
            <w:r>
              <w:rPr>
                <w:rFonts w:hint="eastAsia" w:ascii="Times New Roman" w:hAnsi="Times New Roman"/>
                <w:lang w:val="en-US" w:eastAsia="zh-CN"/>
              </w:rPr>
              <w:t>★68.主板防静电保护：支持防静电保护功能</w:t>
            </w:r>
          </w:p>
          <w:p w14:paraId="34CABF93">
            <w:pPr>
              <w:numPr>
                <w:numId w:val="0"/>
              </w:numPr>
              <w:ind w:leftChars="0"/>
              <w:rPr>
                <w:rFonts w:hint="eastAsia" w:ascii="Times New Roman" w:hAnsi="Times New Roman"/>
                <w:lang w:val="en-US" w:eastAsia="zh-CN"/>
              </w:rPr>
            </w:pPr>
            <w:r>
              <w:rPr>
                <w:rFonts w:hint="eastAsia" w:ascii="Times New Roman" w:hAnsi="Times New Roman"/>
                <w:lang w:val="en-US" w:eastAsia="zh-CN"/>
              </w:rPr>
              <w:t>★69.I/O接口功能：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p>
          <w:p w14:paraId="108F17D4">
            <w:pPr>
              <w:numPr>
                <w:numId w:val="0"/>
              </w:numPr>
              <w:ind w:leftChars="0"/>
              <w:rPr>
                <w:rFonts w:hint="default" w:ascii="Times New Roman" w:hAnsi="Times New Roman"/>
                <w:color w:val="FF0000"/>
                <w:lang w:val="en-US" w:eastAsia="zh-CN"/>
              </w:rPr>
            </w:pPr>
            <w:r>
              <w:rPr>
                <w:rFonts w:hint="eastAsia" w:ascii="Times New Roman" w:hAnsi="Times New Roman"/>
                <w:color w:val="FF0000"/>
                <w:lang w:val="en-US" w:eastAsia="zh-CN"/>
              </w:rPr>
              <w:t>★70.显卡外接显示接口：显卡至少支持VGA、HDMI、DVI、DP、Type-C中1种显示接口，并随机配备相应接口显示器连接线（≥1.5m</w:t>
            </w:r>
            <w:r>
              <w:rPr>
                <w:rFonts w:hint="eastAsia" w:ascii="Times New Roman" w:hAnsi="Times New Roman"/>
                <w:color w:val="FF0000"/>
                <w:lang w:val="en-US" w:eastAsia="zh-CN"/>
              </w:rPr>
              <w:t>）</w:t>
            </w:r>
          </w:p>
          <w:p w14:paraId="35334140">
            <w:pPr>
              <w:numPr>
                <w:numId w:val="0"/>
              </w:numPr>
              <w:ind w:leftChars="0"/>
              <w:rPr>
                <w:rFonts w:hint="eastAsia" w:ascii="Times New Roman" w:hAnsi="Times New Roman"/>
                <w:lang w:val="en-US" w:eastAsia="zh-CN"/>
              </w:rPr>
            </w:pPr>
            <w:r>
              <w:rPr>
                <w:rFonts w:hint="eastAsia" w:ascii="Times New Roman" w:hAnsi="Times New Roman"/>
                <w:lang w:val="en-US" w:eastAsia="zh-CN"/>
              </w:rPr>
              <w:t>71.独立显卡数量：≥0</w:t>
            </w:r>
          </w:p>
          <w:p w14:paraId="450EF4B3">
            <w:pPr>
              <w:numPr>
                <w:numId w:val="0"/>
              </w:numPr>
              <w:ind w:leftChars="0"/>
              <w:rPr>
                <w:rFonts w:hint="eastAsia" w:ascii="Times New Roman" w:hAnsi="Times New Roman"/>
                <w:lang w:val="en-US" w:eastAsia="zh-CN"/>
              </w:rPr>
            </w:pPr>
            <w:r>
              <w:rPr>
                <w:rFonts w:hint="eastAsia" w:ascii="Times New Roman" w:hAnsi="Times New Roman"/>
                <w:lang w:val="en-US" w:eastAsia="zh-CN"/>
              </w:rPr>
              <w:t>★72.存储功能：通过SATA固态存储/PCIe固态存储/UFS固态存储/SATA硬磁盘等存储部件提供存储功能</w:t>
            </w:r>
          </w:p>
          <w:p w14:paraId="5B948A2A">
            <w:pPr>
              <w:numPr>
                <w:numId w:val="0"/>
              </w:numPr>
              <w:ind w:leftChars="0"/>
              <w:rPr>
                <w:rFonts w:hint="eastAsia" w:ascii="Times New Roman" w:hAnsi="Times New Roman"/>
                <w:lang w:val="en-US" w:eastAsia="zh-CN"/>
              </w:rPr>
            </w:pPr>
            <w:r>
              <w:rPr>
                <w:rFonts w:hint="eastAsia" w:ascii="Times New Roman" w:hAnsi="Times New Roman"/>
                <w:lang w:val="en-US" w:eastAsia="zh-CN"/>
              </w:rPr>
              <w:t>★73.网络功能：a)支持网络连接、网络开启/关闭功能；b)支持访问网络和数据交换功能</w:t>
            </w:r>
          </w:p>
          <w:p w14:paraId="6E40414D">
            <w:pPr>
              <w:numPr>
                <w:numId w:val="0"/>
              </w:numPr>
              <w:ind w:leftChars="0"/>
              <w:rPr>
                <w:rFonts w:hint="default" w:ascii="Times New Roman" w:hAnsi="Times New Roman"/>
                <w:lang w:val="en-US" w:eastAsia="zh-CN"/>
              </w:rPr>
            </w:pPr>
            <w:r>
              <w:rPr>
                <w:rFonts w:hint="eastAsia" w:ascii="Times New Roman" w:hAnsi="Times New Roman"/>
                <w:lang w:val="en-US" w:eastAsia="zh-CN"/>
              </w:rPr>
              <w:t>74.无线网卡频段：支持双频段</w:t>
            </w:r>
          </w:p>
          <w:p w14:paraId="06E62744">
            <w:pPr>
              <w:numPr>
                <w:numId w:val="0"/>
              </w:numPr>
              <w:ind w:leftChars="0"/>
              <w:rPr>
                <w:rFonts w:hint="eastAsia" w:ascii="Times New Roman" w:hAnsi="Times New Roman"/>
                <w:lang w:val="en-US" w:eastAsia="zh-CN"/>
              </w:rPr>
            </w:pPr>
            <w:r>
              <w:rPr>
                <w:rFonts w:hint="eastAsia" w:ascii="Times New Roman" w:hAnsi="Times New Roman"/>
                <w:lang w:val="en-US" w:eastAsia="zh-CN"/>
              </w:rPr>
              <w:t>★75.数据传输：支持数据传输能力，并提供数据流量和异常日志记录功能</w:t>
            </w:r>
          </w:p>
          <w:p w14:paraId="704A1DBB">
            <w:pPr>
              <w:numPr>
                <w:numId w:val="0"/>
              </w:numPr>
              <w:ind w:leftChars="0"/>
              <w:rPr>
                <w:rFonts w:hint="eastAsia" w:ascii="Times New Roman" w:hAnsi="Times New Roman"/>
                <w:lang w:val="en-US" w:eastAsia="zh-CN"/>
              </w:rPr>
            </w:pPr>
            <w:r>
              <w:rPr>
                <w:rFonts w:hint="eastAsia" w:ascii="Times New Roman" w:hAnsi="Times New Roman"/>
                <w:lang w:val="en-US" w:eastAsia="zh-CN"/>
              </w:rPr>
              <w:t>★76.有线网卡接口类型：支持 RJ45 接口</w:t>
            </w:r>
          </w:p>
          <w:p w14:paraId="26FA0D51">
            <w:pPr>
              <w:numPr>
                <w:numId w:val="0"/>
              </w:numPr>
              <w:ind w:leftChars="0"/>
              <w:rPr>
                <w:rFonts w:hint="eastAsia" w:ascii="Times New Roman" w:hAnsi="Times New Roman"/>
                <w:lang w:val="en-US" w:eastAsia="zh-CN"/>
              </w:rPr>
            </w:pPr>
            <w:r>
              <w:rPr>
                <w:rFonts w:hint="eastAsia" w:ascii="Times New Roman" w:hAnsi="Times New Roman"/>
                <w:lang w:val="en-US" w:eastAsia="zh-CN"/>
              </w:rPr>
              <w:t>★77网络设备拆装：网络设备支持物理拆装，包括无线网卡和蓝牙模块等</w:t>
            </w:r>
          </w:p>
          <w:p w14:paraId="130F5B40">
            <w:pPr>
              <w:numPr>
                <w:numId w:val="0"/>
              </w:numPr>
              <w:ind w:leftChars="0"/>
              <w:rPr>
                <w:rFonts w:hint="eastAsia" w:ascii="Times New Roman" w:hAnsi="Times New Roman"/>
                <w:lang w:val="en-US" w:eastAsia="zh-CN"/>
              </w:rPr>
            </w:pPr>
            <w:r>
              <w:rPr>
                <w:rFonts w:hint="eastAsia" w:ascii="Times New Roman" w:hAnsi="Times New Roman"/>
                <w:lang w:val="en-US" w:eastAsia="zh-CN"/>
              </w:rPr>
              <w:t>★78.音频接口类型：支持3.5mm孔径3段式或4段式接口</w:t>
            </w:r>
          </w:p>
          <w:p w14:paraId="1E095FEF">
            <w:pPr>
              <w:numPr>
                <w:numId w:val="0"/>
              </w:numPr>
              <w:ind w:leftChars="0"/>
              <w:rPr>
                <w:rFonts w:hint="eastAsia" w:ascii="Times New Roman" w:hAnsi="Times New Roman"/>
                <w:lang w:val="en-US" w:eastAsia="zh-CN"/>
              </w:rPr>
            </w:pPr>
            <w:r>
              <w:rPr>
                <w:rFonts w:hint="eastAsia" w:ascii="Times New Roman" w:hAnsi="Times New Roman"/>
                <w:lang w:val="en-US" w:eastAsia="zh-CN"/>
              </w:rPr>
              <w:t>★79.HDMI、DP、Type-C显示接口要求：若提供HDMI或DP或Type-C作为显示接口，应支持音频和视频同步输出</w:t>
            </w:r>
          </w:p>
          <w:p w14:paraId="328A6AC7">
            <w:pPr>
              <w:numPr>
                <w:numId w:val="0"/>
              </w:numPr>
              <w:ind w:leftChars="0"/>
              <w:rPr>
                <w:rFonts w:hint="eastAsia" w:ascii="Times New Roman" w:hAnsi="Times New Roman"/>
                <w:lang w:val="en-US" w:eastAsia="zh-CN"/>
              </w:rPr>
            </w:pPr>
            <w:r>
              <w:rPr>
                <w:rFonts w:hint="eastAsia" w:ascii="Times New Roman" w:hAnsi="Times New Roman"/>
                <w:lang w:val="en-US" w:eastAsia="zh-CN"/>
              </w:rPr>
              <w:t>★80.电源线适配能力：电源适配器电线组件应符合GB/T15934的要求，可拆线的插头和连接器可以不做要求</w:t>
            </w:r>
          </w:p>
          <w:p w14:paraId="22BAD86D">
            <w:pPr>
              <w:numPr>
                <w:numId w:val="0"/>
              </w:numPr>
              <w:ind w:leftChars="0"/>
              <w:rPr>
                <w:rFonts w:hint="eastAsia" w:ascii="Times New Roman" w:hAnsi="Times New Roman"/>
                <w:lang w:val="en-US" w:eastAsia="zh-CN"/>
              </w:rPr>
            </w:pPr>
            <w:r>
              <w:rPr>
                <w:rFonts w:hint="eastAsia" w:ascii="Times New Roman" w:hAnsi="Times New Roman"/>
                <w:lang w:val="en-US" w:eastAsia="zh-CN"/>
              </w:rPr>
              <w:t>★81.中文信息处理要求：符合GB18030的相关规定</w:t>
            </w:r>
          </w:p>
          <w:p w14:paraId="51FCCAEF">
            <w:pPr>
              <w:numPr>
                <w:numId w:val="0"/>
              </w:numPr>
              <w:ind w:leftChars="0"/>
              <w:rPr>
                <w:rFonts w:hint="eastAsia" w:ascii="Times New Roman" w:hAnsi="Times New Roman"/>
                <w:lang w:val="en-US" w:eastAsia="zh-CN"/>
              </w:rPr>
            </w:pPr>
            <w:r>
              <w:rPr>
                <w:rFonts w:hint="eastAsia" w:ascii="Times New Roman" w:hAnsi="Times New Roman"/>
                <w:lang w:val="en-US" w:eastAsia="zh-CN"/>
              </w:rPr>
              <w:t>★82.操作系统备份及还原功能：支持操作系统备份及还原功能</w:t>
            </w:r>
          </w:p>
          <w:p w14:paraId="0D3BA12C">
            <w:pPr>
              <w:numPr>
                <w:numId w:val="0"/>
              </w:numPr>
              <w:ind w:leftChars="0"/>
              <w:rPr>
                <w:rFonts w:hint="eastAsia" w:ascii="Times New Roman" w:hAnsi="Times New Roman"/>
                <w:lang w:val="en-US" w:eastAsia="zh-CN"/>
              </w:rPr>
            </w:pPr>
            <w:r>
              <w:rPr>
                <w:rFonts w:hint="eastAsia" w:ascii="Times New Roman" w:hAnsi="Times New Roman"/>
                <w:lang w:val="en-US" w:eastAsia="zh-CN"/>
              </w:rPr>
              <w:t>★83.固件备份还原能力：支持备份及还原固件的功能</w:t>
            </w:r>
          </w:p>
          <w:p w14:paraId="608E6517">
            <w:pPr>
              <w:numPr>
                <w:numId w:val="0"/>
              </w:numPr>
              <w:ind w:leftChars="0"/>
              <w:rPr>
                <w:rFonts w:hint="eastAsia" w:ascii="Times New Roman" w:hAnsi="Times New Roman"/>
                <w:lang w:val="en-US" w:eastAsia="zh-CN"/>
              </w:rPr>
            </w:pPr>
            <w:r>
              <w:rPr>
                <w:rFonts w:hint="eastAsia" w:ascii="Times New Roman" w:hAnsi="Times New Roman"/>
                <w:lang w:val="en-US" w:eastAsia="zh-CN"/>
              </w:rPr>
              <w:t>★84.操作系统及驱动升级：支持通过网络、闪存盘等方式对操作系统、驱动进行升级</w:t>
            </w:r>
          </w:p>
          <w:p w14:paraId="532736FE">
            <w:pPr>
              <w:numPr>
                <w:numId w:val="0"/>
              </w:numPr>
              <w:ind w:leftChars="0"/>
              <w:rPr>
                <w:rFonts w:hint="eastAsia" w:ascii="Times New Roman" w:hAnsi="Times New Roman"/>
                <w:lang w:val="en-US" w:eastAsia="zh-CN"/>
              </w:rPr>
            </w:pPr>
            <w:r>
              <w:rPr>
                <w:rFonts w:hint="eastAsia" w:ascii="Times New Roman" w:hAnsi="Times New Roman"/>
                <w:lang w:val="en-US" w:eastAsia="zh-CN"/>
              </w:rPr>
              <w:t>★85.固件升级：支持通过网络、闪存盘等方式对固件进行升级</w:t>
            </w:r>
          </w:p>
          <w:p w14:paraId="6ED75CB3">
            <w:pPr>
              <w:numPr>
                <w:numId w:val="0"/>
              </w:numPr>
              <w:ind w:leftChars="0"/>
              <w:rPr>
                <w:rFonts w:hint="eastAsia" w:ascii="Times New Roman" w:hAnsi="Times New Roman"/>
                <w:lang w:val="en-US" w:eastAsia="zh-CN"/>
              </w:rPr>
            </w:pPr>
            <w:r>
              <w:rPr>
                <w:rFonts w:hint="eastAsia" w:ascii="Times New Roman" w:hAnsi="Times New Roman"/>
                <w:lang w:val="en-US" w:eastAsia="zh-CN"/>
              </w:rPr>
              <w:t>★86.BIOS支持关闭通讯接口：支持BIOS关闭以太网及USB接口</w:t>
            </w:r>
          </w:p>
          <w:p w14:paraId="0C722958">
            <w:pPr>
              <w:numPr>
                <w:numId w:val="0"/>
              </w:numPr>
              <w:ind w:leftChars="0"/>
              <w:rPr>
                <w:rFonts w:hint="eastAsia" w:ascii="Times New Roman" w:hAnsi="Times New Roman"/>
                <w:lang w:val="en-US" w:eastAsia="zh-CN"/>
              </w:rPr>
            </w:pPr>
            <w:r>
              <w:rPr>
                <w:rFonts w:hint="eastAsia" w:ascii="Times New Roman" w:hAnsi="Times New Roman"/>
                <w:lang w:val="en-US" w:eastAsia="zh-CN"/>
              </w:rPr>
              <w:t>★87.固件查看信息：支持查看固件版本、内存信息、主板信息、处理器信息和系统时间信息等功能</w:t>
            </w:r>
          </w:p>
          <w:p w14:paraId="26CB87C3">
            <w:pPr>
              <w:numPr>
                <w:numId w:val="0"/>
              </w:numPr>
              <w:ind w:leftChars="0"/>
              <w:rPr>
                <w:rFonts w:hint="eastAsia" w:ascii="Times New Roman" w:hAnsi="Times New Roman"/>
                <w:lang w:val="en-US" w:eastAsia="zh-CN"/>
              </w:rPr>
            </w:pPr>
            <w:r>
              <w:rPr>
                <w:rFonts w:hint="eastAsia" w:ascii="Times New Roman" w:hAnsi="Times New Roman"/>
                <w:lang w:val="en-US" w:eastAsia="zh-CN"/>
              </w:rPr>
              <w:t>★88.固件设置启动顺序：支持设置启动顺序功能，并按照设置的启动顺序启动</w:t>
            </w:r>
          </w:p>
          <w:p w14:paraId="359E7B8D">
            <w:pPr>
              <w:numPr>
                <w:numId w:val="0"/>
              </w:numPr>
              <w:ind w:leftChars="0"/>
              <w:rPr>
                <w:rFonts w:hint="eastAsia" w:ascii="Times New Roman" w:hAnsi="Times New Roman"/>
                <w:lang w:val="en-US" w:eastAsia="zh-CN"/>
              </w:rPr>
            </w:pPr>
            <w:r>
              <w:rPr>
                <w:rFonts w:hint="eastAsia" w:ascii="Times New Roman" w:hAnsi="Times New Roman"/>
                <w:lang w:val="en-US" w:eastAsia="zh-CN"/>
              </w:rPr>
              <w:t>★89.固件设置口令：支持设置口令、修改口令、验证口令功能</w:t>
            </w:r>
          </w:p>
          <w:p w14:paraId="40A33F90">
            <w:pPr>
              <w:numPr>
                <w:numId w:val="0"/>
              </w:numPr>
              <w:ind w:leftChars="0"/>
              <w:rPr>
                <w:rFonts w:hint="eastAsia" w:ascii="Times New Roman" w:hAnsi="Times New Roman"/>
                <w:lang w:val="en-US" w:eastAsia="zh-CN"/>
              </w:rPr>
            </w:pPr>
            <w:r>
              <w:rPr>
                <w:rFonts w:hint="eastAsia" w:ascii="Times New Roman" w:hAnsi="Times New Roman"/>
                <w:lang w:val="en-US" w:eastAsia="zh-CN"/>
              </w:rPr>
              <w:t>★90.固件设置网络引导：支持网络引导启动和关闭功能</w:t>
            </w:r>
          </w:p>
          <w:p w14:paraId="3DCF361E">
            <w:pPr>
              <w:numPr>
                <w:numId w:val="0"/>
              </w:numPr>
              <w:ind w:leftChars="0"/>
              <w:rPr>
                <w:rFonts w:hint="eastAsia" w:ascii="Times New Roman" w:hAnsi="Times New Roman"/>
                <w:lang w:val="en-US" w:eastAsia="zh-CN"/>
              </w:rPr>
            </w:pPr>
            <w:r>
              <w:rPr>
                <w:rFonts w:hint="eastAsia" w:ascii="Times New Roman" w:hAnsi="Times New Roman"/>
                <w:lang w:val="en-US" w:eastAsia="zh-CN"/>
              </w:rPr>
              <w:t>★91.固态存储寿命：TBW≥80TB（条件：240GB硬盘容量）</w:t>
            </w:r>
          </w:p>
          <w:p w14:paraId="7B291275">
            <w:pPr>
              <w:numPr>
                <w:numId w:val="0"/>
              </w:numPr>
              <w:ind w:leftChars="0"/>
              <w:rPr>
                <w:rFonts w:hint="eastAsia" w:ascii="Times New Roman" w:hAnsi="Times New Roman"/>
                <w:lang w:val="en-US" w:eastAsia="zh-CN"/>
              </w:rPr>
            </w:pPr>
            <w:r>
              <w:rPr>
                <w:rFonts w:hint="eastAsia" w:ascii="Times New Roman" w:hAnsi="Times New Roman"/>
                <w:lang w:val="en-US" w:eastAsia="zh-CN"/>
              </w:rPr>
              <w:t>★92.键盘按键寿命：≥1000万次</w:t>
            </w:r>
          </w:p>
          <w:p w14:paraId="46F788FC">
            <w:pPr>
              <w:numPr>
                <w:numId w:val="0"/>
              </w:numPr>
              <w:ind w:leftChars="0"/>
              <w:rPr>
                <w:rFonts w:hint="eastAsia" w:ascii="Times New Roman" w:hAnsi="Times New Roman"/>
                <w:lang w:val="en-US" w:eastAsia="zh-CN"/>
              </w:rPr>
            </w:pPr>
            <w:r>
              <w:rPr>
                <w:rFonts w:hint="eastAsia" w:ascii="Times New Roman" w:hAnsi="Times New Roman"/>
                <w:lang w:val="en-US" w:eastAsia="zh-CN"/>
              </w:rPr>
              <w:t>★93.鼠标按键寿命：≥500万次</w:t>
            </w:r>
          </w:p>
          <w:p w14:paraId="2E8FC288">
            <w:pPr>
              <w:numPr>
                <w:numId w:val="0"/>
              </w:numPr>
              <w:ind w:leftChars="0"/>
              <w:rPr>
                <w:rFonts w:hint="eastAsia" w:ascii="Times New Roman" w:hAnsi="Times New Roman"/>
                <w:lang w:val="en-US" w:eastAsia="zh-CN"/>
              </w:rPr>
            </w:pPr>
            <w:r>
              <w:rPr>
                <w:rFonts w:hint="eastAsia" w:ascii="Times New Roman" w:hAnsi="Times New Roman"/>
                <w:lang w:val="en-US" w:eastAsia="zh-CN"/>
              </w:rPr>
              <w:t>★94.键盘鼠标线材寿命：键盘鼠标所用线材经±60°弯折不低于3000次，功能、外观完好</w:t>
            </w:r>
          </w:p>
          <w:p w14:paraId="715407F4">
            <w:pPr>
              <w:numPr>
                <w:numId w:val="0"/>
              </w:numPr>
              <w:ind w:leftChars="0"/>
              <w:rPr>
                <w:rFonts w:hint="eastAsia" w:ascii="Times New Roman" w:hAnsi="Times New Roman"/>
                <w:lang w:val="en-US" w:eastAsia="zh-CN"/>
              </w:rPr>
            </w:pPr>
            <w:r>
              <w:rPr>
                <w:rFonts w:hint="eastAsia" w:ascii="Times New Roman" w:hAnsi="Times New Roman"/>
                <w:lang w:val="en-US" w:eastAsia="zh-CN"/>
              </w:rPr>
              <w:t>★95.风扇寿命：≥4万小时</w:t>
            </w:r>
          </w:p>
          <w:p w14:paraId="368372E5">
            <w:pPr>
              <w:numPr>
                <w:numId w:val="0"/>
              </w:numPr>
              <w:ind w:leftChars="0"/>
              <w:rPr>
                <w:rFonts w:hint="eastAsia" w:ascii="Times New Roman" w:hAnsi="Times New Roman"/>
                <w:lang w:val="en-US" w:eastAsia="zh-CN"/>
              </w:rPr>
            </w:pPr>
            <w:r>
              <w:rPr>
                <w:rFonts w:hint="eastAsia" w:ascii="Times New Roman" w:hAnsi="Times New Roman"/>
                <w:lang w:val="en-US" w:eastAsia="zh-CN"/>
              </w:rPr>
              <w:t>★96.电磁兼容性要求的抗扰度：符合GB/T9254.2的规定</w:t>
            </w:r>
          </w:p>
          <w:p w14:paraId="6FC44A3C">
            <w:pPr>
              <w:numPr>
                <w:numId w:val="0"/>
              </w:numPr>
              <w:ind w:leftChars="0"/>
              <w:rPr>
                <w:rFonts w:hint="eastAsia" w:ascii="Times New Roman" w:hAnsi="Times New Roman"/>
                <w:lang w:val="en-US" w:eastAsia="zh-CN"/>
              </w:rPr>
            </w:pPr>
            <w:r>
              <w:rPr>
                <w:rFonts w:hint="eastAsia" w:ascii="Times New Roman" w:hAnsi="Times New Roman"/>
                <w:lang w:val="en-US" w:eastAsia="zh-CN"/>
              </w:rPr>
              <w:t>★97.环境条件要求的气候环境适应性：符合GB/T9813.1中规定</w:t>
            </w:r>
          </w:p>
          <w:p w14:paraId="099C73E5">
            <w:pPr>
              <w:numPr>
                <w:numId w:val="0"/>
              </w:numPr>
              <w:ind w:leftChars="0"/>
              <w:rPr>
                <w:rFonts w:hint="eastAsia" w:ascii="Times New Roman" w:hAnsi="Times New Roman"/>
                <w:lang w:val="en-US" w:eastAsia="zh-CN"/>
              </w:rPr>
            </w:pPr>
            <w:r>
              <w:rPr>
                <w:rFonts w:hint="eastAsia" w:ascii="Times New Roman" w:hAnsi="Times New Roman"/>
                <w:lang w:val="en-US" w:eastAsia="zh-CN"/>
              </w:rPr>
              <w:t>★98.环境条件要求的振动适应性：符合GB/T9813.1中规定</w:t>
            </w:r>
          </w:p>
          <w:p w14:paraId="4636B12E">
            <w:pPr>
              <w:numPr>
                <w:numId w:val="0"/>
              </w:numPr>
              <w:ind w:leftChars="0"/>
              <w:rPr>
                <w:rFonts w:hint="eastAsia" w:ascii="Times New Roman" w:hAnsi="Times New Roman"/>
                <w:lang w:val="en-US" w:eastAsia="zh-CN"/>
              </w:rPr>
            </w:pPr>
            <w:r>
              <w:rPr>
                <w:rFonts w:hint="eastAsia" w:ascii="Times New Roman" w:hAnsi="Times New Roman"/>
                <w:lang w:val="en-US" w:eastAsia="zh-CN"/>
              </w:rPr>
              <w:t>★99.环境条件要求的冲击适应性：符合GB/T9813.1中规定</w:t>
            </w:r>
          </w:p>
          <w:p w14:paraId="7EBFF766">
            <w:pPr>
              <w:numPr>
                <w:numId w:val="0"/>
              </w:numPr>
              <w:ind w:leftChars="0"/>
              <w:rPr>
                <w:rFonts w:hint="eastAsia" w:ascii="Times New Roman" w:hAnsi="Times New Roman"/>
                <w:lang w:val="en-US" w:eastAsia="zh-CN"/>
              </w:rPr>
            </w:pPr>
            <w:r>
              <w:rPr>
                <w:rFonts w:hint="eastAsia" w:ascii="Times New Roman" w:hAnsi="Times New Roman"/>
                <w:lang w:val="en-US" w:eastAsia="zh-CN"/>
              </w:rPr>
              <w:t>★100.环境条件要求的碰撞适应性：符合GB/T9813.1中规定</w:t>
            </w:r>
          </w:p>
          <w:p w14:paraId="4BEE0766">
            <w:pPr>
              <w:numPr>
                <w:numId w:val="0"/>
              </w:numPr>
              <w:ind w:leftChars="0"/>
              <w:rPr>
                <w:rFonts w:hint="eastAsia" w:ascii="Times New Roman" w:hAnsi="Times New Roman"/>
                <w:lang w:val="en-US" w:eastAsia="zh-CN"/>
              </w:rPr>
            </w:pPr>
            <w:r>
              <w:rPr>
                <w:rFonts w:hint="eastAsia" w:ascii="Times New Roman" w:hAnsi="Times New Roman"/>
                <w:lang w:val="en-US" w:eastAsia="zh-CN"/>
              </w:rPr>
              <w:t>★101.环境条件要求的运输包装件跌落适应性：符合GB/T9813.1中规定</w:t>
            </w:r>
          </w:p>
          <w:p w14:paraId="06F3E47F">
            <w:pPr>
              <w:numPr>
                <w:numId w:val="0"/>
              </w:numPr>
              <w:ind w:leftChars="0"/>
              <w:rPr>
                <w:rFonts w:hint="eastAsia" w:ascii="Times New Roman" w:hAnsi="Times New Roman"/>
                <w:lang w:val="en-US" w:eastAsia="zh-CN"/>
              </w:rPr>
            </w:pPr>
            <w:r>
              <w:rPr>
                <w:rFonts w:hint="eastAsia" w:ascii="Times New Roman" w:hAnsi="Times New Roman"/>
                <w:lang w:val="en-US" w:eastAsia="zh-CN"/>
              </w:rPr>
              <w:t>★102.MTBF测试：MTBF(m1)≥3万小时</w:t>
            </w:r>
          </w:p>
          <w:p w14:paraId="492C8474">
            <w:pPr>
              <w:numPr>
                <w:numId w:val="0"/>
              </w:numPr>
              <w:ind w:leftChars="0"/>
              <w:rPr>
                <w:rFonts w:hint="eastAsia" w:ascii="Times New Roman" w:hAnsi="Times New Roman"/>
                <w:lang w:val="en-US" w:eastAsia="zh-CN"/>
              </w:rPr>
            </w:pPr>
            <w:r>
              <w:rPr>
                <w:rFonts w:hint="eastAsia" w:ascii="Times New Roman" w:hAnsi="Times New Roman"/>
                <w:lang w:val="en-US" w:eastAsia="zh-CN"/>
              </w:rPr>
              <w:t>★103.标志、包装、运输和贮存：符合GB/T9813.1和商品包装政府采购需求标准的相关规定</w:t>
            </w:r>
          </w:p>
          <w:p w14:paraId="469FC920">
            <w:pPr>
              <w:numPr>
                <w:numId w:val="0"/>
              </w:numPr>
              <w:ind w:leftChars="0"/>
              <w:rPr>
                <w:rFonts w:hint="eastAsia" w:ascii="Times New Roman" w:hAnsi="Times New Roman"/>
                <w:lang w:val="en-US" w:eastAsia="zh-CN"/>
              </w:rPr>
            </w:pPr>
            <w:r>
              <w:rPr>
                <w:rFonts w:hint="eastAsia" w:ascii="Times New Roman" w:hAnsi="Times New Roman"/>
                <w:lang w:val="en-US" w:eastAsia="zh-CN"/>
              </w:rPr>
              <w:t>★104.配置检查工具：供应商提供自检测试工具</w:t>
            </w:r>
          </w:p>
          <w:p w14:paraId="74904FEA">
            <w:pPr>
              <w:numPr>
                <w:numId w:val="0"/>
              </w:numPr>
              <w:ind w:leftChars="0"/>
              <w:rPr>
                <w:rFonts w:hint="eastAsia" w:ascii="Times New Roman" w:hAnsi="Times New Roman"/>
                <w:lang w:val="en-US" w:eastAsia="zh-CN"/>
              </w:rPr>
            </w:pPr>
            <w:r>
              <w:rPr>
                <w:rFonts w:hint="eastAsia" w:ascii="Times New Roman" w:hAnsi="Times New Roman"/>
                <w:lang w:val="en-US" w:eastAsia="zh-CN"/>
              </w:rPr>
              <w:t>★105.服务响应：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14:paraId="07F85B06">
            <w:pPr>
              <w:numPr>
                <w:numId w:val="0"/>
              </w:numPr>
              <w:ind w:leftChars="0"/>
              <w:rPr>
                <w:rFonts w:hint="eastAsia" w:ascii="Times New Roman" w:hAnsi="Times New Roman"/>
                <w:lang w:val="en-US" w:eastAsia="zh-CN"/>
              </w:rPr>
            </w:pPr>
            <w:r>
              <w:rPr>
                <w:rFonts w:hint="eastAsia" w:ascii="Times New Roman" w:hAnsi="Times New Roman"/>
                <w:lang w:val="en-US" w:eastAsia="zh-CN"/>
              </w:rPr>
              <w:t>★106.服务周期：a)设备停产后应继续提供质量保障服务（含备品备件），服务终止时间与最后一批设备交付时间间隔不低于6年；b)产品停止服务时间应提前1年告知；c)应明确产品发布日期</w:t>
            </w:r>
          </w:p>
          <w:p w14:paraId="568F96C3">
            <w:pPr>
              <w:numPr>
                <w:numId w:val="0"/>
              </w:numPr>
              <w:ind w:leftChars="0"/>
              <w:rPr>
                <w:rFonts w:hint="eastAsia" w:ascii="Times New Roman" w:hAnsi="Times New Roman"/>
                <w:lang w:val="en-US" w:eastAsia="zh-CN"/>
              </w:rPr>
            </w:pPr>
            <w:r>
              <w:rPr>
                <w:rFonts w:hint="eastAsia" w:ascii="Times New Roman" w:hAnsi="Times New Roman"/>
                <w:lang w:val="en-US" w:eastAsia="zh-CN"/>
              </w:rPr>
              <w:t>★107.培训服务：供应商提供培训材料、产品手册、培训视频等培训相关内容</w:t>
            </w:r>
          </w:p>
          <w:p w14:paraId="23C100AC">
            <w:pPr>
              <w:numPr>
                <w:numId w:val="0"/>
              </w:numPr>
              <w:ind w:leftChars="0"/>
              <w:rPr>
                <w:rFonts w:hint="eastAsia" w:ascii="Times New Roman" w:hAnsi="Times New Roman"/>
                <w:lang w:val="en-US" w:eastAsia="zh-CN"/>
              </w:rPr>
            </w:pPr>
            <w:r>
              <w:rPr>
                <w:rFonts w:hint="eastAsia" w:ascii="Times New Roman" w:hAnsi="Times New Roman"/>
                <w:lang w:val="en-US" w:eastAsia="zh-CN"/>
              </w:rPr>
              <w:t>★108.典型问题解决手册：供应商提供典型问题解决说明文档或视频</w:t>
            </w:r>
          </w:p>
          <w:p w14:paraId="01CFF567">
            <w:pPr>
              <w:numPr>
                <w:numId w:val="0"/>
              </w:numPr>
              <w:ind w:leftChars="0"/>
              <w:rPr>
                <w:rFonts w:hint="eastAsia" w:ascii="Times New Roman" w:hAnsi="Times New Roman"/>
                <w:lang w:val="en-US" w:eastAsia="zh-CN"/>
              </w:rPr>
            </w:pPr>
            <w:r>
              <w:rPr>
                <w:rFonts w:hint="eastAsia" w:ascii="Times New Roman" w:hAnsi="Times New Roman"/>
                <w:lang w:val="en-US" w:eastAsia="zh-CN"/>
              </w:rPr>
              <w:t>★109.厂家升级软件与扩容服务：供应商提供上门升级部件/软件与扩容的增值服务</w:t>
            </w:r>
          </w:p>
          <w:p w14:paraId="26E17495">
            <w:pPr>
              <w:numPr>
                <w:numId w:val="0"/>
              </w:numPr>
              <w:ind w:leftChars="0"/>
              <w:rPr>
                <w:rFonts w:hint="eastAsia" w:ascii="Times New Roman" w:hAnsi="Times New Roman"/>
                <w:lang w:val="en-US" w:eastAsia="zh-CN"/>
              </w:rPr>
            </w:pPr>
            <w:r>
              <w:rPr>
                <w:rFonts w:hint="eastAsia" w:ascii="Times New Roman" w:hAnsi="Times New Roman"/>
                <w:lang w:val="en-US" w:eastAsia="zh-CN"/>
              </w:rPr>
              <w:t>★110.整机质量服务要求：免费服务周期（含换件和维修）应不小于3年</w:t>
            </w:r>
          </w:p>
          <w:p w14:paraId="1292ABA3">
            <w:pPr>
              <w:numPr>
                <w:numId w:val="0"/>
              </w:numPr>
              <w:ind w:leftChars="0"/>
              <w:rPr>
                <w:rFonts w:hint="eastAsia" w:ascii="Times New Roman" w:hAnsi="Times New Roman"/>
                <w:lang w:val="en-US" w:eastAsia="zh-CN"/>
              </w:rPr>
            </w:pPr>
            <w:r>
              <w:rPr>
                <w:rFonts w:hint="eastAsia" w:ascii="Times New Roman" w:hAnsi="Times New Roman"/>
                <w:lang w:val="en-US" w:eastAsia="zh-CN"/>
              </w:rPr>
              <w:t>★111.合格证书要求：供应商提供产品合格证</w:t>
            </w:r>
          </w:p>
          <w:p w14:paraId="2712750B">
            <w:pPr>
              <w:numPr>
                <w:numId w:val="0"/>
              </w:numPr>
              <w:ind w:leftChars="0"/>
              <w:rPr>
                <w:rFonts w:hint="eastAsia" w:ascii="Times New Roman" w:hAnsi="Times New Roman"/>
                <w:lang w:val="en-US" w:eastAsia="zh-CN"/>
              </w:rPr>
            </w:pPr>
            <w:r>
              <w:rPr>
                <w:rFonts w:hint="eastAsia" w:ascii="Times New Roman" w:hAnsi="Times New Roman"/>
                <w:lang w:val="en-US" w:eastAsia="zh-CN"/>
              </w:rPr>
              <w:t>★112.开箱组装/使用指导要求：供应商提供开箱组装/使用指导</w:t>
            </w:r>
          </w:p>
          <w:p w14:paraId="54DBB2F2">
            <w:pPr>
              <w:numPr>
                <w:numId w:val="0"/>
              </w:numPr>
              <w:ind w:leftChars="0"/>
              <w:rPr>
                <w:rFonts w:hint="eastAsia" w:ascii="Times New Roman" w:hAnsi="Times New Roman"/>
                <w:lang w:val="en-US" w:eastAsia="zh-CN"/>
              </w:rPr>
            </w:pPr>
            <w:r>
              <w:rPr>
                <w:rFonts w:hint="eastAsia" w:ascii="Times New Roman" w:hAnsi="Times New Roman"/>
                <w:lang w:val="en-US" w:eastAsia="zh-CN"/>
              </w:rPr>
              <w:t>★113.驱动下载服务要求：供应商提供驱动光盘或下载方式</w:t>
            </w:r>
          </w:p>
          <w:p w14:paraId="1E6A56F4">
            <w:pPr>
              <w:numPr>
                <w:numId w:val="0"/>
              </w:numPr>
              <w:ind w:leftChars="0"/>
              <w:rPr>
                <w:rFonts w:hint="eastAsia" w:ascii="Times New Roman" w:hAnsi="Times New Roman"/>
                <w:lang w:val="en-US" w:eastAsia="zh-CN"/>
              </w:rPr>
            </w:pPr>
            <w:r>
              <w:rPr>
                <w:rFonts w:hint="eastAsia" w:ascii="Times New Roman" w:hAnsi="Times New Roman"/>
                <w:lang w:val="en-US" w:eastAsia="zh-CN"/>
              </w:rPr>
              <w:t>★114.兼容适配软件下载服务要求：供应商提供兼容适配软件下载渠道（光盘、网站</w:t>
            </w:r>
          </w:p>
          <w:p w14:paraId="610E0C88">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115.</w:t>
            </w:r>
            <w:r>
              <w:rPr>
                <w:rFonts w:hint="default" w:ascii="Times New Roman" w:hAnsi="Times New Roman"/>
                <w:lang w:val="en-US" w:eastAsia="zh-CN"/>
              </w:rPr>
              <w:t>产品部件保障</w:t>
            </w:r>
            <w:r>
              <w:rPr>
                <w:rFonts w:hint="eastAsia" w:ascii="Times New Roman" w:hAnsi="Times New Roman"/>
                <w:lang w:val="en-US" w:eastAsia="zh-CN"/>
              </w:rPr>
              <w:t>：供应商保障产品主要部件，提供6年的备件服务能力（自购买之日起），或提供可兼容原设备的升级换代产品</w:t>
            </w:r>
          </w:p>
          <w:p w14:paraId="12D1D2B2">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116.</w:t>
            </w:r>
            <w:r>
              <w:rPr>
                <w:rFonts w:hint="default" w:ascii="Times New Roman" w:hAnsi="Times New Roman"/>
                <w:lang w:val="en-US" w:eastAsia="zh-CN"/>
              </w:rPr>
              <w:t>抗干扰性</w:t>
            </w:r>
            <w:r>
              <w:rPr>
                <w:rFonts w:hint="eastAsia" w:ascii="Times New Roman" w:hAnsi="Times New Roman"/>
                <w:lang w:val="en-US" w:eastAsia="zh-CN"/>
              </w:rPr>
              <w:t>：当产品部件出现供应风险时，供应商应通知采购人并提供风险应对方案确保产品的服务保障</w:t>
            </w:r>
          </w:p>
          <w:p w14:paraId="50994D72">
            <w:pPr>
              <w:numPr>
                <w:numId w:val="0"/>
              </w:numPr>
              <w:ind w:leftChars="0"/>
              <w:rPr>
                <w:rFonts w:hint="default"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117.</w:t>
            </w:r>
            <w:r>
              <w:rPr>
                <w:rFonts w:hint="default" w:ascii="Times New Roman" w:hAnsi="Times New Roman"/>
                <w:lang w:val="en-US" w:eastAsia="zh-CN"/>
              </w:rPr>
              <w:t>供应能力证明</w:t>
            </w:r>
            <w:r>
              <w:rPr>
                <w:rFonts w:hint="eastAsia" w:ascii="Times New Roman" w:hAnsi="Times New Roman"/>
                <w:lang w:val="en-US" w:eastAsia="zh-CN"/>
              </w:rPr>
              <w:t>：供应商提供供应链稳定承诺书，确保产品的部件在产品服务周期内稳定供货</w:t>
            </w:r>
          </w:p>
          <w:p w14:paraId="3F25D301">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118.</w:t>
            </w:r>
            <w:r>
              <w:rPr>
                <w:rFonts w:hint="default" w:ascii="Times New Roman" w:hAnsi="Times New Roman"/>
                <w:lang w:val="en-US" w:eastAsia="zh-CN"/>
              </w:rPr>
              <w:t>关键部件安全要求</w:t>
            </w:r>
            <w:r>
              <w:rPr>
                <w:rFonts w:hint="eastAsia" w:ascii="Times New Roman" w:hAnsi="Times New Roman"/>
                <w:lang w:val="en-US" w:eastAsia="zh-CN"/>
              </w:rPr>
              <w:t>：CPU和操作系统等关键部件应当符合安全可靠测评要求</w:t>
            </w:r>
          </w:p>
          <w:p w14:paraId="79DE0E4A">
            <w:pPr>
              <w:numPr>
                <w:numId w:val="0"/>
              </w:numPr>
              <w:ind w:leftChars="0"/>
              <w:rPr>
                <w:rFonts w:hint="eastAsia"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119.</w:t>
            </w:r>
            <w:r>
              <w:rPr>
                <w:rFonts w:hint="default" w:ascii="Times New Roman" w:hAnsi="Times New Roman"/>
                <w:lang w:val="en-US" w:eastAsia="zh-CN"/>
              </w:rPr>
              <w:t>密码算法实现</w:t>
            </w:r>
            <w:r>
              <w:rPr>
                <w:rFonts w:hint="eastAsia" w:ascii="Times New Roman" w:hAnsi="Times New Roman"/>
                <w:lang w:val="en-US" w:eastAsia="zh-CN"/>
              </w:rPr>
              <w:t>：CPU芯片应符合GM/T0008的相关规定，或芯片密码模块应符合GB/T37092或GM/T0028的相关规定</w:t>
            </w:r>
          </w:p>
          <w:p w14:paraId="66C0B36D">
            <w:pPr>
              <w:numPr>
                <w:numId w:val="0"/>
              </w:numPr>
              <w:ind w:leftChars="0"/>
              <w:rPr>
                <w:rFonts w:hint="default" w:ascii="Times New Roman" w:hAnsi="Times New Roman"/>
                <w:lang w:val="en-US" w:eastAsia="zh-CN"/>
              </w:rPr>
            </w:pPr>
            <w:r>
              <w:rPr>
                <w:rFonts w:hint="eastAsia" w:ascii="Times New Roman" w:hAnsi="Times New Roman"/>
                <w:lang w:val="en-US" w:eastAsia="zh-CN"/>
              </w:rPr>
              <w:t>120.</w:t>
            </w:r>
            <w:r>
              <w:rPr>
                <w:rFonts w:hint="default" w:ascii="Times New Roman" w:hAnsi="Times New Roman"/>
                <w:lang w:val="en-US" w:eastAsia="zh-CN"/>
              </w:rPr>
              <w:t>USB端口管控</w:t>
            </w:r>
            <w:r>
              <w:rPr>
                <w:rFonts w:hint="eastAsia" w:ascii="Times New Roman" w:hAnsi="Times New Roman"/>
                <w:lang w:val="en-US" w:eastAsia="zh-CN"/>
              </w:rPr>
              <w:t>：支持USB端口管控</w:t>
            </w:r>
          </w:p>
          <w:p w14:paraId="2E3E4E27">
            <w:pPr>
              <w:numPr>
                <w:numId w:val="0"/>
              </w:numPr>
              <w:ind w:leftChars="0"/>
              <w:rPr>
                <w:rFonts w:hint="default" w:ascii="Times New Roman" w:hAnsi="Times New Roman"/>
                <w:lang w:val="en-US" w:eastAsia="zh-CN"/>
              </w:rPr>
            </w:pPr>
            <w:r>
              <w:rPr>
                <w:rFonts w:hint="eastAsia" w:ascii="Times New Roman" w:hAnsi="Times New Roman"/>
                <w:lang w:val="en-US" w:eastAsia="zh-CN"/>
              </w:rPr>
              <w:t>121.</w:t>
            </w:r>
            <w:r>
              <w:rPr>
                <w:rFonts w:hint="default" w:ascii="Times New Roman" w:hAnsi="Times New Roman"/>
                <w:lang w:val="en-US" w:eastAsia="zh-CN"/>
              </w:rPr>
              <w:t>安全物理锁</w:t>
            </w:r>
            <w:r>
              <w:rPr>
                <w:rFonts w:hint="eastAsia" w:ascii="Times New Roman" w:hAnsi="Times New Roman"/>
                <w:lang w:val="en-US" w:eastAsia="zh-CN"/>
              </w:rPr>
              <w:t>：支持安全物理锁</w:t>
            </w:r>
          </w:p>
          <w:p w14:paraId="47ECE34C">
            <w:pPr>
              <w:numPr>
                <w:numId w:val="0"/>
              </w:numPr>
              <w:ind w:leftChars="0"/>
              <w:rPr>
                <w:rFonts w:hint="default"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122.</w:t>
            </w:r>
            <w:r>
              <w:rPr>
                <w:rFonts w:hint="default" w:ascii="Times New Roman" w:hAnsi="Times New Roman"/>
                <w:lang w:val="en-US" w:eastAsia="zh-CN"/>
              </w:rPr>
              <w:t>信息安全基本要求</w:t>
            </w:r>
            <w:r>
              <w:rPr>
                <w:rFonts w:hint="eastAsia" w:ascii="Times New Roman" w:hAnsi="Times New Roman"/>
                <w:lang w:val="en-US" w:eastAsia="zh-CN"/>
              </w:rPr>
              <w:t>：a)产品应符合GB/T39276的5.2的规定；b)生产厂商应建立漏洞跟踪表，保证产品版本涉及到的漏洞(如驱动程序等)可查看；c)产品不得包含已知的恶意代码或漏洞，不存在未声明的指令、功能、接口</w:t>
            </w:r>
          </w:p>
          <w:p w14:paraId="77034F38">
            <w:pPr>
              <w:numPr>
                <w:numId w:val="0"/>
              </w:numPr>
              <w:ind w:leftChars="0"/>
              <w:rPr>
                <w:rFonts w:hint="default"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123.</w:t>
            </w:r>
            <w:r>
              <w:rPr>
                <w:rFonts w:hint="default" w:ascii="Times New Roman" w:hAnsi="Times New Roman"/>
                <w:lang w:val="en-US" w:eastAsia="zh-CN"/>
              </w:rPr>
              <w:t>固件安全启动</w:t>
            </w:r>
            <w:r>
              <w:rPr>
                <w:rFonts w:hint="eastAsia" w:ascii="Times New Roman" w:hAnsi="Times New Roman"/>
                <w:lang w:val="en-US" w:eastAsia="zh-CN"/>
              </w:rPr>
              <w:t>：支持固件安全启动功能，固件启动过程中只有通过启动校验才能正常启动</w:t>
            </w:r>
          </w:p>
          <w:p w14:paraId="70D40EB2">
            <w:pPr>
              <w:numPr>
                <w:numId w:val="0"/>
              </w:numPr>
              <w:ind w:leftChars="0"/>
              <w:rPr>
                <w:rFonts w:hint="default" w:ascii="Times New Roman" w:hAnsi="Times New Roman"/>
                <w:lang w:val="en-US" w:eastAsia="zh-CN"/>
              </w:rPr>
            </w:pPr>
            <w:r>
              <w:rPr>
                <w:rFonts w:hint="default" w:ascii="Times New Roman" w:hAnsi="Times New Roman"/>
                <w:lang w:val="en-US" w:eastAsia="zh-CN"/>
              </w:rPr>
              <w:t>★</w:t>
            </w:r>
            <w:r>
              <w:rPr>
                <w:rFonts w:hint="eastAsia" w:ascii="Times New Roman" w:hAnsi="Times New Roman"/>
                <w:lang w:val="en-US" w:eastAsia="zh-CN"/>
              </w:rPr>
              <w:t>124.</w:t>
            </w:r>
            <w:r>
              <w:rPr>
                <w:rFonts w:hint="default" w:ascii="Times New Roman" w:hAnsi="Times New Roman"/>
                <w:lang w:val="en-US" w:eastAsia="zh-CN"/>
              </w:rPr>
              <w:t>限用物质的限量要求</w:t>
            </w:r>
            <w:r>
              <w:rPr>
                <w:rFonts w:hint="eastAsia" w:ascii="Times New Roman" w:hAnsi="Times New Roman"/>
                <w:lang w:val="en-US" w:eastAsia="zh-CN"/>
              </w:rPr>
              <w:t>：符合GB/T26572中规定</w:t>
            </w:r>
          </w:p>
        </w:tc>
        <w:tc>
          <w:tcPr>
            <w:tcW w:w="710" w:type="dxa"/>
            <w:shd w:val="clear" w:color="auto" w:fill="auto"/>
            <w:vAlign w:val="center"/>
          </w:tcPr>
          <w:p w14:paraId="3FC1F78F">
            <w:pPr>
              <w:jc w:val="center"/>
              <w:rPr>
                <w:rFonts w:ascii="Times New Roman" w:hAnsi="Times New Roman"/>
              </w:rPr>
            </w:pPr>
            <w:r>
              <w:rPr>
                <w:rFonts w:hint="eastAsia" w:ascii="Times New Roman" w:hAnsi="Times New Roman"/>
              </w:rPr>
              <w:t>台</w:t>
            </w:r>
          </w:p>
        </w:tc>
        <w:tc>
          <w:tcPr>
            <w:tcW w:w="805" w:type="dxa"/>
            <w:shd w:val="clear" w:color="auto" w:fill="auto"/>
            <w:vAlign w:val="center"/>
          </w:tcPr>
          <w:p w14:paraId="3DEF667B">
            <w:pPr>
              <w:jc w:val="center"/>
              <w:rPr>
                <w:rFonts w:hint="default" w:ascii="Times New Roman" w:hAnsi="Times New Roman" w:eastAsia="宋体"/>
                <w:lang w:val="en-US" w:eastAsia="zh-CN"/>
              </w:rPr>
            </w:pPr>
            <w:r>
              <w:rPr>
                <w:rFonts w:hint="eastAsia" w:ascii="Times New Roman" w:hAnsi="Times New Roman"/>
                <w:lang w:val="en-US" w:eastAsia="zh-CN"/>
              </w:rPr>
              <w:t>106</w:t>
            </w:r>
            <w:bookmarkStart w:id="0" w:name="_GoBack"/>
            <w:bookmarkEnd w:id="0"/>
          </w:p>
        </w:tc>
      </w:tr>
    </w:tbl>
    <w:p w14:paraId="3E34374C">
      <w:pPr>
        <w:spacing w:line="360" w:lineRule="auto"/>
        <w:ind w:firstLine="480" w:firstLineChars="200"/>
        <w:rPr>
          <w:rFonts w:ascii="Times New Roman" w:hAnsi="Times New Roman"/>
          <w:sz w:val="24"/>
          <w:szCs w:val="24"/>
        </w:rPr>
      </w:pPr>
      <w:r>
        <w:rPr>
          <w:rFonts w:ascii="Times New Roman" w:hAnsi="Times New Roman"/>
          <w:sz w:val="24"/>
          <w:szCs w:val="24"/>
        </w:rPr>
        <w:t>填写说明：</w:t>
      </w:r>
    </w:p>
    <w:p w14:paraId="1539FE29">
      <w:pPr>
        <w:spacing w:line="360" w:lineRule="auto"/>
        <w:ind w:firstLine="480" w:firstLineChars="200"/>
        <w:rPr>
          <w:rFonts w:ascii="Times New Roman" w:hAnsi="Times New Roman"/>
          <w:sz w:val="24"/>
          <w:szCs w:val="24"/>
        </w:rPr>
      </w:pPr>
      <w:r>
        <w:rPr>
          <w:rFonts w:ascii="Times New Roman" w:hAnsi="Times New Roman"/>
          <w:sz w:val="24"/>
          <w:szCs w:val="24"/>
        </w:rPr>
        <w:t>1. 以上技术参数为示例，采购人应根据相关法律法规和项目实际需求提出；对于高于或多于财政部、工信部政府采购需求标准文件中的技术条款，应明确提出，其余条款可要求满足财政部、工信部政府采购需求标准文件即可。</w:t>
      </w:r>
    </w:p>
    <w:p w14:paraId="5D8692FC">
      <w:pPr>
        <w:spacing w:line="360" w:lineRule="auto"/>
        <w:ind w:firstLine="480" w:firstLineChars="200"/>
        <w:rPr>
          <w:rFonts w:ascii="Times New Roman" w:hAnsi="Times New Roman"/>
          <w:sz w:val="24"/>
          <w:szCs w:val="24"/>
        </w:rPr>
      </w:pPr>
      <w:r>
        <w:rPr>
          <w:rFonts w:hint="eastAsia" w:ascii="Times New Roman" w:hAnsi="Times New Roman"/>
          <w:sz w:val="24"/>
          <w:szCs w:val="24"/>
        </w:rPr>
        <w:t>2. 对于</w:t>
      </w:r>
      <w:r>
        <w:rPr>
          <w:rFonts w:ascii="Times New Roman" w:hAnsi="Times New Roman"/>
          <w:sz w:val="24"/>
          <w:szCs w:val="24"/>
        </w:rPr>
        <w:t>其余条款，采购人可以要求满足财政部、工信部政府采购需求标准文件中全部</w:t>
      </w:r>
      <w:r>
        <w:rPr>
          <w:rFonts w:hint="eastAsia" w:ascii="Times New Roman" w:hAnsi="Times New Roman"/>
          <w:sz w:val="24"/>
          <w:szCs w:val="24"/>
        </w:rPr>
        <w:t>标注“*”规定，也可以要求</w:t>
      </w:r>
      <w:r>
        <w:rPr>
          <w:rFonts w:ascii="Times New Roman" w:hAnsi="Times New Roman"/>
          <w:sz w:val="24"/>
          <w:szCs w:val="24"/>
        </w:rPr>
        <w:t>满足财政部、工信部政府采购需求标准文件中全部</w:t>
      </w:r>
      <w:r>
        <w:rPr>
          <w:rFonts w:hint="eastAsia" w:ascii="Times New Roman" w:hAnsi="Times New Roman"/>
          <w:sz w:val="24"/>
          <w:szCs w:val="24"/>
        </w:rPr>
        <w:t>规定；</w:t>
      </w:r>
    </w:p>
    <w:p w14:paraId="10F48132">
      <w:pPr>
        <w:spacing w:line="360" w:lineRule="auto"/>
        <w:ind w:firstLine="480" w:firstLineChars="200"/>
        <w:rPr>
          <w:rFonts w:ascii="Times New Roman" w:hAnsi="Times New Roman"/>
          <w:sz w:val="24"/>
          <w:szCs w:val="24"/>
        </w:rPr>
      </w:pPr>
      <w:r>
        <w:rPr>
          <w:rFonts w:hint="eastAsia" w:ascii="Times New Roman" w:hAnsi="Times New Roman"/>
          <w:sz w:val="24"/>
          <w:szCs w:val="24"/>
        </w:rPr>
        <w:t>3. 关于安全可靠测评，根据财政部、工信部政府采购需求标准文件的要求，乡镇以上党政机关、已经党委和政府直属事业单位及部门所属为机关提供支持保障的事业单位应要求CPU、操作系统、数据库通过安全可靠测评，并设置为标准★的实质性要求；其余采购人可以要求CPU、操作系统、数据库通过安全可靠测评，也可以明确“接受通过安全可靠测评的产品，也接受未通过安全可靠测评的产品”。</w:t>
      </w:r>
    </w:p>
    <w:p w14:paraId="6EE9B544">
      <w:pPr>
        <w:spacing w:line="360" w:lineRule="auto"/>
        <w:ind w:firstLine="480" w:firstLineChars="200"/>
        <w:rPr>
          <w:rFonts w:ascii="Times New Roman" w:hAnsi="Times New Roman"/>
          <w:sz w:val="24"/>
          <w:szCs w:val="24"/>
        </w:rPr>
      </w:pPr>
      <w:r>
        <w:rPr>
          <w:rFonts w:hint="eastAsia" w:ascii="Times New Roman" w:hAnsi="Times New Roman"/>
          <w:sz w:val="24"/>
          <w:szCs w:val="24"/>
        </w:rPr>
        <w:t>4. 台式计算机、工作站应明确“供应商应提供显示器品牌型号，并承诺满足《台式计算机政府采购需求标准（2023年版）》（财库[2023]29号）或《工作站政府采购需求标准（2023年版）》（财库[2023]32号）中显示设备的要求，且显示器具备节能产品认证证书”。</w:t>
      </w:r>
    </w:p>
    <w:p w14:paraId="31F6781A">
      <w:pPr>
        <w:spacing w:line="360" w:lineRule="auto"/>
        <w:ind w:firstLine="480" w:firstLineChars="200"/>
        <w:rPr>
          <w:rFonts w:ascii="Times New Roman" w:hAnsi="Times New Roman"/>
          <w:sz w:val="24"/>
          <w:szCs w:val="24"/>
        </w:rPr>
      </w:pPr>
      <w:r>
        <w:rPr>
          <w:rFonts w:hint="eastAsia" w:ascii="Times New Roman" w:hAnsi="Times New Roman"/>
          <w:sz w:val="24"/>
          <w:szCs w:val="24"/>
        </w:rPr>
        <w:t>注：按《政府采购法实施条例》第34条和《政府采购需求管理办法》（财库[2021]22号）第19条的规定，台式计算机、便携式计算机、一体式计算机、工作站、通用服务器、操作系统、数据库应采用最低评标价法的评审方法。</w:t>
      </w:r>
    </w:p>
    <w:p w14:paraId="448F5F76">
      <w:pPr>
        <w:spacing w:line="360" w:lineRule="auto"/>
        <w:ind w:firstLine="480" w:firstLineChars="200"/>
        <w:rPr>
          <w:rFonts w:ascii="Times New Roman" w:hAnsi="Times New Roman"/>
          <w:sz w:val="24"/>
          <w:szCs w:val="24"/>
        </w:rPr>
      </w:pPr>
      <w:r>
        <w:rPr>
          <w:rFonts w:hint="eastAsia" w:ascii="Times New Roman" w:hAnsi="Times New Roman"/>
          <w:sz w:val="24"/>
          <w:szCs w:val="24"/>
        </w:rPr>
        <w:t>按以上采购需求标准文件的要求，台式计算机、便携式计算机、一体式计算机、工作站、通用服务器、操作系统、数据库预算累计达到50万元的应当单独分包采购。</w:t>
      </w:r>
    </w:p>
    <w:p w14:paraId="68E1B24E">
      <w:pPr>
        <w:spacing w:line="360" w:lineRule="auto"/>
        <w:ind w:firstLine="480" w:firstLineChars="200"/>
        <w:rPr>
          <w:rFonts w:ascii="Times New Roman" w:hAnsi="Times New Roman"/>
          <w:sz w:val="24"/>
          <w:szCs w:val="24"/>
        </w:rPr>
      </w:pPr>
    </w:p>
    <w:p w14:paraId="0764F104">
      <w:pPr>
        <w:spacing w:line="360" w:lineRule="auto"/>
        <w:ind w:firstLine="480" w:firstLineChars="200"/>
        <w:rPr>
          <w:rFonts w:ascii="Times New Roman" w:hAnsi="Times New Roman"/>
          <w:sz w:val="24"/>
          <w:szCs w:val="24"/>
        </w:rPr>
      </w:pPr>
    </w:p>
    <w:p w14:paraId="1F02A760">
      <w:pPr>
        <w:spacing w:line="360" w:lineRule="auto"/>
        <w:ind w:firstLine="480" w:firstLineChars="200"/>
        <w:rPr>
          <w:rFonts w:ascii="Times New Roman" w:hAnsi="Times New Roman"/>
          <w:sz w:val="24"/>
          <w:szCs w:val="24"/>
        </w:rPr>
      </w:pPr>
    </w:p>
    <w:p w14:paraId="2B2AEC5C">
      <w:pPr>
        <w:spacing w:line="360" w:lineRule="auto"/>
        <w:ind w:firstLine="480" w:firstLineChars="200"/>
        <w:rPr>
          <w:sz w:val="24"/>
        </w:rPr>
      </w:pPr>
    </w:p>
    <w:p w14:paraId="7A3B9279">
      <w:pPr>
        <w:spacing w:line="360" w:lineRule="auto"/>
        <w:ind w:firstLine="480" w:firstLineChars="200"/>
        <w:rPr>
          <w:sz w:val="24"/>
        </w:rPr>
      </w:pPr>
    </w:p>
    <w:p w14:paraId="751DB2CB">
      <w:pPr>
        <w:spacing w:line="360" w:lineRule="auto"/>
        <w:ind w:firstLine="480" w:firstLineChars="200"/>
        <w:rPr>
          <w:sz w:val="24"/>
        </w:rPr>
      </w:pPr>
    </w:p>
    <w:p w14:paraId="744AD250">
      <w:pPr>
        <w:spacing w:line="360" w:lineRule="auto"/>
        <w:ind w:firstLine="480" w:firstLineChars="200"/>
        <w:rPr>
          <w:sz w:val="24"/>
        </w:rPr>
      </w:pPr>
    </w:p>
    <w:p w14:paraId="5684BA6D"/>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0846CE"/>
    <w:multiLevelType w:val="singleLevel"/>
    <w:tmpl w:val="3D0846CE"/>
    <w:lvl w:ilvl="0" w:tentative="0">
      <w:start w:val="6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6F6"/>
    <w:rsid w:val="00054EFD"/>
    <w:rsid w:val="0006538B"/>
    <w:rsid w:val="0009313E"/>
    <w:rsid w:val="001B7E08"/>
    <w:rsid w:val="002C6F04"/>
    <w:rsid w:val="004E1C95"/>
    <w:rsid w:val="004F3FF8"/>
    <w:rsid w:val="005C2CF8"/>
    <w:rsid w:val="005E1A79"/>
    <w:rsid w:val="006320F6"/>
    <w:rsid w:val="006A2982"/>
    <w:rsid w:val="006D3F56"/>
    <w:rsid w:val="006D66CB"/>
    <w:rsid w:val="00725669"/>
    <w:rsid w:val="007429B6"/>
    <w:rsid w:val="007F0814"/>
    <w:rsid w:val="008A6D72"/>
    <w:rsid w:val="008F3C2D"/>
    <w:rsid w:val="00935BD4"/>
    <w:rsid w:val="0098256B"/>
    <w:rsid w:val="009A4C38"/>
    <w:rsid w:val="009C3304"/>
    <w:rsid w:val="009D73E4"/>
    <w:rsid w:val="00A43A85"/>
    <w:rsid w:val="00A66FEF"/>
    <w:rsid w:val="00AA0623"/>
    <w:rsid w:val="00BC63D5"/>
    <w:rsid w:val="00C6145C"/>
    <w:rsid w:val="00C63EC3"/>
    <w:rsid w:val="00D4101A"/>
    <w:rsid w:val="00ED0384"/>
    <w:rsid w:val="00EE33BC"/>
    <w:rsid w:val="00EF46F6"/>
    <w:rsid w:val="00FA0722"/>
    <w:rsid w:val="023F763D"/>
    <w:rsid w:val="052B4902"/>
    <w:rsid w:val="072D6233"/>
    <w:rsid w:val="09FC4B43"/>
    <w:rsid w:val="1E5F3B62"/>
    <w:rsid w:val="4ADD3A25"/>
    <w:rsid w:val="59AA0720"/>
    <w:rsid w:val="5C7B286D"/>
    <w:rsid w:val="6F1B08BF"/>
    <w:rsid w:val="71955D64"/>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kern w:val="0"/>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Title"/>
    <w:basedOn w:val="1"/>
    <w:next w:val="1"/>
    <w:link w:val="8"/>
    <w:qFormat/>
    <w:uiPriority w:val="10"/>
    <w:pPr>
      <w:spacing w:before="240" w:after="60"/>
      <w:jc w:val="center"/>
      <w:outlineLvl w:val="0"/>
    </w:pPr>
    <w:rPr>
      <w:rFonts w:ascii="Cambria" w:hAnsi="Cambria"/>
      <w:b/>
      <w:bCs/>
      <w:kern w:val="0"/>
      <w:sz w:val="32"/>
      <w:szCs w:val="32"/>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标题 Char"/>
    <w:link w:val="4"/>
    <w:qFormat/>
    <w:uiPriority w:val="10"/>
    <w:rPr>
      <w:rFonts w:ascii="Cambria" w:hAnsi="Cambria" w:eastAsia="宋体" w:cs="Times New Roman"/>
      <w:b/>
      <w:bCs/>
      <w:sz w:val="32"/>
      <w:szCs w:val="32"/>
    </w:rPr>
  </w:style>
  <w:style w:type="character" w:customStyle="1" w:styleId="9">
    <w:name w:val="页眉 Char"/>
    <w:link w:val="3"/>
    <w:qFormat/>
    <w:uiPriority w:val="99"/>
    <w:rPr>
      <w:sz w:val="18"/>
      <w:szCs w:val="18"/>
    </w:rPr>
  </w:style>
  <w:style w:type="character" w:customStyle="1" w:styleId="10">
    <w:name w:val="页脚 Char"/>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970</Words>
  <Characters>1185</Characters>
  <Lines>18</Lines>
  <Paragraphs>5</Paragraphs>
  <TotalTime>79</TotalTime>
  <ScaleCrop>false</ScaleCrop>
  <LinksUpToDate>false</LinksUpToDate>
  <CharactersWithSpaces>1203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2025-10-16T09:40:00Z</dcterms:created>
  <dc:creator>ggzy</dc:creator>
  <cp:lastModifiedBy>陌上花发可以缓缓醉矣</cp:lastModifiedBy>
  <dcterms:modified xsi:type="dcterms:W3CDTF">2026-10-27T05:34:43Z</dcterms:modified>
  <dc:title>项目需求书（货物-台式计算机、便携式计算机、一体式计算机、工作站、通用服务器、操作系统、数据库）</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F79DFF50845345C1B7D437951AB70ADF_13</vt:lpwstr>
  </property>
  <property fmtid="{D5CDD505-2E9C-101B-9397-08002B2CF9AE}" pid="4" name="KSOTemplateDocerSaveRecord">
    <vt:lpwstr>eyJoZGlkIjoiZGU5ODY5OGJkODY1MGU0MjZiZWU5MmNjYjc2YWM3MTIiLCJ1c2VySWQiOiI1MjA4NTUwMTUifQ==</vt:lpwstr>
  </property>
</Properties>
</file>