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FBB229">
      <w:pPr>
        <w:pStyle w:val="4"/>
      </w:pPr>
      <w:r>
        <w:t>项目需求书</w:t>
      </w:r>
    </w:p>
    <w:p w14:paraId="1AE278B9">
      <w:pPr>
        <w:pStyle w:val="10"/>
        <w:numPr>
          <w:ilvl w:val="0"/>
          <w:numId w:val="1"/>
        </w:numPr>
        <w:spacing w:line="360" w:lineRule="auto"/>
        <w:ind w:firstLineChars="0"/>
        <w:rPr>
          <w:rFonts w:ascii="Times New Roman" w:hAnsi="Times New Roman" w:cs="Times New Roman"/>
          <w:b/>
          <w:sz w:val="24"/>
          <w:szCs w:val="24"/>
        </w:rPr>
      </w:pPr>
      <w:r>
        <w:rPr>
          <w:rFonts w:ascii="Times New Roman" w:hAnsi="Times New Roman" w:cs="Times New Roman"/>
          <w:b/>
          <w:sz w:val="24"/>
          <w:szCs w:val="24"/>
        </w:rPr>
        <w:t>项目背景</w:t>
      </w:r>
    </w:p>
    <w:p w14:paraId="5449BD10">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rPr>
        <w:t>天津</w:t>
      </w:r>
      <w:r>
        <w:rPr>
          <w:rFonts w:hint="eastAsia" w:ascii="Times New Roman" w:hAnsi="Times New Roman" w:cs="Times New Roman"/>
          <w:sz w:val="24"/>
          <w:szCs w:val="24"/>
          <w:lang w:val="en-US" w:eastAsia="zh-CN"/>
        </w:rPr>
        <w:t>东疆综合保税区管理委员会一辆公务用车津KV9162</w:t>
      </w:r>
      <w:r>
        <w:rPr>
          <w:rFonts w:hint="eastAsia" w:ascii="Times New Roman" w:hAnsi="Times New Roman" w:cs="Times New Roman"/>
          <w:sz w:val="24"/>
          <w:szCs w:val="24"/>
        </w:rPr>
        <w:t>已使用</w:t>
      </w:r>
      <w:r>
        <w:rPr>
          <w:rFonts w:hint="eastAsia" w:ascii="Times New Roman" w:hAnsi="Times New Roman" w:cs="Times New Roman"/>
          <w:sz w:val="24"/>
          <w:szCs w:val="24"/>
          <w:lang w:val="en-US" w:eastAsia="zh-CN"/>
        </w:rPr>
        <w:t>14</w:t>
      </w:r>
      <w:r>
        <w:rPr>
          <w:rFonts w:hint="eastAsia" w:ascii="Times New Roman" w:hAnsi="Times New Roman" w:cs="Times New Roman"/>
          <w:sz w:val="24"/>
          <w:szCs w:val="24"/>
        </w:rPr>
        <w:t>年，</w:t>
      </w:r>
      <w:r>
        <w:rPr>
          <w:rFonts w:hint="eastAsia" w:ascii="Times New Roman" w:hAnsi="Times New Roman" w:cs="Times New Roman"/>
          <w:sz w:val="24"/>
          <w:szCs w:val="24"/>
          <w:lang w:val="en-US" w:eastAsia="zh-CN"/>
        </w:rPr>
        <w:t>已严重陈旧老化，故障频发，维修费用高，</w:t>
      </w:r>
      <w:r>
        <w:rPr>
          <w:rFonts w:hint="eastAsia"/>
          <w:sz w:val="24"/>
        </w:rPr>
        <w:t>车辆</w:t>
      </w:r>
      <w:r>
        <w:rPr>
          <w:rFonts w:hint="eastAsia"/>
          <w:sz w:val="24"/>
          <w:lang w:val="en-US" w:eastAsia="zh-CN"/>
        </w:rPr>
        <w:t>已</w:t>
      </w:r>
      <w:r>
        <w:rPr>
          <w:rFonts w:hint="eastAsia"/>
          <w:sz w:val="24"/>
        </w:rPr>
        <w:t>经天津市公务用车处置平台评估</w:t>
      </w:r>
      <w:r>
        <w:rPr>
          <w:rFonts w:hint="eastAsia"/>
          <w:sz w:val="24"/>
          <w:lang w:val="en-US" w:eastAsia="zh-CN"/>
        </w:rPr>
        <w:t>及</w:t>
      </w:r>
      <w:r>
        <w:rPr>
          <w:rFonts w:hint="eastAsia"/>
          <w:sz w:val="24"/>
        </w:rPr>
        <w:t>滨海新区公车办审批同意</w:t>
      </w:r>
      <w:r>
        <w:rPr>
          <w:rFonts w:hint="eastAsia"/>
          <w:sz w:val="24"/>
          <w:lang w:val="en-US" w:eastAsia="zh-CN"/>
        </w:rPr>
        <w:t>后</w:t>
      </w:r>
      <w:r>
        <w:rPr>
          <w:rFonts w:hint="eastAsia"/>
          <w:sz w:val="24"/>
        </w:rPr>
        <w:t>进行报废处置</w:t>
      </w:r>
      <w:r>
        <w:rPr>
          <w:rFonts w:hint="eastAsia"/>
          <w:sz w:val="24"/>
          <w:lang w:eastAsia="zh-CN"/>
        </w:rPr>
        <w:t>。</w:t>
      </w:r>
      <w:r>
        <w:rPr>
          <w:rFonts w:hint="eastAsia" w:ascii="Times New Roman" w:hAnsi="Times New Roman" w:cs="Times New Roman"/>
          <w:sz w:val="24"/>
          <w:szCs w:val="24"/>
          <w:lang w:val="en-US" w:eastAsia="zh-CN"/>
        </w:rPr>
        <w:t>为保障公务出行需求，现拟采购一辆7人座新能源公务用车。</w:t>
      </w:r>
    </w:p>
    <w:p w14:paraId="42263642">
      <w:pPr>
        <w:spacing w:line="360" w:lineRule="auto"/>
        <w:ind w:firstLine="480" w:firstLineChars="200"/>
        <w:rPr>
          <w:rFonts w:ascii="Times New Roman" w:hAnsi="Times New Roman" w:cs="Times New Roman"/>
          <w:b/>
          <w:sz w:val="24"/>
          <w:szCs w:val="24"/>
        </w:rPr>
      </w:pPr>
      <w:r>
        <w:rPr>
          <w:rFonts w:hint="eastAsia" w:ascii="宋体" w:hAnsi="宋体" w:eastAsia="宋体" w:cs="宋体"/>
          <w:sz w:val="24"/>
        </w:rPr>
        <w:t>★</w:t>
      </w:r>
      <w:r>
        <w:rPr>
          <w:rFonts w:ascii="Times New Roman" w:hAnsi="Times New Roman" w:cs="Times New Roman"/>
          <w:b/>
          <w:sz w:val="24"/>
          <w:szCs w:val="24"/>
        </w:rPr>
        <w:t>二、项目预算</w:t>
      </w:r>
    </w:p>
    <w:p w14:paraId="22288A36">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第一包：</w:t>
      </w:r>
      <w:r>
        <w:rPr>
          <w:rFonts w:hint="eastAsia" w:ascii="Times New Roman" w:hAnsi="Times New Roman" w:cs="Times New Roman"/>
          <w:sz w:val="24"/>
          <w:szCs w:val="24"/>
          <w:lang w:val="en-US" w:eastAsia="zh-CN"/>
        </w:rPr>
        <w:t>250000</w:t>
      </w:r>
      <w:r>
        <w:rPr>
          <w:rFonts w:hint="eastAsia" w:ascii="Times New Roman" w:hAnsi="Times New Roman" w:cs="Times New Roman"/>
          <w:sz w:val="24"/>
          <w:szCs w:val="24"/>
        </w:rPr>
        <w:t>元；</w:t>
      </w:r>
    </w:p>
    <w:p w14:paraId="08DBD2D2">
      <w:pPr>
        <w:spacing w:line="360" w:lineRule="auto"/>
        <w:ind w:firstLine="480" w:firstLineChars="200"/>
        <w:rPr>
          <w:rFonts w:ascii="Times New Roman" w:hAnsi="Times New Roman" w:cs="Times New Roman"/>
          <w:color w:val="FF0000"/>
          <w:sz w:val="24"/>
          <w:szCs w:val="24"/>
        </w:rPr>
      </w:pPr>
      <w:r>
        <w:rPr>
          <w:rFonts w:ascii="Times New Roman" w:hAnsi="Times New Roman" w:cs="Times New Roman"/>
          <w:color w:val="FF0000"/>
          <w:sz w:val="24"/>
          <w:szCs w:val="24"/>
        </w:rPr>
        <w:t>预算应包含车辆及附件货款、运输费、运输保险费、装卸费、安装调试费及其他应有的费用。</w:t>
      </w:r>
    </w:p>
    <w:p w14:paraId="4C7A112D">
      <w:pPr>
        <w:spacing w:line="360" w:lineRule="auto"/>
        <w:ind w:firstLine="480" w:firstLineChars="200"/>
        <w:rPr>
          <w:rFonts w:ascii="Times New Roman" w:hAnsi="Times New Roman" w:cs="Times New Roman"/>
          <w:color w:val="FF0000"/>
          <w:sz w:val="24"/>
          <w:szCs w:val="24"/>
        </w:rPr>
      </w:pPr>
      <w:r>
        <w:rPr>
          <w:rFonts w:ascii="Times New Roman" w:hAnsi="Times New Roman" w:cs="Times New Roman"/>
          <w:color w:val="FF0000"/>
          <w:sz w:val="24"/>
          <w:szCs w:val="24"/>
        </w:rPr>
        <w:t>不包含机动车保险、机动车号牌</w:t>
      </w:r>
      <w:r>
        <w:rPr>
          <w:rFonts w:hint="eastAsia" w:ascii="Times New Roman" w:hAnsi="Times New Roman" w:cs="Times New Roman"/>
          <w:color w:val="FF0000"/>
          <w:sz w:val="24"/>
          <w:szCs w:val="24"/>
          <w:lang w:eastAsia="zh-CN"/>
        </w:rPr>
        <w:t>、</w:t>
      </w:r>
      <w:r>
        <w:rPr>
          <w:rFonts w:hint="eastAsia" w:ascii="Times New Roman" w:hAnsi="Times New Roman" w:cs="Times New Roman"/>
          <w:color w:val="FF0000"/>
          <w:sz w:val="24"/>
          <w:szCs w:val="24"/>
          <w:lang w:val="en-US" w:eastAsia="zh-CN"/>
        </w:rPr>
        <w:t>车辆购置税</w:t>
      </w:r>
      <w:r>
        <w:rPr>
          <w:rFonts w:ascii="Times New Roman" w:hAnsi="Times New Roman" w:cs="Times New Roman"/>
          <w:color w:val="FF0000"/>
          <w:sz w:val="24"/>
          <w:szCs w:val="24"/>
        </w:rPr>
        <w:t>费用。</w:t>
      </w:r>
    </w:p>
    <w:p w14:paraId="54019AB4">
      <w:pPr>
        <w:spacing w:line="360" w:lineRule="auto"/>
        <w:ind w:firstLine="480" w:firstLineChars="200"/>
        <w:rPr>
          <w:rFonts w:ascii="Times New Roman" w:hAnsi="Times New Roman" w:cs="Times New Roman"/>
          <w:b/>
          <w:sz w:val="24"/>
          <w:szCs w:val="24"/>
        </w:rPr>
      </w:pPr>
      <w:r>
        <w:rPr>
          <w:rFonts w:hint="eastAsia" w:ascii="宋体" w:hAnsi="宋体" w:eastAsia="宋体" w:cs="宋体"/>
          <w:sz w:val="24"/>
        </w:rPr>
        <w:t>★</w:t>
      </w:r>
      <w:r>
        <w:rPr>
          <w:rFonts w:ascii="Times New Roman" w:hAnsi="Times New Roman" w:cs="Times New Roman"/>
          <w:b/>
          <w:sz w:val="24"/>
          <w:szCs w:val="24"/>
        </w:rPr>
        <w:t>三、</w:t>
      </w:r>
      <w:r>
        <w:rPr>
          <w:rFonts w:hint="eastAsia" w:ascii="Times New Roman" w:hAnsi="Times New Roman" w:cs="Times New Roman"/>
          <w:b/>
          <w:sz w:val="24"/>
          <w:szCs w:val="24"/>
        </w:rPr>
        <w:t>资格要求</w:t>
      </w:r>
    </w:p>
    <w:p w14:paraId="0ECAD6C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（一）投标人须具备《中华人民共和国政府采购法》第二十二条第一款规定的条件。</w:t>
      </w:r>
    </w:p>
    <w:p w14:paraId="5FBD4D10">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（二）本项目</w:t>
      </w:r>
      <w:r>
        <w:rPr>
          <w:rFonts w:hint="eastAsia" w:ascii="Times New Roman" w:hAnsi="Times New Roman" w:cs="Times New Roman"/>
          <w:color w:val="FF0000"/>
          <w:sz w:val="24"/>
          <w:szCs w:val="24"/>
        </w:rPr>
        <w:t>不接受</w:t>
      </w:r>
      <w:r>
        <w:rPr>
          <w:rFonts w:hint="eastAsia" w:ascii="Times New Roman" w:hAnsi="Times New Roman" w:cs="Times New Roman"/>
          <w:sz w:val="24"/>
          <w:szCs w:val="24"/>
        </w:rPr>
        <w:t>联合体。</w:t>
      </w:r>
    </w:p>
    <w:p w14:paraId="46CECA55">
      <w:pPr>
        <w:spacing w:line="360" w:lineRule="auto"/>
        <w:ind w:firstLine="480" w:firstLineChars="200"/>
        <w:rPr>
          <w:rFonts w:ascii="Times New Roman" w:hAnsi="Times New Roman" w:cs="Times New Roman"/>
          <w:b/>
          <w:sz w:val="24"/>
          <w:szCs w:val="24"/>
        </w:rPr>
      </w:pPr>
      <w:r>
        <w:rPr>
          <w:rFonts w:hint="eastAsia" w:ascii="宋体" w:hAnsi="宋体" w:eastAsia="宋体" w:cs="宋体"/>
          <w:sz w:val="24"/>
        </w:rPr>
        <w:t>★</w:t>
      </w:r>
      <w:r>
        <w:rPr>
          <w:rFonts w:hint="eastAsia" w:ascii="Times New Roman" w:hAnsi="Times New Roman" w:cs="Times New Roman"/>
          <w:b/>
          <w:sz w:val="24"/>
          <w:szCs w:val="24"/>
        </w:rPr>
        <w:t>四、</w:t>
      </w:r>
      <w:r>
        <w:rPr>
          <w:rFonts w:ascii="Times New Roman" w:hAnsi="Times New Roman" w:cs="Times New Roman"/>
          <w:b/>
          <w:sz w:val="24"/>
          <w:szCs w:val="24"/>
        </w:rPr>
        <w:t>服务要求</w:t>
      </w:r>
    </w:p>
    <w:p w14:paraId="4CB45B78">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所投车辆包修期限不低于</w:t>
      </w:r>
      <w:r>
        <w:rPr>
          <w:rFonts w:ascii="Times New Roman" w:hAnsi="Times New Roman" w:cs="Times New Roman"/>
          <w:color w:val="FF0000"/>
          <w:sz w:val="24"/>
          <w:szCs w:val="24"/>
        </w:rPr>
        <w:t>3年</w:t>
      </w:r>
      <w:r>
        <w:rPr>
          <w:rFonts w:ascii="Times New Roman" w:hAnsi="Times New Roman" w:cs="Times New Roman"/>
          <w:sz w:val="24"/>
          <w:szCs w:val="24"/>
        </w:rPr>
        <w:t>或者行驶里程</w:t>
      </w:r>
      <w:r>
        <w:rPr>
          <w:rFonts w:ascii="Times New Roman" w:hAnsi="Times New Roman" w:cs="Times New Roman"/>
          <w:color w:val="FF0000"/>
          <w:sz w:val="24"/>
          <w:szCs w:val="24"/>
        </w:rPr>
        <w:t>100,000公里</w:t>
      </w:r>
      <w:r>
        <w:rPr>
          <w:rFonts w:ascii="Times New Roman" w:hAnsi="Times New Roman" w:cs="Times New Roman"/>
          <w:sz w:val="24"/>
          <w:szCs w:val="24"/>
        </w:rPr>
        <w:t>，以先到者为准；所投车辆三包（修理、更换、退货）有效期限不低于</w:t>
      </w:r>
      <w:r>
        <w:rPr>
          <w:rFonts w:ascii="Times New Roman" w:hAnsi="Times New Roman" w:cs="Times New Roman"/>
          <w:color w:val="FF0000"/>
          <w:sz w:val="24"/>
          <w:szCs w:val="24"/>
        </w:rPr>
        <w:t>2年</w:t>
      </w:r>
      <w:r>
        <w:rPr>
          <w:rFonts w:ascii="Times New Roman" w:hAnsi="Times New Roman" w:cs="Times New Roman"/>
          <w:sz w:val="24"/>
          <w:szCs w:val="24"/>
        </w:rPr>
        <w:t>或者行驶里程</w:t>
      </w:r>
      <w:r>
        <w:rPr>
          <w:rFonts w:ascii="Times New Roman" w:hAnsi="Times New Roman" w:cs="Times New Roman"/>
          <w:color w:val="FF0000"/>
          <w:sz w:val="24"/>
          <w:szCs w:val="24"/>
        </w:rPr>
        <w:t>50,000公里</w:t>
      </w:r>
      <w:r>
        <w:rPr>
          <w:rFonts w:ascii="Times New Roman" w:hAnsi="Times New Roman" w:cs="Times New Roman"/>
          <w:sz w:val="24"/>
          <w:szCs w:val="24"/>
        </w:rPr>
        <w:t>，以先到者为准。包修期和三包有效期自供应商开具购车发票之日起计算。</w:t>
      </w:r>
    </w:p>
    <w:p w14:paraId="69C103A0">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在包修期内，车辆出现产品质量问题，供应商负责免费修理（包括工时费和材料费）。</w:t>
      </w:r>
    </w:p>
    <w:p w14:paraId="2877232D">
      <w:pPr>
        <w:autoSpaceDE w:val="0"/>
        <w:autoSpaceDN w:val="0"/>
        <w:spacing w:line="360" w:lineRule="auto"/>
        <w:ind w:firstLine="480" w:firstLineChars="200"/>
        <w:rPr>
          <w:rFonts w:ascii="Times New Roman" w:hAnsi="Times New Roman" w:cs="Times New Roman"/>
          <w:b/>
          <w:sz w:val="24"/>
        </w:rPr>
      </w:pPr>
      <w:r>
        <w:rPr>
          <w:rFonts w:hint="eastAsia" w:ascii="宋体" w:hAnsi="宋体" w:eastAsia="宋体" w:cs="宋体"/>
          <w:sz w:val="24"/>
        </w:rPr>
        <w:t>★</w:t>
      </w:r>
      <w:r>
        <w:rPr>
          <w:rFonts w:hint="eastAsia" w:ascii="Times New Roman" w:hAnsi="Times New Roman" w:cs="Times New Roman"/>
          <w:b/>
          <w:sz w:val="24"/>
        </w:rPr>
        <w:t>五</w:t>
      </w:r>
      <w:r>
        <w:rPr>
          <w:rFonts w:ascii="Times New Roman" w:hAnsi="Times New Roman" w:cs="Times New Roman"/>
          <w:b/>
          <w:sz w:val="24"/>
        </w:rPr>
        <w:t>、交货要求</w:t>
      </w:r>
    </w:p>
    <w:p w14:paraId="4801BCD9">
      <w:pPr>
        <w:spacing w:line="360" w:lineRule="auto"/>
        <w:ind w:firstLine="480" w:firstLineChars="200"/>
        <w:rPr>
          <w:rFonts w:hint="default" w:ascii="Times New Roman" w:hAnsi="Times New Roman" w:cs="Times New Roman" w:eastAsiaTheme="minorEastAsia"/>
          <w:sz w:val="24"/>
          <w:szCs w:val="24"/>
          <w:lang w:val="en-US" w:eastAsia="zh-CN"/>
        </w:rPr>
      </w:pPr>
      <w:r>
        <w:rPr>
          <w:rFonts w:hint="eastAsia" w:ascii="Times New Roman" w:hAnsi="Times New Roman" w:cs="Times New Roman"/>
          <w:sz w:val="24"/>
          <w:szCs w:val="24"/>
          <w:lang w:val="en-US" w:eastAsia="zh-CN"/>
        </w:rPr>
        <w:t>1.</w:t>
      </w:r>
      <w:r>
        <w:rPr>
          <w:rFonts w:ascii="Times New Roman" w:hAnsi="Times New Roman" w:cs="Times New Roman"/>
          <w:sz w:val="24"/>
          <w:szCs w:val="24"/>
        </w:rPr>
        <w:t>交货时间：</w:t>
      </w:r>
      <w:r>
        <w:rPr>
          <w:rFonts w:hint="eastAsia" w:ascii="Times New Roman" w:hAnsi="Times New Roman" w:cs="Times New Roman"/>
          <w:sz w:val="24"/>
          <w:szCs w:val="24"/>
          <w:lang w:val="en-US" w:eastAsia="zh-CN"/>
        </w:rPr>
        <w:t>签订合同之日起30个工作日内（特殊情况以合同为准）</w:t>
      </w:r>
    </w:p>
    <w:p w14:paraId="61503B1F">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2.</w:t>
      </w:r>
      <w:r>
        <w:rPr>
          <w:rFonts w:ascii="Times New Roman" w:hAnsi="Times New Roman" w:cs="Times New Roman"/>
          <w:sz w:val="24"/>
          <w:szCs w:val="24"/>
        </w:rPr>
        <w:t>交货地点：</w:t>
      </w:r>
      <w:r>
        <w:rPr>
          <w:rFonts w:hint="eastAsia" w:ascii="Times New Roman" w:hAnsi="Times New Roman" w:cs="Times New Roman"/>
          <w:sz w:val="24"/>
          <w:szCs w:val="24"/>
          <w:lang w:val="en-US" w:eastAsia="zh-CN"/>
        </w:rPr>
        <w:t>采购人指定地点（特殊情况以合同为准）</w:t>
      </w:r>
    </w:p>
    <w:p w14:paraId="09855C9D">
      <w:pPr>
        <w:autoSpaceDE w:val="0"/>
        <w:autoSpaceDN w:val="0"/>
        <w:adjustRightInd w:val="0"/>
        <w:spacing w:line="360" w:lineRule="auto"/>
        <w:ind w:firstLine="480" w:firstLineChars="200"/>
        <w:rPr>
          <w:color w:val="000000"/>
          <w:sz w:val="24"/>
        </w:rPr>
      </w:pPr>
      <w:r>
        <w:rPr>
          <w:rFonts w:hint="eastAsia" w:hAnsiTheme="minorEastAsia"/>
          <w:color w:val="000000"/>
          <w:sz w:val="24"/>
          <w:lang w:val="en-US" w:eastAsia="zh-CN"/>
        </w:rPr>
        <w:t>3.</w:t>
      </w:r>
      <w:r>
        <w:rPr>
          <w:rFonts w:hint="eastAsia" w:hAnsiTheme="minorEastAsia"/>
          <w:color w:val="000000"/>
          <w:sz w:val="24"/>
        </w:rPr>
        <w:t>提供制造商完整的随机资料，包括完整的使用和维修手册等。</w:t>
      </w:r>
    </w:p>
    <w:p w14:paraId="1226C486">
      <w:pPr>
        <w:autoSpaceDE w:val="0"/>
        <w:autoSpaceDN w:val="0"/>
        <w:adjustRightInd w:val="0"/>
        <w:spacing w:line="360" w:lineRule="auto"/>
        <w:ind w:firstLine="480" w:firstLineChars="200"/>
        <w:rPr>
          <w:rFonts w:hint="default" w:ascii="Times New Roman" w:hAnsi="Times New Roman" w:cs="Times New Roman"/>
          <w:sz w:val="24"/>
          <w:szCs w:val="24"/>
          <w:lang w:val="en-US" w:eastAsia="zh-CN"/>
        </w:rPr>
      </w:pPr>
      <w:r>
        <w:rPr>
          <w:rFonts w:hint="eastAsia" w:hAnsiTheme="minorEastAsia"/>
          <w:color w:val="000000"/>
          <w:sz w:val="24"/>
          <w:lang w:val="en-US" w:eastAsia="zh-CN"/>
        </w:rPr>
        <w:t>4.</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FC2EC7D">
      <w:pPr>
        <w:autoSpaceDE w:val="0"/>
        <w:autoSpaceDN w:val="0"/>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六</w:t>
      </w:r>
      <w:r>
        <w:rPr>
          <w:rFonts w:ascii="Times New Roman" w:hAnsi="Times New Roman" w:cs="Times New Roman"/>
          <w:b/>
          <w:sz w:val="24"/>
        </w:rPr>
        <w:t>、付款方式</w:t>
      </w:r>
    </w:p>
    <w:p w14:paraId="5F58F279">
      <w:pPr>
        <w:autoSpaceDE w:val="0"/>
        <w:autoSpaceDN w:val="0"/>
        <w:spacing w:line="360" w:lineRule="auto"/>
        <w:ind w:firstLine="480" w:firstLineChars="200"/>
        <w:rPr>
          <w:rFonts w:hint="default" w:ascii="Times New Roman" w:hAnsi="Times New Roman" w:cs="Times New Roman" w:eastAsiaTheme="minorEastAsia"/>
          <w:b/>
          <w:sz w:val="24"/>
          <w:lang w:val="en-US" w:eastAsia="zh-CN"/>
        </w:rPr>
      </w:pPr>
      <w:r>
        <w:rPr>
          <w:rFonts w:ascii="Times New Roman" w:hAnsi="Times New Roman" w:cs="Times New Roman"/>
          <w:sz w:val="24"/>
        </w:rPr>
        <w:t>货到现场安装、调试完毕，所有设备使用无质量问题，验收合格后</w:t>
      </w:r>
      <w:r>
        <w:rPr>
          <w:rFonts w:hint="eastAsia" w:ascii="Times New Roman" w:hAnsi="Times New Roman" w:cs="Times New Roman"/>
          <w:sz w:val="24"/>
          <w:lang w:val="en-US" w:eastAsia="zh-CN"/>
        </w:rPr>
        <w:t>15</w:t>
      </w:r>
      <w:r>
        <w:rPr>
          <w:rFonts w:ascii="Times New Roman" w:hAnsi="Times New Roman" w:cs="Times New Roman"/>
          <w:color w:val="FF0000"/>
          <w:sz w:val="24"/>
        </w:rPr>
        <w:t>个</w:t>
      </w:r>
      <w:r>
        <w:rPr>
          <w:rFonts w:ascii="Times New Roman" w:hAnsi="Times New Roman" w:cs="Times New Roman"/>
          <w:sz w:val="24"/>
        </w:rPr>
        <w:t>工作日内支付合同总额的</w:t>
      </w:r>
      <w:r>
        <w:rPr>
          <w:rFonts w:hint="eastAsia" w:ascii="Times New Roman" w:hAnsi="Times New Roman" w:cs="Times New Roman"/>
          <w:color w:val="FF0000"/>
          <w:kern w:val="0"/>
          <w:sz w:val="24"/>
          <w:szCs w:val="24"/>
          <w:lang w:val="en-US" w:eastAsia="zh-CN"/>
        </w:rPr>
        <w:t>100</w:t>
      </w:r>
      <w:r>
        <w:rPr>
          <w:rFonts w:ascii="Times New Roman" w:hAnsi="Times New Roman" w:cs="Times New Roman"/>
          <w:color w:val="FF0000"/>
          <w:sz w:val="24"/>
        </w:rPr>
        <w:t>%</w:t>
      </w:r>
      <w:r>
        <w:rPr>
          <w:rFonts w:ascii="Times New Roman" w:hAnsi="Times New Roman" w:cs="Times New Roman"/>
          <w:sz w:val="24"/>
        </w:rPr>
        <w:t>。</w:t>
      </w:r>
      <w:r>
        <w:rPr>
          <w:rFonts w:hint="eastAsia" w:ascii="Times New Roman" w:hAnsi="Times New Roman" w:cs="Times New Roman"/>
          <w:sz w:val="24"/>
          <w:lang w:eastAsia="zh-CN"/>
        </w:rPr>
        <w:t>（</w:t>
      </w:r>
      <w:r>
        <w:rPr>
          <w:rFonts w:hint="eastAsia" w:ascii="Times New Roman" w:hAnsi="Times New Roman" w:cs="Times New Roman"/>
          <w:sz w:val="24"/>
          <w:lang w:val="en-US" w:eastAsia="zh-CN"/>
        </w:rPr>
        <w:t>具体以合同为准）</w:t>
      </w:r>
    </w:p>
    <w:p w14:paraId="768B4047">
      <w:pPr>
        <w:autoSpaceDE w:val="0"/>
        <w:autoSpaceDN w:val="0"/>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七</w:t>
      </w:r>
      <w:r>
        <w:rPr>
          <w:rFonts w:ascii="Times New Roman" w:hAnsi="Times New Roman" w:cs="Times New Roman"/>
          <w:b/>
          <w:sz w:val="24"/>
        </w:rPr>
        <w:t>、技术要求</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1"/>
        <w:gridCol w:w="1468"/>
        <w:gridCol w:w="880"/>
        <w:gridCol w:w="5443"/>
      </w:tblGrid>
      <w:tr w14:paraId="33B89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29" w:type="pct"/>
            <w:vAlign w:val="center"/>
          </w:tcPr>
          <w:p w14:paraId="54C520DF">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1" w:type="pct"/>
            <w:vAlign w:val="center"/>
          </w:tcPr>
          <w:p w14:paraId="01C99DDD">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6" w:type="pct"/>
            <w:vAlign w:val="center"/>
          </w:tcPr>
          <w:p w14:paraId="358073F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2" w:type="pct"/>
            <w:vAlign w:val="center"/>
          </w:tcPr>
          <w:p w14:paraId="7ACCE21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14:paraId="428C6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restart"/>
            <w:vAlign w:val="center"/>
          </w:tcPr>
          <w:p w14:paraId="63DF9041">
            <w:pPr>
              <w:widowControl/>
              <w:snapToGrid w:val="0"/>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861" w:type="pct"/>
            <w:vMerge w:val="restart"/>
            <w:vAlign w:val="center"/>
          </w:tcPr>
          <w:p w14:paraId="1426C113">
            <w:pPr>
              <w:widowControl/>
              <w:snapToGrid w:val="0"/>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新能源MPV</w:t>
            </w:r>
          </w:p>
        </w:tc>
        <w:tc>
          <w:tcPr>
            <w:tcW w:w="516" w:type="pct"/>
            <w:vMerge w:val="restart"/>
            <w:vAlign w:val="center"/>
          </w:tcPr>
          <w:p w14:paraId="5F5ECCEC">
            <w:pPr>
              <w:widowControl/>
              <w:snapToGrid w:val="0"/>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1辆</w:t>
            </w:r>
          </w:p>
        </w:tc>
        <w:tc>
          <w:tcPr>
            <w:tcW w:w="3192" w:type="pct"/>
            <w:shd w:val="clear" w:color="auto" w:fill="auto"/>
            <w:vAlign w:val="center"/>
          </w:tcPr>
          <w:p w14:paraId="6F78C3EC">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★能源类型：插电式混合动力</w:t>
            </w:r>
          </w:p>
        </w:tc>
      </w:tr>
      <w:tr w14:paraId="49CEE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7587D336">
            <w:pPr>
              <w:widowControl/>
              <w:snapToGrid w:val="0"/>
              <w:jc w:val="center"/>
              <w:rPr>
                <w:rFonts w:ascii="Times New Roman" w:hAnsi="Times New Roman" w:cs="Times New Roman"/>
                <w:kern w:val="0"/>
                <w:sz w:val="24"/>
                <w:szCs w:val="24"/>
              </w:rPr>
            </w:pPr>
          </w:p>
        </w:tc>
        <w:tc>
          <w:tcPr>
            <w:tcW w:w="861" w:type="pct"/>
            <w:vMerge w:val="continue"/>
            <w:vAlign w:val="center"/>
          </w:tcPr>
          <w:p w14:paraId="3FA0B383">
            <w:pPr>
              <w:widowControl/>
              <w:snapToGrid w:val="0"/>
              <w:jc w:val="center"/>
              <w:rPr>
                <w:rFonts w:ascii="Times New Roman" w:hAnsi="Times New Roman" w:cs="Times New Roman"/>
                <w:kern w:val="0"/>
                <w:sz w:val="24"/>
                <w:szCs w:val="24"/>
              </w:rPr>
            </w:pPr>
          </w:p>
        </w:tc>
        <w:tc>
          <w:tcPr>
            <w:tcW w:w="516" w:type="pct"/>
            <w:vMerge w:val="continue"/>
            <w:vAlign w:val="center"/>
          </w:tcPr>
          <w:p w14:paraId="36A51212">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3E31931E">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★排放标准：国六B</w:t>
            </w:r>
          </w:p>
        </w:tc>
      </w:tr>
      <w:tr w14:paraId="7214D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38FFBE45">
            <w:pPr>
              <w:widowControl/>
              <w:snapToGrid w:val="0"/>
              <w:jc w:val="center"/>
              <w:rPr>
                <w:rFonts w:ascii="Times New Roman" w:hAnsi="Times New Roman" w:cs="Times New Roman"/>
                <w:kern w:val="0"/>
                <w:sz w:val="24"/>
                <w:szCs w:val="24"/>
              </w:rPr>
            </w:pPr>
          </w:p>
        </w:tc>
        <w:tc>
          <w:tcPr>
            <w:tcW w:w="861" w:type="pct"/>
            <w:vMerge w:val="continue"/>
            <w:vAlign w:val="center"/>
          </w:tcPr>
          <w:p w14:paraId="5D44571E">
            <w:pPr>
              <w:widowControl/>
              <w:snapToGrid w:val="0"/>
              <w:jc w:val="center"/>
              <w:rPr>
                <w:rFonts w:ascii="Times New Roman" w:hAnsi="Times New Roman" w:cs="Times New Roman"/>
                <w:kern w:val="0"/>
                <w:sz w:val="24"/>
                <w:szCs w:val="24"/>
              </w:rPr>
            </w:pPr>
          </w:p>
        </w:tc>
        <w:tc>
          <w:tcPr>
            <w:tcW w:w="516" w:type="pct"/>
            <w:vMerge w:val="continue"/>
            <w:vAlign w:val="center"/>
          </w:tcPr>
          <w:p w14:paraId="44E4BF82">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2AC649D9">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★车身结构：5门7座中大型MPV</w:t>
            </w:r>
          </w:p>
        </w:tc>
      </w:tr>
      <w:tr w14:paraId="7E99F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31DD6939">
            <w:pPr>
              <w:widowControl/>
              <w:snapToGrid w:val="0"/>
              <w:jc w:val="center"/>
              <w:rPr>
                <w:rFonts w:ascii="Times New Roman" w:hAnsi="Times New Roman" w:cs="Times New Roman"/>
                <w:kern w:val="0"/>
                <w:sz w:val="24"/>
                <w:szCs w:val="24"/>
              </w:rPr>
            </w:pPr>
          </w:p>
        </w:tc>
        <w:tc>
          <w:tcPr>
            <w:tcW w:w="861" w:type="pct"/>
            <w:vMerge w:val="continue"/>
            <w:vAlign w:val="center"/>
          </w:tcPr>
          <w:p w14:paraId="2E602FD2">
            <w:pPr>
              <w:widowControl/>
              <w:snapToGrid w:val="0"/>
              <w:jc w:val="center"/>
              <w:rPr>
                <w:rFonts w:ascii="Times New Roman" w:hAnsi="Times New Roman" w:cs="Times New Roman"/>
                <w:kern w:val="0"/>
                <w:sz w:val="24"/>
                <w:szCs w:val="24"/>
              </w:rPr>
            </w:pPr>
          </w:p>
        </w:tc>
        <w:tc>
          <w:tcPr>
            <w:tcW w:w="516" w:type="pct"/>
            <w:vMerge w:val="continue"/>
            <w:vAlign w:val="center"/>
          </w:tcPr>
          <w:p w14:paraId="309E34EE">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76506C5D">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★车身颜色：黑、白</w:t>
            </w:r>
          </w:p>
        </w:tc>
      </w:tr>
      <w:tr w14:paraId="63B24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0446C59F">
            <w:pPr>
              <w:widowControl/>
              <w:snapToGrid w:val="0"/>
              <w:jc w:val="center"/>
              <w:rPr>
                <w:rFonts w:ascii="Times New Roman" w:hAnsi="Times New Roman" w:cs="Times New Roman"/>
                <w:kern w:val="0"/>
                <w:sz w:val="24"/>
                <w:szCs w:val="24"/>
              </w:rPr>
            </w:pPr>
          </w:p>
        </w:tc>
        <w:tc>
          <w:tcPr>
            <w:tcW w:w="861" w:type="pct"/>
            <w:vMerge w:val="continue"/>
            <w:vAlign w:val="center"/>
          </w:tcPr>
          <w:p w14:paraId="3D508E68">
            <w:pPr>
              <w:widowControl/>
              <w:snapToGrid w:val="0"/>
              <w:jc w:val="center"/>
              <w:rPr>
                <w:rFonts w:ascii="Times New Roman" w:hAnsi="Times New Roman" w:cs="Times New Roman"/>
                <w:kern w:val="0"/>
                <w:sz w:val="24"/>
                <w:szCs w:val="24"/>
              </w:rPr>
            </w:pPr>
          </w:p>
        </w:tc>
        <w:tc>
          <w:tcPr>
            <w:tcW w:w="516" w:type="pct"/>
            <w:vMerge w:val="continue"/>
            <w:vAlign w:val="center"/>
          </w:tcPr>
          <w:p w14:paraId="69F20CD3">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3C312D74">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★车身尺寸（mm）：长：5200≤长≤5400</w:t>
            </w:r>
          </w:p>
        </w:tc>
      </w:tr>
      <w:tr w14:paraId="54A5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13F37A86">
            <w:pPr>
              <w:widowControl/>
              <w:snapToGrid w:val="0"/>
              <w:jc w:val="center"/>
              <w:rPr>
                <w:rFonts w:ascii="Times New Roman" w:hAnsi="Times New Roman" w:cs="Times New Roman"/>
                <w:kern w:val="0"/>
                <w:sz w:val="24"/>
                <w:szCs w:val="24"/>
              </w:rPr>
            </w:pPr>
          </w:p>
        </w:tc>
        <w:tc>
          <w:tcPr>
            <w:tcW w:w="861" w:type="pct"/>
            <w:vMerge w:val="continue"/>
            <w:vAlign w:val="center"/>
          </w:tcPr>
          <w:p w14:paraId="03E6A074">
            <w:pPr>
              <w:widowControl/>
              <w:snapToGrid w:val="0"/>
              <w:jc w:val="center"/>
              <w:rPr>
                <w:rFonts w:ascii="Times New Roman" w:hAnsi="Times New Roman" w:cs="Times New Roman"/>
                <w:kern w:val="0"/>
                <w:sz w:val="24"/>
                <w:szCs w:val="24"/>
              </w:rPr>
            </w:pPr>
          </w:p>
        </w:tc>
        <w:tc>
          <w:tcPr>
            <w:tcW w:w="516" w:type="pct"/>
            <w:vMerge w:val="continue"/>
            <w:vAlign w:val="center"/>
          </w:tcPr>
          <w:p w14:paraId="3021109E">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27BE1AF0">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★车身尺寸（mm）：宽：1950≤宽≤2100</w:t>
            </w:r>
          </w:p>
        </w:tc>
      </w:tr>
      <w:tr w14:paraId="3B39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1E491D75">
            <w:pPr>
              <w:widowControl/>
              <w:snapToGrid w:val="0"/>
              <w:jc w:val="center"/>
              <w:rPr>
                <w:rFonts w:ascii="Times New Roman" w:hAnsi="Times New Roman" w:cs="Times New Roman"/>
                <w:kern w:val="0"/>
                <w:sz w:val="24"/>
                <w:szCs w:val="24"/>
              </w:rPr>
            </w:pPr>
          </w:p>
        </w:tc>
        <w:tc>
          <w:tcPr>
            <w:tcW w:w="861" w:type="pct"/>
            <w:vMerge w:val="continue"/>
            <w:vAlign w:val="center"/>
          </w:tcPr>
          <w:p w14:paraId="0557BF29">
            <w:pPr>
              <w:widowControl/>
              <w:snapToGrid w:val="0"/>
              <w:jc w:val="center"/>
              <w:rPr>
                <w:rFonts w:ascii="Times New Roman" w:hAnsi="Times New Roman" w:cs="Times New Roman"/>
                <w:kern w:val="0"/>
                <w:sz w:val="24"/>
                <w:szCs w:val="24"/>
              </w:rPr>
            </w:pPr>
          </w:p>
        </w:tc>
        <w:tc>
          <w:tcPr>
            <w:tcW w:w="516" w:type="pct"/>
            <w:vMerge w:val="continue"/>
            <w:vAlign w:val="center"/>
          </w:tcPr>
          <w:p w14:paraId="58E1A13C">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3D6ECE21">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★车身尺寸（mm）：高：1800≤高≤1950</w:t>
            </w:r>
          </w:p>
        </w:tc>
      </w:tr>
      <w:tr w14:paraId="7560A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DDC6865">
            <w:pPr>
              <w:widowControl/>
              <w:snapToGrid w:val="0"/>
              <w:jc w:val="center"/>
              <w:rPr>
                <w:rFonts w:ascii="Times New Roman" w:hAnsi="Times New Roman" w:cs="Times New Roman"/>
                <w:kern w:val="0"/>
                <w:sz w:val="24"/>
                <w:szCs w:val="24"/>
              </w:rPr>
            </w:pPr>
          </w:p>
        </w:tc>
        <w:tc>
          <w:tcPr>
            <w:tcW w:w="861" w:type="pct"/>
            <w:vMerge w:val="continue"/>
            <w:vAlign w:val="center"/>
          </w:tcPr>
          <w:p w14:paraId="0A31FA9B">
            <w:pPr>
              <w:widowControl/>
              <w:snapToGrid w:val="0"/>
              <w:jc w:val="center"/>
              <w:rPr>
                <w:rFonts w:ascii="Times New Roman" w:hAnsi="Times New Roman" w:cs="Times New Roman"/>
                <w:kern w:val="0"/>
                <w:sz w:val="24"/>
                <w:szCs w:val="24"/>
              </w:rPr>
            </w:pPr>
          </w:p>
        </w:tc>
        <w:tc>
          <w:tcPr>
            <w:tcW w:w="516" w:type="pct"/>
            <w:vMerge w:val="continue"/>
            <w:vAlign w:val="center"/>
          </w:tcPr>
          <w:p w14:paraId="5DB03449">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9D08F4F">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★轴距（mm）：≥3110</w:t>
            </w:r>
          </w:p>
        </w:tc>
      </w:tr>
      <w:tr w14:paraId="4AA3E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79ECBBA3">
            <w:pPr>
              <w:widowControl/>
              <w:snapToGrid w:val="0"/>
              <w:jc w:val="center"/>
              <w:rPr>
                <w:rFonts w:ascii="Times New Roman" w:hAnsi="Times New Roman" w:cs="Times New Roman"/>
                <w:kern w:val="0"/>
                <w:sz w:val="24"/>
                <w:szCs w:val="24"/>
              </w:rPr>
            </w:pPr>
          </w:p>
        </w:tc>
        <w:tc>
          <w:tcPr>
            <w:tcW w:w="861" w:type="pct"/>
            <w:vMerge w:val="continue"/>
            <w:vAlign w:val="center"/>
          </w:tcPr>
          <w:p w14:paraId="69BDA50C">
            <w:pPr>
              <w:widowControl/>
              <w:snapToGrid w:val="0"/>
              <w:jc w:val="center"/>
              <w:rPr>
                <w:rFonts w:ascii="Times New Roman" w:hAnsi="Times New Roman" w:cs="Times New Roman"/>
                <w:kern w:val="0"/>
                <w:sz w:val="24"/>
                <w:szCs w:val="24"/>
              </w:rPr>
            </w:pPr>
          </w:p>
        </w:tc>
        <w:tc>
          <w:tcPr>
            <w:tcW w:w="516" w:type="pct"/>
            <w:vMerge w:val="continue"/>
            <w:vAlign w:val="center"/>
          </w:tcPr>
          <w:p w14:paraId="0452D0A1">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0A35C2C2">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★发动机排量（ml）：1475≤排量≤2000</w:t>
            </w:r>
          </w:p>
        </w:tc>
      </w:tr>
      <w:tr w14:paraId="35E1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61CDBBD7">
            <w:pPr>
              <w:widowControl/>
              <w:snapToGrid w:val="0"/>
              <w:jc w:val="center"/>
              <w:rPr>
                <w:rFonts w:ascii="Times New Roman" w:hAnsi="Times New Roman" w:cs="Times New Roman"/>
                <w:kern w:val="0"/>
                <w:sz w:val="24"/>
                <w:szCs w:val="24"/>
              </w:rPr>
            </w:pPr>
          </w:p>
        </w:tc>
        <w:tc>
          <w:tcPr>
            <w:tcW w:w="861" w:type="pct"/>
            <w:vMerge w:val="continue"/>
            <w:vAlign w:val="center"/>
          </w:tcPr>
          <w:p w14:paraId="4E51FAE4">
            <w:pPr>
              <w:widowControl/>
              <w:snapToGrid w:val="0"/>
              <w:jc w:val="center"/>
              <w:rPr>
                <w:rFonts w:ascii="Times New Roman" w:hAnsi="Times New Roman" w:cs="Times New Roman"/>
                <w:kern w:val="0"/>
                <w:sz w:val="24"/>
                <w:szCs w:val="24"/>
              </w:rPr>
            </w:pPr>
          </w:p>
        </w:tc>
        <w:tc>
          <w:tcPr>
            <w:tcW w:w="516" w:type="pct"/>
            <w:vMerge w:val="continue"/>
            <w:vAlign w:val="center"/>
          </w:tcPr>
          <w:p w14:paraId="29C5A1F3">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FBED435">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★发动机功率（kw）：功率≥100</w:t>
            </w:r>
          </w:p>
        </w:tc>
      </w:tr>
      <w:tr w14:paraId="6EDE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0859404">
            <w:pPr>
              <w:widowControl/>
              <w:snapToGrid w:val="0"/>
              <w:jc w:val="center"/>
              <w:rPr>
                <w:rFonts w:ascii="Times New Roman" w:hAnsi="Times New Roman" w:cs="Times New Roman"/>
                <w:kern w:val="0"/>
                <w:sz w:val="24"/>
                <w:szCs w:val="24"/>
              </w:rPr>
            </w:pPr>
          </w:p>
        </w:tc>
        <w:tc>
          <w:tcPr>
            <w:tcW w:w="861" w:type="pct"/>
            <w:vMerge w:val="continue"/>
            <w:vAlign w:val="center"/>
          </w:tcPr>
          <w:p w14:paraId="35E9DBC8">
            <w:pPr>
              <w:widowControl/>
              <w:snapToGrid w:val="0"/>
              <w:jc w:val="center"/>
              <w:rPr>
                <w:rFonts w:ascii="Times New Roman" w:hAnsi="Times New Roman" w:cs="Times New Roman"/>
                <w:kern w:val="0"/>
                <w:sz w:val="24"/>
                <w:szCs w:val="24"/>
              </w:rPr>
            </w:pPr>
          </w:p>
        </w:tc>
        <w:tc>
          <w:tcPr>
            <w:tcW w:w="516" w:type="pct"/>
            <w:vMerge w:val="continue"/>
            <w:vAlign w:val="center"/>
          </w:tcPr>
          <w:p w14:paraId="78855891">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53B7F2FF">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★进气形式：涡轮增压</w:t>
            </w:r>
          </w:p>
        </w:tc>
      </w:tr>
      <w:tr w14:paraId="72369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6632653">
            <w:pPr>
              <w:widowControl/>
              <w:snapToGrid w:val="0"/>
              <w:jc w:val="center"/>
              <w:rPr>
                <w:rFonts w:ascii="Times New Roman" w:hAnsi="Times New Roman" w:cs="Times New Roman"/>
                <w:kern w:val="0"/>
                <w:sz w:val="24"/>
                <w:szCs w:val="24"/>
              </w:rPr>
            </w:pPr>
          </w:p>
        </w:tc>
        <w:tc>
          <w:tcPr>
            <w:tcW w:w="861" w:type="pct"/>
            <w:vMerge w:val="continue"/>
            <w:vAlign w:val="center"/>
          </w:tcPr>
          <w:p w14:paraId="25D06C97">
            <w:pPr>
              <w:widowControl/>
              <w:snapToGrid w:val="0"/>
              <w:jc w:val="center"/>
              <w:rPr>
                <w:rFonts w:ascii="Times New Roman" w:hAnsi="Times New Roman" w:cs="Times New Roman"/>
                <w:kern w:val="0"/>
                <w:sz w:val="24"/>
                <w:szCs w:val="24"/>
              </w:rPr>
            </w:pPr>
          </w:p>
        </w:tc>
        <w:tc>
          <w:tcPr>
            <w:tcW w:w="516" w:type="pct"/>
            <w:vMerge w:val="continue"/>
            <w:vAlign w:val="center"/>
          </w:tcPr>
          <w:p w14:paraId="52AB7E7C">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7F51CF4A">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变速箱： 电动车单速变速箱</w:t>
            </w:r>
          </w:p>
        </w:tc>
      </w:tr>
      <w:tr w14:paraId="23D0D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03502682">
            <w:pPr>
              <w:widowControl/>
              <w:snapToGrid w:val="0"/>
              <w:jc w:val="center"/>
              <w:rPr>
                <w:rFonts w:ascii="Times New Roman" w:hAnsi="Times New Roman" w:cs="Times New Roman"/>
                <w:kern w:val="0"/>
                <w:sz w:val="24"/>
                <w:szCs w:val="24"/>
              </w:rPr>
            </w:pPr>
          </w:p>
        </w:tc>
        <w:tc>
          <w:tcPr>
            <w:tcW w:w="861" w:type="pct"/>
            <w:vMerge w:val="continue"/>
            <w:vAlign w:val="center"/>
          </w:tcPr>
          <w:p w14:paraId="318627EC">
            <w:pPr>
              <w:widowControl/>
              <w:snapToGrid w:val="0"/>
              <w:jc w:val="center"/>
              <w:rPr>
                <w:rFonts w:ascii="Times New Roman" w:hAnsi="Times New Roman" w:cs="Times New Roman"/>
                <w:kern w:val="0"/>
                <w:sz w:val="24"/>
                <w:szCs w:val="24"/>
              </w:rPr>
            </w:pPr>
          </w:p>
        </w:tc>
        <w:tc>
          <w:tcPr>
            <w:tcW w:w="516" w:type="pct"/>
            <w:vMerge w:val="continue"/>
            <w:vAlign w:val="center"/>
          </w:tcPr>
          <w:p w14:paraId="0B0133E0">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6D00DE3">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驱动电机数：双电机</w:t>
            </w:r>
          </w:p>
        </w:tc>
      </w:tr>
      <w:tr w14:paraId="5296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B7CF470">
            <w:pPr>
              <w:widowControl/>
              <w:snapToGrid w:val="0"/>
              <w:jc w:val="center"/>
              <w:rPr>
                <w:rFonts w:ascii="Times New Roman" w:hAnsi="Times New Roman" w:cs="Times New Roman"/>
                <w:kern w:val="0"/>
                <w:sz w:val="24"/>
                <w:szCs w:val="24"/>
              </w:rPr>
            </w:pPr>
          </w:p>
        </w:tc>
        <w:tc>
          <w:tcPr>
            <w:tcW w:w="861" w:type="pct"/>
            <w:vMerge w:val="continue"/>
            <w:vAlign w:val="center"/>
          </w:tcPr>
          <w:p w14:paraId="03257303">
            <w:pPr>
              <w:widowControl/>
              <w:snapToGrid w:val="0"/>
              <w:jc w:val="center"/>
              <w:rPr>
                <w:rFonts w:ascii="Times New Roman" w:hAnsi="Times New Roman" w:cs="Times New Roman"/>
                <w:kern w:val="0"/>
                <w:sz w:val="24"/>
                <w:szCs w:val="24"/>
              </w:rPr>
            </w:pPr>
          </w:p>
        </w:tc>
        <w:tc>
          <w:tcPr>
            <w:tcW w:w="516" w:type="pct"/>
            <w:vMerge w:val="continue"/>
            <w:vAlign w:val="center"/>
          </w:tcPr>
          <w:p w14:paraId="1366D177">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42C24B83">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驱动形式：前置四驱/电动四驱</w:t>
            </w:r>
          </w:p>
        </w:tc>
      </w:tr>
      <w:tr w14:paraId="41DB1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21624C3F">
            <w:pPr>
              <w:widowControl/>
              <w:snapToGrid w:val="0"/>
              <w:jc w:val="center"/>
              <w:rPr>
                <w:rFonts w:ascii="Times New Roman" w:hAnsi="Times New Roman" w:cs="Times New Roman"/>
                <w:kern w:val="0"/>
                <w:sz w:val="24"/>
                <w:szCs w:val="24"/>
              </w:rPr>
            </w:pPr>
          </w:p>
        </w:tc>
        <w:tc>
          <w:tcPr>
            <w:tcW w:w="861" w:type="pct"/>
            <w:vMerge w:val="continue"/>
            <w:vAlign w:val="center"/>
          </w:tcPr>
          <w:p w14:paraId="27724FAB">
            <w:pPr>
              <w:widowControl/>
              <w:snapToGrid w:val="0"/>
              <w:jc w:val="center"/>
              <w:rPr>
                <w:rFonts w:ascii="Times New Roman" w:hAnsi="Times New Roman" w:cs="Times New Roman"/>
                <w:kern w:val="0"/>
                <w:sz w:val="24"/>
                <w:szCs w:val="24"/>
              </w:rPr>
            </w:pPr>
          </w:p>
        </w:tc>
        <w:tc>
          <w:tcPr>
            <w:tcW w:w="516" w:type="pct"/>
            <w:vMerge w:val="continue"/>
            <w:vAlign w:val="center"/>
          </w:tcPr>
          <w:p w14:paraId="79AA409A">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62A12E9E">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纯电续航里程（KM）：≥236</w:t>
            </w:r>
          </w:p>
        </w:tc>
      </w:tr>
      <w:tr w14:paraId="2D223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64AE559B">
            <w:pPr>
              <w:widowControl/>
              <w:snapToGrid w:val="0"/>
              <w:jc w:val="center"/>
              <w:rPr>
                <w:rFonts w:ascii="Times New Roman" w:hAnsi="Times New Roman" w:cs="Times New Roman"/>
                <w:kern w:val="0"/>
                <w:sz w:val="24"/>
                <w:szCs w:val="24"/>
              </w:rPr>
            </w:pPr>
          </w:p>
        </w:tc>
        <w:tc>
          <w:tcPr>
            <w:tcW w:w="861" w:type="pct"/>
            <w:vMerge w:val="continue"/>
            <w:vAlign w:val="center"/>
          </w:tcPr>
          <w:p w14:paraId="3EAEB127">
            <w:pPr>
              <w:widowControl/>
              <w:snapToGrid w:val="0"/>
              <w:jc w:val="center"/>
              <w:rPr>
                <w:rFonts w:ascii="Times New Roman" w:hAnsi="Times New Roman" w:cs="Times New Roman"/>
                <w:kern w:val="0"/>
                <w:sz w:val="24"/>
                <w:szCs w:val="24"/>
              </w:rPr>
            </w:pPr>
          </w:p>
        </w:tc>
        <w:tc>
          <w:tcPr>
            <w:tcW w:w="516" w:type="pct"/>
            <w:vMerge w:val="continue"/>
            <w:vAlign w:val="center"/>
          </w:tcPr>
          <w:p w14:paraId="73BC1173">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5923A6A4">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★制动形式：前通风盘式/后通风盘式</w:t>
            </w:r>
          </w:p>
        </w:tc>
      </w:tr>
      <w:tr w14:paraId="2EE1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29" w:type="pct"/>
            <w:vMerge w:val="continue"/>
            <w:vAlign w:val="center"/>
          </w:tcPr>
          <w:p w14:paraId="4416D5CF">
            <w:pPr>
              <w:widowControl/>
              <w:snapToGrid w:val="0"/>
              <w:jc w:val="center"/>
              <w:rPr>
                <w:rFonts w:ascii="Times New Roman" w:hAnsi="Times New Roman" w:cs="Times New Roman"/>
                <w:kern w:val="0"/>
                <w:sz w:val="24"/>
                <w:szCs w:val="24"/>
              </w:rPr>
            </w:pPr>
          </w:p>
        </w:tc>
        <w:tc>
          <w:tcPr>
            <w:tcW w:w="861" w:type="pct"/>
            <w:vMerge w:val="continue"/>
            <w:vAlign w:val="center"/>
          </w:tcPr>
          <w:p w14:paraId="33C01A23">
            <w:pPr>
              <w:widowControl/>
              <w:snapToGrid w:val="0"/>
              <w:jc w:val="center"/>
              <w:rPr>
                <w:rFonts w:ascii="Times New Roman" w:hAnsi="Times New Roman" w:cs="Times New Roman"/>
                <w:kern w:val="0"/>
                <w:sz w:val="24"/>
                <w:szCs w:val="24"/>
              </w:rPr>
            </w:pPr>
          </w:p>
        </w:tc>
        <w:tc>
          <w:tcPr>
            <w:tcW w:w="516" w:type="pct"/>
            <w:vMerge w:val="continue"/>
            <w:vAlign w:val="center"/>
          </w:tcPr>
          <w:p w14:paraId="127F6C8C">
            <w:pPr>
              <w:widowControl/>
              <w:snapToGrid w:val="0"/>
              <w:jc w:val="center"/>
              <w:rPr>
                <w:rFonts w:ascii="Times New Roman" w:hAnsi="Times New Roman" w:cs="Times New Roman"/>
                <w:kern w:val="0"/>
                <w:sz w:val="24"/>
                <w:szCs w:val="24"/>
              </w:rPr>
            </w:pPr>
          </w:p>
        </w:tc>
        <w:tc>
          <w:tcPr>
            <w:tcW w:w="3192" w:type="pct"/>
            <w:shd w:val="clear" w:color="auto" w:fill="auto"/>
            <w:vAlign w:val="center"/>
          </w:tcPr>
          <w:p w14:paraId="00CA9849">
            <w:pPr>
              <w:spacing w:line="360" w:lineRule="auto"/>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其他配置：主、副驾驶安全气囊，前排侧气囊，前/后排头部气囊，ABS，ESP，胎压显示，倒车影像，定速巡航，前后驻车雷达，双侧电动侧滑门，第二排座椅加热、通风、按摩、记忆功能等。</w:t>
            </w:r>
          </w:p>
        </w:tc>
      </w:tr>
    </w:tbl>
    <w:p w14:paraId="63BD359B">
      <w:pPr>
        <w:spacing w:line="360" w:lineRule="auto"/>
        <w:ind w:firstLine="480" w:firstLineChars="200"/>
        <w:outlineLvl w:val="0"/>
        <w:rPr>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74E6332F">
      <w:pPr>
        <w:spacing w:line="360" w:lineRule="auto"/>
        <w:ind w:firstLine="480" w:firstLineChars="200"/>
        <w:rPr>
          <w:rFonts w:ascii="Times New Roman" w:hAnsi="Times New Roman" w:cs="Times New Roman"/>
          <w:color w:val="FF0000"/>
          <w:sz w:val="32"/>
          <w:szCs w:val="24"/>
        </w:rPr>
      </w:pPr>
      <w:r>
        <w:rPr>
          <w:rFonts w:ascii="Times New Roman" w:hAnsi="Times New Roman" w:cs="Times New Roman"/>
          <w:sz w:val="24"/>
        </w:rPr>
        <w:t>加注“▲”号的产品为核心产品（如项目需求书中未明确核心产品，则视为全部产品均为核心产品）。</w:t>
      </w:r>
    </w:p>
    <w:p w14:paraId="2650C417">
      <w:pPr>
        <w:autoSpaceDE w:val="0"/>
        <w:autoSpaceDN w:val="0"/>
        <w:spacing w:line="360" w:lineRule="auto"/>
        <w:ind w:firstLine="480" w:firstLineChars="200"/>
        <w:rPr>
          <w:b/>
          <w:sz w:val="24"/>
        </w:rPr>
      </w:pPr>
      <w:r>
        <w:rPr>
          <w:rFonts w:hint="eastAsia" w:ascii="宋体" w:hAnsi="宋体" w:eastAsia="宋体" w:cs="宋体"/>
          <w:sz w:val="24"/>
        </w:rPr>
        <w:t>★</w:t>
      </w:r>
      <w:r>
        <w:rPr>
          <w:rFonts w:hint="eastAsia"/>
          <w:b/>
          <w:sz w:val="24"/>
        </w:rPr>
        <w:t>八、验收标准</w:t>
      </w:r>
    </w:p>
    <w:p w14:paraId="7291BDD5">
      <w:pPr>
        <w:autoSpaceDE w:val="0"/>
        <w:autoSpaceDN w:val="0"/>
        <w:spacing w:line="360" w:lineRule="auto"/>
        <w:ind w:firstLine="480" w:firstLineChars="200"/>
        <w:rPr>
          <w:rFonts w:hint="eastAsia" w:ascii="Times New Roman" w:hAnsi="Times New Roman" w:cs="Times New Roman"/>
          <w:sz w:val="24"/>
        </w:rPr>
      </w:pPr>
      <w:r>
        <w:rPr>
          <w:rFonts w:hint="eastAsia" w:ascii="Times New Roman" w:hAnsi="Times New Roman" w:cs="Times New Roman"/>
          <w:sz w:val="24"/>
        </w:rPr>
        <w:t>车辆符合现行国家标准要求。</w:t>
      </w:r>
    </w:p>
    <w:p w14:paraId="1A3E0464">
      <w:pPr>
        <w:autoSpaceDE w:val="0"/>
        <w:autoSpaceDN w:val="0"/>
        <w:spacing w:line="360" w:lineRule="auto"/>
        <w:ind w:firstLine="480" w:firstLineChars="200"/>
        <w:rPr>
          <w:b/>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w:t>
      </w:r>
      <w:bookmarkStart w:id="0" w:name="_GoBack"/>
      <w:bookmarkEnd w:id="0"/>
      <w:r>
        <w:rPr>
          <w:rFonts w:hint="eastAsia"/>
          <w:sz w:val="24"/>
        </w:rPr>
        <w:t>三方机构参与验收。参与验收的投标人或者第三方机构的意见作为验收书的参考资料一并存档。验收结束后，应当出具验收书，列明各项标准的验收情况及项目总体评价，由验收双方共同签署。</w:t>
      </w:r>
    </w:p>
    <w:p w14:paraId="4A3E038A">
      <w:pPr>
        <w:numPr>
          <w:ilvl w:val="0"/>
          <w:numId w:val="2"/>
        </w:numPr>
        <w:autoSpaceDE w:val="0"/>
        <w:autoSpaceDN w:val="0"/>
        <w:spacing w:line="360" w:lineRule="auto"/>
        <w:ind w:firstLine="482" w:firstLineChars="200"/>
        <w:rPr>
          <w:rFonts w:hint="eastAsia"/>
          <w:b/>
          <w:sz w:val="24"/>
        </w:rPr>
      </w:pPr>
      <w:r>
        <w:rPr>
          <w:rFonts w:hint="eastAsia"/>
          <w:b/>
          <w:sz w:val="24"/>
        </w:rPr>
        <w:t>其他要求</w:t>
      </w:r>
    </w:p>
    <w:p w14:paraId="2C35C746">
      <w:pPr>
        <w:numPr>
          <w:ilvl w:val="0"/>
          <w:numId w:val="0"/>
        </w:numPr>
        <w:autoSpaceDE w:val="0"/>
        <w:autoSpaceDN w:val="0"/>
        <w:spacing w:line="360" w:lineRule="auto"/>
        <w:rPr>
          <w:rFonts w:hint="eastAsia"/>
          <w:b/>
          <w:sz w:val="24"/>
        </w:rPr>
      </w:pPr>
      <w:r>
        <w:rPr>
          <w:rFonts w:hint="eastAsia"/>
          <w:b/>
          <w:sz w:val="24"/>
          <w:lang w:val="en-US" w:eastAsia="zh-CN"/>
        </w:rPr>
        <w:t xml:space="preserve">     </w:t>
      </w:r>
      <w:r>
        <w:rPr>
          <w:rFonts w:hint="eastAsia"/>
          <w:b w:val="0"/>
          <w:bCs/>
          <w:sz w:val="24"/>
          <w:lang w:val="en-US" w:eastAsia="zh-CN"/>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935DBF"/>
    <w:multiLevelType w:val="multilevel"/>
    <w:tmpl w:val="15935DBF"/>
    <w:lvl w:ilvl="0" w:tentative="0">
      <w:start w:val="1"/>
      <w:numFmt w:val="japaneseCounting"/>
      <w:lvlText w:val="%1、"/>
      <w:lvlJc w:val="left"/>
      <w:pPr>
        <w:ind w:left="992" w:hanging="51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1">
    <w:nsid w:val="4CB3960B"/>
    <w:multiLevelType w:val="singleLevel"/>
    <w:tmpl w:val="4CB3960B"/>
    <w:lvl w:ilvl="0" w:tentative="0">
      <w:start w:val="9"/>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90"/>
    <w:rsid w:val="00023882"/>
    <w:rsid w:val="000255F7"/>
    <w:rsid w:val="00055D49"/>
    <w:rsid w:val="00064C61"/>
    <w:rsid w:val="00152FEE"/>
    <w:rsid w:val="001C4E16"/>
    <w:rsid w:val="002247B5"/>
    <w:rsid w:val="002C6CD7"/>
    <w:rsid w:val="003314A0"/>
    <w:rsid w:val="0035432B"/>
    <w:rsid w:val="00416FA1"/>
    <w:rsid w:val="00454190"/>
    <w:rsid w:val="004E1E72"/>
    <w:rsid w:val="005064C0"/>
    <w:rsid w:val="00612EBB"/>
    <w:rsid w:val="006276D9"/>
    <w:rsid w:val="006472E4"/>
    <w:rsid w:val="006A1680"/>
    <w:rsid w:val="006D7E4E"/>
    <w:rsid w:val="0071453E"/>
    <w:rsid w:val="007E6A8F"/>
    <w:rsid w:val="008C4CB6"/>
    <w:rsid w:val="009E4D5D"/>
    <w:rsid w:val="00A128B3"/>
    <w:rsid w:val="00A755A5"/>
    <w:rsid w:val="00A82DFF"/>
    <w:rsid w:val="00AD1BC9"/>
    <w:rsid w:val="00B77D8F"/>
    <w:rsid w:val="00C0258D"/>
    <w:rsid w:val="00D029AF"/>
    <w:rsid w:val="00D04B99"/>
    <w:rsid w:val="00D51DCF"/>
    <w:rsid w:val="00D81F21"/>
    <w:rsid w:val="00DA01D0"/>
    <w:rsid w:val="00DD604E"/>
    <w:rsid w:val="00DE3800"/>
    <w:rsid w:val="00DF73C8"/>
    <w:rsid w:val="00EB4A86"/>
    <w:rsid w:val="00F449C4"/>
    <w:rsid w:val="00F75883"/>
    <w:rsid w:val="00F9274C"/>
    <w:rsid w:val="050634BB"/>
    <w:rsid w:val="0A5B2181"/>
    <w:rsid w:val="0D222E5C"/>
    <w:rsid w:val="14755F67"/>
    <w:rsid w:val="17AB5851"/>
    <w:rsid w:val="18C66D91"/>
    <w:rsid w:val="19FE07AD"/>
    <w:rsid w:val="22812DDC"/>
    <w:rsid w:val="24412F4F"/>
    <w:rsid w:val="248D2E59"/>
    <w:rsid w:val="2544395E"/>
    <w:rsid w:val="285C6DCA"/>
    <w:rsid w:val="370A0339"/>
    <w:rsid w:val="403C22F9"/>
    <w:rsid w:val="4907292A"/>
    <w:rsid w:val="4BF61FC4"/>
    <w:rsid w:val="50FE57E0"/>
    <w:rsid w:val="5B863B83"/>
    <w:rsid w:val="67DD2D7C"/>
    <w:rsid w:val="683A1A45"/>
    <w:rsid w:val="6E184B0E"/>
    <w:rsid w:val="73E0691F"/>
    <w:rsid w:val="77551F86"/>
    <w:rsid w:val="7E486D4A"/>
    <w:rsid w:val="7F623E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itle"/>
    <w:basedOn w:val="1"/>
    <w:next w:val="1"/>
    <w:link w:val="7"/>
    <w:qFormat/>
    <w:uiPriority w:val="10"/>
    <w:pPr>
      <w:spacing w:before="240" w:after="60"/>
      <w:jc w:val="center"/>
      <w:outlineLvl w:val="0"/>
    </w:pPr>
    <w:rPr>
      <w:rFonts w:eastAsia="宋体" w:asciiTheme="majorHAnsi" w:hAnsiTheme="majorHAnsi" w:cstheme="majorBidi"/>
      <w:b/>
      <w:bCs/>
      <w:sz w:val="32"/>
      <w:szCs w:val="32"/>
    </w:rPr>
  </w:style>
  <w:style w:type="character" w:customStyle="1" w:styleId="7">
    <w:name w:val="标题 Char"/>
    <w:basedOn w:val="6"/>
    <w:link w:val="4"/>
    <w:qFormat/>
    <w:uiPriority w:val="10"/>
    <w:rPr>
      <w:rFonts w:eastAsia="宋体" w:asciiTheme="majorHAnsi" w:hAnsiTheme="majorHAnsi" w:cstheme="majorBidi"/>
      <w:b/>
      <w:bCs/>
      <w:sz w:val="32"/>
      <w:szCs w:val="32"/>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 w:type="paragraph" w:styleId="10">
    <w:name w:val="List Paragraph"/>
    <w:basedOn w:val="1"/>
    <w:qFormat/>
    <w:uiPriority w:val="34"/>
    <w:pPr>
      <w:ind w:firstLine="420" w:firstLineChars="200"/>
    </w:pPr>
  </w:style>
  <w:style w:type="paragraph" w:customStyle="1" w:styleId="11">
    <w:name w:val="Table Text"/>
    <w:basedOn w:val="1"/>
    <w:semiHidden/>
    <w:qFormat/>
    <w:uiPriority w:val="0"/>
    <w:rPr>
      <w:rFonts w:ascii="宋体" w:hAnsi="宋体" w:eastAsia="宋体" w:cs="宋体"/>
      <w:sz w:val="20"/>
      <w:szCs w:val="20"/>
      <w:lang w:val="en-US" w:eastAsia="en-US" w:bidi="ar-SA"/>
    </w:rPr>
  </w:style>
  <w:style w:type="table" w:customStyle="1" w:styleId="12">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1303</Words>
  <Characters>1382</Characters>
  <Lines>6</Lines>
  <Paragraphs>1</Paragraphs>
  <TotalTime>2</TotalTime>
  <ScaleCrop>false</ScaleCrop>
  <LinksUpToDate>false</LinksUpToDate>
  <CharactersWithSpaces>1388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2021-06-11T03:28:00Z</dcterms:created>
  <dc:creator>未定义</dc:creator>
  <cp:lastModifiedBy>习惯不习惯的习惯</cp:lastModifiedBy>
  <dcterms:modified xsi:type="dcterms:W3CDTF">2026-04-03T06:35:44Z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9983251C0C304F16B88F4198654F6E8C_13</vt:lpwstr>
  </property>
  <property fmtid="{D5CDD505-2E9C-101B-9397-08002B2CF9AE}" pid="4" name="KSOTemplateDocerSaveRecord">
    <vt:lpwstr>eyJoZGlkIjoiOTcyM2JiZTAxMjc0YzIzZDk3MWRhNGMyN2VmNzRkMzciLCJ1c2VySWQiOiIyNzgwNDY2NzAifQ==</vt:lpwstr>
  </property>
</Properties>
</file>