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F104C">
      <w:pPr>
        <w:jc w:val="center"/>
        <w:rPr>
          <w:b/>
          <w:sz w:val="30"/>
          <w:szCs w:val="30"/>
        </w:rPr>
      </w:pPr>
      <w:r>
        <w:rPr>
          <w:rFonts w:hint="eastAsia"/>
          <w:b/>
          <w:sz w:val="30"/>
          <w:szCs w:val="30"/>
        </w:rPr>
        <w:t>项目需求书</w:t>
      </w:r>
    </w:p>
    <w:p w14:paraId="791BD15E">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一、项目名称</w:t>
      </w:r>
    </w:p>
    <w:p w14:paraId="6C6EBB1C">
      <w:pPr>
        <w:wordWrap w:val="0"/>
        <w:topLinePunct/>
        <w:spacing w:line="360" w:lineRule="auto"/>
        <w:ind w:firstLine="480" w:firstLineChars="200"/>
        <w:jc w:val="left"/>
        <w:rPr>
          <w:rFonts w:hint="eastAsia" w:ascii="宋体" w:hAnsi="宋体" w:eastAsia="宋体" w:cs="宋体"/>
          <w:b/>
          <w:bCs/>
          <w:kern w:val="0"/>
          <w:sz w:val="24"/>
          <w:szCs w:val="24"/>
          <w:lang w:bidi="ar"/>
        </w:rPr>
      </w:pPr>
      <w:r>
        <w:rPr>
          <w:rFonts w:hint="eastAsia" w:ascii="宋体" w:hAnsi="宋体" w:eastAsia="宋体" w:cs="宋体"/>
          <w:b w:val="0"/>
          <w:bCs/>
          <w:kern w:val="0"/>
          <w:sz w:val="24"/>
          <w:szCs w:val="24"/>
          <w:lang w:bidi="zh-CN"/>
        </w:rPr>
        <w:t>天津工业大学高性能计算工作站等设备购置</w:t>
      </w:r>
    </w:p>
    <w:p w14:paraId="6D56BC51">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二、采购需求</w:t>
      </w:r>
    </w:p>
    <w:p w14:paraId="22419DA4">
      <w:pPr>
        <w:spacing w:line="360" w:lineRule="auto"/>
        <w:ind w:firstLine="480" w:firstLineChars="200"/>
        <w:jc w:val="left"/>
        <w:rPr>
          <w:rFonts w:hint="eastAsia" w:ascii="宋体" w:hAnsi="宋体" w:eastAsia="宋体" w:cs="宋体"/>
          <w:b w:val="0"/>
          <w:bCs/>
          <w:kern w:val="0"/>
          <w:sz w:val="24"/>
          <w:szCs w:val="24"/>
          <w:lang w:val="en-US" w:bidi="zh-CN"/>
        </w:rPr>
      </w:pPr>
      <w:r>
        <w:rPr>
          <w:rFonts w:hint="eastAsia" w:ascii="宋体" w:hAnsi="宋体" w:eastAsia="宋体" w:cs="宋体"/>
          <w:b w:val="0"/>
          <w:bCs/>
          <w:kern w:val="0"/>
          <w:sz w:val="24"/>
          <w:szCs w:val="24"/>
          <w:lang w:val="en-US" w:bidi="zh-CN"/>
        </w:rPr>
        <w:t>第一包：高性能计算工作站</w:t>
      </w:r>
    </w:p>
    <w:p w14:paraId="5040D1B0">
      <w:pPr>
        <w:spacing w:line="360" w:lineRule="auto"/>
        <w:ind w:firstLine="480" w:firstLineChars="200"/>
        <w:jc w:val="left"/>
        <w:rPr>
          <w:rFonts w:hint="eastAsia" w:ascii="宋体" w:hAnsi="宋体" w:eastAsia="宋体" w:cs="宋体"/>
          <w:b w:val="0"/>
          <w:bCs/>
          <w:kern w:val="0"/>
          <w:sz w:val="24"/>
          <w:szCs w:val="24"/>
          <w:lang w:bidi="zh-CN"/>
        </w:rPr>
      </w:pPr>
      <w:r>
        <w:rPr>
          <w:rFonts w:hint="eastAsia" w:ascii="宋体" w:hAnsi="宋体" w:eastAsia="宋体" w:cs="宋体"/>
          <w:b w:val="0"/>
          <w:bCs/>
          <w:kern w:val="0"/>
          <w:sz w:val="24"/>
          <w:szCs w:val="24"/>
          <w:lang w:val="en-US" w:bidi="zh-CN"/>
        </w:rPr>
        <w:t>第二包：高性能服务器计算平台</w:t>
      </w:r>
    </w:p>
    <w:p w14:paraId="11D37D95">
      <w:pPr>
        <w:spacing w:line="360" w:lineRule="auto"/>
        <w:jc w:val="left"/>
        <w:rPr>
          <w:rFonts w:ascii="宋体" w:hAnsi="宋体" w:eastAsia="宋体" w:cs="宋体"/>
          <w:b/>
          <w:kern w:val="0"/>
          <w:sz w:val="24"/>
          <w:szCs w:val="24"/>
          <w:lang w:val="zh-CN" w:bidi="zh-CN"/>
        </w:rPr>
      </w:pPr>
      <w:r>
        <w:rPr>
          <w:rFonts w:hint="eastAsia" w:ascii="宋体" w:hAnsi="宋体" w:eastAsia="宋体" w:cs="宋体"/>
          <w:b/>
          <w:kern w:val="0"/>
          <w:sz w:val="24"/>
          <w:szCs w:val="24"/>
          <w:lang w:bidi="zh-CN"/>
        </w:rPr>
        <w:t>三</w:t>
      </w:r>
      <w:r>
        <w:rPr>
          <w:rFonts w:hint="eastAsia" w:ascii="宋体" w:hAnsi="宋体" w:eastAsia="宋体" w:cs="宋体"/>
          <w:b/>
          <w:kern w:val="0"/>
          <w:sz w:val="24"/>
          <w:szCs w:val="24"/>
          <w:lang w:val="zh-CN" w:bidi="zh-CN"/>
        </w:rPr>
        <w:t>、商务要求</w:t>
      </w:r>
    </w:p>
    <w:p w14:paraId="1CA988BC">
      <w:pPr>
        <w:wordWrap w:val="0"/>
        <w:spacing w:line="360" w:lineRule="auto"/>
        <w:ind w:firstLine="480" w:firstLineChars="200"/>
        <w:jc w:val="left"/>
        <w:rPr>
          <w:rFonts w:hint="eastAsia" w:ascii="宋体" w:hAnsi="宋体" w:eastAsia="宋体" w:cs="宋体"/>
          <w:kern w:val="0"/>
          <w:sz w:val="24"/>
          <w:lang w:val="en-US" w:bidi="zh-CN"/>
        </w:rPr>
      </w:pPr>
      <w:r>
        <w:rPr>
          <w:rFonts w:hint="eastAsia" w:ascii="宋体" w:hAnsi="宋体" w:eastAsia="宋体" w:cs="宋体"/>
          <w:kern w:val="0"/>
          <w:sz w:val="24"/>
          <w:lang w:val="en-US" w:bidi="zh-CN"/>
        </w:rPr>
        <w:t>第一包：</w:t>
      </w:r>
    </w:p>
    <w:p w14:paraId="0D2AAF3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72BC9C19">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50</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11AE582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3A01BB7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4C742B5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4AFBCAC5">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）提供所投产品至少</w:t>
      </w:r>
      <w:r>
        <w:rPr>
          <w:rFonts w:hint="eastAsia" w:ascii="宋体" w:hAnsi="宋体" w:eastAsia="宋体" w:cs="宋体"/>
          <w:kern w:val="0"/>
          <w:sz w:val="24"/>
          <w:lang w:val="en-US" w:eastAsia="zh-CN" w:bidi="zh-CN"/>
        </w:rPr>
        <w:t>1</w:t>
      </w:r>
      <w:r>
        <w:rPr>
          <w:rFonts w:hint="eastAsia" w:ascii="宋体" w:hAnsi="宋体" w:eastAsia="宋体" w:cs="宋体"/>
          <w:kern w:val="0"/>
          <w:sz w:val="24"/>
          <w:lang w:val="zh-CN" w:bidi="zh-CN"/>
        </w:rPr>
        <w:t>年的免费上门保修+终身维修， 7×24小时技术响应，24小时内维修工程师到达维修现场，保修期自验收合格之日起计算。</w:t>
      </w:r>
    </w:p>
    <w:p w14:paraId="0E845C0D">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67626499">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12707461">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2F837649">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（5）每个学期开学前要求对所有设备进行巡检，满足招标方所有技术需求。</w:t>
      </w:r>
    </w:p>
    <w:p w14:paraId="4AD0A05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66264938">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11EC0A0D">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3C8A490F">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54CE877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01795C37">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4CEBC033">
      <w:pPr>
        <w:wordWrap w:val="0"/>
        <w:spacing w:line="360" w:lineRule="auto"/>
        <w:ind w:firstLine="480" w:firstLineChars="200"/>
        <w:jc w:val="left"/>
        <w:rPr>
          <w:rFonts w:hint="eastAsia" w:ascii="宋体" w:hAnsi="宋体" w:eastAsia="宋体" w:cs="宋体"/>
          <w:kern w:val="0"/>
          <w:sz w:val="24"/>
          <w:lang w:val="zh-CN" w:eastAsia="zh-CN"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1397690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4C64F95A">
      <w:pPr>
        <w:wordWrap w:val="0"/>
        <w:spacing w:line="360" w:lineRule="auto"/>
        <w:ind w:firstLine="480" w:firstLineChars="200"/>
        <w:jc w:val="left"/>
        <w:rPr>
          <w:rFonts w:hint="eastAsia" w:ascii="宋体" w:hAnsi="宋体" w:eastAsia="宋体" w:cs="宋体"/>
          <w:kern w:val="0"/>
          <w:sz w:val="24"/>
          <w:lang w:val="en-US"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05978292">
      <w:pPr>
        <w:wordWrap w:val="0"/>
        <w:spacing w:line="360" w:lineRule="auto"/>
        <w:ind w:firstLine="480" w:firstLineChars="200"/>
        <w:jc w:val="left"/>
        <w:rPr>
          <w:rFonts w:hint="default" w:ascii="宋体" w:hAnsi="宋体" w:eastAsia="宋体" w:cs="宋体"/>
          <w:kern w:val="0"/>
          <w:sz w:val="24"/>
          <w:lang w:val="en-US" w:bidi="zh-CN"/>
        </w:rPr>
      </w:pPr>
      <w:r>
        <w:rPr>
          <w:rFonts w:hint="eastAsia" w:ascii="宋体" w:hAnsi="宋体" w:eastAsia="宋体" w:cs="宋体"/>
          <w:kern w:val="0"/>
          <w:sz w:val="24"/>
          <w:lang w:val="en-US" w:bidi="zh-CN"/>
        </w:rPr>
        <w:t>第二包：</w:t>
      </w:r>
    </w:p>
    <w:p w14:paraId="5AA11FE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4561099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w:t>
      </w:r>
      <w:r>
        <w:rPr>
          <w:rFonts w:hint="eastAsia" w:ascii="宋体" w:hAnsi="宋体" w:eastAsia="宋体" w:cs="宋体"/>
          <w:kern w:val="0"/>
          <w:sz w:val="24"/>
          <w:lang w:val="en-US" w:bidi="zh-CN"/>
        </w:rPr>
        <w:t>60</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36B94CFB">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7DCB0755">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57B299C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37455BB9">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（1）提供所投产品至少</w:t>
      </w:r>
      <w:r>
        <w:rPr>
          <w:rFonts w:hint="eastAsia" w:ascii="宋体" w:hAnsi="宋体" w:eastAsia="宋体" w:cs="宋体"/>
          <w:kern w:val="0"/>
          <w:sz w:val="24"/>
          <w:lang w:val="en-US" w:eastAsia="zh-CN" w:bidi="zh-CN"/>
        </w:rPr>
        <w:t>3</w:t>
      </w:r>
      <w:r>
        <w:rPr>
          <w:rFonts w:hint="eastAsia" w:ascii="宋体" w:hAnsi="宋体" w:eastAsia="宋体" w:cs="宋体"/>
          <w:kern w:val="0"/>
          <w:sz w:val="24"/>
          <w:lang w:val="zh-CN" w:bidi="zh-CN"/>
        </w:rPr>
        <w:t>年的免费上门保修+终身维修</w:t>
      </w:r>
      <w:r>
        <w:rPr>
          <w:rFonts w:hint="eastAsia" w:eastAsia="宋体"/>
          <w:sz w:val="24"/>
          <w:lang w:eastAsia="zh-CN"/>
        </w:rPr>
        <w:t>，</w:t>
      </w:r>
      <w:r>
        <w:rPr>
          <w:rFonts w:hint="eastAsia" w:ascii="宋体" w:hAnsi="宋体" w:eastAsia="宋体" w:cs="宋体"/>
          <w:kern w:val="0"/>
          <w:sz w:val="24"/>
          <w:lang w:val="zh-CN" w:bidi="zh-CN"/>
        </w:rPr>
        <w:t>7×24小时技术响应，24小时内维修工程师到达维修现场，保修期自验收合格之日起计算。</w:t>
      </w:r>
    </w:p>
    <w:p w14:paraId="7D6F75F5">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380D42B2">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6FC488E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10600464">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w:t>
      </w:r>
      <w:bookmarkStart w:id="0" w:name="OLE_LINK4"/>
      <w:bookmarkStart w:id="1" w:name="OLE_LINK3"/>
      <w:r>
        <w:rPr>
          <w:rFonts w:hint="eastAsia" w:ascii="宋体" w:hAnsi="宋体" w:eastAsia="宋体" w:cs="宋体"/>
          <w:kern w:val="0"/>
          <w:sz w:val="24"/>
          <w:lang w:val="zh-CN" w:bidi="zh-CN"/>
        </w:rPr>
        <w:t>每个学期开学前要求对所有设备进行巡检，满足招标方所有技术需求。</w:t>
      </w:r>
      <w:bookmarkEnd w:id="0"/>
      <w:bookmarkEnd w:id="1"/>
    </w:p>
    <w:p w14:paraId="4E0A031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71245C91">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r>
        <w:rPr>
          <w:rFonts w:ascii="宋体" w:hAnsi="宋体" w:eastAsia="宋体" w:cs="宋体"/>
          <w:kern w:val="0"/>
          <w:sz w:val="24"/>
          <w:lang w:val="zh-CN" w:bidi="zh-CN"/>
        </w:rPr>
        <w:t>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p>
    <w:p w14:paraId="1B002C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70A98E6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100047F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68251E1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72FFC76B">
      <w:pPr>
        <w:spacing w:line="480" w:lineRule="auto"/>
        <w:ind w:firstLine="480" w:firstLineChars="200"/>
        <w:rPr>
          <w:rFonts w:ascii="宋体" w:hAnsi="宋体" w:eastAsia="宋体" w:cs="宋体"/>
          <w:kern w:val="0"/>
          <w:sz w:val="24"/>
          <w:highlight w:val="yellow"/>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合同签订后中标供应商将合同金额的10%作为履约保证金打入学校账户（中标供应商可以以支票、本票、汇票、银行汇款或者金融机构、担保机构出具的保函等非现金形式提交履约保证金），收到履约保证金10个工作日内支付40%货款，设备交付并验收合格后10个工作日内支付60%货款，验收合格满一年无质量问题无息退还履约保证金。（特殊情况以合同为准）</w:t>
      </w:r>
      <w:r>
        <w:rPr>
          <w:rFonts w:hint="eastAsia" w:ascii="宋体" w:hAnsi="宋体" w:eastAsia="宋体" w:cs="宋体"/>
          <w:kern w:val="0"/>
          <w:sz w:val="24"/>
          <w:lang w:val="zh-CN" w:eastAsia="zh-CN" w:bidi="zh-CN"/>
        </w:rPr>
        <w:t>。</w:t>
      </w:r>
    </w:p>
    <w:p w14:paraId="599252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5D65720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17D3B582">
      <w:pPr>
        <w:spacing w:line="360" w:lineRule="auto"/>
        <w:jc w:val="left"/>
        <w:rPr>
          <w:rFonts w:ascii="宋体" w:hAnsi="宋体" w:eastAsia="宋体" w:cs="宋体"/>
          <w:b/>
          <w:kern w:val="0"/>
          <w:sz w:val="24"/>
          <w:szCs w:val="24"/>
          <w:lang w:bidi="zh-CN"/>
        </w:rPr>
      </w:pPr>
      <w:r>
        <w:rPr>
          <w:rFonts w:hint="eastAsia" w:ascii="宋体" w:hAnsi="宋体" w:cs="宋体"/>
          <w:b/>
          <w:kern w:val="0"/>
          <w:sz w:val="24"/>
          <w:szCs w:val="24"/>
          <w:lang w:bidi="zh-CN"/>
        </w:rPr>
        <w:t>四</w:t>
      </w:r>
      <w:r>
        <w:rPr>
          <w:rFonts w:hint="eastAsia" w:ascii="宋体" w:hAnsi="宋体" w:eastAsia="宋体" w:cs="宋体"/>
          <w:b/>
          <w:kern w:val="0"/>
          <w:sz w:val="24"/>
          <w:szCs w:val="24"/>
          <w:lang w:val="zh-CN" w:bidi="zh-CN"/>
        </w:rPr>
        <w:t>、</w:t>
      </w:r>
      <w:r>
        <w:rPr>
          <w:rFonts w:hint="eastAsia" w:ascii="宋体" w:hAnsi="宋体" w:eastAsia="宋体" w:cs="宋体"/>
          <w:b/>
          <w:kern w:val="0"/>
          <w:sz w:val="24"/>
          <w:szCs w:val="24"/>
          <w:lang w:bidi="zh-CN"/>
        </w:rPr>
        <w:t>技术要求</w:t>
      </w:r>
    </w:p>
    <w:p w14:paraId="721CDAD5">
      <w:pPr>
        <w:widowControl/>
        <w:spacing w:line="360" w:lineRule="auto"/>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第一包：</w:t>
      </w:r>
    </w:p>
    <w:p w14:paraId="60FDE68C">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1.投标人须承诺所投产品和服务符合相关强制性规定。交货时招标人有权要求投标人出具所投产品、服务符合上述规定的证明文件。</w:t>
      </w:r>
    </w:p>
    <w:p w14:paraId="6C230E97">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3ACAA3BE">
      <w:pPr>
        <w:widowControl/>
        <w:spacing w:line="360" w:lineRule="auto"/>
        <w:ind w:firstLine="480" w:firstLineChars="2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3.本项目不接受赠品或者与采购无关的其他商品、服务，投标人亦不得以招标人要求实施前述馈赠、回扣等行为。</w:t>
      </w:r>
    </w:p>
    <w:p w14:paraId="13FF94CB">
      <w:pPr>
        <w:widowControl/>
        <w:spacing w:line="360" w:lineRule="auto"/>
        <w:ind w:firstLine="480" w:firstLineChars="200"/>
        <w:jc w:val="left"/>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4.采购清单</w:t>
      </w:r>
    </w:p>
    <w:tbl>
      <w:tblPr>
        <w:tblStyle w:val="20"/>
        <w:tblW w:w="5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1457"/>
        <w:gridCol w:w="5638"/>
        <w:gridCol w:w="566"/>
        <w:gridCol w:w="708"/>
      </w:tblGrid>
      <w:tr w14:paraId="7F5A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2" w:type="pct"/>
            <w:noWrap w:val="0"/>
            <w:vAlign w:val="center"/>
          </w:tcPr>
          <w:p w14:paraId="345267AC">
            <w:pPr>
              <w:jc w:val="center"/>
              <w:rPr>
                <w:rFonts w:ascii="宋体" w:hAnsi="宋体" w:eastAsia="宋体" w:cs="宋体"/>
                <w:color w:val="000000"/>
                <w:kern w:val="0"/>
                <w:szCs w:val="21"/>
              </w:rPr>
            </w:pPr>
            <w:r>
              <w:rPr>
                <w:rFonts w:hint="eastAsia" w:ascii="宋体" w:hAnsi="宋体" w:eastAsia="宋体" w:cs="宋体"/>
                <w:color w:val="000000"/>
                <w:kern w:val="0"/>
                <w:szCs w:val="21"/>
              </w:rPr>
              <w:t>序号</w:t>
            </w:r>
          </w:p>
        </w:tc>
        <w:tc>
          <w:tcPr>
            <w:tcW w:w="816" w:type="pct"/>
            <w:noWrap w:val="0"/>
            <w:vAlign w:val="center"/>
          </w:tcPr>
          <w:p w14:paraId="779660B2">
            <w:pPr>
              <w:jc w:val="center"/>
              <w:rPr>
                <w:rFonts w:ascii="宋体" w:hAnsi="宋体" w:eastAsia="宋体" w:cs="宋体"/>
                <w:color w:val="000000"/>
                <w:kern w:val="0"/>
                <w:szCs w:val="21"/>
              </w:rPr>
            </w:pPr>
            <w:r>
              <w:rPr>
                <w:rFonts w:hint="eastAsia" w:ascii="宋体" w:hAnsi="宋体" w:eastAsia="宋体" w:cs="宋体"/>
                <w:color w:val="000000"/>
                <w:kern w:val="0"/>
                <w:szCs w:val="21"/>
              </w:rPr>
              <w:t>标的名称</w:t>
            </w:r>
          </w:p>
        </w:tc>
        <w:tc>
          <w:tcPr>
            <w:tcW w:w="3157" w:type="pct"/>
            <w:noWrap w:val="0"/>
            <w:vAlign w:val="center"/>
          </w:tcPr>
          <w:p w14:paraId="35ABE732">
            <w:pPr>
              <w:jc w:val="center"/>
              <w:rPr>
                <w:rFonts w:ascii="宋体" w:hAnsi="宋体" w:eastAsia="宋体" w:cs="宋体"/>
                <w:color w:val="000000"/>
                <w:kern w:val="0"/>
                <w:szCs w:val="21"/>
              </w:rPr>
            </w:pPr>
            <w:r>
              <w:rPr>
                <w:rFonts w:hint="eastAsia" w:ascii="宋体" w:hAnsi="宋体" w:eastAsia="宋体" w:cs="宋体"/>
                <w:color w:val="000000"/>
                <w:kern w:val="0"/>
                <w:szCs w:val="21"/>
              </w:rPr>
              <w:t>技术要求</w:t>
            </w:r>
          </w:p>
        </w:tc>
        <w:tc>
          <w:tcPr>
            <w:tcW w:w="317" w:type="pct"/>
            <w:noWrap w:val="0"/>
            <w:vAlign w:val="center"/>
          </w:tcPr>
          <w:p w14:paraId="5C94BB38">
            <w:pPr>
              <w:jc w:val="center"/>
              <w:rPr>
                <w:rFonts w:ascii="宋体" w:hAnsi="宋体" w:eastAsia="宋体" w:cs="宋体"/>
                <w:color w:val="000000"/>
                <w:kern w:val="0"/>
                <w:szCs w:val="21"/>
              </w:rPr>
            </w:pPr>
            <w:r>
              <w:rPr>
                <w:rFonts w:hint="eastAsia" w:ascii="宋体" w:hAnsi="宋体" w:eastAsia="宋体" w:cs="宋体"/>
                <w:color w:val="000000"/>
                <w:kern w:val="0"/>
                <w:szCs w:val="21"/>
              </w:rPr>
              <w:t>单位</w:t>
            </w:r>
          </w:p>
        </w:tc>
        <w:tc>
          <w:tcPr>
            <w:tcW w:w="396" w:type="pct"/>
            <w:noWrap w:val="0"/>
            <w:vAlign w:val="center"/>
          </w:tcPr>
          <w:p w14:paraId="42FDDD4B">
            <w:pPr>
              <w:jc w:val="center"/>
              <w:rPr>
                <w:rFonts w:ascii="宋体" w:hAnsi="宋体" w:eastAsia="宋体" w:cs="宋体"/>
                <w:color w:val="000000"/>
                <w:kern w:val="0"/>
                <w:szCs w:val="21"/>
              </w:rPr>
            </w:pPr>
            <w:r>
              <w:rPr>
                <w:rFonts w:hint="eastAsia" w:ascii="宋体" w:hAnsi="宋体" w:eastAsia="宋体" w:cs="宋体"/>
                <w:color w:val="000000"/>
                <w:kern w:val="0"/>
                <w:szCs w:val="21"/>
              </w:rPr>
              <w:t>数量</w:t>
            </w:r>
          </w:p>
        </w:tc>
      </w:tr>
      <w:tr w14:paraId="2AB1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2" w:type="pct"/>
            <w:noWrap w:val="0"/>
            <w:vAlign w:val="center"/>
          </w:tcPr>
          <w:p w14:paraId="0256E1DA">
            <w:pPr>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816" w:type="pct"/>
            <w:noWrap w:val="0"/>
            <w:vAlign w:val="center"/>
          </w:tcPr>
          <w:p w14:paraId="6A0E42E7">
            <w:pPr>
              <w:jc w:val="center"/>
              <w:rPr>
                <w:rFonts w:ascii="宋体" w:hAnsi="宋体" w:eastAsia="宋体" w:cs="宋体"/>
                <w:color w:val="000000"/>
                <w:kern w:val="0"/>
                <w:szCs w:val="21"/>
              </w:rPr>
            </w:pPr>
            <w:r>
              <w:rPr>
                <w:rFonts w:ascii="宋体" w:hAnsi="宋体" w:eastAsia="宋体" w:cs="宋体"/>
                <w:color w:val="000000"/>
                <w:kern w:val="0"/>
                <w:szCs w:val="21"/>
              </w:rPr>
              <w:t>Material Studio 软件</w:t>
            </w:r>
          </w:p>
        </w:tc>
        <w:tc>
          <w:tcPr>
            <w:tcW w:w="3157" w:type="pct"/>
            <w:noWrap w:val="0"/>
            <w:vAlign w:val="center"/>
          </w:tcPr>
          <w:p w14:paraId="67E1E243">
            <w:pPr>
              <w:spacing w:line="360" w:lineRule="auto"/>
              <w:rPr>
                <w:rFonts w:ascii="宋体" w:hAnsi="宋体" w:eastAsia="宋体" w:cs="宋体"/>
                <w:sz w:val="24"/>
                <w:szCs w:val="24"/>
              </w:rPr>
            </w:pPr>
            <w:r>
              <w:rPr>
                <w:rFonts w:hint="eastAsia" w:ascii="宋体" w:hAnsi="宋体" w:eastAsia="宋体" w:cs="宋体"/>
                <w:sz w:val="24"/>
                <w:szCs w:val="24"/>
              </w:rPr>
              <w:t>★可视化平台：须提供分子结构、晶体结构、聚合物链及无定形模型的图形化建模环境；支持各计算任务的可视化提交、队列管理与监控；支持计算结果的可视化分析，包括分子轨道等值面/等高线显示、光谱图表绘制、振动动画展示、分子动力学轨迹回放等；</w:t>
            </w:r>
          </w:p>
          <w:p w14:paraId="25A51D19">
            <w:pPr>
              <w:spacing w:line="360" w:lineRule="auto"/>
              <w:rPr>
                <w:rFonts w:hint="eastAsia" w:ascii="宋体" w:hAnsi="宋体" w:eastAsia="宋体" w:cs="宋体"/>
                <w:sz w:val="24"/>
                <w:szCs w:val="24"/>
              </w:rPr>
            </w:pPr>
            <w:r>
              <w:rPr>
                <w:rFonts w:hint="eastAsia" w:ascii="宋体" w:hAnsi="宋体" w:eastAsia="宋体" w:cs="宋体"/>
                <w:sz w:val="24"/>
                <w:szCs w:val="24"/>
              </w:rPr>
              <w:t>★具备基于DFT的平面波赝势法计算功能，能够预测周期性材料电学、光学、磁学等电子性质，进行结构几何优化与热力学性质计算；须支持过渡态搜索，实现反应能垒与反应路径的自动计算；上述计算须支持并行计算和GPU加速；</w:t>
            </w:r>
          </w:p>
          <w:p w14:paraId="04414447">
            <w:pPr>
              <w:spacing w:line="360" w:lineRule="auto"/>
              <w:rPr>
                <w:rFonts w:hint="eastAsia" w:ascii="宋体" w:hAnsi="宋体" w:eastAsia="宋体" w:cs="宋体"/>
                <w:sz w:val="24"/>
                <w:szCs w:val="24"/>
              </w:rPr>
            </w:pPr>
            <w:r>
              <w:rPr>
                <w:rFonts w:hint="eastAsia" w:ascii="宋体" w:hAnsi="宋体" w:eastAsia="宋体" w:cs="宋体"/>
                <w:sz w:val="24"/>
                <w:szCs w:val="24"/>
              </w:rPr>
              <w:t>★须具备基于密度泛函理论的数值原子基组量子力学计算功能，同时支持孤立分子体系和周期性结构体系；须具备反应过渡态搜索功能（LST/QST方法），提供最小能量路径（MEP）、过渡态结构以及多步反应的识别。支持三种搜索模式：完整路径（Full Path）、弹性带方法（Nudged Elastic Band，NEB）以及过渡态路径（TS Path）；</w:t>
            </w:r>
          </w:p>
          <w:p w14:paraId="311AEE2B">
            <w:pPr>
              <w:spacing w:line="360" w:lineRule="auto"/>
              <w:rPr>
                <w:rFonts w:hint="eastAsia" w:ascii="宋体" w:hAnsi="宋体" w:eastAsia="宋体" w:cs="宋体"/>
                <w:sz w:val="24"/>
                <w:szCs w:val="24"/>
              </w:rPr>
            </w:pPr>
            <w:r>
              <w:rPr>
                <w:rFonts w:hint="eastAsia" w:ascii="宋体" w:hAnsi="宋体" w:eastAsia="宋体" w:cs="宋体"/>
                <w:sz w:val="24"/>
                <w:szCs w:val="24"/>
              </w:rPr>
              <w:t>★具备基于密度泛函紧束缚方法的快速量子力学计算功能，可处理包含数百乃至数千原子的较大体系，适用于膜材料中复杂界面的电子结构计算；</w:t>
            </w:r>
          </w:p>
          <w:p w14:paraId="7612F908">
            <w:pPr>
              <w:spacing w:line="360" w:lineRule="auto"/>
              <w:rPr>
                <w:rFonts w:hint="eastAsia" w:ascii="宋体" w:hAnsi="宋体" w:eastAsia="宋体" w:cs="宋体"/>
                <w:sz w:val="24"/>
                <w:szCs w:val="24"/>
              </w:rPr>
            </w:pPr>
            <w:r>
              <w:rPr>
                <w:rFonts w:hint="eastAsia" w:ascii="宋体" w:hAnsi="宋体" w:eastAsia="宋体" w:cs="宋体"/>
                <w:sz w:val="24"/>
                <w:szCs w:val="24"/>
              </w:rPr>
              <w:t>★须具备面向孤立分子体系的量子化学精密计算功能，支持分子能量计算与几何结构优化、振动频率分析及热化学性质预测、紫外-可见光谱（UV-Vis）和红外光谱（IR）等电子光谱预测、过渡态搜索与反应路径分析、NMR化学位移预测、基态与激发态计算（涵盖气相与液相体系）、分子间相互作用能预测；须具备高精度能量模型和组合方法（如Gaussian-n、CBS或同等及以上精度），以及支持多层组合方法（如ONIOM或同等及以上方法），实现活性中心高精度计算与大体系环境低精度计算的组合；须支持非谐振动光谱分析和溶剂模型；</w:t>
            </w:r>
          </w:p>
          <w:p w14:paraId="7490C270">
            <w:pPr>
              <w:spacing w:line="360" w:lineRule="auto"/>
              <w:rPr>
                <w:rFonts w:hint="eastAsia" w:ascii="宋体" w:hAnsi="宋体" w:eastAsia="宋体" w:cs="宋体"/>
                <w:sz w:val="24"/>
                <w:szCs w:val="24"/>
              </w:rPr>
            </w:pPr>
            <w:r>
              <w:rPr>
                <w:rFonts w:hint="eastAsia" w:ascii="宋体" w:hAnsi="宋体" w:eastAsia="宋体" w:cs="宋体"/>
                <w:sz w:val="24"/>
                <w:szCs w:val="24"/>
              </w:rPr>
              <w:t>★具备经典分子动力学模拟功能，支持GPU加速，支持COMPASS系列等凝聚态分子力场，支持机器学习力场MACE，能够通过蒙特卡洛方法快速搭建无定形聚合物膜结构、溶液体系，提供模拟退火、模拟淬火功能；支持NVE，NVT，NPT不同系综，支持多种控温函数和控压函数；提供对计算结果进行分析的工具，可获取回转半径分布，扩散系数，应力应变曲线，体粘度及剪切粘度。分子动力学模拟计算支持GPU加速。</w:t>
            </w:r>
          </w:p>
          <w:p w14:paraId="6DCF1E8D">
            <w:pPr>
              <w:spacing w:line="360" w:lineRule="auto"/>
              <w:rPr>
                <w:rFonts w:ascii="宋体" w:hAnsi="宋体" w:eastAsia="宋体" w:cs="宋体"/>
                <w:sz w:val="24"/>
                <w:szCs w:val="24"/>
              </w:rPr>
            </w:pPr>
            <w:r>
              <w:rPr>
                <w:rFonts w:hint="eastAsia" w:ascii="宋体" w:hAnsi="宋体" w:eastAsia="宋体" w:cs="宋体"/>
                <w:sz w:val="24"/>
                <w:szCs w:val="24"/>
              </w:rPr>
              <w:t>★具备晶格动力学计算功能，可以对具有零维、一维、二维、三维结构的各种材料体系的多种性质进行计算、解释和预测。支持壳层模型的Bush、Lewis势以及多种原子嵌入势(EAM)和改良嵌入势(MEAM)，适合于较高精度地研究多种无机材料体系包括金属、合金体系</w:t>
            </w:r>
          </w:p>
        </w:tc>
        <w:tc>
          <w:tcPr>
            <w:tcW w:w="317" w:type="pct"/>
            <w:noWrap w:val="0"/>
            <w:vAlign w:val="center"/>
          </w:tcPr>
          <w:p w14:paraId="2324FE03">
            <w:pPr>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val="en-US" w:eastAsia="zh-CN"/>
              </w:rPr>
              <w:t>套</w:t>
            </w:r>
          </w:p>
        </w:tc>
        <w:tc>
          <w:tcPr>
            <w:tcW w:w="396" w:type="pct"/>
            <w:noWrap w:val="0"/>
            <w:vAlign w:val="center"/>
          </w:tcPr>
          <w:p w14:paraId="4319C8B9">
            <w:pPr>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r>
      <w:tr w14:paraId="6AFC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2" w:type="pct"/>
            <w:noWrap w:val="0"/>
            <w:vAlign w:val="center"/>
          </w:tcPr>
          <w:p w14:paraId="4E0B1F56">
            <w:pPr>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2</w:t>
            </w:r>
          </w:p>
        </w:tc>
        <w:tc>
          <w:tcPr>
            <w:tcW w:w="816" w:type="pct"/>
            <w:noWrap w:val="0"/>
            <w:vAlign w:val="center"/>
          </w:tcPr>
          <w:p w14:paraId="639DF6A0">
            <w:pPr>
              <w:jc w:val="center"/>
              <w:rPr>
                <w:rFonts w:hint="eastAsia" w:ascii="宋体" w:hAnsi="宋体" w:eastAsia="宋体" w:cs="宋体"/>
                <w:color w:val="000000"/>
                <w:kern w:val="0"/>
                <w:szCs w:val="21"/>
                <w:lang w:val="en-US" w:eastAsia="zh-CN"/>
              </w:rPr>
            </w:pPr>
            <w:r>
              <w:rPr>
                <w:rFonts w:ascii="宋体" w:hAnsi="宋体" w:eastAsia="宋体" w:cs="宋体"/>
                <w:color w:val="000000"/>
                <w:kern w:val="0"/>
                <w:szCs w:val="21"/>
              </w:rPr>
              <w:t>Gaussian 16</w:t>
            </w:r>
            <w:r>
              <w:rPr>
                <w:rFonts w:hint="eastAsia" w:ascii="宋体" w:hAnsi="宋体" w:eastAsia="宋体" w:cs="宋体"/>
                <w:color w:val="000000"/>
                <w:kern w:val="0"/>
                <w:szCs w:val="21"/>
                <w:lang w:val="en-US" w:eastAsia="zh-CN"/>
              </w:rPr>
              <w:t>软件</w:t>
            </w:r>
          </w:p>
        </w:tc>
        <w:tc>
          <w:tcPr>
            <w:tcW w:w="3157" w:type="pct"/>
            <w:noWrap w:val="0"/>
            <w:vAlign w:val="center"/>
          </w:tcPr>
          <w:p w14:paraId="3253FC8D">
            <w:pPr>
              <w:spacing w:line="360" w:lineRule="auto"/>
              <w:rPr>
                <w:rFonts w:ascii="宋体" w:hAnsi="宋体" w:eastAsia="宋体" w:cs="宋体"/>
                <w:sz w:val="24"/>
                <w:szCs w:val="24"/>
              </w:rPr>
            </w:pPr>
            <w:r>
              <w:rPr>
                <w:rFonts w:hint="eastAsia" w:ascii="宋体" w:hAnsi="宋体" w:eastAsia="宋体" w:cs="宋体"/>
                <w:sz w:val="24"/>
                <w:szCs w:val="24"/>
              </w:rPr>
              <w:t>★具备量子力学(QM)与分子力学(Molecular Mechanics)的杂化方法，适合处理膜的局部化学吸附和反应。</w:t>
            </w:r>
          </w:p>
          <w:p w14:paraId="1962531C">
            <w:pPr>
              <w:spacing w:line="360" w:lineRule="auto"/>
              <w:rPr>
                <w:rFonts w:hint="eastAsia" w:ascii="宋体" w:hAnsi="宋体" w:eastAsia="宋体" w:cs="宋体"/>
                <w:sz w:val="24"/>
                <w:szCs w:val="24"/>
              </w:rPr>
            </w:pPr>
            <w:r>
              <w:rPr>
                <w:rFonts w:hint="eastAsia" w:ascii="宋体" w:hAnsi="宋体" w:eastAsia="宋体" w:cs="宋体"/>
                <w:sz w:val="24"/>
                <w:szCs w:val="24"/>
              </w:rPr>
              <w:t>★具备巨正则蒙特卡洛(Grand Canonical Monte Carlo，GCMC)方法，可预测单一或混合组分在微孔材料和介孔材料中吸附行为，可直接给出吸附等温线(载荷曲线)、亨利常数等性质，可应用于气体分离、烃类裂解、气体传感器以及离子交换等诸多领域的研究；</w:t>
            </w:r>
          </w:p>
          <w:p w14:paraId="3AC468BA">
            <w:pPr>
              <w:spacing w:line="360" w:lineRule="auto"/>
              <w:rPr>
                <w:rFonts w:hint="eastAsia" w:ascii="宋体" w:hAnsi="宋体" w:eastAsia="宋体" w:cs="宋体"/>
                <w:sz w:val="24"/>
                <w:szCs w:val="24"/>
              </w:rPr>
            </w:pPr>
            <w:r>
              <w:rPr>
                <w:rFonts w:hint="eastAsia" w:ascii="宋体" w:hAnsi="宋体" w:eastAsia="宋体" w:cs="宋体"/>
                <w:sz w:val="24"/>
                <w:szCs w:val="24"/>
              </w:rPr>
              <w:t>★具备粗粒化分子动力学以及耗散粒子动力学两种方法，支持图形化界面搭建粗粒化模型，并支持构建介观无定形晶胞模型，支持Martini3力场</w:t>
            </w:r>
          </w:p>
          <w:p w14:paraId="5C990E52">
            <w:pPr>
              <w:spacing w:line="360" w:lineRule="auto"/>
              <w:rPr>
                <w:rFonts w:hint="eastAsia" w:ascii="宋体" w:hAnsi="宋体" w:eastAsia="宋体" w:cs="宋体"/>
                <w:sz w:val="24"/>
                <w:szCs w:val="24"/>
              </w:rPr>
            </w:pPr>
            <w:r>
              <w:rPr>
                <w:rFonts w:hint="eastAsia" w:ascii="宋体" w:hAnsi="宋体" w:eastAsia="宋体" w:cs="宋体"/>
                <w:sz w:val="24"/>
                <w:szCs w:val="24"/>
              </w:rPr>
              <w:t>★具备动态平均场密度泛函方法的介观模拟方法，将真实的聚合物转化为高斯链(Gaussian Chain)模型，可计算模拟混合相形貌、模拟聚集和凝固过程、分析浓度分布剖面图；</w:t>
            </w:r>
          </w:p>
          <w:p w14:paraId="1BB9F006">
            <w:pPr>
              <w:spacing w:line="360" w:lineRule="auto"/>
              <w:rPr>
                <w:rFonts w:hint="eastAsia" w:ascii="宋体" w:hAnsi="宋体" w:eastAsia="宋体" w:cs="宋体"/>
                <w:sz w:val="24"/>
                <w:szCs w:val="24"/>
              </w:rPr>
            </w:pPr>
            <w:r>
              <w:rPr>
                <w:rFonts w:hint="eastAsia" w:ascii="宋体" w:hAnsi="宋体" w:eastAsia="宋体" w:cs="宋体"/>
                <w:sz w:val="24"/>
                <w:szCs w:val="24"/>
              </w:rPr>
              <w:t>★具备由给定化合物的分子结构，以力场为基础，采用采用蒙特卡洛模拟退火法预测其多晶型的功能</w:t>
            </w:r>
          </w:p>
          <w:p w14:paraId="4704FDAA">
            <w:pPr>
              <w:spacing w:line="360" w:lineRule="auto"/>
              <w:rPr>
                <w:rFonts w:hint="eastAsia" w:ascii="宋体" w:hAnsi="宋体" w:eastAsia="宋体" w:cs="宋体"/>
                <w:sz w:val="24"/>
                <w:szCs w:val="24"/>
              </w:rPr>
            </w:pPr>
            <w:r>
              <w:rPr>
                <w:rFonts w:hint="eastAsia" w:ascii="宋体" w:hAnsi="宋体" w:eastAsia="宋体" w:cs="宋体"/>
                <w:sz w:val="24"/>
                <w:szCs w:val="24"/>
              </w:rPr>
              <w:t>★具备通过材料晶体结构预测其晶粒形貌的功能，可基于计算得到的晶面附着能/晶面自由能等多种方法，预测晶粒形貌</w:t>
            </w:r>
          </w:p>
          <w:p w14:paraId="651CD05E">
            <w:pPr>
              <w:spacing w:line="360" w:lineRule="auto"/>
              <w:rPr>
                <w:rFonts w:hint="eastAsia" w:ascii="宋体" w:hAnsi="宋体" w:eastAsia="宋体" w:cs="宋体"/>
                <w:sz w:val="24"/>
                <w:szCs w:val="24"/>
              </w:rPr>
            </w:pPr>
            <w:r>
              <w:rPr>
                <w:rFonts w:hint="eastAsia" w:ascii="宋体" w:hAnsi="宋体" w:eastAsia="宋体" w:cs="宋体"/>
                <w:sz w:val="24"/>
                <w:szCs w:val="24"/>
              </w:rPr>
              <w:t>★具备由材料粉晶X射线、同步辐射X射线、中子或者电子衍射图谱获取其晶体结构、结晶度的工具包，可基于晶体结构模拟对应的粉晶衍射谱图，对图谱进行指标化，支持进行Pawley精修，可通过Powder Solve获得材料的晶体结构。</w:t>
            </w:r>
          </w:p>
          <w:p w14:paraId="411C1065">
            <w:pPr>
              <w:spacing w:line="360" w:lineRule="auto"/>
              <w:rPr>
                <w:rFonts w:hint="eastAsia" w:ascii="宋体" w:hAnsi="宋体" w:eastAsia="宋体" w:cs="宋体"/>
                <w:sz w:val="24"/>
                <w:szCs w:val="24"/>
              </w:rPr>
            </w:pPr>
            <w:r>
              <w:rPr>
                <w:rFonts w:hint="eastAsia" w:ascii="宋体" w:hAnsi="宋体" w:eastAsia="宋体" w:cs="宋体"/>
                <w:sz w:val="24"/>
                <w:szCs w:val="24"/>
              </w:rPr>
              <w:t>★具备定量构效关系功能，通过构建材料的实验信息(“性质”)和分子水平特征(“描述符”)之间的统计回归模型，进而预测未知材料的性质，支持的算法包括多元线性回归，遗传算法，神经网络算法</w:t>
            </w:r>
          </w:p>
          <w:p w14:paraId="68622D3F">
            <w:pPr>
              <w:spacing w:line="360" w:lineRule="auto"/>
              <w:rPr>
                <w:rFonts w:ascii="宋体" w:hAnsi="宋体" w:eastAsia="宋体" w:cs="宋体"/>
                <w:sz w:val="24"/>
                <w:szCs w:val="24"/>
              </w:rPr>
            </w:pPr>
            <w:r>
              <w:rPr>
                <w:rFonts w:hint="eastAsia" w:ascii="宋体" w:hAnsi="宋体" w:eastAsia="宋体" w:cs="宋体"/>
                <w:sz w:val="24"/>
                <w:szCs w:val="24"/>
              </w:rPr>
              <w:t>★提供perl脚本扩展能力，可实现多个模块，多种任务的流程化计算过程的自动化处理</w:t>
            </w:r>
          </w:p>
        </w:tc>
        <w:tc>
          <w:tcPr>
            <w:tcW w:w="317" w:type="pct"/>
            <w:noWrap w:val="0"/>
            <w:vAlign w:val="center"/>
          </w:tcPr>
          <w:p w14:paraId="1A9A9EA7">
            <w:pPr>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套</w:t>
            </w:r>
          </w:p>
        </w:tc>
        <w:tc>
          <w:tcPr>
            <w:tcW w:w="396" w:type="pct"/>
            <w:noWrap w:val="0"/>
            <w:vAlign w:val="center"/>
          </w:tcPr>
          <w:p w14:paraId="055976C3">
            <w:pPr>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1</w:t>
            </w:r>
          </w:p>
        </w:tc>
      </w:tr>
      <w:tr w14:paraId="305B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2" w:type="pct"/>
            <w:noWrap w:val="0"/>
            <w:vAlign w:val="center"/>
          </w:tcPr>
          <w:p w14:paraId="37DA386E">
            <w:pPr>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val="en-US" w:eastAsia="zh-CN"/>
              </w:rPr>
              <w:t>3</w:t>
            </w:r>
          </w:p>
        </w:tc>
        <w:tc>
          <w:tcPr>
            <w:tcW w:w="816" w:type="pct"/>
            <w:noWrap w:val="0"/>
            <w:vAlign w:val="center"/>
          </w:tcPr>
          <w:p w14:paraId="09A9C1E0">
            <w:pPr>
              <w:jc w:val="center"/>
              <w:rPr>
                <w:rFonts w:ascii="宋体" w:hAnsi="宋体" w:eastAsia="宋体" w:cs="宋体"/>
                <w:color w:val="000000"/>
                <w:kern w:val="0"/>
                <w:szCs w:val="21"/>
              </w:rPr>
            </w:pPr>
            <w:r>
              <w:rPr>
                <w:rFonts w:hint="eastAsia" w:ascii="宋体" w:hAnsi="宋体" w:eastAsia="宋体" w:cs="宋体"/>
                <w:color w:val="000000"/>
                <w:kern w:val="0"/>
                <w:szCs w:val="21"/>
              </w:rPr>
              <w:t> 高性能计算工作站</w:t>
            </w:r>
          </w:p>
        </w:tc>
        <w:tc>
          <w:tcPr>
            <w:tcW w:w="3157" w:type="pct"/>
            <w:noWrap w:val="0"/>
            <w:vAlign w:val="center"/>
          </w:tcPr>
          <w:p w14:paraId="277507BB">
            <w:pPr>
              <w:rPr>
                <w:rFonts w:ascii="宋体" w:hAnsi="宋体" w:eastAsia="宋体" w:cs="宋体"/>
                <w:color w:val="000000"/>
                <w:kern w:val="0"/>
                <w:szCs w:val="21"/>
              </w:rPr>
            </w:pPr>
            <w:r>
              <w:rPr>
                <w:rFonts w:hint="eastAsia" w:ascii="宋体" w:hAnsi="宋体" w:eastAsia="宋体" w:cs="宋体"/>
                <w:color w:val="000000"/>
                <w:kern w:val="0"/>
                <w:szCs w:val="21"/>
              </w:rPr>
              <w:t>详见“部分产品具体参数”</w:t>
            </w:r>
          </w:p>
        </w:tc>
        <w:tc>
          <w:tcPr>
            <w:tcW w:w="317" w:type="pct"/>
            <w:noWrap w:val="0"/>
            <w:vAlign w:val="center"/>
          </w:tcPr>
          <w:p w14:paraId="63E51979">
            <w:pPr>
              <w:jc w:val="center"/>
              <w:rPr>
                <w:rFonts w:ascii="宋体" w:hAnsi="宋体" w:eastAsia="宋体" w:cs="宋体"/>
                <w:color w:val="000000"/>
                <w:kern w:val="0"/>
                <w:szCs w:val="21"/>
              </w:rPr>
            </w:pPr>
            <w:r>
              <w:rPr>
                <w:rFonts w:hint="eastAsia" w:ascii="宋体" w:hAnsi="宋体" w:eastAsia="宋体" w:cs="宋体"/>
                <w:color w:val="000000"/>
                <w:kern w:val="0"/>
                <w:szCs w:val="21"/>
              </w:rPr>
              <w:t>台</w:t>
            </w:r>
          </w:p>
        </w:tc>
        <w:tc>
          <w:tcPr>
            <w:tcW w:w="396" w:type="pct"/>
            <w:noWrap w:val="0"/>
            <w:vAlign w:val="center"/>
          </w:tcPr>
          <w:p w14:paraId="3228090B">
            <w:pPr>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val="en-US" w:eastAsia="zh-CN"/>
              </w:rPr>
              <w:t>1</w:t>
            </w:r>
          </w:p>
        </w:tc>
      </w:tr>
    </w:tbl>
    <w:p w14:paraId="66CDA821">
      <w:pPr>
        <w:widowControl/>
        <w:spacing w:line="360" w:lineRule="auto"/>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部分产品参数</w:t>
      </w: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0"/>
        <w:gridCol w:w="1176"/>
        <w:gridCol w:w="1424"/>
        <w:gridCol w:w="1248"/>
        <w:gridCol w:w="416"/>
        <w:gridCol w:w="2337"/>
        <w:gridCol w:w="1900"/>
        <w:gridCol w:w="1915"/>
      </w:tblGrid>
      <w:tr w14:paraId="531A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863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398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D89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489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DBF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D1E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8D594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B8F77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59A4C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09D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22D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EB1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720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67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E25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供应商给出CPU信息，包含CPU型号、物理核心数、主频、末级缓存容量、线程数、热设计功耗及支持内存的最高速率、通道数和位宽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E7B11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中央处理器物理核心总数不少于120核，线程数不少于240线程，计算频率基础不低于2.6 GHz；</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F36CFE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94B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25B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DD7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1241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45E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★主板支持的CPU和内存情况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7A7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555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供应商给出主板支持的CPU和内存的型号数量</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AC14E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CPU：支持2颗第五代智能英特尔® 至强® 可扩展处理器，TDP 350W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内存：支持16个DDR5 内存插槽，最高5600MHz、支持RDIMM、3DS RDIMM。</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ABBBF9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11B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D34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E4F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5E7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EE1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★主板内存槽数量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ED6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E80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非板载内存的可扩展插槽数量应不少于4个</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32593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支持16个DDR5 内存插槽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A3E6C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实配的内存插槽数越多，内存扩展能力越强</w:t>
            </w:r>
          </w:p>
        </w:tc>
      </w:tr>
      <w:tr w14:paraId="30E5E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5C9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E4E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A9D1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BD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★主板存储接口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F95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538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至少支持SATA、SAS、M.2、U.2等存储接口中的1种</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821E8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支持U.2和M.2</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8E3CE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配置的接口种类越多可支持存储设备类型越多</w:t>
            </w:r>
          </w:p>
        </w:tc>
      </w:tr>
      <w:tr w14:paraId="16E2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013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E4C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7871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595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★PCIe插槽接口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DA3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B76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符合PCIe3.0或以上的高速串行计算机扩展总线标准，PCIe的接口速率与位宽需保证向下兼容</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A85A5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 4.0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1D3B8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采购人根据需要选择PCIe插槽接口。PCIe插槽协议版本越高越好</w:t>
            </w:r>
          </w:p>
        </w:tc>
      </w:tr>
      <w:tr w14:paraId="4DBB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95A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ABD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27BA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556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★主板PCIe插槽数量及规格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18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3E9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a)高度大于44.45mm双路或以上服务器PCIe插槽或接口应不少于5个；b)单路服务器PCIe插槽或接口应不少于4个，可通过扩展卡进行插槽扩展</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D333B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支持4个PCIe 4.0插槽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53F40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实配的PCIe插槽数越多，扩展能力越强，但PCIe插槽过多会影响产品轻薄化小型化</w:t>
            </w:r>
          </w:p>
        </w:tc>
      </w:tr>
      <w:tr w14:paraId="1F33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32D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D60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D778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A3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A5C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444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机箱内主板可根据用户实际使用需求支持安装多功能导入装置板卡，机箱内需预留多功能导入装置板卡安装位置，容量不小于55mm×45mm×15mm（长×宽×高，单位毫米）；b)服务器主板可根据用户实际使用需求预留满足USB2.0或USB3.0数据传输规范的接口，工作电压5V，采用USB2.0时，最大过电流应不小于0.5A，采用USB3.0时，最大过电流应不小于1A</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500A6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前置：2个USB 3.0，后置：1个串口，2个USB 3.0接口，1个VGA接口，1个RJ45管理口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FD555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77AB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9A1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63C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C091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DFB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板载网络接口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9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15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若支持板载网络接口应不少于1个1GE网口</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346B4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1个1Gb RJ45专用管理网口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C534B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采购人根据需要选择板载网络接口数量及传输速率。一般网络接口速率越高、端口数量越多说明服务器整机的网络能力越强</w:t>
            </w:r>
          </w:p>
        </w:tc>
      </w:tr>
      <w:tr w14:paraId="35E7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77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A55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98B9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F5C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主板OCP插槽数量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030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71F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支持OCP2.0及以上插槽的数量不少于1个</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043A33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支持OCP2.0及以上插槽的数量不少于1个</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69E61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采购人根据需要选择OCP插槽数量。支持OCP网卡越多扩展能力越强</w:t>
            </w:r>
          </w:p>
        </w:tc>
      </w:tr>
      <w:tr w14:paraId="6770F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0DA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956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8A9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760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CA6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035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02518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28565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F02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E40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81A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F8B9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905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64D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A727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≥DDR4</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B5761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DDR5</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15611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采购人根据需要选择产品支持内存规格。支持内存代次越高越好</w:t>
            </w:r>
          </w:p>
        </w:tc>
      </w:tr>
      <w:tr w14:paraId="6B119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021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1A7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2435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7D3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★内存通道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AE8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4FB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支持多个内存接口通道，每个通道可支持1DPC或2DPC，当支持2DPC时，印制电路板上应具备插槽的序号标识，具体通道数应在随机文件中明确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8D733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支持多个内存接口通道，每个通道可支持1DPC或2DPC，当支持2DPC时，印制电路板上应具备插槽的序号标识，具体通道数应在随机文件中明确</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D02B4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服务器常见为3通道和4通道，通道数越多，产品配置多内存时越能发挥内存最高性能</w:t>
            </w:r>
          </w:p>
        </w:tc>
      </w:tr>
      <w:tr w14:paraId="12EAF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120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D49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B56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A4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4D5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02D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供应商给出服务器支持硬磁盘和固态盘类型及规格</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3AAD6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支持机械硬盘与固态硬盘</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FD4FE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EF85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E1C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A84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B305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C35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★硬磁盘实配容量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59B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503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服务器产品至少要配备一款存储设备a)若配备硬磁盘，服务器提供的实配硬磁盘可用容量应不小于600GBb)若配备固态盘，实配固态盘单盘可用容量不小于480GB，NVMeSSD容量不小于960GB</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2B415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机械硬盘：8T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固态硬盘：4TB</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50DC2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硬盘容量越大数据存储能力越强</w:t>
            </w:r>
          </w:p>
        </w:tc>
      </w:tr>
      <w:tr w14:paraId="6FAA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CB5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4C0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FC5D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DD7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65E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14C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a)若配备硬磁盘，应提供SAS3.0或SATA3.0及以上接口；b)若配备固态盘，应提供至少1种类型固态盘接口，如UFS、SATA、PCIe等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872BB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支持SATA与PCIe接口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1DDEC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采购人根据需要明确硬盘接口类型</w:t>
            </w:r>
          </w:p>
        </w:tc>
      </w:tr>
      <w:tr w14:paraId="695A6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103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DDF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9501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B61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★硬盘实配数量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433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951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a)若配备硬磁盘，服务器提供的实配硬磁盘数量应不小于2块，可实现互为备份；b)若配备固态盘，实配盘数应不小于1块</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71806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机械硬盘：1个</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固态硬盘：1个</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51327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建议采购人选择2块及以上HDD盘，便于采购人扩容及组建RAID</w:t>
            </w:r>
          </w:p>
        </w:tc>
      </w:tr>
      <w:tr w14:paraId="7F0D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3DA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E84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B720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1B5B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★硬盘插槽数量及规格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338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FAA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供应商应给出配置的硬盘尺寸，如2.5英寸、3.5英寸硬磁盘；b)机箱高度为88.9mm的服务器可支持的硬盘数量应不少于8块，机箱高度为44.45mm的服务器可支持的硬盘数量应不少于4块。c)存储型服务器可支持硬盘数量应不少于24块</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45CB2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机械硬盘：支持8个3.5英寸硬盘（支持2个NVME U.2硬盘）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固态硬盘：支持1个M.2（PCIe 4.0 x4 , 2280）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04AC1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可支持的硬盘数量越多，产品存储扩展能力越强</w:t>
            </w:r>
          </w:p>
        </w:tc>
      </w:tr>
      <w:tr w14:paraId="645E5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33D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DFF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2245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782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硬盘其他参数要求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CDE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A20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wp:posOffset>
                  </wp:positionH>
                  <wp:positionV relativeFrom="paragraph">
                    <wp:posOffset>471805</wp:posOffset>
                  </wp:positionV>
                  <wp:extent cx="76835" cy="47625"/>
                  <wp:effectExtent l="0" t="0" r="0" b="0"/>
                  <wp:wrapNone/>
                  <wp:docPr id="1" name="textbox1"/>
                  <wp:cNvGraphicFramePr/>
                  <a:graphic xmlns:a="http://schemas.openxmlformats.org/drawingml/2006/main">
                    <a:graphicData uri="http://schemas.openxmlformats.org/drawingml/2006/picture">
                      <pic:pic xmlns:pic="http://schemas.openxmlformats.org/drawingml/2006/picture">
                        <pic:nvPicPr>
                          <pic:cNvPr id="1" name="textbox1"/>
                          <pic:cNvPicPr/>
                        </pic:nvPicPr>
                        <pic:blipFill>
                          <a:blip r:embed="rId4"/>
                          <a:stretch>
                            <a:fillRect/>
                          </a:stretch>
                        </pic:blipFill>
                        <pic:spPr>
                          <a:xfrm>
                            <a:off x="0" y="0"/>
                            <a:ext cx="76835" cy="4762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a)机械硬盘准备时间应不大于30s；侧面固定螺丝孔数量可为4孔或6孔；工作状态环境温度应满足5℃55℃,其它参数应符合GB/T12628的相关规定；b)若服务器支持固态盘，固态盘符合SJ/T11654相关规定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25396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a)机械硬盘准备时间应不大于30s；侧面固定螺丝孔数量可为4孔或6孔；工作状态环境温度应满足5℃55℃,其它参数应符合GB/T12628的相关规定；b)若服务器支持固态盘，固态盘符合SJ/T11654相关规定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D0752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8C8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A48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BA1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141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RAID卡规格（若支持RAID卡）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20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C4B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6F4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772FC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751E5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RAID卡支持的SAS接口数越多，存储扩展能力越高，存储空间组合划分越灵活</w:t>
            </w:r>
          </w:p>
        </w:tc>
      </w:tr>
      <w:tr w14:paraId="318CD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036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639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9B2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SAS直通卡规格(若支持SAS直通卡)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2E1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SAS直通卡SAS接口数量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38D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687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E612B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082B5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采购人根据需要选择SAS直通卡数量和通道数量。SAS接口数越多，硬盘扩展能力越强</w:t>
            </w:r>
          </w:p>
        </w:tc>
      </w:tr>
      <w:tr w14:paraId="031D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C16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8C3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2B8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HBA卡规格(若支持HBA直通卡)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923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HBA卡端口数量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05E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C20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F93D9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B0E96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采购人根据需要选择FCHBA卡的端口数量</w:t>
            </w:r>
          </w:p>
        </w:tc>
      </w:tr>
      <w:tr w14:paraId="4FB8C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598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F19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52F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1AC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★网口速率和数量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DA9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F84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配备网口数量不少于1个，且网口速率不少于1GE</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0EFEA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1个1Gb RJ45专用管理网口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E59F5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采购人根据需要选择配备的网口速率和数量。传输速率越高、端口数量越多服务器整机的网络通信能力越强</w:t>
            </w:r>
          </w:p>
        </w:tc>
      </w:tr>
      <w:tr w14:paraId="6C455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937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AA9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7331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BB2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存储型服务器网口速率和数量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7CC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D7E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存储型服务器1GE网口数量不少于2个，10GE以上网口数量不少于2个</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FBC7D1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F4E03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采购人根据需要选择配备网口速率和数量。传输速率越高、端口数量越多服务器整机的网络通信能力越强</w:t>
            </w:r>
          </w:p>
        </w:tc>
      </w:tr>
      <w:tr w14:paraId="1DC60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430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448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2F2A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94B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独立网卡网口数量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F14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8DC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若配备独立网卡，独立网卡网口数量≥0</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55C41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若配备独立网卡，独立网卡网口数量≥2</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30930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采购人根据需要选择独立网卡网口数量</w:t>
            </w:r>
          </w:p>
        </w:tc>
      </w:tr>
      <w:tr w14:paraId="06549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0EE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A3C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B84D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291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D19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06A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24CD7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238C8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若有需要，采购人根据需要选择独立网卡接口。一般千兆以下网络选用RJ45电接口，超过千兆网络选用SFP、QSFP光接口</w:t>
            </w:r>
          </w:p>
        </w:tc>
      </w:tr>
      <w:tr w14:paraId="400A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513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2D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6202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D2D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板载网卡接口类型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1E1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E0E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56437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35159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采购人根据需要选择板载网卡接口类型。一般千兆以下网络选用RJ45电接口，超过千兆网络选用SFP光接口</w:t>
            </w:r>
          </w:p>
        </w:tc>
      </w:tr>
      <w:tr w14:paraId="5C132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930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DA4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B91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164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843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E4F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显示接口类型应不少于1种，如：VGA、DP、HDMI等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AE6E5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支持VGA</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FA282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采购人根据需要选择显示接口</w:t>
            </w:r>
          </w:p>
        </w:tc>
      </w:tr>
      <w:tr w14:paraId="5731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F1A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A7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C1A9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C7D7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37F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519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配备USB接口，如USB2.0、USB3.0等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86E44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支持USB3.0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6B183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采购人根据需要选择USB接口数量。USB接口的数量越多外接设备能力越强，协议版本越高传输速率越高（USB3.0传输速度高于USB2.0）</w:t>
            </w:r>
          </w:p>
        </w:tc>
      </w:tr>
      <w:tr w14:paraId="61CD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AA1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C08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3A0E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F3D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特殊接口及孔位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6F9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C2B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前面板预留1个专用USB母座接口孔位</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65E43B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前面板预留1个专用USB母座接口孔位</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4A466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采购人根据需要选择配备特殊接口及孔位产品</w:t>
            </w:r>
          </w:p>
        </w:tc>
      </w:tr>
      <w:tr w14:paraId="0FCF7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9A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1BA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9633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04A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2DE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BF0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a)串口数量不少于1个，并可实现GB/T6107或GB/T26803.2的相关功能；b)服务器主机前面板可根据用户实际使用需求预留1个专用USB母座接口孔位</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AE284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前置：2个USB 3.0，1个VGA接口、后置：1个串口，2个USB 3.0接口，1个VGA接口，1个RJ45管理口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CD81B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若有特殊需求，采购人可根据需要选择支持接口如：PS/2接口、BMC管理端口等</w:t>
            </w:r>
          </w:p>
        </w:tc>
      </w:tr>
      <w:tr w14:paraId="21FC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027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FA8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120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26A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电源冗余模式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A07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A5E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整机电源模块按1+1冗余或N+1冗余配置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F05DE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02CD9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采购人根据需要选择电池冗余模式。配有电源冗余的服务器，可靠性较高</w:t>
            </w:r>
          </w:p>
        </w:tc>
      </w:tr>
      <w:tr w14:paraId="6C5D8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6CA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F40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FD89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501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415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1EC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9A1A0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75D1E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采购人根据需要选择电源模块数量。一般配备冗余电源模块。</w:t>
            </w:r>
          </w:p>
        </w:tc>
      </w:tr>
      <w:tr w14:paraId="0BFD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DC2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8F2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A8C0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9F1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21C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E44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电源模块功率应有一定冗余，满足处理器满载时的需求</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AAF8E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2400W 标准电源模块</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01EA6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一般情况下，电源功率越大能够支持的服务器负载也越大，但电源能效和负载相同情况下电源功率越大损耗越大</w:t>
            </w:r>
          </w:p>
        </w:tc>
      </w:tr>
      <w:tr w14:paraId="26B84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881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AFF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6124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FEC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ABF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9EB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配备电源指示灯，指示待机、工作异常等状态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F7BF1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配备电源指示灯，指示待机、工作异常等状态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60E8A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电源指示灯可以表现指示状态，可方便用户使用</w:t>
            </w:r>
          </w:p>
        </w:tc>
      </w:tr>
      <w:tr w14:paraId="31891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009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AB9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AE6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5CD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★外观和结构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8B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38C2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91BA2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745C2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1735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B44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6B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B572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5AB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★尺寸（高×宽×深）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9A2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EF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供应商给出产品尺寸；设计应遵循标准化、系列化的要求；机箱的内部结构符合通用部件的安装需要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A6393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供应商给出产品尺寸；设计应遵循标准化、系列化的要求；机箱的内部结构符合通用部件的安装需要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DEECE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BA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2F4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F81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184C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60F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服务器导轨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E87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1C8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供应商给出导轨尺寸、安装方式等信息</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5FBED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99506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1FE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611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B7E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F5D0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CFB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CPU个数与机柜高度单位(U)比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E8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718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供应商给出CPU个数与机柜高度</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54313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09FB3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61C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D9C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455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CE2E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055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606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BB04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气候环境适应性应符合GB/T9813.3的有关规定，工作温度10~35℃,贮存运输温度-40～55℃;工作相对湿度35%～80%，贮存运输相对湿度20％～93%（40℃);大气压86～106kPa</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29A5B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气候环境适应性应符合GB/T9813.3的有关规定，工作温度10~35℃,贮存运输温度-40～55℃;工作相对湿度35%～80%，贮存运输相对湿度20％～93%（40℃);大气压86～106kPa</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0D4632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2B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68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B10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E936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6B0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特殊机型环境适应性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935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F34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边缘应用服务器，工作环境温度宜为0～45℃,短期工作可承受环境温度宜为-5～55℃,液冷服务器贮存运输温度宜为-30～55℃</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AD44E5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8DA36B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67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18D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3F5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1B45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49D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702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68E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机械环境适应性应符合GB/T9813.3的有关规定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77559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机械环境适应性应符合GB/T9813.3的有关规定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DBB5E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EF7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4E8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A25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0934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0CD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★噪声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49F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371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符合GB/T9813.3的有关规定，在产品说明中给出具体测试值塔式服务器噪声在空闲状态下不大于50dB</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31864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符合GB/T9813.3的有关规定，在产品说明中给出具体测试值塔式服务器噪声在空闲状态下不大于50dB</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2EBC46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690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CD9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044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C8AE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A1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E4B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3C1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AI计算单元应符合如下要求：a)具备人工智能加速处理器，计算精度至少支持FP16、BF16、FP32、FP64、INT8和INT16等中的1种；b)单推理卡或模块，具备视频解析、文本识别、语音分析等推理能力；在视觉场景下配备可直接调用的接口实现视觉计算加速，路数不小于64（1080P30FPS）</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C6CE2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支持≥1颗NVIDIA RTX 5090，显存32G，TDP：450W</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74320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若有特殊需求采购人根据实要需求选择AI计算单元。配备AI计算单元的产品，可大幅提升在特定场景下，典型功能的计算性能，如人脸识别、图片识别、数据挖掘等</w:t>
            </w:r>
          </w:p>
        </w:tc>
      </w:tr>
      <w:tr w14:paraId="0B5E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2A8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973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B0FA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A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一键式迁移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C1D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365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若服务器配备AI计算单元，提供训练脚本迁移工具</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4830F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1C4C3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支持一键式可提高系统迁移易用性</w:t>
            </w:r>
          </w:p>
        </w:tc>
      </w:tr>
      <w:tr w14:paraId="6BB7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AB5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A00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F83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8A0B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C76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1EA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供应商给出长度、高度和深度</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E3282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4602B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采购人可根据需要选择机柜尺寸</w:t>
            </w:r>
          </w:p>
        </w:tc>
      </w:tr>
      <w:tr w14:paraId="5EA66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D4F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00D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B53C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2C0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F49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5929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配备机柜管理板</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BEAEF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AE5B7D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高密度服务器、液冷服务器等一般配备机柜管理板</w:t>
            </w:r>
          </w:p>
        </w:tc>
      </w:tr>
      <w:tr w14:paraId="3E39A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413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020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E2A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2BB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机柜电源规格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7C8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6D5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a)机柜电源支持集中供电，电源输入不少于2路且支持自动切换；b)机柜电源模块支持N+1冗余配置，电源模块可独立更换</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5D597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EA381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供电能力越强，越能满足计算节点的供电要求，配备冗余电源可确保极端情况下服务器稳定运行</w:t>
            </w:r>
          </w:p>
        </w:tc>
      </w:tr>
      <w:tr w14:paraId="3D2D1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F12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B86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00E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D05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★主板外部接口种类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DB7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33F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支持USB、显示、管理等接口，如：VGA、DP、HDMI、USB3.0、PS/2接口、BMC管理端口</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73E73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支持USB3.0、VGA接口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BFB76A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若有特殊需要，采购人根据需要选择其他接口。实配的接口类型越多，可兼容外部设备种类越多</w:t>
            </w:r>
          </w:p>
        </w:tc>
      </w:tr>
      <w:tr w14:paraId="20A15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6FA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366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C126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E94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主板防烧板设计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448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E00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支持主板防烧板设计，保证电源故障后不扩散</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A2A4F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支持主板防烧板设计，保证电源故障后不扩散</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03AB47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具备防烧板设计，可以提升服务器电气安全，避免发生火灾</w:t>
            </w:r>
          </w:p>
        </w:tc>
      </w:tr>
      <w:tr w14:paraId="334F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79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6F1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7B8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80E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扩展功能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29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C5F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实现至少一种扩展功能，如存储功能卡、显示功能卡、运算加速功能卡及网络功能卡等扩展功能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9E4F0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4CBC2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可扩展能力越强越有利于采购人后期升级产品</w:t>
            </w:r>
          </w:p>
        </w:tc>
      </w:tr>
      <w:tr w14:paraId="284E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8F3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F7F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2BBD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6CC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D71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5FD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支持网络连接、网络访问、数据交换和网络管控功能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79437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支持网络连接、网络访问、数据交换和网络管控功能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EE597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2824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DF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6A8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B41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237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522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AEE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支持通用计算及虚拟化功能。处理器需集成整型计算单元、浮点计算单元、内存控制器、I/O模块等，处理器与存储部件、网络部件、I/O部件等组成计算系统，提供数据处理、网络接入等计算相关功能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255CE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支持通用计算及虚拟化功能。处理器需集成整型计算单元、浮点计算单元、内存控制器、I/O模块等，处理器与存储部件、网络部件、I/O部件等组成计算系统，提供数据处理、网络接入等计算相关功能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8C2D9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133F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FC0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C8C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E1020">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84B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EC6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C06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CPU芯片应符合GM/T0008的相关规定，或芯片密码模块应符合GB/T37092或GM/T0028的相关规定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DE4EF3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CPU芯片应符合GM/T0008的相关规定，或芯片密码模块应符合GB/T37092或GM/T0028的相关规定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4D649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6092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0DB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F66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55D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FCE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内存校验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495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425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支持内存校验或内存增强型纠错功能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3B85BF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支持内存校验或内存增强型纠错功能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316D1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支持该功能可提升数据准确性和完整性，但也会损耗一定性能</w:t>
            </w:r>
          </w:p>
        </w:tc>
      </w:tr>
      <w:tr w14:paraId="005D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6AD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853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72EE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F689D">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SATASSDNAND健康状态上报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AE1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525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支持关键外部存储器（硬磁盘、SSD等）的健康状态上报并进行故障诊断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0B37E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支持关键外部存储器（硬磁盘、SSD等）的健康状态上报并进行故障诊断</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7B522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支持该功能有助于提升产品运维能力</w:t>
            </w:r>
          </w:p>
        </w:tc>
      </w:tr>
      <w:tr w14:paraId="6A0AA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5F7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79E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3505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3E0EC">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SATASSD单die故障隔离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A38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DE5E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支持SSD关键外部存储器中单存储晶元故障隔离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9C64A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支持SSD关键外部存储器中单存储晶元故障隔离</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59970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支持该功能可降低业务异常中断风险</w:t>
            </w:r>
          </w:p>
        </w:tc>
      </w:tr>
      <w:tr w14:paraId="01F5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1A2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53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176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RAID卡功能（若支持RAID卡）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134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RAID卡RAID级别支持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A9A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860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RAID模式支持RAID0/1/10/5，存储型支持RAID0/1/5/6/10/50/60</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21782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7CBC5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RAID卡支持的RAID级别越多，表明存储分配功能越丰富；RAID0/1等级是基本的RAID功能，RAID5/6对RAID卡主控芯片的计算性能有很高要求。一般低端RAID卡仅支持RAID0/1及其复合RAID；高端RAID卡支持RAID5/6及其复合RAID</w:t>
            </w:r>
          </w:p>
        </w:tc>
      </w:tr>
      <w:tr w14:paraId="11F0A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028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B27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8093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FB1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RAID卡BBU单元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7E8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6E9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RAID卡支持电池或电容备份单元</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DF6F8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BC23D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支持BBU单元可提升系统可靠性</w:t>
            </w:r>
          </w:p>
        </w:tc>
      </w:tr>
      <w:tr w14:paraId="50D38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5CA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45A3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EA1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C9A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光驱类型（是否支持RW，以及光盘类型CD/DVD）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17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AA73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若配备光驱，应提供光驱的安装形式（如内置、外置）、光驱读写类型（如只读、可刻录等）、光盘类型的兼容列表（如CD-ROM、CD-RW、DVD±RW等）</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CEFE06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3AB86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配备光驱便于直接读取光盘</w:t>
            </w:r>
          </w:p>
        </w:tc>
      </w:tr>
      <w:tr w14:paraId="614C9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AFB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F754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F2A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E6A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★电源热插拔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705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215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整机电源模块应具备热插拔功能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29E75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F6798F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支持此功能可提高运维管理效率</w:t>
            </w:r>
          </w:p>
        </w:tc>
      </w:tr>
      <w:tr w14:paraId="2D803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C26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D977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3C14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CA4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★电源过流保护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1A5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481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支持过流及短路保护的功能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3D757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支持过流及短路保护的功能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D51B0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支持此功能可提升产品安全性</w:t>
            </w:r>
          </w:p>
        </w:tc>
      </w:tr>
      <w:tr w14:paraId="7DE7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BE7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D506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F3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753D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★散热方式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968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4ED6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支持风冷或液冷等散热方式</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5CD0E4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支持风冷或液冷等散热方式</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1BD48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09B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92C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AE2B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D228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C4D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74D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D72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a)支持关键部件冗余（包括电源、风扇等）；b)支持熔断保护与恢复功能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87737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19E8C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D17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541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5C7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87E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管理系统功能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B3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★BMC固件基础功能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151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C7D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07125B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1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450D89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54F5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389D2">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24ECF">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1232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A95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18915">
            <w:pPr>
              <w:keepNext/>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A213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648A3C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F335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6629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EAC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F55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82D8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8412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BMC固件增强功能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080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3D0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a）网络控制、安装提供图形访问界面网络；b）设备的BMC管理软件界面显示报警信息，且能够按报警的严重程度进行区分；c）WebGUI采用BMC端口直连，平均响应时间为不大于1s</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7E93C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A61A3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6BD1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74E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F20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4627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5DE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★BIOS固件基础功能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71A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A159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l）支持固件更新功能；m）支持BIOS固件设置的恢复出厂功能；n）支持网络引导启用和关闭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B06EB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l）支持固件更新功能；m）支持BIOS固件设置的恢复出厂功能；n）支持网络引导启用和关闭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47882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7398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5F8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9B26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E91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A255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★远程控制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FAA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C0A8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支持远程关机和重新启动功能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DD442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支持远程关机和重新启动功能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FC4A4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支持该功能便于产品运维</w:t>
            </w:r>
          </w:p>
        </w:tc>
      </w:tr>
      <w:tr w14:paraId="58F6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0B9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84FE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B7B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A58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8F3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53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支持通过网络、闪存盘对操作系统、驱动进行升级</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8F75A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支持通过网络、闪存盘对操作系统、驱动进行升级</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8B9E6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A84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DF4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341A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EC21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5DF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操作系统及驱动的备份还原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5BD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FF48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236A2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8A126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支持该功能有助于提升产品数据安全性</w:t>
            </w:r>
          </w:p>
        </w:tc>
      </w:tr>
      <w:tr w14:paraId="60422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D68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60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53EB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D65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C6D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B46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a)支持访问控制、安全审计、网络接入鉴别等功能；b)操作系统其他功能应满足操作系统政府采购需求标准中加*的指标要求</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0E43B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a)支持访问控制、安全审计、网络接入鉴别等功能；b)操作系统其他功能应满足操作系统政府采购需求标准中加*的指标要求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B64A6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如有特殊需求采购人可补充相关要求</w:t>
            </w:r>
          </w:p>
        </w:tc>
      </w:tr>
      <w:tr w14:paraId="1758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5EF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86E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66F5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DC7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F77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568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符合GB18030的有关规定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166B8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符合GB18030的有关规定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92BE0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涉及中文信息处理内容应符合GB18030要求</w:t>
            </w:r>
          </w:p>
        </w:tc>
      </w:tr>
      <w:tr w14:paraId="338EC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8F0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3EA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B07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61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64D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67A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机柜管理系统包括服务器节点BMC管理系统、机柜管理系统或交换节点管理系统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5C377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40A4F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支持该功能管理更加方便用户管理设备</w:t>
            </w:r>
          </w:p>
        </w:tc>
      </w:tr>
      <w:tr w14:paraId="5F0C7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110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393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D06E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1DD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机柜通信方式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AE8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613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若配备机柜管理板可实现包括：资产管理、电源模块、功耗管理和液冷漏液检测等功能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158F79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9D172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支持该功能便于统一管理机柜内整机产品</w:t>
            </w:r>
          </w:p>
        </w:tc>
      </w:tr>
      <w:tr w14:paraId="3834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013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D742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DE9D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01A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多集群作业管理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FF1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620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支持多集群作业管理功能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9DCAD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C8254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支持该功能能有效提升集群管理效率和利用率</w:t>
            </w:r>
          </w:p>
        </w:tc>
      </w:tr>
      <w:tr w14:paraId="78041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85E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09D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756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27F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A1F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639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66E1F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74AE9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3DAA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08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4D2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0F1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6A4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★故障检测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9C0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882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支持故障检测功能，可以检测到具体的FRU（内存、硬盘等）的故障并发出告警</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745888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支持故障检测功能，可以检测到具体的FRU（内存、硬盘等）的故障并发出告警</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0AA4C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392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4BD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D5B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BA8E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839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内存故障智能预测和自愈修复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0F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AFF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支持内存故障智能预测和自愈修复，提前自动硬隔离，避免内存故障引起的非预期宕机以及内存寿命的降低</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1DF44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支持内存故障智能预测和自愈修复，提前自动硬隔离，避免内存故障引起的非预期宕机以及内存寿命的降低</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94798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071B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64F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B89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7E1D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E5C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硬盘故障智能预测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AE9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6A26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支持硬盘故障智能预测，基于故障模型预测出硬盘的故障</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1DFAB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支持硬盘故障智能预测，基于故障模型预测出硬盘的故障</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0F3BF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BCC3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79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C51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8F76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0B64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PCIe链路故障智能诊断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A0A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2348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支持PCIe链路故障智能诊断，判断出现故障的PCIe链路</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DCF53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支持PCIe链路故障智能诊断，判断出现故障的PCIe链路</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1C3BA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14E1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4CC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E5A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F9D8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971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825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6D1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支持内存故障隔离，在内存产生CE故障时，内存地址被隔离成功，服务器正常运行，业务系统不中断</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E67CE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支持内存故障隔离，在内存产生CE故障时，内存地址被隔离成功，服务器正常运行，业务系统不中断</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073C1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230E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24A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DA3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F471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DA8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内存、PCIe卡的故障精准告警功能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B2E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53F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支持内存、PCIe卡的故障精准告警功能，触发告警并明确指示具体的故障位置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3BA34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支持内存、PCIe卡的故障精准告警功能，触发告警并明确指示具体的故障位置</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14BB4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D976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7E4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4A8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BC4E3">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F2B3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异常下电关键数据保护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C53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1653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支持异常下电关键数据保护，支持数据备份恢复机制，防止系统异常掉电导致的数据文件丢失</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16AB9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支持异常下电关键数据保护，支持数据备份恢复机制，防止系统异常掉电导致的数据文件丢失</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30F2BB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1788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1B3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B24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D543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4914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BMC/BIOS固件双镜像保护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100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CA8E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支持BMC/BIOS固件双镜像保护，运行异常时自动切换到备份镜像运行，提升系统稳定性</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41EDD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支持BMC/BIOS固件双镜像保护，运行异常时自动切换到备份镜像运行，提升系统稳定性</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60280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76A3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F9E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39E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A45B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78CC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CPU核重启隔离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793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FD2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支持CPU核发生不可纠正故障后，重启后由BIOS隔离该故障核，OS不可见，防止OS再次使用导致系统异常，核0除外</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ED4A8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支持CPU核发生不可纠正故障后，重启后由BIOS隔离该故障核，OS不可见，防止OS再次使用导致系统异常，核0除外</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57476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E436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D7F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AF2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F9B5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A9C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内存地址隔离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D8D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21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在硬件支持的情况下，支持故障内存地址重启后隔离</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77C50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在硬件支持的情况下，支持故障内存地址重启后隔离</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133B6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F532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EF7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5BD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7DC7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9F2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内存存储阵列替换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8DA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5C2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在硬件支持的情况下，支持故障内存存储阵列替换</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B95E89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在硬件支持的情况下，支持故障内存存储阵列替换</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7C975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EF7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D44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7AF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9E81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371B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安全启动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577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54A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支持执行环境要求在整个系统启动的过程中，系统应提供一个机制来保护平台的完整性</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775764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支持执行环境要求在整个系统启动的过程中，系统应提供一个机制来保护平台的完整性</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D7ACA2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7DF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CF5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88B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123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E04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syslog双向鉴别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98F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1A6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支持系统日志双向鉴别，对服务器根证书和客户端根证书进行鉴别</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F3285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支持系统日志双向鉴别，对服务器根证书和客户端根证书进行鉴别</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DCD5D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136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F59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DEC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F203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6B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★弱口令字典检查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203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E38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支持弱口令字典检查功能，出现在弱口令字典中的字符串不能被设置为用户口令</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FD340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支持弱口令字典检查功能，出现在弱口令字典中的字符串不能被设置为用户口令</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59402C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0D8C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E12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40B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24A9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668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★白名单访问控制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992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6CEC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支持基于时间、IP或MAC白名单访问控制</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9AFBB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支持基于时间、IP或MAC白名单访问控制</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EB492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09CB2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67E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195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ECAD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1B1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双因素鉴别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06C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E78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支持使用客户端证书和证书密码的双因素鉴别方式登录管理系统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B0631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支持使用客户端证书和证书密码的双因素鉴别方式登录管理系统</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2F45B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C01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AA7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E04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55F62">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1E2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★二次鉴别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BCB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8EC6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支持二次鉴别功能。对于用户配置、权限配置、公钥导入等重要的管理操作，已登录用户应通过二次鉴别后，才能执行操作</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B4F35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支持二次鉴别功能。对于用户配置、权限配置、公钥导入等重要的管理操作，已登录用户应通过二次鉴别后，才能执行操作</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60B267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0A35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8BF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892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F9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F473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匿名化用户告警接收邮箱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267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9570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支持带外管理系统中的用户告警接收邮箱进行匿名化处理</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09A90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2BDAB3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7D0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C75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28C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C369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A647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★密码证书安全加密存储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087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0F7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支持对带外管理系统中的用户口令和证书等敏感信息进行加密存储，禁止使用私有的和业界已知不安全的密码算法</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4313B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支持对带外管理系统中的用户口令和证书等敏感信息进行加密存储，禁止使用私有的和业界已知不安全的密码算法</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2E4EF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1AB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480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ED7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116D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9AB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★敏感信息安全加密传输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1BE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5CF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支持使用安全的传输加密协议（如SSH或HTTPS等）传输用户的敏感信息</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F87BF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支持使用安全的传输加密协议（如SSH或HTTPS等）传输用户的敏感信息</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775C0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D47B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73E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76E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C45A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3F6A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★研发过程安全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254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42A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E5932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00B721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28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6C8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CE5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E4E3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7C9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漏洞管理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841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9AEC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供应商承诺，生产商已建立漏洞全量视图，保证产品版本涉及到的所有漏洞(如驱动程序、BMC软件等)都可以查看</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580AB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1D75B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2CE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476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36F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27F4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DC2C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网络关键设备服务器要求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E03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367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作为网络关键设备的服务器应符合GB40050的相关规定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F729C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51A373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BCF0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5AD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993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1010F">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C2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56C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A31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通过国家相关部门的认证和许可</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262988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31A28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支持的增强功能越多产品安全性越高，但也会造成性能损耗；若支持可信计算可参考GB/T29827的相关规定</w:t>
            </w:r>
          </w:p>
        </w:tc>
      </w:tr>
      <w:tr w14:paraId="1CA7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3AD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1B5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7E44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9A7F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9E6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E0D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安全要求应符合GB4943.1的规定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49E52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安全要求应符合GB4943.1的规定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2DFB0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EB8F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1C7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D4E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C0A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8B7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B70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CF67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限用物质的限量应符合GB/T26572的要求</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33019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限用物质的限量应符合GB/T26572的要求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38C6AB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D05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730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8AA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9D9D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CBE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★CPU主频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C0B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915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≥1.8GHz</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5463F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≥2.5GHz</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87245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同类型CPU主频越高性能越强</w:t>
            </w:r>
          </w:p>
        </w:tc>
      </w:tr>
      <w:tr w14:paraId="098A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34C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F7C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11D7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67D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★单CPU核数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FC0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AFE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FE990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475FB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47E66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698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563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68A0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3B8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★单CPU末级缓存容量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5D5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8E7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38268D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≥160GB</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4F0D34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缓存容量(cache)容量越大，缓存命中的概率越大。cache命中率跟容量正向相关</w:t>
            </w:r>
          </w:p>
        </w:tc>
      </w:tr>
      <w:tr w14:paraId="47A16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E8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805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D2A4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C6B3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单内存模块容量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E71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04B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6B7F1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≥32GB</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374F4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一般配置容量越大性能越好</w:t>
            </w:r>
          </w:p>
        </w:tc>
      </w:tr>
      <w:tr w14:paraId="00D4B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81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A38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E778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3965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1E4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3C6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F91386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≥5600MT/s</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D47FB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内存速率越高性能越好</w:t>
            </w:r>
          </w:p>
        </w:tc>
      </w:tr>
      <w:tr w14:paraId="7E1B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523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516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EF7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06C3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硬盘转速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40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063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安装的硬磁盘转速不小于7200rpm</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065889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安装的硬磁盘转速不小于7200rpm</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91F5E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机械硬盘转速越高读写性能越好</w:t>
            </w:r>
          </w:p>
        </w:tc>
      </w:tr>
      <w:tr w14:paraId="46B57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29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A4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C421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1A8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RAID卡缓存容量大小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029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BBF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若配备RAID卡且RAID卡有缓存容量，容量不少于1GB</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D1F93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65552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缓存容量越大，性能越好</w:t>
            </w:r>
          </w:p>
        </w:tc>
      </w:tr>
      <w:tr w14:paraId="4C370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491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DBB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E7D39">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D02B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CA2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6C7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若配备FCHBA卡，单端口最大的连接速率不少于8Gb/s</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6F2CE2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F9B2A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速率越高网卡性能越强</w:t>
            </w:r>
          </w:p>
        </w:tc>
      </w:tr>
      <w:tr w14:paraId="24D71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2C3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CC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051C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网络性能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953E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A2D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088D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≥10GE</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4EEB0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≥10GE</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C4241A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2395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A78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290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FCB7C">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715E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F32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0E6B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≥1GE</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6673BB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≥1GE</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5152D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42B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173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88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6D21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583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65C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531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EE39EA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76104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3599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FB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454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99A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部件兼容性要求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198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A9E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192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适配3种及以上厂商的内存产品，且均不低于产品支持的内存规格</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D4610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适配3种及以上厂商的内存产品，且均不低于产品支持的内存规格</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4645CD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0CDA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E2E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73D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2A3D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5AD2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18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7EC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适配3种或以上厂商的固态存储产品，且均不低于产品支持的固态存储设备规格</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8EEC22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适配3种或以上厂商的固态存储产品，且均不低于产品支持的固态存储设备规格</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B79CC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AAFC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94C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B24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5455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EB82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CB1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1C3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ACC2EB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39FE1A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40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D4A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A2F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6BF0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B27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EDB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1F6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6DBC70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1ED9FC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1CD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DDD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C57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8AD5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2D09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539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D75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网卡应适配两种或以上厂商产品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FF338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网卡应适配两种或以上厂商产品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8EBC7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595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3F2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3BC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C100D">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E055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★功能卡兼容性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F65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33E8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内置或适配符合PCIe的功能卡，如：网络功能卡、存储功能卡及图形显示功能卡</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3851F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内置或适配符合PCIe的功能卡，如：网络功能卡、存储功能卡及图形显示功能卡</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152588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7AFB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747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B85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3900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D342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7AC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895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兼容多种主流生产商的外部设备，包括显示器、键盘、鼠标、闪存盘、移动硬盘、USB光驱及KVM等，要求使用不同厂商的外部设备时，系统均能正常识别和安装驱动</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D8811A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兼容多种主流生产商的外部设备，包括显示器、键盘、鼠标、闪存盘、移动硬盘、USB光驱及KVM等，要求使用不同厂商的外部设备时，系统均能正常识别和安装驱动</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8C1B20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7B4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633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738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655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软件兼容性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2E0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01A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BE23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兼容3个及以上厂商的数据库产品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4FBDA2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兼容3个及以上厂商的数据库产品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9F78B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557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112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A0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DFEAE">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948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E1B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FCC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兼容3个及以上厂商的中间件产品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289119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兼容3个及以上厂商的中间件产品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7E14A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781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07B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252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052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C186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FA6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9618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兼容3个及以上厂商的大数据平台</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E46797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兼容3个及以上厂商的大数据平台</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F2894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582E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656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8F4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C850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F1AA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虚拟化软件兼容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B26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3A9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兼容2款及以上虚拟化软件</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59A7E4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77D71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4C21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00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CF0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3BD1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6701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2A3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B2C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SSD的m1值（MTBF的不可接受值）不低于200000h</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4177E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SSD的m1值（MTBF的不可接受值）不低于200000h</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58585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MTBF值越大可靠性越强</w:t>
            </w:r>
          </w:p>
        </w:tc>
      </w:tr>
      <w:tr w14:paraId="398A1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310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FBE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45F0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5B51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976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972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m1值（MTBF的不可接受值）不得低于30000h</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2B8A4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m1值（MTBF的不可接受值）不得低于30000h</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C144A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m1值（MTBF的不可接受值）不得低于10000小时</w:t>
            </w:r>
          </w:p>
        </w:tc>
      </w:tr>
      <w:tr w14:paraId="458C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A5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C1A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E5EC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AD7F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C66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6A84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风扇寿命应不低于40000h</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E624CE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风扇寿命应不低于40000h</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EACBBE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1C1F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646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248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5DA8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22E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★部件可靠性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549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CFB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支持硬盘、电源、风扇热插拔(内置风扇除外)</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304B0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支持硬盘、电源、风扇热插拔(内置风扇除外)</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5B9106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支持热插拔可提高运维管理效率</w:t>
            </w:r>
          </w:p>
        </w:tc>
      </w:tr>
      <w:tr w14:paraId="78082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DA2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41B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BA2A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8730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98F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4E82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符合GB/T9813.3和商品包装政府采购需求标准的相关规定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FB787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符合GB/T9813.3和商品包装政府采购需求标准的相关规定</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F924C6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D24A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05E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A5B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0686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B4A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A95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3F1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B2C8F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7E5598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643A0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27E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491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8B027">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24ED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360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F297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30F3A5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D06095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培训材料越详细，越丰富越好</w:t>
            </w:r>
          </w:p>
        </w:tc>
      </w:tr>
      <w:tr w14:paraId="749E1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B6C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442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9365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A074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92A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97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9527EF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F3A487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080BD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124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EF6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AA56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服务工具要求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55B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★工具要求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16E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511F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供应商提供设置服务器硬件、辅助操作系统安装等功能的辅助工具和管理软件。且随附软件应具有合法授权或版权</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F263A0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供应商提供设置服务器硬件、辅助操作系统安装等功能的辅助工具和管理软件。且随附软件应具有合法授权或版权</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1E7255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1404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CCC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D56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B06A8">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BFEF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辅助工具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928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34EE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支持如下功能a)本地的数据备份和还原功能；b)网络的数据备份和还原功能；c)服务器操作系统的自动安装功能；d)服务器所配硬件需要的驱动程序和系统补丁</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EAC3B6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支持如下功能a)本地的数据备份和还原功能；b)网络的数据备份和还原功能；c)服务器操作系统的自动安装功能；d)服务器所配硬件需要的驱动程序和系统补丁</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1B743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099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EBC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DF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FC8F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6BF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★驱动安装升级指引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4EC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D66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供应商提供出厂安装的配件所需的驱动程序，形式包括但不限于驱动光盘、驱动下载链接等。其他配件应提供指引</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98D745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供应商提供出厂安装的配件所需的驱动程序，形式包括但不限于驱动光盘、驱动下载链接等。其他配件应提供指引</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2C4E18D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159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2D0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F9C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3E2B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0252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随机附开盖工具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2FF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CDBA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随服务器打包提供开机箱工具</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712462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4CED8A6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84A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773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1C1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323C4">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5050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代码迁移工具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A76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5D23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从其他CPU架构到当前服务器CPU架构的软件迁移工具产品，支持软件包迁移评估，对满足产品重构要求的软件包，能重构为当前服务器CPU架构的软件包。提供源码迁移功能，检查分析C/C++/Fortran/Go/解释型语言/汇编等源码文件，基于产品功能给出迁移指导</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64E7B0C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9DFB50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36E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48C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AF8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4CC5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DE86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性能分析工具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B2E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7D10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供应商提供支持当前服务器CPU架构的性能分析工具产品，支持系统性能分析、Java性能分析和系统诊断，可分析系统或应用在CPU、内存、IO、网络等方面的性能，并给出优化建议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05A1D17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5AC5C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BCF1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521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36A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ACB99">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8E00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C15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3AF7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跨CPU架构平台应用兼容工具，可兼容一种或者一种以上不同架构平台的应用</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11E6BFC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65CC5BF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B940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26C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81E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F6A4A">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25A7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27B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FAAF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具备资源管理、系统管理、性能监控、健康监控、基于网络控制、报警设置功能</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6DC5BD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具备资源管理、系统管理、性能监控、健康监控、基于网络控制、报警设置功能</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0E2DF09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B2C2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0AC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F9C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BA6E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6DE9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★厂家升级产品软件与扩容服务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11E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9B30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供应商提供原厂级的部件/软件产品升级和扩容能力</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1FAE6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供应商提供原厂级的部件/软件产品升级和扩容能力</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CE656B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1B970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A07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62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E209B">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AC4C1">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服务保障升级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5E6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663B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供应商有偿提供远程技术支持、软件授权服务、备件更换服务、现场支承服务</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3094721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供应商有偿提供远程技术支持、软件授权服务、备件更换服务、现场支承服务</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DE33B7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采购人可根据实际需求选择相关服务</w:t>
            </w:r>
          </w:p>
        </w:tc>
      </w:tr>
      <w:tr w14:paraId="3E112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C8A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D45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74925">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94A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★提供上门服务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B4D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7C73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供应商具备提供上门服务的能力(可收费)</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552E3B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供应商具备提供上门服务的能力(可收费)</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7E0378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FEC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334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D4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538B6">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6F08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业务场景性能优化服务及整体架构升级服务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119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654F6">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供应商提供针对特定业务场景性能优化服务及整体架构升级服务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76C954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6D6803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相比未使能优化前的业务性能提升比例越大越好，架构升级服务，当现有架构满足不了用户业务规模，提供保证业务连续性和平稳扩容架构升级服务，针对大的行业用户后期大扩容需求。</w:t>
            </w:r>
          </w:p>
        </w:tc>
      </w:tr>
      <w:tr w14:paraId="16B7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C89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A99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70E3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9452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1D3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2F6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当产品部件出现供应风险时，应通知客户并提供风险应对方案确保产品的服务保障，必要时应停止相关受影响产品的销售</w:t>
            </w:r>
          </w:p>
        </w:tc>
        <w:tc>
          <w:tcPr>
            <w:tcW w:w="0" w:type="auto"/>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7AEC20F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当产品部件出现供应风险时，应通知客户并提供风险应对方案确保产品的服务保障，必要时应停止相关受影响产品的销售</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339BF01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同类器件/软件件可替代供应商越多越好</w:t>
            </w:r>
          </w:p>
        </w:tc>
      </w:tr>
      <w:tr w14:paraId="79FE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DF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3F3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142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730B1">
            <w:pPr>
              <w:keepNext/>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2744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757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33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CF50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1900" w:type="dxa"/>
            <w:tcBorders>
              <w:top w:val="single" w:color="000000" w:sz="4" w:space="0"/>
              <w:left w:val="single" w:color="000000" w:sz="4" w:space="0"/>
              <w:bottom w:val="single" w:color="000000" w:sz="4" w:space="0"/>
              <w:right w:val="single" w:color="000000" w:sz="4" w:space="0"/>
            </w:tcBorders>
            <w:shd w:val="clear" w:color="auto" w:fill="FFF2CC"/>
            <w:noWrap w:val="0"/>
            <w:vAlign w:val="center"/>
          </w:tcPr>
          <w:p w14:paraId="2AC9B2F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1915" w:type="dxa"/>
            <w:tcBorders>
              <w:top w:val="single" w:color="000000" w:sz="4" w:space="0"/>
              <w:left w:val="single" w:color="000000" w:sz="4" w:space="0"/>
              <w:bottom w:val="single" w:color="000000" w:sz="4" w:space="0"/>
              <w:right w:val="single" w:color="000000" w:sz="4" w:space="0"/>
            </w:tcBorders>
            <w:noWrap w:val="0"/>
            <w:vAlign w:val="center"/>
          </w:tcPr>
          <w:p w14:paraId="1A9E749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48824787">
      <w:pPr>
        <w:widowControl/>
        <w:spacing w:line="360" w:lineRule="auto"/>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第二包：</w:t>
      </w:r>
    </w:p>
    <w:p w14:paraId="2FE6FC97">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4B7507D1">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63B9CA65">
      <w:pPr>
        <w:widowControl/>
        <w:spacing w:line="360" w:lineRule="auto"/>
        <w:ind w:firstLine="480" w:firstLineChars="200"/>
        <w:jc w:val="left"/>
        <w:rPr>
          <w:rFonts w:ascii="宋体" w:hAnsi="宋体" w:eastAsia="宋体" w:cs="宋体"/>
          <w:kern w:val="0"/>
          <w:sz w:val="24"/>
          <w:szCs w:val="24"/>
          <w:lang w:bidi="ar"/>
        </w:rPr>
      </w:pPr>
      <w:bookmarkStart w:id="2" w:name="_Toc27598"/>
      <w:bookmarkStart w:id="3" w:name="_Toc456622200"/>
      <w:bookmarkStart w:id="4" w:name="_Toc30531"/>
      <w:bookmarkStart w:id="5" w:name="_Toc456622591"/>
      <w:bookmarkStart w:id="6" w:name="_Toc15813"/>
      <w:bookmarkStart w:id="7" w:name="_Toc533774178"/>
      <w:bookmarkStart w:id="8" w:name="_Toc24415"/>
      <w:bookmarkStart w:id="9" w:name="_Toc25891"/>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69966CFD">
      <w:pPr>
        <w:widowControl/>
        <w:spacing w:line="360" w:lineRule="auto"/>
        <w:ind w:firstLine="480" w:firstLineChars="200"/>
        <w:jc w:val="left"/>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4.采购清单</w:t>
      </w:r>
    </w:p>
    <w:p w14:paraId="6A332F03">
      <w:pPr>
        <w:widowControl/>
        <w:spacing w:line="360" w:lineRule="auto"/>
        <w:ind w:firstLine="480" w:firstLineChars="200"/>
        <w:jc w:val="left"/>
        <w:rPr>
          <w:rFonts w:hint="eastAsia" w:ascii="宋体" w:hAnsi="宋体" w:eastAsia="宋体" w:cs="宋体"/>
          <w:kern w:val="0"/>
          <w:sz w:val="24"/>
          <w:szCs w:val="24"/>
          <w:lang w:bidi="ar"/>
        </w:rPr>
      </w:pPr>
    </w:p>
    <w:tbl>
      <w:tblPr>
        <w:tblStyle w:val="20"/>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
        <w:gridCol w:w="1176"/>
        <w:gridCol w:w="1316"/>
        <w:gridCol w:w="1234"/>
        <w:gridCol w:w="409"/>
        <w:gridCol w:w="2197"/>
        <w:gridCol w:w="2318"/>
        <w:gridCol w:w="1765"/>
      </w:tblGrid>
      <w:tr w14:paraId="1F62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B4A60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679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676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9C5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228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是否可以作为评分因素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25E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37D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color w:val="FF0000"/>
                <w:kern w:val="0"/>
                <w:sz w:val="18"/>
                <w:szCs w:val="18"/>
                <w:u w:val="none"/>
                <w:lang w:val="en-US" w:eastAsia="zh-CN" w:bidi="ar"/>
              </w:rPr>
              <w:t>采购人技术要求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2909B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指标使用说明</w:t>
            </w:r>
          </w:p>
        </w:tc>
      </w:tr>
      <w:tr w14:paraId="3AE97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DEF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D37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5DB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CC9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★CPU信息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DE9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098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供应商给出CPU信息，包含CPU型号、物理核心数、主频、末级缓存容量、线程数、热设计功耗及支持内存的最高速率、通道数和位宽</w:t>
            </w:r>
          </w:p>
        </w:tc>
        <w:tc>
          <w:tcPr>
            <w:tcW w:w="0" w:type="auto"/>
            <w:tcBorders>
              <w:top w:val="nil"/>
              <w:left w:val="nil"/>
              <w:bottom w:val="nil"/>
              <w:right w:val="nil"/>
            </w:tcBorders>
            <w:noWrap w:val="0"/>
            <w:vAlign w:val="center"/>
          </w:tcPr>
          <w:p w14:paraId="514F3A60">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AMD 9575F (3.3-5.0GHz,64核/128线)</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9668D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AF41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E16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67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8400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B7C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★主板支持的CPU和内存情况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0CF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DF3E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供应商给出主板支持的CPU和内存的型号数量</w:t>
            </w:r>
          </w:p>
        </w:tc>
        <w:tc>
          <w:tcPr>
            <w:tcW w:w="0" w:type="auto"/>
            <w:tcBorders>
              <w:top w:val="nil"/>
              <w:left w:val="nil"/>
              <w:bottom w:val="nil"/>
              <w:right w:val="nil"/>
            </w:tcBorders>
            <w:noWrap w:val="0"/>
            <w:vAlign w:val="center"/>
          </w:tcPr>
          <w:p w14:paraId="24567A95">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主板为双路平台，2×Socket LGA6096，支持AMD EPYC系列处理器（最高支持400W功耗CPU）；每颗CPU配置12个DIMM内存插槽，单CPU插槽最大可支持3TB。</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0C5D4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EA18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2DD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D65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27E19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E2E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★主板内存槽数量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68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41E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非板载内存的可扩展插槽数量应不少于4个</w:t>
            </w:r>
          </w:p>
        </w:tc>
        <w:tc>
          <w:tcPr>
            <w:tcW w:w="0" w:type="auto"/>
            <w:tcBorders>
              <w:top w:val="nil"/>
              <w:left w:val="nil"/>
              <w:bottom w:val="nil"/>
              <w:right w:val="nil"/>
            </w:tcBorders>
            <w:noWrap w:val="0"/>
            <w:vAlign w:val="center"/>
          </w:tcPr>
          <w:p w14:paraId="733292E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单CPU12个DIMM插槽</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39B85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实配的内存插槽数越多，内存扩展能力越强</w:t>
            </w:r>
          </w:p>
        </w:tc>
      </w:tr>
      <w:tr w14:paraId="54213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B2C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1F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8B6C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BC4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★主板存储接口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B9D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A09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至少支持SATA、SAS、M.2、U.2等存储接口中的1种</w:t>
            </w:r>
          </w:p>
        </w:tc>
        <w:tc>
          <w:tcPr>
            <w:tcW w:w="0" w:type="auto"/>
            <w:tcBorders>
              <w:top w:val="nil"/>
              <w:left w:val="nil"/>
              <w:bottom w:val="nil"/>
              <w:right w:val="nil"/>
            </w:tcBorders>
            <w:noWrap w:val="0"/>
            <w:vAlign w:val="center"/>
          </w:tcPr>
          <w:p w14:paraId="16816620">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主板支持U.2、SATA存储接口，可接入U.2企业固态硬盘、2.5寸SATA企业SSD、3.5寸企业级机械硬盘</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7FB8B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配置的接口种类越多可支持存储设备类型越多</w:t>
            </w:r>
          </w:p>
        </w:tc>
      </w:tr>
      <w:tr w14:paraId="17D0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8EE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206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9EA14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EAA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★PCIe插槽接口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DA9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B51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符合PCIe3.0或以上的高速串行计算机扩展总线标准，PCIe的接口速率与位宽需保证向下兼容</w:t>
            </w:r>
          </w:p>
        </w:tc>
        <w:tc>
          <w:tcPr>
            <w:tcW w:w="0" w:type="auto"/>
            <w:tcBorders>
              <w:top w:val="nil"/>
              <w:left w:val="nil"/>
              <w:bottom w:val="nil"/>
              <w:right w:val="nil"/>
            </w:tcBorders>
            <w:noWrap w:val="0"/>
            <w:vAlign w:val="center"/>
          </w:tcPr>
          <w:p w14:paraId="1DEB7C5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配置PCIe Gen5 x16高速扩展插槽，支持双槽位GPU卡，PCIe5.0向下兼容PCIe4.0、PCIe3.0，满足总线标准要求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3FD30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采购人根据需要选择PCIe插槽接口。PCIe插槽协议版本越高越好</w:t>
            </w:r>
          </w:p>
        </w:tc>
      </w:tr>
      <w:tr w14:paraId="57984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212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0A5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F1FD0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FB1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★主板PCIe插槽数量及规格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D8A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DD6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a)高度大于44.45mm双路或以上服务器PCIe插槽或接口应不少于5个；b)单路服务器PCIe插槽或接口应不少于4个，可通过扩展卡进行插槽扩展</w:t>
            </w:r>
          </w:p>
        </w:tc>
        <w:tc>
          <w:tcPr>
            <w:tcW w:w="0" w:type="auto"/>
            <w:tcBorders>
              <w:top w:val="nil"/>
              <w:left w:val="nil"/>
              <w:bottom w:val="nil"/>
              <w:right w:val="nil"/>
            </w:tcBorders>
            <w:noWrap w:val="0"/>
            <w:vAlign w:val="center"/>
          </w:tcPr>
          <w:p w14:paraId="57EB8A02">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整机配置8个PCIe Gen5 x16 FH</w:t>
            </w:r>
            <w:r>
              <w:rPr>
                <w:rFonts w:hint="eastAsia" w:ascii="宋体" w:hAnsi="宋体" w:eastAsia="宋体" w:cs="宋体"/>
                <w:i w:val="0"/>
                <w:iCs w:val="0"/>
                <w:color w:val="000000"/>
                <w:kern w:val="0"/>
                <w:sz w:val="18"/>
                <w:szCs w:val="22"/>
                <w:u w:val="none"/>
                <w:lang w:val="en-US" w:eastAsia="zh-CN" w:bidi="ar"/>
              </w:rPr>
              <w:noBreakHyphen/>
            </w:r>
            <w:r>
              <w:rPr>
                <w:rFonts w:hint="eastAsia" w:ascii="宋体" w:hAnsi="宋体" w:eastAsia="宋体" w:cs="宋体"/>
                <w:i w:val="0"/>
                <w:iCs w:val="0"/>
                <w:color w:val="000000"/>
                <w:kern w:val="0"/>
                <w:sz w:val="18"/>
                <w:szCs w:val="22"/>
                <w:u w:val="none"/>
                <w:lang w:val="en-US" w:eastAsia="zh-CN" w:bidi="ar"/>
              </w:rPr>
              <w:t>FL插槽，支持双槽厚度GPU卡；双路服务器PCIe插槽数量大于不少于5个的最低要求，可充分满足多GPU扩展使用</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E4F7D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实配的PCIe插槽数越多，扩展能力越强，但PCIe插槽过多会影响产品轻薄化小型化</w:t>
            </w:r>
          </w:p>
        </w:tc>
      </w:tr>
      <w:tr w14:paraId="26531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385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DC0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79465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750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特殊孔位及接口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DB9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B86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机箱内主板可根据用户实际使用需求支持安装多功能导入装置板卡，机箱内需预留多功能导入装置板卡安装位置，容量不小于55mm×45mm×15mm（长×宽×高，单位毫米）；b)服务器主板可根据用户实际使用需求预留满足USB2.0或USB3.0数据传输规范的接口，工作电压5V，采用USB2.0时，最大过电流应不小于0.5A，采用USB3.0时，最大过电流应不小于1A</w:t>
            </w:r>
          </w:p>
        </w:tc>
        <w:tc>
          <w:tcPr>
            <w:tcW w:w="0" w:type="auto"/>
            <w:tcBorders>
              <w:top w:val="nil"/>
              <w:left w:val="nil"/>
              <w:bottom w:val="nil"/>
              <w:right w:val="nil"/>
            </w:tcBorders>
            <w:noWrap w:val="0"/>
            <w:vAlign w:val="center"/>
          </w:tcPr>
          <w:p w14:paraId="19CEA25B">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60A50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D6D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9F0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24C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377C1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D4E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板载网络接口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70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2015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若支持板载网络接口应不少于1个1GE网口</w:t>
            </w:r>
          </w:p>
        </w:tc>
        <w:tc>
          <w:tcPr>
            <w:tcW w:w="0" w:type="auto"/>
            <w:tcBorders>
              <w:top w:val="nil"/>
              <w:left w:val="nil"/>
              <w:bottom w:val="nil"/>
              <w:right w:val="nil"/>
            </w:tcBorders>
            <w:noWrap w:val="0"/>
            <w:vAlign w:val="center"/>
          </w:tcPr>
          <w:p w14:paraId="1DBEE2C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7DDA1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采购人根据需要选择板载网络接口数量及传输速率。一般网络接口速率越高、端口数量越多说明服务器整机的网络能力越强</w:t>
            </w:r>
          </w:p>
        </w:tc>
      </w:tr>
      <w:tr w14:paraId="68EFB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AA7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FDA6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9F787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F0C6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主板OCP插槽数量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5E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7D6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支持OCP2.0及以上插槽的数量不少于1个</w:t>
            </w:r>
          </w:p>
        </w:tc>
        <w:tc>
          <w:tcPr>
            <w:tcW w:w="0" w:type="auto"/>
            <w:tcBorders>
              <w:top w:val="nil"/>
              <w:left w:val="nil"/>
              <w:bottom w:val="nil"/>
              <w:right w:val="nil"/>
            </w:tcBorders>
            <w:noWrap w:val="0"/>
            <w:vAlign w:val="center"/>
          </w:tcPr>
          <w:p w14:paraId="3F390CE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9B6BB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采购人根据需要选择OCP插槽数量。支持OCP网卡越多扩展能力越强</w:t>
            </w:r>
          </w:p>
        </w:tc>
      </w:tr>
      <w:tr w14:paraId="4C43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CC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1D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F56B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1A9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277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EB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nil"/>
              <w:left w:val="nil"/>
              <w:bottom w:val="nil"/>
              <w:right w:val="nil"/>
            </w:tcBorders>
            <w:noWrap w:val="0"/>
            <w:vAlign w:val="center"/>
          </w:tcPr>
          <w:p w14:paraId="253D8D6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整机实配内存数量满足总内存≥128GB配置要求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D74DA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86B9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C2B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251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71ADB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2A2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95B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575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≥DDR4</w:t>
            </w:r>
          </w:p>
        </w:tc>
        <w:tc>
          <w:tcPr>
            <w:tcW w:w="0" w:type="auto"/>
            <w:tcBorders>
              <w:top w:val="nil"/>
              <w:left w:val="nil"/>
              <w:bottom w:val="nil"/>
              <w:right w:val="nil"/>
            </w:tcBorders>
            <w:noWrap w:val="0"/>
            <w:vAlign w:val="center"/>
          </w:tcPr>
          <w:p w14:paraId="6C09C375">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实配RECC</w:t>
            </w:r>
            <w:r>
              <w:rPr>
                <w:rFonts w:hint="eastAsia" w:ascii="宋体" w:hAnsi="宋体" w:eastAsia="宋体" w:cs="宋体"/>
                <w:i w:val="0"/>
                <w:iCs w:val="0"/>
                <w:color w:val="000000"/>
                <w:kern w:val="0"/>
                <w:sz w:val="18"/>
                <w:szCs w:val="22"/>
                <w:u w:val="none"/>
                <w:lang w:val="en-US" w:eastAsia="zh-CN" w:bidi="ar"/>
              </w:rPr>
              <w:noBreakHyphen/>
            </w:r>
            <w:r>
              <w:rPr>
                <w:rFonts w:hint="eastAsia" w:ascii="宋体" w:hAnsi="宋体" w:eastAsia="宋体" w:cs="宋体"/>
                <w:i w:val="0"/>
                <w:iCs w:val="0"/>
                <w:color w:val="000000"/>
                <w:kern w:val="0"/>
                <w:sz w:val="18"/>
                <w:szCs w:val="22"/>
                <w:u w:val="none"/>
                <w:lang w:val="en-US" w:eastAsia="zh-CN" w:bidi="ar"/>
              </w:rPr>
              <w:t>REG DDR5企业级内存，内存代次为DDR5，高于DDR4基础要求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15CF2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采购人根据需要选择产品支持内存规格。支持内存代次越高越好</w:t>
            </w:r>
          </w:p>
        </w:tc>
      </w:tr>
      <w:tr w14:paraId="06D43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CC5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A25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F6F0A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601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★内存通道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DFB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65A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支持多个内存接口通道，每个通道可支持1DPC或2DPC，当支持2DPC时，印制电路板上应具备插槽的序号标识，具体通道数应在随机文件中明确</w:t>
            </w:r>
          </w:p>
        </w:tc>
        <w:tc>
          <w:tcPr>
            <w:tcW w:w="0" w:type="auto"/>
            <w:tcBorders>
              <w:top w:val="nil"/>
              <w:left w:val="nil"/>
              <w:bottom w:val="nil"/>
              <w:right w:val="nil"/>
            </w:tcBorders>
            <w:noWrap w:val="0"/>
            <w:vAlign w:val="center"/>
          </w:tcPr>
          <w:p w14:paraId="7C879DEB">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每颗CPU支持12个内存通道，DIMM</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0B4D9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服务器常见为3通道和4通道，通道数越多，产品配置多内存时越能发挥内存最高性能</w:t>
            </w:r>
          </w:p>
        </w:tc>
      </w:tr>
      <w:tr w14:paraId="3BCD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3D6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92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1D9C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100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硬盘类型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8C0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5E1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供应商给出服务器支持硬磁盘和固态盘类型及规格</w:t>
            </w:r>
          </w:p>
        </w:tc>
        <w:tc>
          <w:tcPr>
            <w:tcW w:w="0" w:type="auto"/>
            <w:tcBorders>
              <w:top w:val="nil"/>
              <w:left w:val="nil"/>
              <w:bottom w:val="nil"/>
              <w:right w:val="nil"/>
            </w:tcBorders>
            <w:noWrap w:val="0"/>
            <w:vAlign w:val="center"/>
          </w:tcPr>
          <w:p w14:paraId="26B8C35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服务器支持2.5英寸企业SATA固态硬盘、U.2(NVMe)企业固态硬盘、3.5英寸企业级机械硬盘</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E6787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FC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CE9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8A9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2B692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385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★硬磁盘实配容量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95E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12BC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服务器产品至少要配备一款存储设备a)若配备硬磁盘，服务器提供的实配硬磁盘可用容量应不小于600GBb)若配备固态盘，实配固态盘单盘可用容量不小于480GB，NVMeSSD容量不小于960GB</w:t>
            </w:r>
          </w:p>
        </w:tc>
        <w:tc>
          <w:tcPr>
            <w:tcW w:w="0" w:type="auto"/>
            <w:tcBorders>
              <w:top w:val="nil"/>
              <w:left w:val="nil"/>
              <w:bottom w:val="nil"/>
              <w:right w:val="nil"/>
            </w:tcBorders>
            <w:noWrap w:val="0"/>
            <w:vAlign w:val="center"/>
          </w:tcPr>
          <w:p w14:paraId="027C012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系统盘1.92T 2.5寸企业SSD×1；数据盘7.68T U.2 2.5寸企业SSD×1；存储盘18T企业级机械硬盘×3；固态盘单盘容量、机械盘总容量均满足存储容量基础要求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68953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硬盘容量越大数据存储能力越强</w:t>
            </w:r>
          </w:p>
        </w:tc>
      </w:tr>
      <w:tr w14:paraId="404C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DDB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AF2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533C4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EFE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硬盘接口类型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3E2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F0B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a)若配备硬磁盘，应提供SAS3.0或SATA3.0及以上接口；b)若配备固态盘，应提供至少1种类型固态盘接口，如UFS、SATA、PCIe等</w:t>
            </w:r>
          </w:p>
        </w:tc>
        <w:tc>
          <w:tcPr>
            <w:tcW w:w="0" w:type="auto"/>
            <w:tcBorders>
              <w:top w:val="nil"/>
              <w:left w:val="nil"/>
              <w:bottom w:val="nil"/>
              <w:right w:val="nil"/>
            </w:tcBorders>
            <w:noWrap w:val="0"/>
            <w:vAlign w:val="center"/>
          </w:tcPr>
          <w:p w14:paraId="2B63C373">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固态硬盘支持SATA3.0、U.2(NVMe</w:t>
            </w:r>
            <w:r>
              <w:rPr>
                <w:rFonts w:hint="eastAsia" w:ascii="宋体" w:hAnsi="宋体" w:eastAsia="宋体" w:cs="宋体"/>
                <w:i w:val="0"/>
                <w:iCs w:val="0"/>
                <w:color w:val="000000"/>
                <w:kern w:val="0"/>
                <w:sz w:val="18"/>
                <w:szCs w:val="22"/>
                <w:u w:val="none"/>
                <w:lang w:val="en-US" w:eastAsia="zh-CN" w:bidi="ar"/>
              </w:rPr>
              <w:noBreakHyphen/>
            </w:r>
            <w:r>
              <w:rPr>
                <w:rFonts w:hint="eastAsia" w:ascii="宋体" w:hAnsi="宋体" w:eastAsia="宋体" w:cs="宋体"/>
                <w:i w:val="0"/>
                <w:iCs w:val="0"/>
                <w:color w:val="000000"/>
                <w:kern w:val="0"/>
                <w:sz w:val="18"/>
                <w:szCs w:val="22"/>
                <w:u w:val="none"/>
                <w:lang w:val="en-US" w:eastAsia="zh-CN" w:bidi="ar"/>
              </w:rPr>
              <w:t>PCIe)接口；企业机械硬盘采用SATA接口，接口标准满足整机读写性能需要</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1D5B2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采购人根据需要明确硬盘接口类型</w:t>
            </w:r>
          </w:p>
        </w:tc>
      </w:tr>
      <w:tr w14:paraId="7E8A7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EB164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941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4B00C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2C7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★硬盘实配数量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083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69F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a)若配备硬磁盘，服务器提供的实配硬磁盘数量应不小于2块，可实现互为备份；b)若配备固态盘，实配盘数应不小于1块</w:t>
            </w:r>
          </w:p>
        </w:tc>
        <w:tc>
          <w:tcPr>
            <w:tcW w:w="0" w:type="auto"/>
            <w:tcBorders>
              <w:top w:val="nil"/>
              <w:left w:val="nil"/>
              <w:bottom w:val="nil"/>
              <w:right w:val="nil"/>
            </w:tcBorders>
            <w:noWrap w:val="0"/>
            <w:vAlign w:val="center"/>
          </w:tcPr>
          <w:p w14:paraId="34FA2A8A">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1.92T 2.5 寸 企业固态硬盘 ≥1，7.68T U.2 2.5 寸企业固态硬盘 ≥1，18T 硬盘 企业级硬盘 ≥3</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11E77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建议采购人选择2块及以上HDD盘，便于采购人扩容及组建RAID</w:t>
            </w:r>
          </w:p>
        </w:tc>
      </w:tr>
      <w:tr w14:paraId="273A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011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4B55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809C8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468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★硬盘插槽数量及规格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F3D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C52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供应商应给出配置的硬盘尺寸，如2.5英寸、3.5英寸硬磁盘；b)机箱高度为88.9mm的服务器可支持的硬盘数量应不少于8块，机箱高度为44.45mm的服务器可支持的硬盘数量应不少于4块。c)存储型服务器可支持硬盘数量应不少于24块</w:t>
            </w:r>
          </w:p>
        </w:tc>
        <w:tc>
          <w:tcPr>
            <w:tcW w:w="0" w:type="auto"/>
            <w:tcBorders>
              <w:top w:val="nil"/>
              <w:left w:val="nil"/>
              <w:bottom w:val="nil"/>
              <w:right w:val="nil"/>
            </w:tcBorders>
            <w:noWrap w:val="0"/>
            <w:vAlign w:val="center"/>
          </w:tcPr>
          <w:p w14:paraId="27677CB2">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机箱为4U高度，可兼容2.5英寸、3.5英寸硬盘盘位；4U高度机箱支持硬盘数量大于不少于8块的基础要求，存储扩展能力强</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09711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可支持的硬盘数量越多，产品存储扩展能力越强</w:t>
            </w:r>
          </w:p>
        </w:tc>
      </w:tr>
      <w:tr w14:paraId="49DF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A00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A2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6CBD6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A13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硬盘其他参数要求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9CB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579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11430</wp:posOffset>
                  </wp:positionH>
                  <wp:positionV relativeFrom="paragraph">
                    <wp:posOffset>471805</wp:posOffset>
                  </wp:positionV>
                  <wp:extent cx="76835" cy="47625"/>
                  <wp:effectExtent l="0" t="0" r="0" b="0"/>
                  <wp:wrapNone/>
                  <wp:docPr id="2" name="textbox1"/>
                  <wp:cNvGraphicFramePr/>
                  <a:graphic xmlns:a="http://schemas.openxmlformats.org/drawingml/2006/main">
                    <a:graphicData uri="http://schemas.openxmlformats.org/drawingml/2006/picture">
                      <pic:pic xmlns:pic="http://schemas.openxmlformats.org/drawingml/2006/picture">
                        <pic:nvPicPr>
                          <pic:cNvPr id="2" name="textbox1"/>
                          <pic:cNvPicPr/>
                        </pic:nvPicPr>
                        <pic:blipFill>
                          <a:blip r:embed="rId4"/>
                          <a:stretch>
                            <a:fillRect/>
                          </a:stretch>
                        </pic:blipFill>
                        <pic:spPr>
                          <a:xfrm>
                            <a:off x="0" y="0"/>
                            <a:ext cx="76835" cy="47625"/>
                          </a:xfrm>
                          <a:prstGeom prst="rect">
                            <a:avLst/>
                          </a:prstGeom>
                          <a:noFill/>
                          <a:ln>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a)机械硬盘准备时间应不大于30s；侧面固定螺丝孔数量可为4孔或6孔；工作状态环境温度应满足5℃55℃,其它参数应符合GB/T12628的相关规定；b)若服务器支持固态盘，固态盘符合SJ/T11654相关规定</w:t>
            </w:r>
          </w:p>
        </w:tc>
        <w:tc>
          <w:tcPr>
            <w:tcW w:w="0" w:type="auto"/>
            <w:tcBorders>
              <w:top w:val="nil"/>
              <w:left w:val="nil"/>
              <w:bottom w:val="nil"/>
              <w:right w:val="nil"/>
            </w:tcBorders>
            <w:noWrap w:val="0"/>
            <w:vAlign w:val="center"/>
          </w:tcPr>
          <w:p w14:paraId="127ABDA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0DEC4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723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5E4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6A9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1A5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RAID卡规格（若支持RAID卡）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46E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886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2A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nil"/>
              <w:left w:val="nil"/>
              <w:bottom w:val="nil"/>
              <w:right w:val="nil"/>
            </w:tcBorders>
            <w:noWrap w:val="0"/>
            <w:vAlign w:val="center"/>
          </w:tcPr>
          <w:p w14:paraId="06D93A78">
            <w:pPr>
              <w:snapToGrid w:val="0"/>
              <w:ind w:left="0" w:leftChars="0" w:right="0" w:rightChars="0" w:firstLine="0" w:firstLineChars="0"/>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49C55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RAID卡支持的SAS接口数越多，存储扩展能力越高，存储空间组合划分越灵活</w:t>
            </w:r>
          </w:p>
        </w:tc>
      </w:tr>
      <w:tr w14:paraId="2989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95E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228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EE1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SAS直通卡规格(若支持SAS直通卡)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3ED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SAS直通卡SAS接口数量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32B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B0E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nil"/>
              <w:left w:val="nil"/>
              <w:bottom w:val="nil"/>
              <w:right w:val="nil"/>
            </w:tcBorders>
            <w:noWrap w:val="0"/>
            <w:vAlign w:val="center"/>
          </w:tcPr>
          <w:p w14:paraId="2EE2733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C905D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采购人根据需要选择SAS直通卡数量和通道数量。SAS接口数越多，硬盘扩展能力越强</w:t>
            </w:r>
          </w:p>
        </w:tc>
      </w:tr>
      <w:tr w14:paraId="27755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C0D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400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494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HBA卡规格(若支持HBA直通卡)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26D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HBA卡端口数量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9F5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7A5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nil"/>
              <w:left w:val="nil"/>
              <w:bottom w:val="nil"/>
              <w:right w:val="nil"/>
            </w:tcBorders>
            <w:noWrap w:val="0"/>
            <w:vAlign w:val="center"/>
          </w:tcPr>
          <w:p w14:paraId="19C7C7C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AAD26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采购人根据需要选择FCHBA卡的端口数量</w:t>
            </w:r>
          </w:p>
        </w:tc>
      </w:tr>
      <w:tr w14:paraId="4376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C81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568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6EA3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6A0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★网口速率和数量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736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B1B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配备网口数量不少于1个，且网口速率不少于1GE</w:t>
            </w:r>
          </w:p>
        </w:tc>
        <w:tc>
          <w:tcPr>
            <w:tcW w:w="0" w:type="auto"/>
            <w:tcBorders>
              <w:top w:val="nil"/>
              <w:left w:val="nil"/>
              <w:bottom w:val="nil"/>
              <w:right w:val="nil"/>
            </w:tcBorders>
            <w:noWrap w:val="0"/>
            <w:vAlign w:val="center"/>
          </w:tcPr>
          <w:p w14:paraId="67B556A5">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配置独立万兆双口网卡，配套光模块；整机网口数量≥1</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B6880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采购人根据需要选择配备的网口速率和数量。传输速率越高、端口数量越多服务器整机的网络通信能力越强</w:t>
            </w:r>
          </w:p>
        </w:tc>
      </w:tr>
      <w:tr w14:paraId="736A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1B1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A30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CE767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F54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存储型服务器网口速率和数量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C5A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85D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存储型服务器1GE网口数量不少于2个，10GE以上网口数量不少于2个</w:t>
            </w:r>
          </w:p>
        </w:tc>
        <w:tc>
          <w:tcPr>
            <w:tcW w:w="0" w:type="auto"/>
            <w:tcBorders>
              <w:top w:val="nil"/>
              <w:left w:val="nil"/>
              <w:bottom w:val="nil"/>
              <w:right w:val="nil"/>
            </w:tcBorders>
            <w:noWrap w:val="0"/>
            <w:vAlign w:val="center"/>
          </w:tcPr>
          <w:p w14:paraId="5907E74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D22F3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采购人根据需要选择配备网口速率和数量。传输速率越高、端口数量越多服务器整机的网络通信能力越强</w:t>
            </w:r>
          </w:p>
        </w:tc>
      </w:tr>
      <w:tr w14:paraId="1F6C8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6D2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97B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4AEF2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A68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独立网卡网口数量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79F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347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若配备独立网卡，独立网卡网口数量≥0</w:t>
            </w:r>
          </w:p>
        </w:tc>
        <w:tc>
          <w:tcPr>
            <w:tcW w:w="0" w:type="auto"/>
            <w:tcBorders>
              <w:top w:val="nil"/>
              <w:left w:val="nil"/>
              <w:bottom w:val="nil"/>
              <w:right w:val="nil"/>
            </w:tcBorders>
            <w:noWrap w:val="0"/>
            <w:vAlign w:val="center"/>
          </w:tcPr>
          <w:p w14:paraId="3502CBE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A959E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采购人根据需要选择独立网卡网口数量</w:t>
            </w:r>
          </w:p>
        </w:tc>
      </w:tr>
      <w:tr w14:paraId="0CEB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9D6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AC8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E8B1C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53D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独立网卡接口类型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5A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A5A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nil"/>
              <w:left w:val="nil"/>
              <w:bottom w:val="nil"/>
              <w:right w:val="nil"/>
            </w:tcBorders>
            <w:noWrap w:val="0"/>
            <w:vAlign w:val="center"/>
          </w:tcPr>
          <w:p w14:paraId="79B6382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766A0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若有需要，采购人根据需要选择独立网卡接口。一般千兆以下网络选用RJ45电接口，超过千兆网络选用SFP、QSFP光接口</w:t>
            </w:r>
          </w:p>
        </w:tc>
      </w:tr>
      <w:tr w14:paraId="13351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5AF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E66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99FCD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C3C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板载网卡接口类型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8C7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C31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支持RJ45/QSFP/SFP等</w:t>
            </w:r>
          </w:p>
        </w:tc>
        <w:tc>
          <w:tcPr>
            <w:tcW w:w="0" w:type="auto"/>
            <w:tcBorders>
              <w:top w:val="nil"/>
              <w:left w:val="nil"/>
              <w:bottom w:val="nil"/>
              <w:right w:val="nil"/>
            </w:tcBorders>
            <w:noWrap w:val="0"/>
            <w:vAlign w:val="center"/>
          </w:tcPr>
          <w:p w14:paraId="2373EC4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9A0AD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采购人根据需要选择板载网卡接口类型。一般千兆以下网络选用RJ45电接口，超过千兆网络选用SFP光接口</w:t>
            </w:r>
          </w:p>
        </w:tc>
      </w:tr>
      <w:tr w14:paraId="2105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9F0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B0D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BAF5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外部接口规格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B46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63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3A9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显示接口类型应不少于1种，如：VGA、DP、HDMI等</w:t>
            </w:r>
          </w:p>
        </w:tc>
        <w:tc>
          <w:tcPr>
            <w:tcW w:w="0" w:type="auto"/>
            <w:tcBorders>
              <w:top w:val="nil"/>
              <w:left w:val="nil"/>
              <w:bottom w:val="nil"/>
              <w:right w:val="nil"/>
            </w:tcBorders>
            <w:noWrap w:val="0"/>
            <w:vAlign w:val="center"/>
          </w:tcPr>
          <w:p w14:paraId="6AA972E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D1EA3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采购人根据需要选择显示接口</w:t>
            </w:r>
          </w:p>
        </w:tc>
      </w:tr>
      <w:tr w14:paraId="0359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692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7A8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5FBEC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48B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FC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E10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配备USB接口，如USB2.0、USB3.0等</w:t>
            </w:r>
          </w:p>
        </w:tc>
        <w:tc>
          <w:tcPr>
            <w:tcW w:w="0" w:type="auto"/>
            <w:tcBorders>
              <w:top w:val="nil"/>
              <w:left w:val="nil"/>
              <w:bottom w:val="nil"/>
              <w:right w:val="nil"/>
            </w:tcBorders>
            <w:noWrap w:val="0"/>
            <w:vAlign w:val="center"/>
          </w:tcPr>
          <w:p w14:paraId="670D1D4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79677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采购人根据需要选择USB接口数量。USB接口的数量越多外接设备能力越强，协议版本越高传输速率越高（USB3.0传输速度高于USB2.0）</w:t>
            </w:r>
          </w:p>
        </w:tc>
      </w:tr>
      <w:tr w14:paraId="3188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F27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6E3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4074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80D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特殊接口及孔位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F4D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A6B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前面板预留1个专用USB母座接口孔位</w:t>
            </w:r>
          </w:p>
        </w:tc>
        <w:tc>
          <w:tcPr>
            <w:tcW w:w="0" w:type="auto"/>
            <w:tcBorders>
              <w:top w:val="nil"/>
              <w:left w:val="nil"/>
              <w:bottom w:val="nil"/>
              <w:right w:val="nil"/>
            </w:tcBorders>
            <w:noWrap w:val="0"/>
            <w:vAlign w:val="center"/>
          </w:tcPr>
          <w:p w14:paraId="5F8F84A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ACF9F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采购人根据需要选择配备特殊接口及孔位产品</w:t>
            </w:r>
          </w:p>
        </w:tc>
      </w:tr>
      <w:tr w14:paraId="350F1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63D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D43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26712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0E2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其他接口</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678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1CEA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a)串口数量不少于1个，并可实现GB/T6107或GB/T26803.2的相关功能；b)服务器主机前面板可根据用户实际使用需求预留1个专用USB母座接口孔位</w:t>
            </w:r>
          </w:p>
        </w:tc>
        <w:tc>
          <w:tcPr>
            <w:tcW w:w="0" w:type="auto"/>
            <w:tcBorders>
              <w:top w:val="nil"/>
              <w:left w:val="nil"/>
              <w:bottom w:val="nil"/>
              <w:right w:val="nil"/>
            </w:tcBorders>
            <w:noWrap w:val="0"/>
            <w:vAlign w:val="center"/>
          </w:tcPr>
          <w:p w14:paraId="3CF2821B">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A0306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若有特殊需求，采购人可根据需要选择支持接口如：PS/2接口、BMC管理端口等</w:t>
            </w:r>
          </w:p>
        </w:tc>
      </w:tr>
      <w:tr w14:paraId="7BE45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A64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6DF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A323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287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电源冗余模式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2C3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5E1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整机电源模块按1+1冗余或N+1冗余配置</w:t>
            </w:r>
          </w:p>
        </w:tc>
        <w:tc>
          <w:tcPr>
            <w:tcW w:w="0" w:type="auto"/>
            <w:tcBorders>
              <w:top w:val="nil"/>
              <w:left w:val="nil"/>
              <w:bottom w:val="nil"/>
              <w:right w:val="nil"/>
            </w:tcBorders>
            <w:noWrap w:val="0"/>
            <w:vAlign w:val="center"/>
          </w:tcPr>
          <w:p w14:paraId="0724098E">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整机采用2+2电源冗余模式，满足N+N冗余配置，提升整机供电可靠性</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1E540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采购人根据需要选择电池冗余模式。配有电源冗余的服务器，可靠性较高</w:t>
            </w:r>
          </w:p>
        </w:tc>
      </w:tr>
      <w:tr w14:paraId="49559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F37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237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A52D4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E50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0B9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760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nil"/>
              <w:left w:val="nil"/>
              <w:bottom w:val="nil"/>
              <w:right w:val="nil"/>
            </w:tcBorders>
            <w:noWrap w:val="0"/>
            <w:vAlign w:val="center"/>
          </w:tcPr>
          <w:p w14:paraId="379EF9B5">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整机配置≥4个电源模块，电源模块数量≥1，冗余部署，支持故障单模块不影响整机运行</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F61C0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采购人根据需要选择电源模块数量。一般配备冗余电源模块。</w:t>
            </w:r>
          </w:p>
        </w:tc>
      </w:tr>
      <w:tr w14:paraId="1572D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A75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E36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7582D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1EE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F2E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211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电源模块功率应有一定冗余，满足处理器满载时的需求</w:t>
            </w:r>
          </w:p>
        </w:tc>
        <w:tc>
          <w:tcPr>
            <w:tcW w:w="0" w:type="auto"/>
            <w:tcBorders>
              <w:top w:val="nil"/>
              <w:left w:val="nil"/>
              <w:bottom w:val="nil"/>
              <w:right w:val="nil"/>
            </w:tcBorders>
            <w:noWrap w:val="0"/>
            <w:vAlign w:val="center"/>
          </w:tcPr>
          <w:p w14:paraId="1086230A">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配置2600W/3000W 80PLUS Platinum铂金电源，输入220</w:t>
            </w:r>
            <w:r>
              <w:rPr>
                <w:rFonts w:hint="eastAsia" w:ascii="宋体" w:hAnsi="宋体" w:eastAsia="宋体" w:cs="宋体"/>
                <w:i w:val="0"/>
                <w:iCs w:val="0"/>
                <w:color w:val="000000"/>
                <w:kern w:val="0"/>
                <w:sz w:val="18"/>
                <w:szCs w:val="22"/>
                <w:u w:val="none"/>
                <w:lang w:val="en-US" w:eastAsia="zh-CN" w:bidi="ar"/>
              </w:rPr>
              <w:noBreakHyphen/>
            </w:r>
            <w:r>
              <w:rPr>
                <w:rFonts w:hint="eastAsia" w:ascii="宋体" w:hAnsi="宋体" w:eastAsia="宋体" w:cs="宋体"/>
                <w:i w:val="0"/>
                <w:iCs w:val="0"/>
                <w:color w:val="000000"/>
                <w:kern w:val="0"/>
                <w:sz w:val="18"/>
                <w:szCs w:val="22"/>
                <w:u w:val="none"/>
                <w:lang w:val="en-US" w:eastAsia="zh-CN" w:bidi="ar"/>
              </w:rPr>
              <w:t>240Vac，15.5A(x4)，50</w:t>
            </w:r>
            <w:r>
              <w:rPr>
                <w:rFonts w:hint="eastAsia" w:ascii="宋体" w:hAnsi="宋体" w:eastAsia="宋体" w:cs="宋体"/>
                <w:i w:val="0"/>
                <w:iCs w:val="0"/>
                <w:color w:val="000000"/>
                <w:kern w:val="0"/>
                <w:sz w:val="18"/>
                <w:szCs w:val="22"/>
                <w:u w:val="none"/>
                <w:lang w:val="en-US" w:eastAsia="zh-CN" w:bidi="ar"/>
              </w:rPr>
              <w:noBreakHyphen/>
            </w:r>
            <w:r>
              <w:rPr>
                <w:rFonts w:hint="eastAsia" w:ascii="宋体" w:hAnsi="宋体" w:eastAsia="宋体" w:cs="宋体"/>
                <w:i w:val="0"/>
                <w:iCs w:val="0"/>
                <w:color w:val="000000"/>
                <w:kern w:val="0"/>
                <w:sz w:val="18"/>
                <w:szCs w:val="22"/>
                <w:u w:val="none"/>
                <w:lang w:val="en-US" w:eastAsia="zh-CN" w:bidi="ar"/>
              </w:rPr>
              <w:t>60Hz；电源功率具备充足余量，可满足CPU、多GPU整机满载运行功耗需求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7A20A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一般情况下，电源功率越大能够支持的服务器负载也越大，但电源能效和负载相同情况下电源功率越大损耗越大</w:t>
            </w:r>
          </w:p>
        </w:tc>
      </w:tr>
      <w:tr w14:paraId="0FA2E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284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C5B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36577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3C9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D09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6AC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配备电源指示灯，指示待机、工作异常等状态</w:t>
            </w:r>
          </w:p>
        </w:tc>
        <w:tc>
          <w:tcPr>
            <w:tcW w:w="0" w:type="auto"/>
            <w:tcBorders>
              <w:top w:val="nil"/>
              <w:left w:val="nil"/>
              <w:bottom w:val="nil"/>
              <w:right w:val="nil"/>
            </w:tcBorders>
            <w:noWrap w:val="0"/>
            <w:vAlign w:val="center"/>
          </w:tcPr>
          <w:p w14:paraId="2A448DD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F3210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电源指示灯可以表现指示状态，可方便用户使用</w:t>
            </w:r>
          </w:p>
        </w:tc>
      </w:tr>
      <w:tr w14:paraId="34CCF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E67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70D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183C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6FF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★外观和结构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81F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D74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c>
          <w:tcPr>
            <w:tcW w:w="0" w:type="auto"/>
            <w:tcBorders>
              <w:top w:val="nil"/>
              <w:left w:val="nil"/>
              <w:bottom w:val="nil"/>
              <w:right w:val="nil"/>
            </w:tcBorders>
            <w:noWrap w:val="0"/>
            <w:vAlign w:val="center"/>
          </w:tcPr>
          <w:p w14:paraId="158A218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整机为4U机架式8卡GPU服务器；零部件紧固无松动，可插拔部件连接可靠；机箱尺寸适配标准机柜安装，满足机架安装要求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5F817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051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AA4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505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7C523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9E0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★尺寸（高×宽×深）</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8D2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670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供应商给出产品尺寸；设计应遵循标准化、系列化的要求；机箱的内部结构符合通用部件的安装需要</w:t>
            </w:r>
          </w:p>
        </w:tc>
        <w:tc>
          <w:tcPr>
            <w:tcW w:w="0" w:type="auto"/>
            <w:tcBorders>
              <w:top w:val="nil"/>
              <w:left w:val="nil"/>
              <w:bottom w:val="nil"/>
              <w:right w:val="nil"/>
            </w:tcBorders>
            <w:noWrap w:val="0"/>
            <w:vAlign w:val="center"/>
          </w:tcPr>
          <w:p w14:paraId="68C3B40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7878B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8148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C2C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70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FFA34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946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服务器导轨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6A2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64F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供应商给出导轨尺寸、安装方式等信息</w:t>
            </w:r>
          </w:p>
        </w:tc>
        <w:tc>
          <w:tcPr>
            <w:tcW w:w="0" w:type="auto"/>
            <w:tcBorders>
              <w:top w:val="nil"/>
              <w:left w:val="nil"/>
              <w:bottom w:val="nil"/>
              <w:right w:val="nil"/>
            </w:tcBorders>
            <w:noWrap w:val="0"/>
            <w:vAlign w:val="center"/>
          </w:tcPr>
          <w:p w14:paraId="7AB146C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A45E7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FE44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B54C9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DF9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7C989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DC4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CPU个数与机柜高度单位(U)比</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C96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E412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供应商给出CPU个数与机柜高度</w:t>
            </w:r>
          </w:p>
        </w:tc>
        <w:tc>
          <w:tcPr>
            <w:tcW w:w="0" w:type="auto"/>
            <w:tcBorders>
              <w:top w:val="nil"/>
              <w:left w:val="nil"/>
              <w:bottom w:val="nil"/>
              <w:right w:val="nil"/>
            </w:tcBorders>
            <w:noWrap w:val="0"/>
            <w:vAlign w:val="center"/>
          </w:tcPr>
          <w:p w14:paraId="6B9C42A7">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配置≥2颗CPU，高度4U</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4D13E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E2A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A57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DE8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EBC4B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2A1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★环境适应性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25E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094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气候环境适应性应符合GB/T9813.3的有关规定，工作温度10~35℃,贮存运输温度-40～55℃;工作相对湿度35%～80%，贮存运输相对湿度20％～93%（40℃);大气压86～106kPa</w:t>
            </w:r>
          </w:p>
        </w:tc>
        <w:tc>
          <w:tcPr>
            <w:tcW w:w="0" w:type="auto"/>
            <w:tcBorders>
              <w:top w:val="nil"/>
              <w:left w:val="nil"/>
              <w:bottom w:val="nil"/>
              <w:right w:val="nil"/>
            </w:tcBorders>
            <w:noWrap w:val="0"/>
            <w:vAlign w:val="center"/>
          </w:tcPr>
          <w:p w14:paraId="53FDD9DE">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F5CBF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3BE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1FD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2F5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74E79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5B6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特殊机型环境适应性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3210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AAB6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边缘应用服务器，工作环境温度宜为0～45℃,短期工作可承受环境温度宜为-5～55℃,液冷服务器贮存运输温度宜为-30～55℃</w:t>
            </w:r>
          </w:p>
        </w:tc>
        <w:tc>
          <w:tcPr>
            <w:tcW w:w="0" w:type="auto"/>
            <w:tcBorders>
              <w:top w:val="nil"/>
              <w:left w:val="nil"/>
              <w:bottom w:val="nil"/>
              <w:right w:val="nil"/>
            </w:tcBorders>
            <w:noWrap w:val="0"/>
            <w:vAlign w:val="center"/>
          </w:tcPr>
          <w:p w14:paraId="6DCE2048">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38C31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639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E13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4A7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AA1F3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A03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1C5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CCA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机械环境适应性应符合GB/T9813.3的有关规定</w:t>
            </w:r>
          </w:p>
        </w:tc>
        <w:tc>
          <w:tcPr>
            <w:tcW w:w="0" w:type="auto"/>
            <w:tcBorders>
              <w:top w:val="nil"/>
              <w:left w:val="nil"/>
              <w:bottom w:val="nil"/>
              <w:right w:val="nil"/>
            </w:tcBorders>
            <w:noWrap w:val="0"/>
            <w:vAlign w:val="center"/>
          </w:tcPr>
          <w:p w14:paraId="05CDB51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DDD6A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5C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EEC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A61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D44B6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63C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★噪声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2DC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E297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符合GB/T9813.3的有关规定，在产品说明中给出具体测试值塔式服务器噪声在空闲状态下不大于50dB</w:t>
            </w:r>
          </w:p>
        </w:tc>
        <w:tc>
          <w:tcPr>
            <w:tcW w:w="0" w:type="auto"/>
            <w:tcBorders>
              <w:top w:val="nil"/>
              <w:left w:val="nil"/>
              <w:bottom w:val="nil"/>
              <w:right w:val="nil"/>
            </w:tcBorders>
            <w:noWrap w:val="0"/>
            <w:vAlign w:val="center"/>
          </w:tcPr>
          <w:p w14:paraId="2CB767E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23567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4BB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3AD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E57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4220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430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AI计算单元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7F1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4BB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AI计算单元应符合如下要求：a)具备人工智能加速处理器，计算精度至少支持FP16、BF16、FP32、FP64、INT8和INT16等中的1种；b)单推理卡或模块，具备视频解析、文本识别、语音分析等推理能力；在视觉场景下配备可直接调用的接口实现视觉计算加速，路数不小于64（1080P30FPS）</w:t>
            </w:r>
          </w:p>
        </w:tc>
        <w:tc>
          <w:tcPr>
            <w:tcW w:w="0" w:type="auto"/>
            <w:tcBorders>
              <w:top w:val="nil"/>
              <w:left w:val="nil"/>
              <w:bottom w:val="nil"/>
              <w:right w:val="nil"/>
            </w:tcBorders>
            <w:noWrap w:val="0"/>
            <w:vAlign w:val="center"/>
          </w:tcPr>
          <w:p w14:paraId="3C32F6F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配置NVIDIA Tesla系列GPU加速卡，单卡显存≥80GB，具备AI人工智能加速计算能力，支持GPU通用训练推理运算，满足AI计算业务场景，数量≥1</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B67BF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若有特殊需求采购人根据实要需求选择AI计算单元。配备AI计算单元的产品，可大幅提升在特定场景下，典型功能的计算性能，如人脸识别、图片识别、数据挖掘等</w:t>
            </w:r>
          </w:p>
        </w:tc>
      </w:tr>
      <w:tr w14:paraId="7B88B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E45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DBB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29CDE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C12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一键式迁移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9F4B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4CEA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若服务器配备AI计算单元，提供训练脚本迁移工具</w:t>
            </w:r>
          </w:p>
        </w:tc>
        <w:tc>
          <w:tcPr>
            <w:tcW w:w="0" w:type="auto"/>
            <w:tcBorders>
              <w:top w:val="nil"/>
              <w:left w:val="nil"/>
              <w:bottom w:val="nil"/>
              <w:right w:val="nil"/>
            </w:tcBorders>
            <w:noWrap w:val="0"/>
            <w:vAlign w:val="center"/>
          </w:tcPr>
          <w:p w14:paraId="043131C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A1FD3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支持一键式可提高系统迁移易用性</w:t>
            </w:r>
          </w:p>
        </w:tc>
      </w:tr>
      <w:tr w14:paraId="101F3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817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656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A72A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0B5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★机柜尺寸</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68F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72B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供应商给出长度、高度和深度</w:t>
            </w:r>
          </w:p>
        </w:tc>
        <w:tc>
          <w:tcPr>
            <w:tcW w:w="0" w:type="auto"/>
            <w:tcBorders>
              <w:top w:val="nil"/>
              <w:left w:val="nil"/>
              <w:bottom w:val="nil"/>
              <w:right w:val="nil"/>
            </w:tcBorders>
            <w:noWrap w:val="0"/>
            <w:vAlign w:val="center"/>
          </w:tcPr>
          <w:p w14:paraId="6282AD5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4D25D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采购人可根据需要选择机柜尺寸</w:t>
            </w:r>
          </w:p>
        </w:tc>
      </w:tr>
      <w:tr w14:paraId="696D1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5AD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E14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6C307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373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机柜管理板</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0FB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F4C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配备机柜管理板</w:t>
            </w:r>
          </w:p>
        </w:tc>
        <w:tc>
          <w:tcPr>
            <w:tcW w:w="0" w:type="auto"/>
            <w:tcBorders>
              <w:top w:val="nil"/>
              <w:left w:val="nil"/>
              <w:bottom w:val="nil"/>
              <w:right w:val="nil"/>
            </w:tcBorders>
            <w:noWrap w:val="0"/>
            <w:vAlign w:val="center"/>
          </w:tcPr>
          <w:p w14:paraId="59B26E4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1B120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高密度服务器、液冷服务器等一般配备机柜管理板</w:t>
            </w:r>
          </w:p>
        </w:tc>
      </w:tr>
      <w:tr w14:paraId="32561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99A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58E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产品规格</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E8B68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764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机柜电源规格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B2B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375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a)机柜电源支持集中供电，电源输入不少于2路且支持自动切换；b)机柜电源模块支持N+1冗余配置，电源模块可独立更换</w:t>
            </w:r>
          </w:p>
        </w:tc>
        <w:tc>
          <w:tcPr>
            <w:tcW w:w="0" w:type="auto"/>
            <w:tcBorders>
              <w:top w:val="nil"/>
              <w:left w:val="nil"/>
              <w:bottom w:val="nil"/>
              <w:right w:val="nil"/>
            </w:tcBorders>
            <w:noWrap w:val="0"/>
            <w:vAlign w:val="center"/>
          </w:tcPr>
          <w:p w14:paraId="35A2C49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F2B9F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供电能力越强，越能满足计算节点的供电要求，配备冗余电源可确保极端情况下服务器稳定运行</w:t>
            </w:r>
          </w:p>
        </w:tc>
      </w:tr>
      <w:tr w14:paraId="05EB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293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99A6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6D01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850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★主板外部接口种类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353C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069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支持USB、显示、管理等接口，如：VGA、DP、HDMI、USB3.0、PS/2接口、BMC管理端口</w:t>
            </w:r>
          </w:p>
        </w:tc>
        <w:tc>
          <w:tcPr>
            <w:tcW w:w="0" w:type="auto"/>
            <w:tcBorders>
              <w:top w:val="nil"/>
              <w:left w:val="nil"/>
              <w:bottom w:val="nil"/>
              <w:right w:val="nil"/>
            </w:tcBorders>
            <w:noWrap w:val="0"/>
            <w:vAlign w:val="center"/>
          </w:tcPr>
          <w:p w14:paraId="022407E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8FEE2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若有特殊需要，采购人根据需要选择其他接口。实配的接口类型越多，可兼容外部设备种类越多</w:t>
            </w:r>
          </w:p>
        </w:tc>
      </w:tr>
      <w:tr w14:paraId="24E8C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A20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99D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FBAE6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A13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主板防烧板设计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F85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925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支持主板防烧板设计，保证电源故障后不扩散</w:t>
            </w:r>
          </w:p>
        </w:tc>
        <w:tc>
          <w:tcPr>
            <w:tcW w:w="0" w:type="auto"/>
            <w:tcBorders>
              <w:top w:val="nil"/>
              <w:left w:val="nil"/>
              <w:bottom w:val="nil"/>
              <w:right w:val="nil"/>
            </w:tcBorders>
            <w:noWrap w:val="0"/>
            <w:vAlign w:val="center"/>
          </w:tcPr>
          <w:p w14:paraId="2EBDD995">
            <w:pPr>
              <w:snapToGrid w:val="0"/>
              <w:ind w:left="0" w:leftChars="0" w:right="0" w:rightChars="0" w:firstLine="0" w:firstLineChars="0"/>
              <w:jc w:val="left"/>
              <w:rPr>
                <w:rFonts w:hint="eastAsia" w:ascii="宋体" w:hAnsi="宋体" w:eastAsia="宋体" w:cs="宋体"/>
                <w:i w:val="0"/>
                <w:iCs w:val="0"/>
                <w:color w:val="000000"/>
                <w:sz w:val="18"/>
                <w:szCs w:val="22"/>
                <w:u w:val="none"/>
              </w:rPr>
            </w:pP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AE9E6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具备防烧板设计，可以提升服务器电气安全，避免发生火灾</w:t>
            </w:r>
          </w:p>
        </w:tc>
      </w:tr>
      <w:tr w14:paraId="3FECF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944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515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E13A9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8E3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扩展功能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110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3D9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实现至少一种扩展功能，如存储功能卡、显示功能卡、运算加速功能卡及网络功能卡等扩展功能</w:t>
            </w:r>
          </w:p>
        </w:tc>
        <w:tc>
          <w:tcPr>
            <w:tcW w:w="0" w:type="auto"/>
            <w:tcBorders>
              <w:top w:val="nil"/>
              <w:left w:val="nil"/>
              <w:bottom w:val="nil"/>
              <w:right w:val="nil"/>
            </w:tcBorders>
            <w:noWrap w:val="0"/>
            <w:vAlign w:val="center"/>
          </w:tcPr>
          <w:p w14:paraId="4EBBD12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6BA6F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可扩展能力越强越有利于采购人后期升级产品</w:t>
            </w:r>
          </w:p>
        </w:tc>
      </w:tr>
      <w:tr w14:paraId="6400C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4B4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A74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C2B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04D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574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BDF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支持网络连接、网络访问、数据交换和网络管控功能</w:t>
            </w:r>
          </w:p>
        </w:tc>
        <w:tc>
          <w:tcPr>
            <w:tcW w:w="0" w:type="auto"/>
            <w:tcBorders>
              <w:top w:val="nil"/>
              <w:left w:val="nil"/>
              <w:bottom w:val="nil"/>
              <w:right w:val="nil"/>
            </w:tcBorders>
            <w:noWrap w:val="0"/>
            <w:vAlign w:val="center"/>
          </w:tcPr>
          <w:p w14:paraId="42AB596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975FF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EC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4F9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65F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1806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45A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★计算处理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5696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9CD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支持通用计算及虚拟化功能。处理器需集成整型计算单元、浮点计算单元、内存控制器、I/O模块等，处理器与存储部件、网络部件、I/O部件等组成计算系统，提供数据处理、网络接入等计算相关功能</w:t>
            </w:r>
          </w:p>
        </w:tc>
        <w:tc>
          <w:tcPr>
            <w:tcW w:w="0" w:type="auto"/>
            <w:tcBorders>
              <w:top w:val="nil"/>
              <w:left w:val="nil"/>
              <w:bottom w:val="nil"/>
              <w:right w:val="nil"/>
            </w:tcBorders>
            <w:noWrap w:val="0"/>
            <w:vAlign w:val="center"/>
          </w:tcPr>
          <w:p w14:paraId="3C44685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0C3AA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21E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A11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01F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3DE18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E6E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★密码算法实现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C6F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743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CPU芯片应符合GM/T0008的相关规定，或芯片密码模块应符合GB/T37092或GM/T0028的相关规定</w:t>
            </w:r>
          </w:p>
        </w:tc>
        <w:tc>
          <w:tcPr>
            <w:tcW w:w="0" w:type="auto"/>
            <w:tcBorders>
              <w:top w:val="nil"/>
              <w:left w:val="nil"/>
              <w:bottom w:val="nil"/>
              <w:right w:val="nil"/>
            </w:tcBorders>
            <w:noWrap w:val="0"/>
            <w:vAlign w:val="center"/>
          </w:tcPr>
          <w:p w14:paraId="6F06EB5E">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FA4C5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通过商用密码检测机构检测并经商用密码认证机构认证合格</w:t>
            </w:r>
          </w:p>
        </w:tc>
      </w:tr>
      <w:tr w14:paraId="550A4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988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5E4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5A9A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432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内存校验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0E66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266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支持内存校验或内存增强型纠错功能</w:t>
            </w:r>
          </w:p>
        </w:tc>
        <w:tc>
          <w:tcPr>
            <w:tcW w:w="0" w:type="auto"/>
            <w:tcBorders>
              <w:top w:val="nil"/>
              <w:left w:val="nil"/>
              <w:bottom w:val="nil"/>
              <w:right w:val="nil"/>
            </w:tcBorders>
            <w:noWrap w:val="0"/>
            <w:vAlign w:val="center"/>
          </w:tcPr>
          <w:p w14:paraId="34EC378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6921D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支持该功能可提升数据准确性和完整性，但也会损耗一定性能</w:t>
            </w:r>
          </w:p>
        </w:tc>
      </w:tr>
      <w:tr w14:paraId="1095D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C9B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FB8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0FAFB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4882B">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SATASSDNAND健康状态上报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41E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6B2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支持关键外部存储器（硬磁盘、SSD等）的健康状态上报并进行故障诊断</w:t>
            </w:r>
          </w:p>
        </w:tc>
        <w:tc>
          <w:tcPr>
            <w:tcW w:w="0" w:type="auto"/>
            <w:tcBorders>
              <w:top w:val="nil"/>
              <w:left w:val="nil"/>
              <w:bottom w:val="nil"/>
              <w:right w:val="nil"/>
            </w:tcBorders>
            <w:noWrap w:val="0"/>
            <w:vAlign w:val="center"/>
          </w:tcPr>
          <w:p w14:paraId="316A38C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BF54A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支持该功能有助于提升产品运维能力</w:t>
            </w:r>
          </w:p>
        </w:tc>
      </w:tr>
      <w:tr w14:paraId="597B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85A5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9DC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E8936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49AA3">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SATASSD单die故障隔离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603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45C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支持SSD关键外部存储器中单存储晶元故障隔离</w:t>
            </w:r>
          </w:p>
        </w:tc>
        <w:tc>
          <w:tcPr>
            <w:tcW w:w="0" w:type="auto"/>
            <w:tcBorders>
              <w:top w:val="nil"/>
              <w:left w:val="nil"/>
              <w:bottom w:val="nil"/>
              <w:right w:val="nil"/>
            </w:tcBorders>
            <w:noWrap w:val="0"/>
            <w:vAlign w:val="center"/>
          </w:tcPr>
          <w:p w14:paraId="1DD8CB7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0274D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支持该功能可降低业务异常中断风险</w:t>
            </w:r>
          </w:p>
        </w:tc>
      </w:tr>
      <w:tr w14:paraId="6D08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48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2DA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B251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RAID卡功能（若支持RAID卡）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296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RAID卡RAID级别支持</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D57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1E4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RAID模式支持RAID0/1/10/5，存储型支持RAID0/1/5/6/10/50/60</w:t>
            </w:r>
          </w:p>
        </w:tc>
        <w:tc>
          <w:tcPr>
            <w:tcW w:w="0" w:type="auto"/>
            <w:tcBorders>
              <w:top w:val="nil"/>
              <w:left w:val="nil"/>
              <w:bottom w:val="nil"/>
              <w:right w:val="nil"/>
            </w:tcBorders>
            <w:noWrap w:val="0"/>
            <w:vAlign w:val="center"/>
          </w:tcPr>
          <w:p w14:paraId="4E3628D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2D644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RAID卡支持的RAID级别越多，表明存储分配功能越丰富；RAID0/1等级是基本的RAID功能，RAID5/6对RAID卡主控芯片的计算性能有很高要求。一般低端RAID卡仅支持RAID0/1及其复合RAID；高端RAID卡支持RAID5/6及其复合RAID</w:t>
            </w:r>
          </w:p>
        </w:tc>
      </w:tr>
      <w:tr w14:paraId="05D5B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2CF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20F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DBFE7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09A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RAID卡BBU单元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DA5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F5D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RAID卡支持电池或电容备份单元</w:t>
            </w:r>
          </w:p>
        </w:tc>
        <w:tc>
          <w:tcPr>
            <w:tcW w:w="0" w:type="auto"/>
            <w:tcBorders>
              <w:top w:val="nil"/>
              <w:left w:val="nil"/>
              <w:bottom w:val="nil"/>
              <w:right w:val="nil"/>
            </w:tcBorders>
            <w:noWrap w:val="0"/>
            <w:vAlign w:val="center"/>
          </w:tcPr>
          <w:p w14:paraId="1F87C44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7573B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支持BBU单元可提升系统可靠性</w:t>
            </w:r>
          </w:p>
        </w:tc>
      </w:tr>
      <w:tr w14:paraId="4D11D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FE6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20265">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8A5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FCA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光驱类型（是否支持RW，以及光盘类型CD/DVD）</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D85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CF0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若配备光驱，应提供光驱的安装形式（如内置、外置）、光驱读写类型（如只读、可刻录等）、光盘类型的兼容列表（如CD-ROM、CD-RW、DVD±RW等）</w:t>
            </w:r>
          </w:p>
        </w:tc>
        <w:tc>
          <w:tcPr>
            <w:tcW w:w="0" w:type="auto"/>
            <w:tcBorders>
              <w:top w:val="nil"/>
              <w:left w:val="nil"/>
              <w:bottom w:val="nil"/>
              <w:right w:val="nil"/>
            </w:tcBorders>
            <w:noWrap w:val="0"/>
            <w:vAlign w:val="center"/>
          </w:tcPr>
          <w:p w14:paraId="2119125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A822C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配备光驱便于直接读取光盘</w:t>
            </w:r>
          </w:p>
        </w:tc>
      </w:tr>
      <w:tr w14:paraId="215D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9A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39091">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3E18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4D7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★电源热插拔</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A18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C2E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整机电源模块应具备热插拔功能</w:t>
            </w:r>
          </w:p>
        </w:tc>
        <w:tc>
          <w:tcPr>
            <w:tcW w:w="0" w:type="auto"/>
            <w:tcBorders>
              <w:top w:val="nil"/>
              <w:left w:val="nil"/>
              <w:bottom w:val="nil"/>
              <w:right w:val="nil"/>
            </w:tcBorders>
            <w:noWrap w:val="0"/>
            <w:vAlign w:val="center"/>
          </w:tcPr>
          <w:p w14:paraId="2627B56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应支持</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F650F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支持此功能可提高运维管理效率</w:t>
            </w:r>
          </w:p>
        </w:tc>
      </w:tr>
      <w:tr w14:paraId="72B7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F30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7413A9">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DFA58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9A7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★电源过流保护</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635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27E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支持过流及短路保护的功能</w:t>
            </w:r>
          </w:p>
        </w:tc>
        <w:tc>
          <w:tcPr>
            <w:tcW w:w="0" w:type="auto"/>
            <w:tcBorders>
              <w:top w:val="nil"/>
              <w:left w:val="nil"/>
              <w:bottom w:val="nil"/>
              <w:right w:val="nil"/>
            </w:tcBorders>
            <w:noWrap w:val="0"/>
            <w:vAlign w:val="center"/>
          </w:tcPr>
          <w:p w14:paraId="60B5E59B">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应支持</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C3CCC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支持此功能可提升产品安全性</w:t>
            </w:r>
          </w:p>
        </w:tc>
      </w:tr>
      <w:tr w14:paraId="26EA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83B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4202F">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60F9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9BB9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★散热方式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D7C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92D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支持风冷或液冷等散热方式</w:t>
            </w:r>
          </w:p>
        </w:tc>
        <w:tc>
          <w:tcPr>
            <w:tcW w:w="0" w:type="auto"/>
            <w:tcBorders>
              <w:top w:val="nil"/>
              <w:left w:val="nil"/>
              <w:bottom w:val="nil"/>
              <w:right w:val="nil"/>
            </w:tcBorders>
            <w:noWrap w:val="0"/>
            <w:vAlign w:val="center"/>
          </w:tcPr>
          <w:p w14:paraId="64A5EC1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整机采用多种散热方式，配套冗余散热风扇，保障双路CPU、多GPU高负载下稳定散热</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189B8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1DA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474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CC577">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FBE50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CEC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292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DE2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a)支持关键部件冗余（包括电源、风扇等）；b)支持熔断保护与恢复功能</w:t>
            </w:r>
          </w:p>
        </w:tc>
        <w:tc>
          <w:tcPr>
            <w:tcW w:w="0" w:type="auto"/>
            <w:tcBorders>
              <w:top w:val="nil"/>
              <w:left w:val="nil"/>
              <w:bottom w:val="nil"/>
              <w:right w:val="nil"/>
            </w:tcBorders>
            <w:noWrap w:val="0"/>
            <w:vAlign w:val="center"/>
          </w:tcPr>
          <w:p w14:paraId="5279584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10EF3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8BBC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CEA1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 </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77B2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3B81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管理系统功能</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3881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★BMC固件基础功能</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420D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B150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支持基于网络实现开关机和复位控制的功能；23)BMC启动时间应不超过180s，实现功能包括网络、IPMI、散热、传感器服务可用；24)支持BMC固件设置的恢复出厂功能</w:t>
            </w:r>
          </w:p>
        </w:tc>
        <w:tc>
          <w:tcPr>
            <w:tcW w:w="0" w:type="auto"/>
            <w:tcBorders>
              <w:top w:val="nil"/>
              <w:left w:val="nil"/>
              <w:bottom w:val="nil"/>
              <w:right w:val="nil"/>
            </w:tcBorders>
            <w:noWrap w:val="0"/>
            <w:vAlign w:val="center"/>
          </w:tcPr>
          <w:p w14:paraId="7EF3A2B1">
            <w:pPr>
              <w:snapToGrid w:val="0"/>
              <w:ind w:left="0" w:leftChars="0" w:right="0" w:rightChars="0" w:firstLine="0" w:firstLineChars="0"/>
              <w:jc w:val="left"/>
              <w:rPr>
                <w:rFonts w:hint="eastAsia" w:ascii="宋体" w:hAnsi="宋体" w:eastAsia="宋体" w:cs="宋体"/>
                <w:i w:val="0"/>
                <w:iCs w:val="0"/>
                <w:color w:val="000000"/>
                <w:sz w:val="18"/>
                <w:szCs w:val="22"/>
                <w:u w:val="none"/>
              </w:rPr>
            </w:pPr>
          </w:p>
        </w:tc>
        <w:tc>
          <w:tcPr>
            <w:tcW w:w="1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5F8B4D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6B28D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D84FFF">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FE091">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89388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ACAB9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E1086A">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9F9FF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noWrap w:val="0"/>
            <w:vAlign w:val="center"/>
          </w:tcPr>
          <w:p w14:paraId="69C734B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D649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40B0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B2D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F03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31DAE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6DE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BMC固件增强功能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3ED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FDB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a）网络控制、安装提供图形访问界面网络；b）设备的BMC管理软件界面显示报警信息，且能够按报警的严重程度进行区分；c）WebGUI采用BMC端口直连，平均响应时间为不大于1s</w:t>
            </w:r>
          </w:p>
        </w:tc>
        <w:tc>
          <w:tcPr>
            <w:tcW w:w="0" w:type="auto"/>
            <w:tcBorders>
              <w:top w:val="nil"/>
              <w:left w:val="nil"/>
              <w:bottom w:val="nil"/>
              <w:right w:val="nil"/>
            </w:tcBorders>
            <w:noWrap w:val="0"/>
            <w:vAlign w:val="center"/>
          </w:tcPr>
          <w:p w14:paraId="671C31D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57F6C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1234A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6AF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F5A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9022C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C78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★BIOS固件基础功能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7D3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885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板载显示控制或独立显卡的显示控制功能；j）支持RAID识别和启动功能；k）支持串口重定向功能；l）支持固件更新功能；m）支持BIOS固件设置的恢复出厂功能；n）支持网络引导启用和关闭功能</w:t>
            </w:r>
          </w:p>
        </w:tc>
        <w:tc>
          <w:tcPr>
            <w:tcW w:w="0" w:type="auto"/>
            <w:tcBorders>
              <w:top w:val="nil"/>
              <w:left w:val="nil"/>
              <w:bottom w:val="nil"/>
              <w:right w:val="nil"/>
            </w:tcBorders>
            <w:noWrap w:val="0"/>
            <w:vAlign w:val="center"/>
          </w:tcPr>
          <w:p w14:paraId="39406B3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86EE5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若有特殊需求，采购人根据需要增减所需功能</w:t>
            </w:r>
          </w:p>
        </w:tc>
      </w:tr>
      <w:tr w14:paraId="0ECE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26A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EC14B">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86DD5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87F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★远程控制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35E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651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支持远程关机和重新启动功能</w:t>
            </w:r>
          </w:p>
        </w:tc>
        <w:tc>
          <w:tcPr>
            <w:tcW w:w="0" w:type="auto"/>
            <w:tcBorders>
              <w:top w:val="nil"/>
              <w:left w:val="nil"/>
              <w:bottom w:val="nil"/>
              <w:right w:val="nil"/>
            </w:tcBorders>
            <w:noWrap w:val="0"/>
            <w:vAlign w:val="center"/>
          </w:tcPr>
          <w:p w14:paraId="583F4873">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应支持</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5CE56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支持该功能便于产品运维</w:t>
            </w:r>
          </w:p>
        </w:tc>
      </w:tr>
      <w:tr w14:paraId="0A26D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7C5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02786">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C855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58B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★操作系统及驱动的升级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DB9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6D6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支持通过网络、闪存盘对操作系统、驱动进行升级</w:t>
            </w:r>
          </w:p>
        </w:tc>
        <w:tc>
          <w:tcPr>
            <w:tcW w:w="0" w:type="auto"/>
            <w:tcBorders>
              <w:top w:val="nil"/>
              <w:left w:val="nil"/>
              <w:bottom w:val="nil"/>
              <w:right w:val="nil"/>
            </w:tcBorders>
            <w:noWrap w:val="0"/>
            <w:vAlign w:val="center"/>
          </w:tcPr>
          <w:p w14:paraId="571DFA24">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操作系统(安装 Ubuntu 24.04 LTS)、网络设备驱动安装调试</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24B20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1BD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39205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5228E">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CF879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2ED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操作系统及驱动的备份还原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DA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E58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支持操作系统备份及还原功能</w:t>
            </w:r>
          </w:p>
        </w:tc>
        <w:tc>
          <w:tcPr>
            <w:tcW w:w="0" w:type="auto"/>
            <w:tcBorders>
              <w:top w:val="nil"/>
              <w:left w:val="nil"/>
              <w:bottom w:val="nil"/>
              <w:right w:val="nil"/>
            </w:tcBorders>
            <w:noWrap w:val="0"/>
            <w:vAlign w:val="center"/>
          </w:tcPr>
          <w:p w14:paraId="72E0488C">
            <w:pPr>
              <w:snapToGrid w:val="0"/>
              <w:ind w:left="0" w:leftChars="0" w:right="0" w:rightChars="0" w:firstLine="0" w:firstLineChars="0"/>
              <w:jc w:val="left"/>
              <w:rPr>
                <w:rFonts w:hint="eastAsia" w:ascii="宋体" w:hAnsi="宋体" w:eastAsia="宋体" w:cs="宋体"/>
                <w:i w:val="0"/>
                <w:iCs w:val="0"/>
                <w:color w:val="000000"/>
                <w:sz w:val="18"/>
                <w:szCs w:val="22"/>
                <w:u w:val="none"/>
              </w:rPr>
            </w:pP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A00E0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支持该功能有助于提升产品数据安全性</w:t>
            </w:r>
          </w:p>
        </w:tc>
      </w:tr>
      <w:tr w14:paraId="76982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9A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2F5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1870F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90C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★操作系统功能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FB7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CF4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a)支持访问控制、安全审计、网络接入鉴别等功能；b)操作系统其他功能应满足操作系统政府采购需求标准中加*的指标要求</w:t>
            </w:r>
          </w:p>
        </w:tc>
        <w:tc>
          <w:tcPr>
            <w:tcW w:w="0" w:type="auto"/>
            <w:tcBorders>
              <w:top w:val="nil"/>
              <w:left w:val="nil"/>
              <w:bottom w:val="nil"/>
              <w:right w:val="nil"/>
            </w:tcBorders>
            <w:noWrap w:val="0"/>
            <w:vAlign w:val="center"/>
          </w:tcPr>
          <w:p w14:paraId="063F1A4C">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Ubuntu 24.04 LTS + OpenMPI/MPICH + CUDA + GNU/Intel编译器 + cuDNN + 深度学习框架；</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2E93D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如有特殊需求采购人可补充相关要求</w:t>
            </w:r>
          </w:p>
        </w:tc>
      </w:tr>
      <w:tr w14:paraId="0D4CB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85C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A00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3E8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288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★中文信息处理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0A7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5FB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符合GB18030的有关规定</w:t>
            </w:r>
          </w:p>
        </w:tc>
        <w:tc>
          <w:tcPr>
            <w:tcW w:w="0" w:type="auto"/>
            <w:tcBorders>
              <w:top w:val="nil"/>
              <w:left w:val="nil"/>
              <w:bottom w:val="nil"/>
              <w:right w:val="nil"/>
            </w:tcBorders>
            <w:noWrap w:val="0"/>
            <w:vAlign w:val="center"/>
          </w:tcPr>
          <w:p w14:paraId="51AA1702">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应符合</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9B350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涉及中文信息处理内容应符合GB18030要求</w:t>
            </w:r>
          </w:p>
        </w:tc>
      </w:tr>
      <w:tr w14:paraId="4318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B535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DD8CA">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4459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611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575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5FF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机柜管理系统包括服务器节点BMC管理系统、机柜管理系统或交换节点管理系统</w:t>
            </w:r>
          </w:p>
        </w:tc>
        <w:tc>
          <w:tcPr>
            <w:tcW w:w="0" w:type="auto"/>
            <w:tcBorders>
              <w:top w:val="nil"/>
              <w:left w:val="nil"/>
              <w:bottom w:val="nil"/>
              <w:right w:val="nil"/>
            </w:tcBorders>
            <w:noWrap w:val="0"/>
            <w:vAlign w:val="center"/>
          </w:tcPr>
          <w:p w14:paraId="556FF63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EB012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支持该功能管理更加方便用户管理设备</w:t>
            </w:r>
          </w:p>
        </w:tc>
      </w:tr>
      <w:tr w14:paraId="062E9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E39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F38E3">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CEE3F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5BA8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机柜通信方式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3501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569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若配备机柜管理板可实现包括：资产管理、电源模块、功耗管理和液冷漏液检测等功能</w:t>
            </w:r>
          </w:p>
        </w:tc>
        <w:tc>
          <w:tcPr>
            <w:tcW w:w="0" w:type="auto"/>
            <w:tcBorders>
              <w:top w:val="nil"/>
              <w:left w:val="nil"/>
              <w:bottom w:val="nil"/>
              <w:right w:val="nil"/>
            </w:tcBorders>
            <w:noWrap w:val="0"/>
            <w:vAlign w:val="center"/>
          </w:tcPr>
          <w:p w14:paraId="698023C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BF27F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支持该功能便于统一管理机柜内整机产品</w:t>
            </w:r>
          </w:p>
        </w:tc>
      </w:tr>
      <w:tr w14:paraId="6BAD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FF0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82AC9">
            <w:pPr>
              <w:keepNext w:val="0"/>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CF978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D0D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多集群作业管理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D66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931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支持多集群作业管理功能</w:t>
            </w:r>
          </w:p>
        </w:tc>
        <w:tc>
          <w:tcPr>
            <w:tcW w:w="0" w:type="auto"/>
            <w:tcBorders>
              <w:top w:val="nil"/>
              <w:left w:val="nil"/>
              <w:bottom w:val="nil"/>
              <w:right w:val="nil"/>
            </w:tcBorders>
            <w:noWrap w:val="0"/>
            <w:vAlign w:val="center"/>
          </w:tcPr>
          <w:p w14:paraId="1710965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C2D55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支持该功能能有效提升集群管理效率和利用率</w:t>
            </w:r>
          </w:p>
        </w:tc>
      </w:tr>
      <w:tr w14:paraId="6B92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3994A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C41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D21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BF8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★关键部件安全要求3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4B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04B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CPU和操作系统等关键部件应当符合安全可靠测评要求</w:t>
            </w:r>
          </w:p>
        </w:tc>
        <w:tc>
          <w:tcPr>
            <w:tcW w:w="0" w:type="auto"/>
            <w:tcBorders>
              <w:top w:val="nil"/>
              <w:left w:val="nil"/>
              <w:bottom w:val="nil"/>
              <w:right w:val="nil"/>
            </w:tcBorders>
            <w:noWrap w:val="0"/>
            <w:vAlign w:val="center"/>
          </w:tcPr>
          <w:p w14:paraId="67680DE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31538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通过政府有关部门指定的中国信息安全测评中心和国家保密科技测评中心网站查看安全可靠测评结果</w:t>
            </w:r>
          </w:p>
        </w:tc>
      </w:tr>
      <w:tr w14:paraId="658BA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A41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071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4F02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固件安全要求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94AC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★故障检测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266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B1E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支持故障检测功能，可以检测到具体的FRU（内存、硬盘等）的故障并发出告警</w:t>
            </w:r>
          </w:p>
        </w:tc>
        <w:tc>
          <w:tcPr>
            <w:tcW w:w="0" w:type="auto"/>
            <w:tcBorders>
              <w:top w:val="nil"/>
              <w:left w:val="nil"/>
              <w:bottom w:val="nil"/>
              <w:right w:val="nil"/>
            </w:tcBorders>
            <w:noWrap w:val="0"/>
            <w:vAlign w:val="center"/>
          </w:tcPr>
          <w:p w14:paraId="2FBC17F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DDD00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5300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87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0D8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ED51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7ED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内存故障智能预测和自愈修复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006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AE8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支持内存故障智能预测和自愈修复，提前自动硬隔离，避免内存故障引起的非预期宕机以及内存寿命的降低</w:t>
            </w:r>
          </w:p>
        </w:tc>
        <w:tc>
          <w:tcPr>
            <w:tcW w:w="0" w:type="auto"/>
            <w:tcBorders>
              <w:top w:val="nil"/>
              <w:left w:val="nil"/>
              <w:bottom w:val="nil"/>
              <w:right w:val="nil"/>
            </w:tcBorders>
            <w:noWrap w:val="0"/>
            <w:vAlign w:val="center"/>
          </w:tcPr>
          <w:p w14:paraId="678264B6">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2DD4F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404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EEF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101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AC143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60B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硬盘故障智能预测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9D3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5F5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支持硬盘故障智能预测，基于故障模型预测出硬盘的故障</w:t>
            </w:r>
          </w:p>
        </w:tc>
        <w:tc>
          <w:tcPr>
            <w:tcW w:w="0" w:type="auto"/>
            <w:tcBorders>
              <w:top w:val="nil"/>
              <w:left w:val="nil"/>
              <w:bottom w:val="nil"/>
              <w:right w:val="nil"/>
            </w:tcBorders>
            <w:noWrap w:val="0"/>
            <w:vAlign w:val="center"/>
          </w:tcPr>
          <w:p w14:paraId="6B26A95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429C7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3812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2EE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D10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906CF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BA02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PCIe链路故障智能诊断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B02A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92F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支持PCIe链路故障智能诊断，判断出现故障的PCIe链路</w:t>
            </w:r>
          </w:p>
        </w:tc>
        <w:tc>
          <w:tcPr>
            <w:tcW w:w="0" w:type="auto"/>
            <w:tcBorders>
              <w:top w:val="nil"/>
              <w:left w:val="nil"/>
              <w:bottom w:val="nil"/>
              <w:right w:val="nil"/>
            </w:tcBorders>
            <w:noWrap w:val="0"/>
            <w:vAlign w:val="center"/>
          </w:tcPr>
          <w:p w14:paraId="075A25F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23F33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F3A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9B9E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4D0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C4B22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BAF0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内存故障隔离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FE9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9B5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支持内存故障隔离，在内存产生CE故障时，内存地址被隔离成功，服务器正常运行，业务系统不中断</w:t>
            </w:r>
          </w:p>
        </w:tc>
        <w:tc>
          <w:tcPr>
            <w:tcW w:w="0" w:type="auto"/>
            <w:tcBorders>
              <w:top w:val="nil"/>
              <w:left w:val="nil"/>
              <w:bottom w:val="nil"/>
              <w:right w:val="nil"/>
            </w:tcBorders>
            <w:noWrap w:val="0"/>
            <w:vAlign w:val="center"/>
          </w:tcPr>
          <w:p w14:paraId="2FBA0C4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191A5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CF86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91C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568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68A50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9B8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内存、PCIe卡的故障精准告警功能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89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17C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支持内存、PCIe卡的故障精准告警功能，触发告警并明确指示具体的故障位置</w:t>
            </w:r>
          </w:p>
        </w:tc>
        <w:tc>
          <w:tcPr>
            <w:tcW w:w="0" w:type="auto"/>
            <w:tcBorders>
              <w:top w:val="nil"/>
              <w:left w:val="nil"/>
              <w:bottom w:val="nil"/>
              <w:right w:val="nil"/>
            </w:tcBorders>
            <w:noWrap w:val="0"/>
            <w:vAlign w:val="center"/>
          </w:tcPr>
          <w:p w14:paraId="562FBD4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E7309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7E2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A2D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75E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E2F1C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2DF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异常下电关键数据保护</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7D60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9F3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支持异常下电关键数据保护，支持数据备份恢复机制，防止系统异常掉电导致的数据文件丢失</w:t>
            </w:r>
          </w:p>
        </w:tc>
        <w:tc>
          <w:tcPr>
            <w:tcW w:w="0" w:type="auto"/>
            <w:tcBorders>
              <w:top w:val="nil"/>
              <w:left w:val="nil"/>
              <w:bottom w:val="nil"/>
              <w:right w:val="nil"/>
            </w:tcBorders>
            <w:noWrap w:val="0"/>
            <w:vAlign w:val="center"/>
          </w:tcPr>
          <w:p w14:paraId="14B6F4F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851B5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227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93C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7D6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C0F88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EA1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BMC/BIOS固件双镜像保护</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C3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3AE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支持BMC/BIOS固件双镜像保护，运行异常时自动切换到备份镜像运行，提升系统稳定性</w:t>
            </w:r>
          </w:p>
        </w:tc>
        <w:tc>
          <w:tcPr>
            <w:tcW w:w="0" w:type="auto"/>
            <w:tcBorders>
              <w:top w:val="nil"/>
              <w:left w:val="nil"/>
              <w:bottom w:val="nil"/>
              <w:right w:val="nil"/>
            </w:tcBorders>
            <w:noWrap w:val="0"/>
            <w:vAlign w:val="center"/>
          </w:tcPr>
          <w:p w14:paraId="59A8AE3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D435D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ABC4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C83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683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031A0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B78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CPU核重启隔离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F99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03B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支持CPU核发生不可纠正故障后，重启后由BIOS隔离该故障核，OS不可见，防止OS再次使用导致系统异常，核0除外</w:t>
            </w:r>
          </w:p>
        </w:tc>
        <w:tc>
          <w:tcPr>
            <w:tcW w:w="0" w:type="auto"/>
            <w:tcBorders>
              <w:top w:val="nil"/>
              <w:left w:val="nil"/>
              <w:bottom w:val="nil"/>
              <w:right w:val="nil"/>
            </w:tcBorders>
            <w:noWrap w:val="0"/>
            <w:vAlign w:val="center"/>
          </w:tcPr>
          <w:p w14:paraId="1133C5E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84FAF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A83B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87F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E70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2CB10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1EA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内存地址隔离</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52A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269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在硬件支持的情况下，支持故障内存地址重启后隔离</w:t>
            </w:r>
          </w:p>
        </w:tc>
        <w:tc>
          <w:tcPr>
            <w:tcW w:w="0" w:type="auto"/>
            <w:tcBorders>
              <w:top w:val="nil"/>
              <w:left w:val="nil"/>
              <w:bottom w:val="nil"/>
              <w:right w:val="nil"/>
            </w:tcBorders>
            <w:noWrap w:val="0"/>
            <w:vAlign w:val="center"/>
          </w:tcPr>
          <w:p w14:paraId="2E14D538">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1869F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ED80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9B3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9DB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15FC7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D68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内存存储阵列替换</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1E9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BDF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在硬件支持的情况下，支持故障内存存储阵列替换</w:t>
            </w:r>
          </w:p>
        </w:tc>
        <w:tc>
          <w:tcPr>
            <w:tcW w:w="0" w:type="auto"/>
            <w:tcBorders>
              <w:top w:val="nil"/>
              <w:left w:val="nil"/>
              <w:bottom w:val="nil"/>
              <w:right w:val="nil"/>
            </w:tcBorders>
            <w:noWrap w:val="0"/>
            <w:vAlign w:val="center"/>
          </w:tcPr>
          <w:p w14:paraId="3BD7EA3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0620B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8C5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E15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C2F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A9C69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B6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安全启动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C4A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9D6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支持执行环境要求在整个系统启动的过程中，系统应提供一个机制来保护平台的完整性</w:t>
            </w:r>
          </w:p>
        </w:tc>
        <w:tc>
          <w:tcPr>
            <w:tcW w:w="0" w:type="auto"/>
            <w:tcBorders>
              <w:top w:val="nil"/>
              <w:left w:val="nil"/>
              <w:bottom w:val="nil"/>
              <w:right w:val="nil"/>
            </w:tcBorders>
            <w:noWrap w:val="0"/>
            <w:vAlign w:val="center"/>
          </w:tcPr>
          <w:p w14:paraId="3CCF8D8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6A0DAF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45CC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388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E9C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C71F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BAE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syslog双向鉴别</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66C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40D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支持系统日志双向鉴别，对服务器根证书和客户端根证书进行鉴别</w:t>
            </w:r>
          </w:p>
        </w:tc>
        <w:tc>
          <w:tcPr>
            <w:tcW w:w="0" w:type="auto"/>
            <w:tcBorders>
              <w:top w:val="nil"/>
              <w:left w:val="nil"/>
              <w:bottom w:val="nil"/>
              <w:right w:val="nil"/>
            </w:tcBorders>
            <w:noWrap w:val="0"/>
            <w:vAlign w:val="center"/>
          </w:tcPr>
          <w:p w14:paraId="0462D2B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BAD01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73BD0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04D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8AA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E305B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FB6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★弱口令字典检查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15B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09A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支持弱口令字典检查功能，出现在弱口令字典中的字符串不能被设置为用户口令</w:t>
            </w:r>
          </w:p>
        </w:tc>
        <w:tc>
          <w:tcPr>
            <w:tcW w:w="0" w:type="auto"/>
            <w:tcBorders>
              <w:top w:val="nil"/>
              <w:left w:val="nil"/>
              <w:bottom w:val="nil"/>
              <w:right w:val="nil"/>
            </w:tcBorders>
            <w:noWrap w:val="0"/>
            <w:vAlign w:val="center"/>
          </w:tcPr>
          <w:p w14:paraId="17035D6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8ECB4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2C76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5D7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6E2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8196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C7C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★白名单访问控制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27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902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支持基于时间、IP或MAC白名单访问控制</w:t>
            </w:r>
          </w:p>
        </w:tc>
        <w:tc>
          <w:tcPr>
            <w:tcW w:w="0" w:type="auto"/>
            <w:tcBorders>
              <w:top w:val="nil"/>
              <w:left w:val="nil"/>
              <w:bottom w:val="nil"/>
              <w:right w:val="nil"/>
            </w:tcBorders>
            <w:noWrap w:val="0"/>
            <w:vAlign w:val="center"/>
          </w:tcPr>
          <w:p w14:paraId="68F55EC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0E7A5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1E8F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5A6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72B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7844F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592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双因素鉴别</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3A2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B6B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支持使用客户端证书和证书密码的双因素鉴别方式登录管理系统</w:t>
            </w:r>
          </w:p>
        </w:tc>
        <w:tc>
          <w:tcPr>
            <w:tcW w:w="0" w:type="auto"/>
            <w:tcBorders>
              <w:top w:val="nil"/>
              <w:left w:val="nil"/>
              <w:bottom w:val="nil"/>
              <w:right w:val="nil"/>
            </w:tcBorders>
            <w:noWrap w:val="0"/>
            <w:vAlign w:val="center"/>
          </w:tcPr>
          <w:p w14:paraId="45AEA06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CE996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2B26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30A60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977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AE587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B2A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★二次鉴别</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662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755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支持二次鉴别功能。对于用户配置、权限配置、公钥导入等重要的管理操作，已登录用户应通过二次鉴别后，才能执行操作</w:t>
            </w:r>
          </w:p>
        </w:tc>
        <w:tc>
          <w:tcPr>
            <w:tcW w:w="0" w:type="auto"/>
            <w:tcBorders>
              <w:top w:val="nil"/>
              <w:left w:val="nil"/>
              <w:bottom w:val="nil"/>
              <w:right w:val="nil"/>
            </w:tcBorders>
            <w:noWrap w:val="0"/>
            <w:vAlign w:val="center"/>
          </w:tcPr>
          <w:p w14:paraId="7B71219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FB5D1C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60F9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E60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39A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8BF38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A9E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匿名化用户告警接收邮箱</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A1CE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7B4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支持带外管理系统中的用户告警接收邮箱进行匿名化处理</w:t>
            </w:r>
          </w:p>
        </w:tc>
        <w:tc>
          <w:tcPr>
            <w:tcW w:w="0" w:type="auto"/>
            <w:tcBorders>
              <w:top w:val="nil"/>
              <w:left w:val="nil"/>
              <w:bottom w:val="nil"/>
              <w:right w:val="nil"/>
            </w:tcBorders>
            <w:noWrap w:val="0"/>
            <w:vAlign w:val="center"/>
          </w:tcPr>
          <w:p w14:paraId="59EE0A2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DF1CB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FFB0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DA6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4C3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0FCBE">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08C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★密码证书安全加密存储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73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57A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支持对带外管理系统中的用户口令和证书等敏感信息进行加密存储，禁止使用私有的和业界已知不安全的密码算法</w:t>
            </w:r>
          </w:p>
        </w:tc>
        <w:tc>
          <w:tcPr>
            <w:tcW w:w="0" w:type="auto"/>
            <w:tcBorders>
              <w:top w:val="nil"/>
              <w:left w:val="nil"/>
              <w:bottom w:val="nil"/>
              <w:right w:val="nil"/>
            </w:tcBorders>
            <w:noWrap w:val="0"/>
            <w:vAlign w:val="center"/>
          </w:tcPr>
          <w:p w14:paraId="61D323F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C762D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586AB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8A1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CDD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5351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836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★敏感信息安全加密传输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87D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D17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支持使用安全的传输加密协议（如SSH或HTTPS等）传输用户的敏感信息</w:t>
            </w:r>
          </w:p>
        </w:tc>
        <w:tc>
          <w:tcPr>
            <w:tcW w:w="0" w:type="auto"/>
            <w:tcBorders>
              <w:top w:val="nil"/>
              <w:left w:val="nil"/>
              <w:bottom w:val="nil"/>
              <w:right w:val="nil"/>
            </w:tcBorders>
            <w:noWrap w:val="0"/>
            <w:vAlign w:val="center"/>
          </w:tcPr>
          <w:p w14:paraId="385A3736">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A5802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支持该功能可有效提升系统安全性和稳定性</w:t>
            </w:r>
          </w:p>
        </w:tc>
      </w:tr>
      <w:tr w14:paraId="30DC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44851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179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8134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A2C2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★研发过程安全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6B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B104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供应商承诺，生产商已建立从需求、设计、开发、测试、维护端到端的开发流程管理机制，输出和保存开发流程中每个阶段的产品需求清单、设计文档、开发文档、测试记录等材料，保证各个流程可追溯</w:t>
            </w:r>
          </w:p>
        </w:tc>
        <w:tc>
          <w:tcPr>
            <w:tcW w:w="0" w:type="auto"/>
            <w:tcBorders>
              <w:top w:val="nil"/>
              <w:left w:val="nil"/>
              <w:bottom w:val="nil"/>
              <w:right w:val="nil"/>
            </w:tcBorders>
            <w:noWrap w:val="0"/>
            <w:vAlign w:val="center"/>
          </w:tcPr>
          <w:p w14:paraId="3A5D1C6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2E2C5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55B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7B5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91D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59C771">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34E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漏洞管理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574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2AE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供应商承诺，生产商已建立漏洞全量视图，保证产品版本涉及到的所有漏洞(如驱动程序、BMC软件等)都可以查看</w:t>
            </w:r>
          </w:p>
        </w:tc>
        <w:tc>
          <w:tcPr>
            <w:tcW w:w="0" w:type="auto"/>
            <w:tcBorders>
              <w:top w:val="nil"/>
              <w:left w:val="nil"/>
              <w:bottom w:val="nil"/>
              <w:right w:val="nil"/>
            </w:tcBorders>
            <w:noWrap w:val="0"/>
            <w:vAlign w:val="center"/>
          </w:tcPr>
          <w:p w14:paraId="1751439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5CFAC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179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366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EB0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5B668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4FC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网络关键设备服务器要求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72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C76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作为网络关键设备的服务器应符合GB40050的相关规定</w:t>
            </w:r>
          </w:p>
        </w:tc>
        <w:tc>
          <w:tcPr>
            <w:tcW w:w="0" w:type="auto"/>
            <w:tcBorders>
              <w:top w:val="nil"/>
              <w:left w:val="nil"/>
              <w:bottom w:val="nil"/>
              <w:right w:val="nil"/>
            </w:tcBorders>
            <w:noWrap w:val="0"/>
            <w:vAlign w:val="center"/>
          </w:tcPr>
          <w:p w14:paraId="38B0DDFE">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AA4DC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68F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D0D00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FAB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6F60D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750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A43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6EF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通过国家相关部门的认证和许可</w:t>
            </w:r>
          </w:p>
        </w:tc>
        <w:tc>
          <w:tcPr>
            <w:tcW w:w="0" w:type="auto"/>
            <w:tcBorders>
              <w:top w:val="nil"/>
              <w:left w:val="nil"/>
              <w:bottom w:val="nil"/>
              <w:right w:val="nil"/>
            </w:tcBorders>
            <w:noWrap w:val="0"/>
            <w:vAlign w:val="center"/>
          </w:tcPr>
          <w:p w14:paraId="2B1E665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03621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支持的增强功能越多产品安全性越高，但也会造成性能损耗；若支持可信计算可参考GB/T29827的相关规定</w:t>
            </w:r>
          </w:p>
        </w:tc>
      </w:tr>
      <w:tr w14:paraId="12BA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5FF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332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022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2FF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★物理安全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FC5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D79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安全要求应符合GB4943.1的规定</w:t>
            </w:r>
          </w:p>
        </w:tc>
        <w:tc>
          <w:tcPr>
            <w:tcW w:w="0" w:type="auto"/>
            <w:tcBorders>
              <w:top w:val="nil"/>
              <w:left w:val="nil"/>
              <w:bottom w:val="nil"/>
              <w:right w:val="nil"/>
            </w:tcBorders>
            <w:noWrap w:val="0"/>
            <w:vAlign w:val="center"/>
          </w:tcPr>
          <w:p w14:paraId="225277F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D83FD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35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3D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4EF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729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A3E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78D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664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限用物质的限量应符合GB/T26572的要求</w:t>
            </w:r>
          </w:p>
        </w:tc>
        <w:tc>
          <w:tcPr>
            <w:tcW w:w="0" w:type="auto"/>
            <w:tcBorders>
              <w:top w:val="nil"/>
              <w:left w:val="nil"/>
              <w:bottom w:val="nil"/>
              <w:right w:val="nil"/>
            </w:tcBorders>
            <w:noWrap w:val="0"/>
            <w:vAlign w:val="center"/>
          </w:tcPr>
          <w:p w14:paraId="47BDCD3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B5533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82A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034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6C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F9A0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314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★CPU主频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7F4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F43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≥1.8GHz</w:t>
            </w:r>
          </w:p>
        </w:tc>
        <w:tc>
          <w:tcPr>
            <w:tcW w:w="0" w:type="auto"/>
            <w:tcBorders>
              <w:top w:val="nil"/>
              <w:left w:val="nil"/>
              <w:bottom w:val="nil"/>
              <w:right w:val="nil"/>
            </w:tcBorders>
            <w:noWrap w:val="0"/>
            <w:vAlign w:val="center"/>
          </w:tcPr>
          <w:p w14:paraId="01A5BE1E">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处理器基础主频3.3GHz，最大睿频5.0GHz，主频大于≥1.8GHz的最低要求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B6DE1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同类型CPU主频越高性能越强</w:t>
            </w:r>
          </w:p>
        </w:tc>
      </w:tr>
      <w:tr w14:paraId="6FCD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95E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3E0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5ED12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074D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★单CPU核数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A30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42B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nil"/>
              <w:left w:val="nil"/>
              <w:bottom w:val="nil"/>
              <w:right w:val="nil"/>
            </w:tcBorders>
            <w:noWrap w:val="0"/>
            <w:vAlign w:val="center"/>
          </w:tcPr>
          <w:p w14:paraId="316AC437">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单颗CPU物理核心64核，大于≥64核，多任务并行处理能力强</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5A061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核数越多，多任务并行执行能力越强</w:t>
            </w:r>
          </w:p>
        </w:tc>
      </w:tr>
      <w:tr w14:paraId="7E51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6D1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E1C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0EDBD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FB45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★单CPU末级缓存容量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835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CFA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≥8MB</w:t>
            </w:r>
          </w:p>
        </w:tc>
        <w:tc>
          <w:tcPr>
            <w:tcW w:w="0" w:type="auto"/>
            <w:tcBorders>
              <w:top w:val="nil"/>
              <w:left w:val="nil"/>
              <w:bottom w:val="nil"/>
              <w:right w:val="nil"/>
            </w:tcBorders>
            <w:noWrap w:val="0"/>
            <w:vAlign w:val="center"/>
          </w:tcPr>
          <w:p w14:paraId="2444BB38">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1DE5F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缓存容量(cache)容量越大，缓存命中的概率越大。cache命中率跟容量正向相关</w:t>
            </w:r>
          </w:p>
        </w:tc>
      </w:tr>
      <w:tr w14:paraId="22647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E5A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C00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C43E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23A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单内存模块容量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6B1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A93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≥16GB</w:t>
            </w:r>
          </w:p>
        </w:tc>
        <w:tc>
          <w:tcPr>
            <w:tcW w:w="0" w:type="auto"/>
            <w:tcBorders>
              <w:top w:val="nil"/>
              <w:left w:val="nil"/>
              <w:bottom w:val="nil"/>
              <w:right w:val="nil"/>
            </w:tcBorders>
            <w:noWrap w:val="0"/>
            <w:vAlign w:val="center"/>
          </w:tcPr>
          <w:p w14:paraId="742514CE">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单根内存模块容量≥16GB，大于≥16GB指标要求，整机总内存≥128GB</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82277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一般配置容量越大性能越好</w:t>
            </w:r>
          </w:p>
        </w:tc>
      </w:tr>
      <w:tr w14:paraId="75219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E7E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84F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53D292">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B4D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797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34B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≥2666MT/s</w:t>
            </w:r>
          </w:p>
        </w:tc>
        <w:tc>
          <w:tcPr>
            <w:tcW w:w="0" w:type="auto"/>
            <w:tcBorders>
              <w:top w:val="nil"/>
              <w:left w:val="nil"/>
              <w:bottom w:val="nil"/>
              <w:right w:val="nil"/>
            </w:tcBorders>
            <w:noWrap w:val="0"/>
            <w:vAlign w:val="center"/>
          </w:tcPr>
          <w:p w14:paraId="0629A2DF">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内存运行速率4800MT/s，内存数据吞吐性能高</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38677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内存速率越高性能越好</w:t>
            </w:r>
          </w:p>
        </w:tc>
      </w:tr>
      <w:tr w14:paraId="13DC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9DB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07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B2A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18E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硬盘转速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CE9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697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安装的硬磁盘转速不小于7200rpm</w:t>
            </w:r>
          </w:p>
        </w:tc>
        <w:tc>
          <w:tcPr>
            <w:tcW w:w="0" w:type="auto"/>
            <w:tcBorders>
              <w:top w:val="nil"/>
              <w:left w:val="nil"/>
              <w:bottom w:val="nil"/>
              <w:right w:val="nil"/>
            </w:tcBorders>
            <w:noWrap w:val="0"/>
            <w:vAlign w:val="center"/>
          </w:tcPr>
          <w:p w14:paraId="0E90B23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C2820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机械硬盘转速越高读写性能越好</w:t>
            </w:r>
          </w:p>
        </w:tc>
      </w:tr>
      <w:tr w14:paraId="368B0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7C0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11B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4A2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513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RAID卡缓存容量大小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80E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BFF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若配备RAID卡且RAID卡有缓存容量，容量不少于1GB</w:t>
            </w:r>
          </w:p>
        </w:tc>
        <w:tc>
          <w:tcPr>
            <w:tcW w:w="0" w:type="auto"/>
            <w:tcBorders>
              <w:top w:val="nil"/>
              <w:left w:val="nil"/>
              <w:bottom w:val="nil"/>
              <w:right w:val="nil"/>
            </w:tcBorders>
            <w:noWrap w:val="0"/>
            <w:vAlign w:val="center"/>
          </w:tcPr>
          <w:p w14:paraId="7C2342A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374B0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缓存容量越大，性能越好</w:t>
            </w:r>
          </w:p>
        </w:tc>
      </w:tr>
      <w:tr w14:paraId="1756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F95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803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B78AD">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79A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FCHBA卡速率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5129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7F4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若配备FCHBA卡，单端口最大的连接速率不少于8Gb/s</w:t>
            </w:r>
          </w:p>
        </w:tc>
        <w:tc>
          <w:tcPr>
            <w:tcW w:w="0" w:type="auto"/>
            <w:tcBorders>
              <w:top w:val="nil"/>
              <w:left w:val="nil"/>
              <w:bottom w:val="nil"/>
              <w:right w:val="nil"/>
            </w:tcBorders>
            <w:noWrap w:val="0"/>
            <w:vAlign w:val="center"/>
          </w:tcPr>
          <w:p w14:paraId="542EAC06">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196E4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速率越高网卡性能越强</w:t>
            </w:r>
          </w:p>
        </w:tc>
      </w:tr>
      <w:tr w14:paraId="4113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585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D98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E7FE1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网络性能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6B9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独立网卡速率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ADB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9A8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≥10GE</w:t>
            </w:r>
          </w:p>
        </w:tc>
        <w:tc>
          <w:tcPr>
            <w:tcW w:w="0" w:type="auto"/>
            <w:tcBorders>
              <w:top w:val="nil"/>
              <w:left w:val="nil"/>
              <w:bottom w:val="nil"/>
              <w:right w:val="nil"/>
            </w:tcBorders>
            <w:noWrap w:val="0"/>
            <w:vAlign w:val="center"/>
          </w:tcPr>
          <w:p w14:paraId="6F0DBF34">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配置独立网卡速率为10GE（万兆），满足独立网卡速率≥10GE要求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01DD1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8CC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8EE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995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DFF6C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479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板载网卡速率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B65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0E3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≥1GE</w:t>
            </w:r>
          </w:p>
        </w:tc>
        <w:tc>
          <w:tcPr>
            <w:tcW w:w="0" w:type="auto"/>
            <w:tcBorders>
              <w:top w:val="nil"/>
              <w:left w:val="nil"/>
              <w:bottom w:val="nil"/>
              <w:right w:val="nil"/>
            </w:tcBorders>
            <w:noWrap w:val="0"/>
            <w:vAlign w:val="center"/>
          </w:tcPr>
          <w:p w14:paraId="3BF1AA78">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D2411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F4C2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4E9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F0F7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406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64B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★电源能耗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5C3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EBE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符合GB/T9813.3的有关规定</w:t>
            </w:r>
          </w:p>
        </w:tc>
        <w:tc>
          <w:tcPr>
            <w:tcW w:w="0" w:type="auto"/>
            <w:tcBorders>
              <w:top w:val="nil"/>
              <w:left w:val="nil"/>
              <w:bottom w:val="nil"/>
              <w:right w:val="nil"/>
            </w:tcBorders>
            <w:noWrap w:val="0"/>
            <w:vAlign w:val="center"/>
          </w:tcPr>
          <w:p w14:paraId="05D65D50">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2ABC8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249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273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96F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8879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部件兼容性要求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25C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EEA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A38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适配3种及以上厂商的内存产品，且均不低于产品支持的内存规格</w:t>
            </w:r>
          </w:p>
        </w:tc>
        <w:tc>
          <w:tcPr>
            <w:tcW w:w="0" w:type="auto"/>
            <w:tcBorders>
              <w:top w:val="nil"/>
              <w:left w:val="nil"/>
              <w:bottom w:val="nil"/>
              <w:right w:val="nil"/>
            </w:tcBorders>
            <w:noWrap w:val="0"/>
            <w:vAlign w:val="center"/>
          </w:tcPr>
          <w:p w14:paraId="7AB618B1">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3751E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FD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D60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296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3A01C7">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ED2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★固态存储兼容性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025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EDC0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适配3种或以上厂商的固态存储产品，且均不低于产品支持的固态存储设备规格</w:t>
            </w:r>
          </w:p>
        </w:tc>
        <w:tc>
          <w:tcPr>
            <w:tcW w:w="0" w:type="auto"/>
            <w:tcBorders>
              <w:top w:val="nil"/>
              <w:left w:val="nil"/>
              <w:bottom w:val="nil"/>
              <w:right w:val="nil"/>
            </w:tcBorders>
            <w:noWrap w:val="0"/>
            <w:vAlign w:val="center"/>
          </w:tcPr>
          <w:p w14:paraId="29F22E2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ECCA7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02BE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8D1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D0D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90C16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117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FCHBA卡兼容性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432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953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FCHBA应适配两种或以上厂商产品</w:t>
            </w:r>
          </w:p>
        </w:tc>
        <w:tc>
          <w:tcPr>
            <w:tcW w:w="0" w:type="auto"/>
            <w:tcBorders>
              <w:top w:val="nil"/>
              <w:left w:val="nil"/>
              <w:bottom w:val="nil"/>
              <w:right w:val="nil"/>
            </w:tcBorders>
            <w:noWrap w:val="0"/>
            <w:vAlign w:val="center"/>
          </w:tcPr>
          <w:p w14:paraId="79A36A13">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BE852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953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AB9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383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8702DD">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FCE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945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FF6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RAID卡应适配两种或以上厂商产品</w:t>
            </w:r>
          </w:p>
        </w:tc>
        <w:tc>
          <w:tcPr>
            <w:tcW w:w="0" w:type="auto"/>
            <w:tcBorders>
              <w:top w:val="nil"/>
              <w:left w:val="nil"/>
              <w:bottom w:val="nil"/>
              <w:right w:val="nil"/>
            </w:tcBorders>
            <w:noWrap w:val="0"/>
            <w:vAlign w:val="center"/>
          </w:tcPr>
          <w:p w14:paraId="6D703C4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725B7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0AC58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756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A3A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B8ED4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176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AA0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9EC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网卡应适配两种或以上厂商产品</w:t>
            </w:r>
          </w:p>
        </w:tc>
        <w:tc>
          <w:tcPr>
            <w:tcW w:w="0" w:type="auto"/>
            <w:tcBorders>
              <w:top w:val="nil"/>
              <w:left w:val="nil"/>
              <w:bottom w:val="nil"/>
              <w:right w:val="nil"/>
            </w:tcBorders>
            <w:noWrap w:val="0"/>
            <w:vAlign w:val="center"/>
          </w:tcPr>
          <w:p w14:paraId="08395AB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6B0FD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87C2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D5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581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9E9F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951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★功能卡兼容性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FB8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2BA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内置或适配符合PCIe的功能卡，如：网络功能卡、存储功能卡及图形显示功能卡</w:t>
            </w:r>
          </w:p>
        </w:tc>
        <w:tc>
          <w:tcPr>
            <w:tcW w:w="0" w:type="auto"/>
            <w:tcBorders>
              <w:top w:val="nil"/>
              <w:left w:val="nil"/>
              <w:bottom w:val="nil"/>
              <w:right w:val="nil"/>
            </w:tcBorders>
            <w:noWrap w:val="0"/>
            <w:vAlign w:val="center"/>
          </w:tcPr>
          <w:p w14:paraId="4DFA4F2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BAE77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84CD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51C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043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2D8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56E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★外设兼容性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4A7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42C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兼容多种主流生产商的外部设备，包括显示器、键盘、鼠标、闪存盘、移动硬盘、USB光驱及KVM等，要求使用不同厂商的外部设备时，系统均能正常识别和安装驱动</w:t>
            </w:r>
          </w:p>
        </w:tc>
        <w:tc>
          <w:tcPr>
            <w:tcW w:w="0" w:type="auto"/>
            <w:tcBorders>
              <w:top w:val="nil"/>
              <w:left w:val="nil"/>
              <w:bottom w:val="nil"/>
              <w:right w:val="nil"/>
            </w:tcBorders>
            <w:noWrap w:val="0"/>
            <w:vAlign w:val="center"/>
          </w:tcPr>
          <w:p w14:paraId="6606F98E">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键盘和鼠标1套</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CFE10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3A8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806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72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EB91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软件兼容性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38F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★数据库兼容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07E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83F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兼容3个及以上厂商的数据库产品</w:t>
            </w:r>
          </w:p>
        </w:tc>
        <w:tc>
          <w:tcPr>
            <w:tcW w:w="0" w:type="auto"/>
            <w:tcBorders>
              <w:top w:val="nil"/>
              <w:left w:val="nil"/>
              <w:bottom w:val="nil"/>
              <w:right w:val="nil"/>
            </w:tcBorders>
            <w:noWrap w:val="0"/>
            <w:vAlign w:val="center"/>
          </w:tcPr>
          <w:p w14:paraId="4781B2E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46184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5658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6C9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B8D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E415C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E01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★中间件兼容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FBC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CA73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兼容3个及以上厂商的中间件产品</w:t>
            </w:r>
          </w:p>
        </w:tc>
        <w:tc>
          <w:tcPr>
            <w:tcW w:w="0" w:type="auto"/>
            <w:tcBorders>
              <w:top w:val="nil"/>
              <w:left w:val="nil"/>
              <w:bottom w:val="nil"/>
              <w:right w:val="nil"/>
            </w:tcBorders>
            <w:noWrap w:val="0"/>
            <w:vAlign w:val="center"/>
          </w:tcPr>
          <w:p w14:paraId="60F9009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5D9C4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C9CE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58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28D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BB301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789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★平台软件兼容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D00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51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兼容3个及以上厂商的大数据平台</w:t>
            </w:r>
          </w:p>
        </w:tc>
        <w:tc>
          <w:tcPr>
            <w:tcW w:w="0" w:type="auto"/>
            <w:tcBorders>
              <w:top w:val="nil"/>
              <w:left w:val="nil"/>
              <w:bottom w:val="nil"/>
              <w:right w:val="nil"/>
            </w:tcBorders>
            <w:noWrap w:val="0"/>
            <w:vAlign w:val="center"/>
          </w:tcPr>
          <w:p w14:paraId="3A34CD5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30974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14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385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7FF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29F2E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11D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虚拟化软件兼容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193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D33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兼容2款及以上虚拟化软件</w:t>
            </w:r>
          </w:p>
        </w:tc>
        <w:tc>
          <w:tcPr>
            <w:tcW w:w="0" w:type="auto"/>
            <w:tcBorders>
              <w:top w:val="nil"/>
              <w:left w:val="nil"/>
              <w:bottom w:val="nil"/>
              <w:right w:val="nil"/>
            </w:tcBorders>
            <w:noWrap w:val="0"/>
            <w:vAlign w:val="center"/>
          </w:tcPr>
          <w:p w14:paraId="0A110A0E">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2C2BD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3C78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44B2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597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339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存储可靠性要求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362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SATASSD可靠性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10A1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C355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SSD的m1值（MTBF的不可接受值）不低于200000h</w:t>
            </w:r>
          </w:p>
        </w:tc>
        <w:tc>
          <w:tcPr>
            <w:tcW w:w="0" w:type="auto"/>
            <w:tcBorders>
              <w:top w:val="nil"/>
              <w:left w:val="nil"/>
              <w:bottom w:val="nil"/>
              <w:right w:val="nil"/>
            </w:tcBorders>
            <w:noWrap w:val="0"/>
            <w:vAlign w:val="center"/>
          </w:tcPr>
          <w:p w14:paraId="5A178E6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5E774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MTBF值越大可靠性越强</w:t>
            </w:r>
          </w:p>
        </w:tc>
      </w:tr>
      <w:tr w14:paraId="1A6E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CEC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7C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D680E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1C6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★整机可靠性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F28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B5F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m1值（MTBF的不可接受值）不得低于30000h</w:t>
            </w:r>
          </w:p>
        </w:tc>
        <w:tc>
          <w:tcPr>
            <w:tcW w:w="0" w:type="auto"/>
            <w:tcBorders>
              <w:top w:val="nil"/>
              <w:left w:val="nil"/>
              <w:bottom w:val="nil"/>
              <w:right w:val="nil"/>
            </w:tcBorders>
            <w:noWrap w:val="0"/>
            <w:vAlign w:val="center"/>
          </w:tcPr>
          <w:p w14:paraId="288D3BE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应符合</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3DD34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m1值（MTBF的不可接受值）不得低于10000小时</w:t>
            </w:r>
          </w:p>
        </w:tc>
      </w:tr>
      <w:tr w14:paraId="092F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9C4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77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C11AC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2A0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★风扇可靠性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756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2C4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风扇寿命应不低于40000h</w:t>
            </w:r>
          </w:p>
        </w:tc>
        <w:tc>
          <w:tcPr>
            <w:tcW w:w="0" w:type="auto"/>
            <w:tcBorders>
              <w:top w:val="nil"/>
              <w:left w:val="nil"/>
              <w:bottom w:val="nil"/>
              <w:right w:val="nil"/>
            </w:tcBorders>
            <w:noWrap w:val="0"/>
            <w:vAlign w:val="center"/>
          </w:tcPr>
          <w:p w14:paraId="042996D9">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应符合</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730B5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寿命越长越好</w:t>
            </w:r>
          </w:p>
        </w:tc>
      </w:tr>
      <w:tr w14:paraId="46D96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F1D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2B9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可靠性要求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E213DB">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BFB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★部件可靠性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BDC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380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支持硬盘、电源、风扇热插拔(内置风扇除外)</w:t>
            </w:r>
          </w:p>
        </w:tc>
        <w:tc>
          <w:tcPr>
            <w:tcW w:w="0" w:type="auto"/>
            <w:tcBorders>
              <w:top w:val="nil"/>
              <w:left w:val="nil"/>
              <w:bottom w:val="nil"/>
              <w:right w:val="nil"/>
            </w:tcBorders>
            <w:noWrap w:val="0"/>
            <w:vAlign w:val="center"/>
          </w:tcPr>
          <w:p w14:paraId="6178830F">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应符合</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91823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支持热插拔可提高运维管理效率</w:t>
            </w:r>
          </w:p>
        </w:tc>
      </w:tr>
      <w:tr w14:paraId="19212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09B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179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1A1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包装及运输要求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325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★标志、包装、运输和贮存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77C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D42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符合GB/T9813.3和商品包装政府采购需求标准的相关规定</w:t>
            </w:r>
          </w:p>
        </w:tc>
        <w:tc>
          <w:tcPr>
            <w:tcW w:w="0" w:type="auto"/>
            <w:tcBorders>
              <w:top w:val="nil"/>
              <w:left w:val="nil"/>
              <w:bottom w:val="nil"/>
              <w:right w:val="nil"/>
            </w:tcBorders>
            <w:noWrap w:val="0"/>
            <w:vAlign w:val="center"/>
          </w:tcPr>
          <w:p w14:paraId="4864AF63">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应符合</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52F37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199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685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69A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672B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775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★服务响应</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D3E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A61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c>
          <w:tcPr>
            <w:tcW w:w="0" w:type="auto"/>
            <w:tcBorders>
              <w:top w:val="nil"/>
              <w:left w:val="nil"/>
              <w:bottom w:val="nil"/>
              <w:right w:val="nil"/>
            </w:tcBorders>
            <w:noWrap w:val="0"/>
            <w:vAlign w:val="center"/>
          </w:tcPr>
          <w:p w14:paraId="34C29F1F">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设备安装调试合 格投入运行后，厂商提供最低一年的全质保和免费上门服务及7?24 小时技术响应服务。</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42D31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456D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597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1D4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544D2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7B9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0072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718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供应商提供培训材料、产品手册、培训视频等培训相关内容</w:t>
            </w:r>
          </w:p>
        </w:tc>
        <w:tc>
          <w:tcPr>
            <w:tcW w:w="0" w:type="auto"/>
            <w:tcBorders>
              <w:top w:val="nil"/>
              <w:left w:val="nil"/>
              <w:bottom w:val="nil"/>
              <w:right w:val="nil"/>
            </w:tcBorders>
            <w:noWrap w:val="0"/>
            <w:vAlign w:val="center"/>
          </w:tcPr>
          <w:p w14:paraId="25D11137">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设备试运行时，厂商提供为期一周的现场操作及维护培训，包括操作流程、运行过程中简单故障的排除、严重故障的紧急停机、日常维护与检修等；</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6B576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培训材料越详细，越丰富越好</w:t>
            </w:r>
          </w:p>
        </w:tc>
      </w:tr>
      <w:tr w14:paraId="6AF9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F0D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6C8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E5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684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726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5BB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w:t>
            </w:r>
          </w:p>
        </w:tc>
        <w:tc>
          <w:tcPr>
            <w:tcW w:w="0" w:type="auto"/>
            <w:tcBorders>
              <w:top w:val="nil"/>
              <w:left w:val="nil"/>
              <w:bottom w:val="nil"/>
              <w:right w:val="nil"/>
            </w:tcBorders>
            <w:noWrap w:val="0"/>
            <w:vAlign w:val="center"/>
          </w:tcPr>
          <w:p w14:paraId="54DCF6A2">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提供自验收合格之日起36个月的质保服务。</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B08FA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6AB8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5A7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D4E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5C3B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服务工具要求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382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★工具要求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ADA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A7F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供应商提供设置服务器硬件、辅助操作系统安装等功能的辅助工具和管理软件。且随附软件应具有合法授权或版权</w:t>
            </w:r>
          </w:p>
        </w:tc>
        <w:tc>
          <w:tcPr>
            <w:tcW w:w="0" w:type="auto"/>
            <w:tcBorders>
              <w:top w:val="nil"/>
              <w:left w:val="nil"/>
              <w:bottom w:val="nil"/>
              <w:right w:val="nil"/>
            </w:tcBorders>
            <w:noWrap w:val="0"/>
            <w:vAlign w:val="center"/>
          </w:tcPr>
          <w:p w14:paraId="0A1FAB5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B83E8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7CF7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FF5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8CD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59DD0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1C3C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辅助工具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032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BEC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支持如下功能a)本地的数据备份和还原功能；b)网络的数据备份和还原功能；c)服务器操作系统的自动安装功能；d)服务器所配硬件需要的驱动程序和系统补丁</w:t>
            </w:r>
          </w:p>
        </w:tc>
        <w:tc>
          <w:tcPr>
            <w:tcW w:w="0" w:type="auto"/>
            <w:tcBorders>
              <w:top w:val="nil"/>
              <w:left w:val="nil"/>
              <w:bottom w:val="nil"/>
              <w:right w:val="nil"/>
            </w:tcBorders>
            <w:noWrap w:val="0"/>
            <w:vAlign w:val="center"/>
          </w:tcPr>
          <w:p w14:paraId="57104564">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26B4C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9E13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2BE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386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1FB13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D9C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★驱动安装升级指引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8F8A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0D5F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供应商提供出厂安装的配件所需的驱动程序，形式包括但不限于驱动光盘、驱动下载链接等。其他配件应提供指引</w:t>
            </w:r>
          </w:p>
        </w:tc>
        <w:tc>
          <w:tcPr>
            <w:tcW w:w="0" w:type="auto"/>
            <w:tcBorders>
              <w:top w:val="nil"/>
              <w:left w:val="nil"/>
              <w:bottom w:val="nil"/>
              <w:right w:val="nil"/>
            </w:tcBorders>
            <w:noWrap w:val="0"/>
            <w:vAlign w:val="center"/>
          </w:tcPr>
          <w:p w14:paraId="7B3A4EAA">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AA172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DD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72A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E60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32DF5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82E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随机附开盖工具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7DD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50F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随服务器打包提供开机箱工具</w:t>
            </w:r>
          </w:p>
        </w:tc>
        <w:tc>
          <w:tcPr>
            <w:tcW w:w="0" w:type="auto"/>
            <w:tcBorders>
              <w:top w:val="nil"/>
              <w:left w:val="nil"/>
              <w:bottom w:val="nil"/>
              <w:right w:val="nil"/>
            </w:tcBorders>
            <w:noWrap w:val="0"/>
            <w:vAlign w:val="center"/>
          </w:tcPr>
          <w:p w14:paraId="6FFF8B12">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61290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1E6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7BC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760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2DD630">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E19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代码迁移工具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3D9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497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从其他CPU架构到当前服务器CPU架构的软件迁移工具产品，支持软件包迁移评估，对满足产品重构要求的软件包，能重构为当前服务器CPU架构的软件包。提供源码迁移功能，检查分析C/C++/Fortran/Go/解释型语言/汇编等源码文件，基于产品功能给出迁移指导</w:t>
            </w:r>
          </w:p>
        </w:tc>
        <w:tc>
          <w:tcPr>
            <w:tcW w:w="0" w:type="auto"/>
            <w:tcBorders>
              <w:top w:val="nil"/>
              <w:left w:val="nil"/>
              <w:bottom w:val="nil"/>
              <w:right w:val="nil"/>
            </w:tcBorders>
            <w:noWrap w:val="0"/>
            <w:vAlign w:val="center"/>
          </w:tcPr>
          <w:p w14:paraId="7F2F5CC5">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418EE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6096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63C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A95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E12784">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1DD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性能分析工具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30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6B4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供应商提供支持当前服务器CPU架构的性能分析工具产品，支持系统性能分析、Java性能分析和系统诊断，可分析系统或应用在CPU、内存、IO、网络等方面的性能，并给出优化建议</w:t>
            </w:r>
          </w:p>
        </w:tc>
        <w:tc>
          <w:tcPr>
            <w:tcW w:w="0" w:type="auto"/>
            <w:tcBorders>
              <w:top w:val="nil"/>
              <w:left w:val="nil"/>
              <w:bottom w:val="nil"/>
              <w:right w:val="nil"/>
            </w:tcBorders>
            <w:noWrap w:val="0"/>
            <w:vAlign w:val="center"/>
          </w:tcPr>
          <w:p w14:paraId="579236E9">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74623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6EE61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ADC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293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3D8C5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414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跨架构平台应用兼容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E37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7D4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跨CPU架构平台应用兼容工具，可兼容一种或者一种以上不同架构平台的应用</w:t>
            </w:r>
          </w:p>
        </w:tc>
        <w:tc>
          <w:tcPr>
            <w:tcW w:w="0" w:type="auto"/>
            <w:tcBorders>
              <w:top w:val="nil"/>
              <w:left w:val="nil"/>
              <w:bottom w:val="nil"/>
              <w:right w:val="nil"/>
            </w:tcBorders>
            <w:noWrap w:val="0"/>
            <w:vAlign w:val="center"/>
          </w:tcPr>
          <w:p w14:paraId="080E2C0B">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7C52B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F3B3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EC4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AF6E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D2169">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DA4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★管理软件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0BD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CFE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具备资源管理、系统管理、性能监控、健康监控、基于网络控制、报警设置功能</w:t>
            </w:r>
          </w:p>
        </w:tc>
        <w:tc>
          <w:tcPr>
            <w:tcW w:w="0" w:type="auto"/>
            <w:tcBorders>
              <w:top w:val="nil"/>
              <w:left w:val="nil"/>
              <w:bottom w:val="nil"/>
              <w:right w:val="nil"/>
            </w:tcBorders>
            <w:noWrap w:val="0"/>
            <w:vAlign w:val="center"/>
          </w:tcPr>
          <w:p w14:paraId="0C1D99AD">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77387A0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9AD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F56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9AC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193BA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E83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★厂家升级产品软件与扩容服务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42A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CD0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供应商提供原厂级的部件/软件产品升级和扩容能力</w:t>
            </w:r>
          </w:p>
        </w:tc>
        <w:tc>
          <w:tcPr>
            <w:tcW w:w="0" w:type="auto"/>
            <w:tcBorders>
              <w:top w:val="nil"/>
              <w:left w:val="nil"/>
              <w:bottom w:val="nil"/>
              <w:right w:val="nil"/>
            </w:tcBorders>
            <w:noWrap w:val="0"/>
            <w:vAlign w:val="center"/>
          </w:tcPr>
          <w:p w14:paraId="66BE8B1C">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F0A93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采购人可根据实际需要提出更高要求</w:t>
            </w:r>
          </w:p>
        </w:tc>
      </w:tr>
      <w:tr w14:paraId="1BBE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8FA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7D6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47C7A8">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F08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服务保障升级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B2E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95A0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供应商有偿提供远程技术支持、软件授权服务、备件更换服务、现场支承服务</w:t>
            </w:r>
          </w:p>
        </w:tc>
        <w:tc>
          <w:tcPr>
            <w:tcW w:w="0" w:type="auto"/>
            <w:tcBorders>
              <w:top w:val="nil"/>
              <w:left w:val="nil"/>
              <w:bottom w:val="nil"/>
              <w:right w:val="nil"/>
            </w:tcBorders>
            <w:noWrap w:val="0"/>
            <w:vAlign w:val="center"/>
          </w:tcPr>
          <w:p w14:paraId="24E0D0F7">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2BC69C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采购人可根据实际需求选择相关服务</w:t>
            </w:r>
          </w:p>
        </w:tc>
      </w:tr>
      <w:tr w14:paraId="7637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DC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28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41899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90D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★提供上门服务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58B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13D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供应商具备提供上门服务的能力(可收费)</w:t>
            </w:r>
          </w:p>
        </w:tc>
        <w:tc>
          <w:tcPr>
            <w:tcW w:w="0" w:type="auto"/>
            <w:tcBorders>
              <w:top w:val="nil"/>
              <w:left w:val="nil"/>
              <w:bottom w:val="nil"/>
              <w:right w:val="nil"/>
            </w:tcBorders>
            <w:noWrap w:val="0"/>
            <w:vAlign w:val="center"/>
          </w:tcPr>
          <w:p w14:paraId="59B98F5F">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22"/>
                <w:u w:val="none"/>
                <w:lang w:val="en-US" w:eastAsia="zh-CN" w:bidi="ar"/>
              </w:rPr>
              <w:t>2.3 新的设备使用、管理及维护人员在上岗操作前须进行相关培训。</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167AE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9EB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260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B04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服务要求</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A5AA9F">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1C4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业务场景性能优化服务及整体架构升级服务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CC1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CA66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供应商提供针对特定业务场景性能优化服务及整体架构升级服务</w:t>
            </w:r>
          </w:p>
        </w:tc>
        <w:tc>
          <w:tcPr>
            <w:tcW w:w="0" w:type="auto"/>
            <w:tcBorders>
              <w:top w:val="nil"/>
              <w:left w:val="nil"/>
              <w:bottom w:val="nil"/>
              <w:right w:val="nil"/>
            </w:tcBorders>
            <w:noWrap w:val="0"/>
            <w:vAlign w:val="center"/>
          </w:tcPr>
          <w:p w14:paraId="46DE6A0F">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09ADFF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相比未使能优化前的业务性能提升比例越大越好，架构升级服务，当现有架构满足不了用户业务规模，提供保证业务连续性和平稳扩容架构升级服务，针对大的行业用户后期大扩容需求。</w:t>
            </w:r>
          </w:p>
        </w:tc>
      </w:tr>
      <w:tr w14:paraId="4C353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773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DEE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3DB7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供应链质量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9F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★抗干扰性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93E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2C3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当产品部件出现供应风险时，应通知客户并提供风险应对方案确保产品的服务保障，必要时应停止相关受影响产品的销售</w:t>
            </w:r>
          </w:p>
        </w:tc>
        <w:tc>
          <w:tcPr>
            <w:tcW w:w="0" w:type="auto"/>
            <w:tcBorders>
              <w:top w:val="nil"/>
              <w:left w:val="nil"/>
              <w:bottom w:val="nil"/>
              <w:right w:val="nil"/>
            </w:tcBorders>
            <w:noWrap w:val="0"/>
            <w:vAlign w:val="center"/>
          </w:tcPr>
          <w:p w14:paraId="7343A64E">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4903ED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同类器件/软件件可替代供应商越多越好</w:t>
            </w:r>
          </w:p>
        </w:tc>
      </w:tr>
      <w:tr w14:paraId="1544F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91" w:type="dxa"/>
            <w:tcBorders>
              <w:top w:val="single" w:color="000000" w:sz="4" w:space="0"/>
              <w:left w:val="single" w:color="000000" w:sz="4" w:space="0"/>
              <w:bottom w:val="single" w:color="000000" w:sz="4" w:space="0"/>
              <w:right w:val="single" w:color="000000" w:sz="4" w:space="0"/>
            </w:tcBorders>
            <w:noWrap w:val="0"/>
            <w:vAlign w:val="center"/>
          </w:tcPr>
          <w:p w14:paraId="32C52A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 </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2EB2D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供保要求</w:t>
            </w:r>
          </w:p>
        </w:tc>
        <w:tc>
          <w:tcPr>
            <w:tcW w:w="13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98AF6">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234" w:type="dxa"/>
            <w:tcBorders>
              <w:top w:val="single" w:color="000000" w:sz="4" w:space="0"/>
              <w:left w:val="single" w:color="000000" w:sz="4" w:space="0"/>
              <w:bottom w:val="single" w:color="000000" w:sz="4" w:space="0"/>
              <w:right w:val="single" w:color="000000" w:sz="4" w:space="0"/>
            </w:tcBorders>
            <w:noWrap w:val="0"/>
            <w:vAlign w:val="center"/>
          </w:tcPr>
          <w:p w14:paraId="668362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★供应能力证明</w:t>
            </w:r>
          </w:p>
        </w:tc>
        <w:tc>
          <w:tcPr>
            <w:tcW w:w="409" w:type="dxa"/>
            <w:tcBorders>
              <w:top w:val="single" w:color="000000" w:sz="4" w:space="0"/>
              <w:left w:val="single" w:color="000000" w:sz="4" w:space="0"/>
              <w:bottom w:val="single" w:color="000000" w:sz="4" w:space="0"/>
              <w:right w:val="single" w:color="000000" w:sz="4" w:space="0"/>
            </w:tcBorders>
            <w:noWrap w:val="0"/>
            <w:vAlign w:val="center"/>
          </w:tcPr>
          <w:p w14:paraId="2CFB0A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否</w:t>
            </w:r>
          </w:p>
        </w:tc>
        <w:tc>
          <w:tcPr>
            <w:tcW w:w="2197" w:type="dxa"/>
            <w:tcBorders>
              <w:top w:val="single" w:color="000000" w:sz="4" w:space="0"/>
              <w:left w:val="single" w:color="000000" w:sz="4" w:space="0"/>
              <w:bottom w:val="single" w:color="000000" w:sz="4" w:space="0"/>
              <w:right w:val="single" w:color="000000" w:sz="4" w:space="0"/>
            </w:tcBorders>
            <w:noWrap w:val="0"/>
            <w:vAlign w:val="center"/>
          </w:tcPr>
          <w:p w14:paraId="4B7ADD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供应商提供供应链稳定承诺书，确保产品的部件在产品服务周期内稳定供货</w:t>
            </w:r>
          </w:p>
        </w:tc>
        <w:tc>
          <w:tcPr>
            <w:tcW w:w="2318" w:type="dxa"/>
            <w:tcBorders>
              <w:top w:val="nil"/>
              <w:left w:val="nil"/>
              <w:bottom w:val="nil"/>
              <w:right w:val="nil"/>
            </w:tcBorders>
            <w:noWrap w:val="0"/>
            <w:vAlign w:val="center"/>
          </w:tcPr>
          <w:p w14:paraId="000DD594">
            <w:pPr>
              <w:snapToGrid w:val="0"/>
              <w:ind w:left="0" w:leftChars="0" w:right="0" w:rightChars="0" w:firstLine="0" w:firstLineChars="0"/>
              <w:jc w:val="left"/>
              <w:rPr>
                <w:rFonts w:hint="eastAsia" w:ascii="宋体" w:hAnsi="宋体" w:eastAsia="宋体" w:cs="宋体"/>
                <w:i w:val="0"/>
                <w:iCs w:val="0"/>
                <w:color w:val="000000"/>
                <w:sz w:val="18"/>
                <w:szCs w:val="22"/>
                <w:u w:val="none"/>
              </w:rPr>
            </w:pPr>
            <w:r>
              <w:rPr>
                <w:rFonts w:hint="eastAsia" w:ascii="宋体" w:hAnsi="宋体" w:eastAsia="宋体" w:cs="宋体"/>
                <w:i w:val="0"/>
                <w:iCs w:val="0"/>
                <w:color w:val="000000"/>
                <w:kern w:val="0"/>
                <w:sz w:val="18"/>
                <w:szCs w:val="18"/>
                <w:u w:val="none"/>
                <w:lang w:val="en-US" w:eastAsia="zh-CN" w:bidi="ar"/>
              </w:rPr>
              <w:t>符合技术要求</w:t>
            </w: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5D5ED4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bl>
    <w:p w14:paraId="31B29A45">
      <w:pPr>
        <w:widowControl/>
        <w:spacing w:line="360" w:lineRule="auto"/>
        <w:ind w:firstLine="480" w:firstLineChars="200"/>
        <w:jc w:val="left"/>
        <w:rPr>
          <w:rFonts w:hint="eastAsia" w:ascii="宋体" w:hAnsi="宋体" w:eastAsia="宋体" w:cs="宋体"/>
          <w:kern w:val="0"/>
          <w:sz w:val="24"/>
          <w:szCs w:val="24"/>
          <w:lang w:bidi="ar"/>
        </w:rPr>
      </w:pPr>
      <w:bookmarkStart w:id="10" w:name="_GoBack"/>
      <w:bookmarkEnd w:id="10"/>
    </w:p>
    <w:bookmarkEnd w:id="2"/>
    <w:bookmarkEnd w:id="3"/>
    <w:bookmarkEnd w:id="4"/>
    <w:bookmarkEnd w:id="5"/>
    <w:bookmarkEnd w:id="6"/>
    <w:bookmarkEnd w:id="7"/>
    <w:bookmarkEnd w:id="8"/>
    <w:bookmarkEnd w:id="9"/>
    <w:p w14:paraId="74C6F93A">
      <w:pPr>
        <w:rPr>
          <w:rFonts w:hint="default" w:ascii="宋体" w:hAnsi="宋体" w:eastAsia="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D5"/>
    <w:rsid w:val="00004E9B"/>
    <w:rsid w:val="000064F7"/>
    <w:rsid w:val="00012CA7"/>
    <w:rsid w:val="00072139"/>
    <w:rsid w:val="00073050"/>
    <w:rsid w:val="000912D8"/>
    <w:rsid w:val="0010311A"/>
    <w:rsid w:val="00105388"/>
    <w:rsid w:val="0012228D"/>
    <w:rsid w:val="00124030"/>
    <w:rsid w:val="001633FD"/>
    <w:rsid w:val="00170AC1"/>
    <w:rsid w:val="00175B2F"/>
    <w:rsid w:val="0017687A"/>
    <w:rsid w:val="001928B6"/>
    <w:rsid w:val="001B3820"/>
    <w:rsid w:val="001D505F"/>
    <w:rsid w:val="002071F7"/>
    <w:rsid w:val="00237CA4"/>
    <w:rsid w:val="00253F2B"/>
    <w:rsid w:val="0026312F"/>
    <w:rsid w:val="0026469A"/>
    <w:rsid w:val="00264D14"/>
    <w:rsid w:val="00287112"/>
    <w:rsid w:val="002E3D8D"/>
    <w:rsid w:val="00303D94"/>
    <w:rsid w:val="0032423E"/>
    <w:rsid w:val="003735B4"/>
    <w:rsid w:val="00396379"/>
    <w:rsid w:val="003D1F60"/>
    <w:rsid w:val="003D2FBE"/>
    <w:rsid w:val="003D4542"/>
    <w:rsid w:val="003D526D"/>
    <w:rsid w:val="004007ED"/>
    <w:rsid w:val="00410C02"/>
    <w:rsid w:val="004111FE"/>
    <w:rsid w:val="00416FC1"/>
    <w:rsid w:val="00431367"/>
    <w:rsid w:val="00444091"/>
    <w:rsid w:val="0044677D"/>
    <w:rsid w:val="00450540"/>
    <w:rsid w:val="00454074"/>
    <w:rsid w:val="004556E8"/>
    <w:rsid w:val="00470E46"/>
    <w:rsid w:val="00474C5C"/>
    <w:rsid w:val="004939D3"/>
    <w:rsid w:val="004B443E"/>
    <w:rsid w:val="004B6C77"/>
    <w:rsid w:val="004C0131"/>
    <w:rsid w:val="004C5933"/>
    <w:rsid w:val="00503418"/>
    <w:rsid w:val="00512A53"/>
    <w:rsid w:val="00512A94"/>
    <w:rsid w:val="005424FE"/>
    <w:rsid w:val="00564042"/>
    <w:rsid w:val="0057333F"/>
    <w:rsid w:val="00576203"/>
    <w:rsid w:val="005849AA"/>
    <w:rsid w:val="00596B25"/>
    <w:rsid w:val="005E15ED"/>
    <w:rsid w:val="005E3417"/>
    <w:rsid w:val="006146C5"/>
    <w:rsid w:val="00621D7B"/>
    <w:rsid w:val="0064528C"/>
    <w:rsid w:val="00660127"/>
    <w:rsid w:val="0068117E"/>
    <w:rsid w:val="00682005"/>
    <w:rsid w:val="00695433"/>
    <w:rsid w:val="00697D4E"/>
    <w:rsid w:val="006C2584"/>
    <w:rsid w:val="007114A8"/>
    <w:rsid w:val="00726806"/>
    <w:rsid w:val="00726F7B"/>
    <w:rsid w:val="00755820"/>
    <w:rsid w:val="00763462"/>
    <w:rsid w:val="007743D5"/>
    <w:rsid w:val="007E231C"/>
    <w:rsid w:val="007E2BE2"/>
    <w:rsid w:val="007E2D96"/>
    <w:rsid w:val="007F5C94"/>
    <w:rsid w:val="00815FF8"/>
    <w:rsid w:val="0088300F"/>
    <w:rsid w:val="008905A5"/>
    <w:rsid w:val="00893602"/>
    <w:rsid w:val="008A7CA9"/>
    <w:rsid w:val="008D5F9A"/>
    <w:rsid w:val="00923D47"/>
    <w:rsid w:val="00932C7D"/>
    <w:rsid w:val="00934D14"/>
    <w:rsid w:val="00982182"/>
    <w:rsid w:val="0099066E"/>
    <w:rsid w:val="0099646B"/>
    <w:rsid w:val="0099690F"/>
    <w:rsid w:val="009F575D"/>
    <w:rsid w:val="00A05C82"/>
    <w:rsid w:val="00A4064D"/>
    <w:rsid w:val="00A51359"/>
    <w:rsid w:val="00A63344"/>
    <w:rsid w:val="00AA4D86"/>
    <w:rsid w:val="00AA5F80"/>
    <w:rsid w:val="00AB077E"/>
    <w:rsid w:val="00AC0205"/>
    <w:rsid w:val="00AD60A4"/>
    <w:rsid w:val="00AF632D"/>
    <w:rsid w:val="00B10DB7"/>
    <w:rsid w:val="00B11ED8"/>
    <w:rsid w:val="00B15992"/>
    <w:rsid w:val="00B36EC6"/>
    <w:rsid w:val="00B37FF1"/>
    <w:rsid w:val="00B47C9D"/>
    <w:rsid w:val="00B95E90"/>
    <w:rsid w:val="00BB60CD"/>
    <w:rsid w:val="00BC35BB"/>
    <w:rsid w:val="00BF386D"/>
    <w:rsid w:val="00C12F8A"/>
    <w:rsid w:val="00C646AC"/>
    <w:rsid w:val="00C64A99"/>
    <w:rsid w:val="00CA1850"/>
    <w:rsid w:val="00CA74B3"/>
    <w:rsid w:val="00CB633D"/>
    <w:rsid w:val="00CD31B8"/>
    <w:rsid w:val="00CE4268"/>
    <w:rsid w:val="00CF6184"/>
    <w:rsid w:val="00D52E4D"/>
    <w:rsid w:val="00D60B77"/>
    <w:rsid w:val="00D61578"/>
    <w:rsid w:val="00D6643B"/>
    <w:rsid w:val="00D7295F"/>
    <w:rsid w:val="00D9017A"/>
    <w:rsid w:val="00D93241"/>
    <w:rsid w:val="00DC3730"/>
    <w:rsid w:val="00DD1370"/>
    <w:rsid w:val="00DD1CC8"/>
    <w:rsid w:val="00DD37B0"/>
    <w:rsid w:val="00E06710"/>
    <w:rsid w:val="00E078F2"/>
    <w:rsid w:val="00E21669"/>
    <w:rsid w:val="00E5650D"/>
    <w:rsid w:val="00E56D08"/>
    <w:rsid w:val="00E708B8"/>
    <w:rsid w:val="00E7176B"/>
    <w:rsid w:val="00E95AFC"/>
    <w:rsid w:val="00EF29CF"/>
    <w:rsid w:val="00F11D15"/>
    <w:rsid w:val="00F13DA3"/>
    <w:rsid w:val="00F154D5"/>
    <w:rsid w:val="00F3359D"/>
    <w:rsid w:val="00F37567"/>
    <w:rsid w:val="00F4458C"/>
    <w:rsid w:val="00F55A41"/>
    <w:rsid w:val="00F6177E"/>
    <w:rsid w:val="00F7472A"/>
    <w:rsid w:val="00F86152"/>
    <w:rsid w:val="00FB70DB"/>
    <w:rsid w:val="00FB7691"/>
    <w:rsid w:val="00FC015A"/>
    <w:rsid w:val="03F06CD1"/>
    <w:rsid w:val="048B5BE2"/>
    <w:rsid w:val="091C7B60"/>
    <w:rsid w:val="09F2400E"/>
    <w:rsid w:val="0BA55598"/>
    <w:rsid w:val="0D41351A"/>
    <w:rsid w:val="0D4E701A"/>
    <w:rsid w:val="0D8E6ED3"/>
    <w:rsid w:val="0F0A1DF9"/>
    <w:rsid w:val="0F8E5EEF"/>
    <w:rsid w:val="108426C5"/>
    <w:rsid w:val="12361671"/>
    <w:rsid w:val="177E09C7"/>
    <w:rsid w:val="17F85235"/>
    <w:rsid w:val="1BB630ED"/>
    <w:rsid w:val="1D0E6F59"/>
    <w:rsid w:val="1D8A52D2"/>
    <w:rsid w:val="20D858B3"/>
    <w:rsid w:val="21A67760"/>
    <w:rsid w:val="24643D3B"/>
    <w:rsid w:val="2D8C58C7"/>
    <w:rsid w:val="2E6D70E3"/>
    <w:rsid w:val="3738108B"/>
    <w:rsid w:val="37C12440"/>
    <w:rsid w:val="394418E0"/>
    <w:rsid w:val="3F9904AC"/>
    <w:rsid w:val="3FAD5FD0"/>
    <w:rsid w:val="40C9468F"/>
    <w:rsid w:val="4A1F4C27"/>
    <w:rsid w:val="576158FB"/>
    <w:rsid w:val="675D1AB0"/>
    <w:rsid w:val="6ECB392F"/>
    <w:rsid w:val="709F3F07"/>
    <w:rsid w:val="7DFFFFDA"/>
    <w:rsid w:val="BFFEB52D"/>
    <w:rsid w:val="FFD57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4"/>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5"/>
    <w:semiHidden/>
    <w:unhideWhenUsed/>
    <w:qFormat/>
    <w:uiPriority w:val="99"/>
    <w:pPr>
      <w:jc w:val="left"/>
    </w:pPr>
    <w:rPr>
      <w:rFonts w:ascii="Times New Roman" w:hAnsi="Times New Roman" w:eastAsia="宋体" w:cs="Times New Roman"/>
      <w:szCs w:val="20"/>
    </w:rPr>
  </w:style>
  <w:style w:type="paragraph" w:styleId="6">
    <w:name w:val="Body Text"/>
    <w:basedOn w:val="1"/>
    <w:link w:val="56"/>
    <w:semiHidden/>
    <w:unhideWhenUsed/>
    <w:qFormat/>
    <w:uiPriority w:val="99"/>
    <w:pPr>
      <w:spacing w:after="120"/>
    </w:pPr>
    <w:rPr>
      <w:rFonts w:ascii="Times New Roman" w:hAnsi="Times New Roman" w:eastAsia="宋体" w:cs="Times New Roman"/>
      <w:szCs w:val="20"/>
    </w:rPr>
  </w:style>
  <w:style w:type="paragraph" w:styleId="7">
    <w:name w:val="Body Text Indent"/>
    <w:basedOn w:val="1"/>
    <w:link w:val="57"/>
    <w:qFormat/>
    <w:uiPriority w:val="0"/>
    <w:pPr>
      <w:tabs>
        <w:tab w:val="left" w:pos="480"/>
      </w:tabs>
      <w:spacing w:line="560" w:lineRule="exact"/>
      <w:ind w:firstLine="480"/>
      <w:jc w:val="left"/>
    </w:pPr>
    <w:rPr>
      <w:rFonts w:ascii="宋体" w:hAnsi="宋体" w:eastAsia="宋体" w:cs="Times New Roman"/>
      <w:sz w:val="24"/>
      <w:szCs w:val="20"/>
    </w:rPr>
  </w:style>
  <w:style w:type="paragraph" w:styleId="8">
    <w:name w:val="Plain Text"/>
    <w:basedOn w:val="1"/>
    <w:link w:val="58"/>
    <w:qFormat/>
    <w:uiPriority w:val="0"/>
    <w:rPr>
      <w:rFonts w:ascii="宋体" w:hAnsi="Courier New" w:eastAsia="宋体" w:cs="Times New Roman"/>
      <w:szCs w:val="20"/>
      <w:lang w:val="zh-CN"/>
    </w:rPr>
  </w:style>
  <w:style w:type="paragraph" w:styleId="9">
    <w:name w:val="Date"/>
    <w:basedOn w:val="1"/>
    <w:next w:val="1"/>
    <w:link w:val="59"/>
    <w:qFormat/>
    <w:uiPriority w:val="0"/>
    <w:pPr>
      <w:adjustRightInd w:val="0"/>
      <w:spacing w:line="360" w:lineRule="atLeast"/>
      <w:textAlignment w:val="baseline"/>
    </w:pPr>
    <w:rPr>
      <w:rFonts w:ascii="Times New Roman" w:hAnsi="Times New Roman" w:eastAsia="宋体" w:cs="Times New Roman"/>
      <w:sz w:val="32"/>
      <w:szCs w:val="20"/>
    </w:rPr>
  </w:style>
  <w:style w:type="paragraph" w:styleId="10">
    <w:name w:val="Body Text Indent 2"/>
    <w:basedOn w:val="1"/>
    <w:link w:val="60"/>
    <w:semiHidden/>
    <w:unhideWhenUsed/>
    <w:qFormat/>
    <w:uiPriority w:val="99"/>
    <w:pPr>
      <w:spacing w:after="120" w:line="480" w:lineRule="auto"/>
      <w:ind w:left="420" w:leftChars="200"/>
    </w:pPr>
    <w:rPr>
      <w:rFonts w:ascii="Times New Roman" w:hAnsi="Times New Roman" w:eastAsia="宋体" w:cs="Times New Roman"/>
      <w:szCs w:val="20"/>
    </w:rPr>
  </w:style>
  <w:style w:type="paragraph" w:styleId="11">
    <w:name w:val="Balloon Text"/>
    <w:basedOn w:val="1"/>
    <w:link w:val="61"/>
    <w:semiHidden/>
    <w:unhideWhenUsed/>
    <w:qFormat/>
    <w:uiPriority w:val="99"/>
    <w:rPr>
      <w:rFonts w:ascii="Times New Roman" w:hAnsi="Times New Roman" w:eastAsia="宋体" w:cs="Times New Roman"/>
      <w:sz w:val="18"/>
      <w:szCs w:val="18"/>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62"/>
    <w:qFormat/>
    <w:uiPriority w:val="0"/>
    <w:pPr>
      <w:spacing w:before="240" w:after="60" w:line="312" w:lineRule="auto"/>
      <w:jc w:val="center"/>
      <w:outlineLvl w:val="1"/>
    </w:pPr>
    <w:rPr>
      <w:rFonts w:ascii="Cambria" w:hAnsi="Cambria" w:eastAsia="宋体" w:cs="Times New Roman"/>
      <w:b/>
      <w:bCs/>
      <w:kern w:val="28"/>
      <w:sz w:val="32"/>
      <w:szCs w:val="32"/>
      <w:lang w:val="zh-CN"/>
    </w:rPr>
  </w:style>
  <w:style w:type="paragraph" w:styleId="15">
    <w:name w:val="Body Text Indent 3"/>
    <w:basedOn w:val="1"/>
    <w:link w:val="63"/>
    <w:semiHidden/>
    <w:unhideWhenUsed/>
    <w:qFormat/>
    <w:uiPriority w:val="99"/>
    <w:pPr>
      <w:spacing w:after="120"/>
      <w:ind w:left="420" w:leftChars="200"/>
    </w:pPr>
    <w:rPr>
      <w:rFonts w:ascii="Times New Roman" w:hAnsi="Times New Roman" w:eastAsia="宋体" w:cs="Times New Roman"/>
      <w:sz w:val="16"/>
      <w:szCs w:val="16"/>
    </w:rPr>
  </w:style>
  <w:style w:type="paragraph" w:styleId="16">
    <w:name w:val="toc 2"/>
    <w:basedOn w:val="1"/>
    <w:next w:val="1"/>
    <w:qFormat/>
    <w:uiPriority w:val="39"/>
    <w:pPr>
      <w:tabs>
        <w:tab w:val="right" w:leader="dot" w:pos="8931"/>
      </w:tabs>
    </w:pPr>
    <w:rPr>
      <w:rFonts w:ascii="Times New Roman" w:hAnsi="Times New Roman" w:eastAsia="黑体" w:cs="Times New Roman"/>
      <w:smallCaps/>
      <w:szCs w:val="28"/>
    </w:rPr>
  </w:style>
  <w:style w:type="paragraph" w:styleId="17">
    <w:name w:val="Body Text 2"/>
    <w:basedOn w:val="1"/>
    <w:link w:val="64"/>
    <w:semiHidden/>
    <w:unhideWhenUsed/>
    <w:qFormat/>
    <w:uiPriority w:val="99"/>
    <w:pPr>
      <w:spacing w:after="120" w:line="480" w:lineRule="auto"/>
    </w:pPr>
    <w:rPr>
      <w:rFonts w:ascii="Times New Roman" w:hAnsi="Times New Roman" w:eastAsia="宋体" w:cs="Times New Roman"/>
      <w:szCs w:val="20"/>
    </w:r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annotation subject"/>
    <w:basedOn w:val="5"/>
    <w:next w:val="5"/>
    <w:link w:val="65"/>
    <w:semiHidden/>
    <w:unhideWhenUsed/>
    <w:qFormat/>
    <w:uiPriority w:val="99"/>
    <w:rPr>
      <w:b/>
      <w:bCs/>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rPr>
  </w:style>
  <w:style w:type="character" w:styleId="24">
    <w:name w:val="FollowedHyperlink"/>
    <w:basedOn w:val="22"/>
    <w:semiHidden/>
    <w:unhideWhenUsed/>
    <w:qFormat/>
    <w:uiPriority w:val="99"/>
    <w:rPr>
      <w:color w:val="954F72"/>
      <w:u w:val="single"/>
    </w:rPr>
  </w:style>
  <w:style w:type="character" w:styleId="25">
    <w:name w:val="Emphasis"/>
    <w:basedOn w:val="22"/>
    <w:qFormat/>
    <w:uiPriority w:val="0"/>
    <w:rPr>
      <w:i/>
    </w:rPr>
  </w:style>
  <w:style w:type="character" w:styleId="26">
    <w:name w:val="Hyperlink"/>
    <w:basedOn w:val="22"/>
    <w:unhideWhenUsed/>
    <w:qFormat/>
    <w:uiPriority w:val="99"/>
    <w:rPr>
      <w:color w:val="0563C1"/>
      <w:u w:val="single"/>
    </w:rPr>
  </w:style>
  <w:style w:type="character" w:styleId="27">
    <w:name w:val="annotation reference"/>
    <w:basedOn w:val="22"/>
    <w:semiHidden/>
    <w:unhideWhenUsed/>
    <w:qFormat/>
    <w:uiPriority w:val="99"/>
    <w:rPr>
      <w:sz w:val="21"/>
      <w:szCs w:val="21"/>
    </w:rPr>
  </w:style>
  <w:style w:type="paragraph" w:styleId="28">
    <w:name w:val="List Paragraph"/>
    <w:basedOn w:val="1"/>
    <w:link w:val="68"/>
    <w:qFormat/>
    <w:uiPriority w:val="34"/>
    <w:pPr>
      <w:ind w:firstLine="420" w:firstLineChars="200"/>
    </w:pPr>
  </w:style>
  <w:style w:type="character" w:customStyle="1" w:styleId="29">
    <w:name w:val="Header Char"/>
    <w:basedOn w:val="22"/>
    <w:link w:val="13"/>
    <w:qFormat/>
    <w:uiPriority w:val="99"/>
    <w:rPr>
      <w:sz w:val="18"/>
      <w:szCs w:val="18"/>
    </w:rPr>
  </w:style>
  <w:style w:type="character" w:customStyle="1" w:styleId="30">
    <w:name w:val="Footer Char"/>
    <w:basedOn w:val="22"/>
    <w:link w:val="12"/>
    <w:qFormat/>
    <w:uiPriority w:val="99"/>
    <w:rPr>
      <w:sz w:val="18"/>
      <w:szCs w:val="18"/>
    </w:rPr>
  </w:style>
  <w:style w:type="paragraph" w:customStyle="1" w:styleId="3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18"/>
      <w:szCs w:val="18"/>
    </w:rPr>
  </w:style>
  <w:style w:type="paragraph" w:customStyle="1" w:styleId="33">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34">
    <w:name w:val="xl65"/>
    <w:basedOn w:val="1"/>
    <w:qFormat/>
    <w:uiPriority w:val="99"/>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7">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8">
    <w:name w:val="xl6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9">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color w:val="000000"/>
      <w:kern w:val="0"/>
      <w:sz w:val="24"/>
      <w:szCs w:val="24"/>
    </w:rPr>
  </w:style>
  <w:style w:type="paragraph" w:customStyle="1" w:styleId="41">
    <w:name w:val="xl72"/>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42">
    <w:name w:val="xl73"/>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43">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4">
    <w:name w:val="xl74"/>
    <w:basedOn w:val="1"/>
    <w:qFormat/>
    <w:uiPriority w:val="0"/>
    <w:pPr>
      <w:widowControl/>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5">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6">
    <w:name w:val="font7"/>
    <w:basedOn w:val="1"/>
    <w:qFormat/>
    <w:uiPriority w:val="0"/>
    <w:pPr>
      <w:widowControl/>
      <w:spacing w:before="100" w:beforeAutospacing="1" w:after="100" w:afterAutospacing="1"/>
      <w:jc w:val="left"/>
    </w:pPr>
    <w:rPr>
      <w:rFonts w:ascii="黑体" w:hAnsi="黑体" w:eastAsia="黑体" w:cs="宋体"/>
      <w:kern w:val="0"/>
      <w:sz w:val="18"/>
      <w:szCs w:val="18"/>
    </w:rPr>
  </w:style>
  <w:style w:type="paragraph" w:customStyle="1" w:styleId="47">
    <w:name w:val="font8"/>
    <w:basedOn w:val="1"/>
    <w:qFormat/>
    <w:uiPriority w:val="0"/>
    <w:pPr>
      <w:widowControl/>
      <w:spacing w:before="100" w:beforeAutospacing="1" w:after="100" w:afterAutospacing="1"/>
      <w:jc w:val="left"/>
    </w:pPr>
    <w:rPr>
      <w:rFonts w:ascii="黑体" w:hAnsi="黑体" w:eastAsia="黑体" w:cs="宋体"/>
      <w:color w:val="000000"/>
      <w:kern w:val="0"/>
      <w:sz w:val="18"/>
      <w:szCs w:val="18"/>
    </w:rPr>
  </w:style>
  <w:style w:type="paragraph" w:customStyle="1" w:styleId="48">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黑体" w:hAnsi="黑体" w:eastAsia="黑体" w:cs="宋体"/>
      <w:kern w:val="0"/>
      <w:sz w:val="18"/>
      <w:szCs w:val="18"/>
    </w:rPr>
  </w:style>
  <w:style w:type="paragraph" w:customStyle="1" w:styleId="49">
    <w:name w:val="xl76"/>
    <w:basedOn w:val="1"/>
    <w:qFormat/>
    <w:uiPriority w:val="0"/>
    <w:pPr>
      <w:widowControl/>
      <w:spacing w:before="100" w:beforeAutospacing="1" w:after="100" w:afterAutospacing="1"/>
      <w:jc w:val="left"/>
      <w:textAlignment w:val="top"/>
    </w:pPr>
    <w:rPr>
      <w:rFonts w:ascii="黑体" w:hAnsi="黑体" w:eastAsia="黑体" w:cs="宋体"/>
      <w:kern w:val="0"/>
      <w:sz w:val="18"/>
      <w:szCs w:val="18"/>
    </w:rPr>
  </w:style>
  <w:style w:type="paragraph" w:customStyle="1" w:styleId="5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18"/>
      <w:szCs w:val="18"/>
    </w:rPr>
  </w:style>
  <w:style w:type="paragraph" w:customStyle="1" w:styleId="5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5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000000"/>
      <w:kern w:val="0"/>
      <w:sz w:val="18"/>
      <w:szCs w:val="18"/>
    </w:rPr>
  </w:style>
  <w:style w:type="character" w:customStyle="1" w:styleId="53">
    <w:name w:val="Heading 2 Char"/>
    <w:basedOn w:val="22"/>
    <w:link w:val="3"/>
    <w:semiHidden/>
    <w:qFormat/>
    <w:uiPriority w:val="9"/>
    <w:rPr>
      <w:rFonts w:asciiTheme="majorHAnsi" w:hAnsiTheme="majorHAnsi" w:eastAsiaTheme="majorEastAsia" w:cstheme="majorBidi"/>
      <w:b/>
      <w:bCs/>
      <w:kern w:val="2"/>
      <w:sz w:val="32"/>
      <w:szCs w:val="32"/>
    </w:rPr>
  </w:style>
  <w:style w:type="character" w:customStyle="1" w:styleId="54">
    <w:name w:val="Heading 3 Char"/>
    <w:basedOn w:val="22"/>
    <w:link w:val="4"/>
    <w:qFormat/>
    <w:uiPriority w:val="0"/>
    <w:rPr>
      <w:b/>
      <w:bCs/>
      <w:kern w:val="2"/>
      <w:sz w:val="32"/>
      <w:szCs w:val="32"/>
    </w:rPr>
  </w:style>
  <w:style w:type="character" w:customStyle="1" w:styleId="55">
    <w:name w:val="Comment Text Char"/>
    <w:basedOn w:val="22"/>
    <w:link w:val="5"/>
    <w:semiHidden/>
    <w:qFormat/>
    <w:uiPriority w:val="99"/>
    <w:rPr>
      <w:kern w:val="2"/>
      <w:sz w:val="21"/>
    </w:rPr>
  </w:style>
  <w:style w:type="character" w:customStyle="1" w:styleId="56">
    <w:name w:val="Body Text Char"/>
    <w:basedOn w:val="22"/>
    <w:link w:val="6"/>
    <w:semiHidden/>
    <w:qFormat/>
    <w:uiPriority w:val="99"/>
    <w:rPr>
      <w:kern w:val="2"/>
      <w:sz w:val="21"/>
    </w:rPr>
  </w:style>
  <w:style w:type="character" w:customStyle="1" w:styleId="57">
    <w:name w:val="Body Text Indent Char"/>
    <w:basedOn w:val="22"/>
    <w:link w:val="7"/>
    <w:qFormat/>
    <w:uiPriority w:val="0"/>
    <w:rPr>
      <w:rFonts w:ascii="宋体" w:hAnsi="宋体"/>
      <w:kern w:val="2"/>
      <w:sz w:val="24"/>
    </w:rPr>
  </w:style>
  <w:style w:type="character" w:customStyle="1" w:styleId="58">
    <w:name w:val="Plain Text Char"/>
    <w:basedOn w:val="22"/>
    <w:link w:val="8"/>
    <w:qFormat/>
    <w:uiPriority w:val="0"/>
    <w:rPr>
      <w:rFonts w:ascii="宋体" w:hAnsi="Courier New"/>
      <w:kern w:val="2"/>
      <w:sz w:val="21"/>
      <w:lang w:val="zh-CN"/>
    </w:rPr>
  </w:style>
  <w:style w:type="character" w:customStyle="1" w:styleId="59">
    <w:name w:val="Date Char"/>
    <w:basedOn w:val="22"/>
    <w:link w:val="9"/>
    <w:qFormat/>
    <w:uiPriority w:val="0"/>
    <w:rPr>
      <w:kern w:val="2"/>
      <w:sz w:val="32"/>
    </w:rPr>
  </w:style>
  <w:style w:type="character" w:customStyle="1" w:styleId="60">
    <w:name w:val="Body Text Indent 2 Char"/>
    <w:basedOn w:val="22"/>
    <w:link w:val="10"/>
    <w:semiHidden/>
    <w:qFormat/>
    <w:uiPriority w:val="99"/>
    <w:rPr>
      <w:kern w:val="2"/>
      <w:sz w:val="21"/>
    </w:rPr>
  </w:style>
  <w:style w:type="character" w:customStyle="1" w:styleId="61">
    <w:name w:val="Balloon Text Char"/>
    <w:basedOn w:val="22"/>
    <w:link w:val="11"/>
    <w:semiHidden/>
    <w:qFormat/>
    <w:uiPriority w:val="99"/>
    <w:rPr>
      <w:kern w:val="2"/>
      <w:sz w:val="18"/>
      <w:szCs w:val="18"/>
    </w:rPr>
  </w:style>
  <w:style w:type="character" w:customStyle="1" w:styleId="62">
    <w:name w:val="Subtitle Char"/>
    <w:basedOn w:val="22"/>
    <w:link w:val="14"/>
    <w:qFormat/>
    <w:uiPriority w:val="0"/>
    <w:rPr>
      <w:rFonts w:ascii="Cambria" w:hAnsi="Cambria"/>
      <w:b/>
      <w:bCs/>
      <w:kern w:val="28"/>
      <w:sz w:val="32"/>
      <w:szCs w:val="32"/>
      <w:lang w:val="zh-CN"/>
    </w:rPr>
  </w:style>
  <w:style w:type="character" w:customStyle="1" w:styleId="63">
    <w:name w:val="Body Text Indent 3 Char"/>
    <w:basedOn w:val="22"/>
    <w:link w:val="15"/>
    <w:semiHidden/>
    <w:qFormat/>
    <w:uiPriority w:val="99"/>
    <w:rPr>
      <w:kern w:val="2"/>
      <w:sz w:val="16"/>
      <w:szCs w:val="16"/>
    </w:rPr>
  </w:style>
  <w:style w:type="character" w:customStyle="1" w:styleId="64">
    <w:name w:val="Body Text 2 Char"/>
    <w:basedOn w:val="22"/>
    <w:link w:val="17"/>
    <w:semiHidden/>
    <w:qFormat/>
    <w:uiPriority w:val="99"/>
    <w:rPr>
      <w:kern w:val="2"/>
      <w:sz w:val="21"/>
    </w:rPr>
  </w:style>
  <w:style w:type="character" w:customStyle="1" w:styleId="65">
    <w:name w:val="Comment Subject Char"/>
    <w:basedOn w:val="55"/>
    <w:link w:val="19"/>
    <w:semiHidden/>
    <w:qFormat/>
    <w:uiPriority w:val="99"/>
    <w:rPr>
      <w:b/>
      <w:bCs/>
      <w:kern w:val="2"/>
      <w:sz w:val="21"/>
    </w:rPr>
  </w:style>
  <w:style w:type="paragraph" w:customStyle="1" w:styleId="66">
    <w:name w:val="Default"/>
    <w:link w:val="67"/>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67">
    <w:name w:val="Default Char"/>
    <w:link w:val="66"/>
    <w:qFormat/>
    <w:locked/>
    <w:uiPriority w:val="0"/>
    <w:rPr>
      <w:rFonts w:ascii="......." w:hAnsi="Calibri" w:eastAsia="......." w:cs="......."/>
      <w:color w:val="000000"/>
      <w:sz w:val="24"/>
      <w:szCs w:val="24"/>
    </w:rPr>
  </w:style>
  <w:style w:type="character" w:customStyle="1" w:styleId="68">
    <w:name w:val="List Paragraph Char"/>
    <w:link w:val="28"/>
    <w:qFormat/>
    <w:uiPriority w:val="34"/>
    <w:rPr>
      <w:rFonts w:asciiTheme="minorHAnsi" w:hAnsiTheme="minorHAnsi" w:eastAsiaTheme="minorEastAsia" w:cstheme="minorBidi"/>
      <w:kern w:val="2"/>
      <w:sz w:val="21"/>
      <w:szCs w:val="22"/>
    </w:rPr>
  </w:style>
  <w:style w:type="paragraph" w:customStyle="1" w:styleId="69">
    <w:name w:val="Char"/>
    <w:basedOn w:val="1"/>
    <w:autoRedefine/>
    <w:qFormat/>
    <w:uiPriority w:val="0"/>
    <w:pPr>
      <w:tabs>
        <w:tab w:val="left" w:pos="360"/>
      </w:tabs>
    </w:pPr>
    <w:rPr>
      <w:rFonts w:ascii="Times New Roman" w:hAnsi="Times New Roman" w:eastAsia="宋体" w:cs="Times New Roman"/>
      <w:sz w:val="24"/>
      <w:szCs w:val="24"/>
    </w:rPr>
  </w:style>
  <w:style w:type="character" w:customStyle="1" w:styleId="70">
    <w:name w:val="纯文本 Char"/>
    <w:basedOn w:val="22"/>
    <w:semiHidden/>
    <w:qFormat/>
    <w:uiPriority w:val="99"/>
    <w:rPr>
      <w:rFonts w:ascii="宋体" w:hAnsi="Courier New" w:eastAsia="宋体" w:cs="Courier New"/>
      <w:szCs w:val="21"/>
    </w:rPr>
  </w:style>
  <w:style w:type="paragraph" w:customStyle="1" w:styleId="71">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列出段落1"/>
    <w:basedOn w:val="1"/>
    <w:qFormat/>
    <w:uiPriority w:val="0"/>
    <w:pPr>
      <w:ind w:firstLine="420" w:firstLineChars="200"/>
    </w:pPr>
    <w:rPr>
      <w:rFonts w:ascii="Calibri" w:hAnsi="Calibri" w:eastAsia="宋体" w:cs="黑体"/>
    </w:rPr>
  </w:style>
  <w:style w:type="paragraph" w:customStyle="1" w:styleId="7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77">
    <w:name w:val="Heading 1 Char"/>
    <w:basedOn w:val="22"/>
    <w:link w:val="2"/>
    <w:qFormat/>
    <w:uiPriority w:val="0"/>
    <w:rPr>
      <w:rFonts w:asciiTheme="minorHAnsi" w:hAnsiTheme="minorHAnsi" w:eastAsiaTheme="minorEastAsia" w:cstheme="minorBidi"/>
      <w:b/>
      <w:bCs/>
      <w:kern w:val="44"/>
      <w:sz w:val="44"/>
      <w:szCs w:val="44"/>
    </w:rPr>
  </w:style>
  <w:style w:type="paragraph" w:customStyle="1" w:styleId="78">
    <w:name w:val="首行缩进"/>
    <w:basedOn w:val="1"/>
    <w:qFormat/>
    <w:uiPriority w:val="0"/>
    <w:pPr>
      <w:spacing w:after="120" w:line="360" w:lineRule="auto"/>
      <w:ind w:firstLine="480" w:firstLineChars="200"/>
    </w:pPr>
    <w:rPr>
      <w:rFonts w:ascii="Calibri" w:hAnsi="Calibri" w:eastAsia="宋体" w:cs="Times New Roman"/>
      <w:sz w:val="24"/>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2AE52F41-A0AA-4B0D-BCA6-DB854B5836AE}">
  <ds:schemaRefs/>
</ds:datastoreItem>
</file>

<file path=docProps/app.xml><?xml version="1.0" encoding="utf-8"?>
<Properties xmlns="http://schemas.openxmlformats.org/officeDocument/2006/extended-properties" xmlns:vt="http://schemas.openxmlformats.org/officeDocument/2006/docPropsVTypes">
  <Template>Normal.dotm</Template>
  <Pages>41</Pages>
  <Words>5163</Words>
  <Characters>5324</Characters>
  <Lines>186</Lines>
  <Paragraphs>52</Paragraphs>
  <TotalTime>0</TotalTime>
  <ScaleCrop>false</ScaleCrop>
  <LinksUpToDate>false</LinksUpToDate>
  <CharactersWithSpaces>5330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2025-11-13T17:38:00Z</dcterms:created>
  <dc:creator>Admin</dc:creator>
  <cp:lastModifiedBy>李直气壮</cp:lastModifiedBy>
  <dcterms:modified xsi:type="dcterms:W3CDTF">2026-10-10T01:29:12Z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eyJoZGlkIjoiZDI2YmY0MzE2ZDVkMmE2YTliMDJmYjU4NDhmZmJhMzciLCJ1c2VySWQiOiI4OTA3MDE4NDEifQ==</vt:lpwstr>
  </property>
  <property fmtid="{D5CDD505-2E9C-101B-9397-08002B2CF9AE}" pid="3" name="KSOProductBuildVer">
    <vt:lpwstr>2052-12.1.0.28505</vt:lpwstr>
  </property>
  <property fmtid="{D5CDD505-2E9C-101B-9397-08002B2CF9AE}" pid="4" name="ICV">
    <vt:lpwstr>22633157CEC982E29A73B46ACBC05D62_43</vt:lpwstr>
  </property>
</Properties>
</file>