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 w:hAnsi="仿宋" w:eastAsia="仿宋"/>
          <w:sz w:val="32"/>
          <w:szCs w:val="32"/>
        </w:rPr>
      </w:pPr>
      <w:r>
        <w:rPr>
          <w:rFonts w:hint="eastAsia" w:ascii="仿宋" w:hAnsi="仿宋" w:eastAsia="仿宋"/>
          <w:sz w:val="32"/>
          <w:szCs w:val="32"/>
        </w:rPr>
        <w:t>项目需求书</w:t>
      </w:r>
    </w:p>
    <w:p>
      <w:pPr>
        <w:jc w:val="center"/>
        <w:rPr>
          <w:rFonts w:hint="eastAsia" w:ascii="仿宋" w:hAnsi="仿宋" w:eastAsia="仿宋"/>
          <w:sz w:val="32"/>
          <w:szCs w:val="32"/>
        </w:rPr>
      </w:pPr>
    </w:p>
    <w:p>
      <w:pPr>
        <w:pStyle w:val="11"/>
        <w:spacing w:after="0"/>
        <w:ind w:firstLine="560" w:firstLineChars="200"/>
        <w:rPr>
          <w:rFonts w:hint="eastAsia" w:ascii="仿宋" w:hAnsi="仿宋" w:eastAsia="仿宋" w:cs="仿宋_GB2312"/>
          <w:sz w:val="28"/>
          <w:szCs w:val="28"/>
        </w:rPr>
      </w:pPr>
      <w:r>
        <w:rPr>
          <w:rFonts w:hint="eastAsia" w:ascii="仿宋" w:hAnsi="仿宋" w:eastAsia="仿宋" w:cs="仿宋_GB2312"/>
          <w:sz w:val="28"/>
          <w:szCs w:val="28"/>
        </w:rPr>
        <w:t>一、项目背景</w:t>
      </w:r>
    </w:p>
    <w:p>
      <w:pPr>
        <w:pStyle w:val="11"/>
        <w:spacing w:after="0"/>
        <w:ind w:firstLine="560" w:firstLineChars="200"/>
        <w:rPr>
          <w:rFonts w:hint="eastAsia" w:ascii="仿宋" w:hAnsi="仿宋" w:eastAsia="仿宋" w:cs="仿宋_GB2312"/>
          <w:sz w:val="28"/>
          <w:szCs w:val="28"/>
        </w:rPr>
      </w:pPr>
      <w:r>
        <w:rPr>
          <w:rFonts w:ascii="仿宋" w:hAnsi="仿宋" w:eastAsia="仿宋" w:cs="仿宋_GB2312"/>
          <w:sz w:val="28"/>
          <w:szCs w:val="28"/>
        </w:rPr>
        <w:t>有效解决新区应急指挥平台在应急指挥处置实践应用中的突出问题，强化</w:t>
      </w:r>
      <w:r>
        <w:rPr>
          <w:rFonts w:hint="eastAsia" w:ascii="仿宋" w:hAnsi="仿宋" w:eastAsia="仿宋" w:cs="仿宋_GB2312"/>
          <w:sz w:val="28"/>
          <w:szCs w:val="28"/>
        </w:rPr>
        <w:t>应急</w:t>
      </w:r>
      <w:r>
        <w:rPr>
          <w:rFonts w:ascii="仿宋" w:hAnsi="仿宋" w:eastAsia="仿宋" w:cs="仿宋_GB2312"/>
          <w:sz w:val="28"/>
          <w:szCs w:val="28"/>
        </w:rPr>
        <w:t>指挥</w:t>
      </w:r>
      <w:r>
        <w:rPr>
          <w:rFonts w:hint="eastAsia" w:ascii="仿宋" w:hAnsi="仿宋" w:eastAsia="仿宋" w:cs="仿宋_GB2312"/>
          <w:sz w:val="28"/>
          <w:szCs w:val="28"/>
        </w:rPr>
        <w:t>装备技术</w:t>
      </w:r>
      <w:r>
        <w:rPr>
          <w:rFonts w:ascii="仿宋" w:hAnsi="仿宋" w:eastAsia="仿宋" w:cs="仿宋_GB2312"/>
          <w:sz w:val="28"/>
          <w:szCs w:val="28"/>
        </w:rPr>
        <w:t>支撑</w:t>
      </w:r>
      <w:r>
        <w:rPr>
          <w:rFonts w:hint="eastAsia" w:ascii="仿宋" w:hAnsi="仿宋" w:eastAsia="仿宋" w:cs="仿宋_GB2312"/>
          <w:sz w:val="28"/>
          <w:szCs w:val="28"/>
        </w:rPr>
        <w:t>，突出实战、实效，运用</w:t>
      </w:r>
      <w:r>
        <w:rPr>
          <w:rFonts w:ascii="仿宋" w:hAnsi="仿宋" w:eastAsia="仿宋" w:cs="仿宋_GB2312"/>
          <w:sz w:val="28"/>
          <w:szCs w:val="28"/>
        </w:rPr>
        <w:t>科技</w:t>
      </w:r>
      <w:r>
        <w:rPr>
          <w:rFonts w:hint="eastAsia" w:ascii="仿宋" w:hAnsi="仿宋" w:eastAsia="仿宋" w:cs="仿宋_GB2312"/>
          <w:sz w:val="28"/>
          <w:szCs w:val="28"/>
        </w:rPr>
        <w:t>信息化手段促进应急指挥救援</w:t>
      </w:r>
      <w:r>
        <w:rPr>
          <w:rFonts w:ascii="仿宋" w:hAnsi="仿宋" w:eastAsia="仿宋" w:cs="仿宋_GB2312"/>
          <w:sz w:val="28"/>
          <w:szCs w:val="28"/>
        </w:rPr>
        <w:t>实战</w:t>
      </w:r>
      <w:r>
        <w:rPr>
          <w:rFonts w:hint="eastAsia" w:ascii="仿宋" w:hAnsi="仿宋" w:eastAsia="仿宋" w:cs="仿宋_GB2312"/>
          <w:sz w:val="28"/>
          <w:szCs w:val="28"/>
        </w:rPr>
        <w:t>能力</w:t>
      </w:r>
      <w:r>
        <w:rPr>
          <w:rFonts w:ascii="仿宋" w:hAnsi="仿宋" w:eastAsia="仿宋" w:cs="仿宋_GB2312"/>
          <w:sz w:val="28"/>
          <w:szCs w:val="28"/>
        </w:rPr>
        <w:t>提升</w:t>
      </w:r>
      <w:r>
        <w:rPr>
          <w:rFonts w:hint="eastAsia" w:ascii="仿宋" w:hAnsi="仿宋" w:eastAsia="仿宋" w:cs="仿宋_GB2312"/>
          <w:sz w:val="28"/>
          <w:szCs w:val="28"/>
        </w:rPr>
        <w:t>，</w:t>
      </w:r>
      <w:r>
        <w:rPr>
          <w:rFonts w:ascii="仿宋" w:hAnsi="仿宋" w:eastAsia="仿宋" w:cs="仿宋_GB2312"/>
          <w:sz w:val="28"/>
          <w:szCs w:val="28"/>
        </w:rPr>
        <w:t>实现</w:t>
      </w:r>
      <w:r>
        <w:rPr>
          <w:rFonts w:hint="eastAsia" w:ascii="仿宋" w:hAnsi="仿宋" w:eastAsia="仿宋" w:cs="仿宋_GB2312"/>
          <w:sz w:val="28"/>
          <w:szCs w:val="28"/>
        </w:rPr>
        <w:t>应急突发事件</w:t>
      </w:r>
      <w:r>
        <w:rPr>
          <w:rFonts w:ascii="仿宋" w:hAnsi="仿宋" w:eastAsia="仿宋" w:cs="仿宋_GB2312"/>
          <w:sz w:val="28"/>
          <w:szCs w:val="28"/>
        </w:rPr>
        <w:t>高效能指挥调度</w:t>
      </w:r>
      <w:r>
        <w:rPr>
          <w:rFonts w:hint="eastAsia" w:ascii="仿宋" w:hAnsi="仿宋" w:eastAsia="仿宋" w:cs="仿宋_GB2312"/>
          <w:sz w:val="28"/>
          <w:szCs w:val="28"/>
        </w:rPr>
        <w:t>。</w:t>
      </w:r>
    </w:p>
    <w:p>
      <w:pPr>
        <w:pStyle w:val="11"/>
        <w:spacing w:after="0"/>
        <w:ind w:firstLine="420"/>
      </w:pPr>
      <w:r>
        <w:rPr>
          <w:rFonts w:hint="eastAsia" w:ascii="仿宋" w:hAnsi="仿宋" w:eastAsia="仿宋" w:cs="仿宋_GB2312"/>
          <w:sz w:val="28"/>
          <w:szCs w:val="28"/>
        </w:rPr>
        <w:t>二、建设内容</w:t>
      </w:r>
    </w:p>
    <w:p>
      <w:pPr>
        <w:ind w:firstLine="560" w:firstLineChars="200"/>
        <w:rPr>
          <w:rFonts w:hint="eastAsia" w:ascii="仿宋" w:hAnsi="仿宋" w:eastAsia="仿宋" w:cs="仿宋_GB2312"/>
          <w:kern w:val="0"/>
          <w:sz w:val="28"/>
          <w:szCs w:val="28"/>
        </w:rPr>
      </w:pPr>
      <w:r>
        <w:rPr>
          <w:rFonts w:hint="eastAsia" w:ascii="仿宋" w:hAnsi="仿宋" w:eastAsia="仿宋" w:cs="仿宋_GB2312"/>
          <w:kern w:val="0"/>
          <w:sz w:val="28"/>
          <w:szCs w:val="28"/>
        </w:rPr>
        <w:t>引入最新视频管理平台技术和产品，对现有视频资源进行重构，分类分级，优化目录索引，建立视频资源“一张图”。优化平台界面，简化操作流程，增加视频标签治理功能，实现对视频点位的快速检索与定位；整合行业部门互联网视频资源；对现有融合通信系统进行升级、备份。</w:t>
      </w:r>
    </w:p>
    <w:p>
      <w:pPr>
        <w:ind w:firstLine="560" w:firstLineChars="200"/>
        <w:rPr>
          <w:rFonts w:hint="eastAsia" w:ascii="仿宋" w:hAnsi="仿宋" w:eastAsia="仿宋" w:cs="仿宋_GB2312"/>
          <w:sz w:val="28"/>
          <w:szCs w:val="28"/>
        </w:rPr>
      </w:pPr>
      <w:r>
        <w:rPr>
          <w:rFonts w:hint="eastAsia" w:ascii="仿宋" w:hAnsi="仿宋" w:eastAsia="仿宋" w:cs="仿宋_GB2312"/>
          <w:sz w:val="28"/>
          <w:szCs w:val="28"/>
        </w:rPr>
        <w:t>完成现有应急指挥平台操作终端升级；配置安全边界设备，保证跨网数据交互的合法性及安全性；配置互联网出口，提升基于公网接入的应用访问速度</w:t>
      </w:r>
      <w:r>
        <w:rPr>
          <w:rFonts w:ascii="仿宋" w:hAnsi="仿宋" w:eastAsia="仿宋" w:cs="仿宋_GB2312"/>
          <w:sz w:val="28"/>
          <w:szCs w:val="28"/>
        </w:rPr>
        <w:t>和稳定性</w:t>
      </w:r>
      <w:r>
        <w:rPr>
          <w:rFonts w:hint="eastAsia" w:ascii="仿宋" w:hAnsi="仿宋" w:eastAsia="仿宋" w:cs="仿宋_GB2312"/>
          <w:sz w:val="28"/>
          <w:szCs w:val="28"/>
        </w:rPr>
        <w:t>，配套相应的防火墙、漏洞扫描等安全设备，保障网络访问安全；配置固移两用基座式卫星电话，保障在三断极端条件下，为各级领导与现场救援人员实时通信提供保底通信手段。</w:t>
      </w:r>
    </w:p>
    <w:p>
      <w:pPr>
        <w:ind w:firstLine="560" w:firstLineChars="200"/>
        <w:rPr>
          <w:rFonts w:hint="eastAsia" w:ascii="仿宋" w:hAnsi="仿宋" w:eastAsia="仿宋" w:cs="仿宋_GB2312"/>
          <w:sz w:val="28"/>
          <w:szCs w:val="28"/>
        </w:rPr>
      </w:pPr>
      <w:r>
        <w:rPr>
          <w:rFonts w:hint="eastAsia" w:ascii="仿宋" w:hAnsi="仿宋" w:eastAsia="仿宋" w:cs="仿宋_GB2312"/>
          <w:sz w:val="28"/>
          <w:szCs w:val="28"/>
        </w:rPr>
        <w:t>新增MCU替换现用安监视频会议MCU,配套建设录播服务器、音频系统并补充视频会议终端。</w:t>
      </w:r>
    </w:p>
    <w:p>
      <w:pPr>
        <w:ind w:firstLine="560" w:firstLineChars="200"/>
        <w:rPr>
          <w:rFonts w:hint="eastAsia" w:ascii="仿宋" w:hAnsi="仿宋" w:eastAsia="仿宋" w:cs="仿宋_GB2312"/>
          <w:sz w:val="28"/>
          <w:szCs w:val="28"/>
        </w:rPr>
      </w:pPr>
      <w:r>
        <w:rPr>
          <w:rFonts w:ascii="仿宋" w:hAnsi="仿宋" w:eastAsia="仿宋" w:cs="仿宋_GB2312"/>
          <w:sz w:val="28"/>
          <w:szCs w:val="28"/>
        </w:rPr>
        <w:t>将</w:t>
      </w:r>
      <w:r>
        <w:rPr>
          <w:rFonts w:hint="eastAsia" w:ascii="仿宋" w:hAnsi="仿宋" w:eastAsia="仿宋" w:cs="仿宋_GB2312"/>
          <w:sz w:val="28"/>
          <w:szCs w:val="28"/>
        </w:rPr>
        <w:t>现有物联网专线</w:t>
      </w:r>
      <w:r>
        <w:rPr>
          <w:rFonts w:ascii="仿宋" w:hAnsi="仿宋" w:eastAsia="仿宋" w:cs="仿宋_GB2312"/>
          <w:sz w:val="28"/>
          <w:szCs w:val="28"/>
        </w:rPr>
        <w:t>从</w:t>
      </w:r>
      <w:r>
        <w:rPr>
          <w:rFonts w:hint="eastAsia" w:ascii="仿宋" w:hAnsi="仿宋" w:eastAsia="仿宋" w:cs="仿宋_GB2312"/>
          <w:sz w:val="28"/>
          <w:szCs w:val="28"/>
        </w:rPr>
        <w:t>4G技术升级为使用5G技术，提升机动应急指挥平台、布控球等设备的接入速率，优化音视频交互的通信质量。</w:t>
      </w:r>
    </w:p>
    <w:p>
      <w:pPr>
        <w:ind w:firstLine="560" w:firstLineChars="200"/>
        <w:rPr>
          <w:rFonts w:hint="eastAsia" w:ascii="仿宋" w:hAnsi="仿宋" w:eastAsia="仿宋" w:cs="仿宋_GB2312"/>
          <w:sz w:val="28"/>
          <w:szCs w:val="28"/>
        </w:rPr>
      </w:pPr>
      <w:r>
        <w:rPr>
          <w:rFonts w:hint="eastAsia" w:ascii="仿宋" w:hAnsi="仿宋" w:eastAsia="仿宋" w:cs="仿宋_GB2312"/>
          <w:sz w:val="28"/>
          <w:szCs w:val="28"/>
        </w:rPr>
        <w:t>新增应用，实现</w:t>
      </w:r>
      <w:r>
        <w:rPr>
          <w:rFonts w:hint="eastAsia" w:ascii="仿宋" w:hAnsi="仿宋" w:eastAsia="仿宋" w:cs="楷体_GB2312"/>
          <w:sz w:val="28"/>
          <w:szCs w:val="28"/>
        </w:rPr>
        <w:t>生产经营单位生产安全事故应急预案网上备案。</w:t>
      </w:r>
      <w:r>
        <w:rPr>
          <w:rFonts w:hint="eastAsia" w:ascii="仿宋" w:hAnsi="仿宋" w:eastAsia="仿宋" w:cs="仿宋_GB2312"/>
          <w:sz w:val="28"/>
          <w:szCs w:val="28"/>
        </w:rPr>
        <w:t>在区政务服务办建设的“滨海新区一体化政务服务平台”上开设生产经营单位生产安全事故应急预案网上备案端口，实现区应急局备案职责范围内生产经营单位生产安全事故应急预案网上备案。相关企业可在线上提交预案备案相关资料，区应急局线上完成备案受理，并为备案企业出具加盖“天津市滨海新区应急管理局应急预案备案专用章”电子印章的应急预案电子备案登记表。按规定需要抄送到其他部门或单位的预案，实现线上分发抄送。</w:t>
      </w:r>
    </w:p>
    <w:p>
      <w:pPr>
        <w:jc w:val="left"/>
        <w:rPr>
          <w:rFonts w:hint="eastAsia" w:ascii="仿宋" w:hAnsi="仿宋" w:eastAsia="仿宋"/>
          <w:sz w:val="28"/>
          <w:szCs w:val="28"/>
        </w:rPr>
      </w:pPr>
      <w:r>
        <w:rPr>
          <w:rFonts w:hint="eastAsia" w:ascii="仿宋" w:hAnsi="仿宋" w:eastAsia="仿宋"/>
          <w:sz w:val="28"/>
          <w:szCs w:val="28"/>
        </w:rPr>
        <w:t>三、设备清单</w:t>
      </w:r>
    </w:p>
    <w:tbl>
      <w:tblPr>
        <w:tblStyle w:val="16"/>
        <w:tblW w:w="7940" w:type="dxa"/>
        <w:tblInd w:w="0" w:type="dxa"/>
        <w:tblLayout w:type="autofit"/>
        <w:tblCellMar>
          <w:top w:w="0" w:type="dxa"/>
          <w:left w:w="108" w:type="dxa"/>
          <w:bottom w:w="0" w:type="dxa"/>
          <w:right w:w="108" w:type="dxa"/>
        </w:tblCellMar>
      </w:tblPr>
      <w:tblGrid>
        <w:gridCol w:w="1080"/>
        <w:gridCol w:w="2320"/>
        <w:gridCol w:w="848"/>
        <w:gridCol w:w="1984"/>
        <w:gridCol w:w="1708"/>
      </w:tblGrid>
      <w:tr>
        <w:tblPrEx>
          <w:tblCellMar>
            <w:top w:w="0" w:type="dxa"/>
            <w:left w:w="108" w:type="dxa"/>
            <w:bottom w:w="0" w:type="dxa"/>
            <w:right w:w="108" w:type="dxa"/>
          </w:tblCellMar>
        </w:tblPrEx>
        <w:trPr>
          <w:trHeight w:val="270" w:hRule="atLeast"/>
        </w:trPr>
        <w:tc>
          <w:tcPr>
            <w:tcW w:w="108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序号</w:t>
            </w:r>
          </w:p>
        </w:tc>
        <w:tc>
          <w:tcPr>
            <w:tcW w:w="2320" w:type="dxa"/>
            <w:tcBorders>
              <w:top w:val="single" w:color="auto" w:sz="4" w:space="0"/>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产品名称</w:t>
            </w:r>
          </w:p>
        </w:tc>
        <w:tc>
          <w:tcPr>
            <w:tcW w:w="848" w:type="dxa"/>
            <w:tcBorders>
              <w:top w:val="single" w:color="auto" w:sz="4" w:space="0"/>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数量</w:t>
            </w:r>
          </w:p>
        </w:tc>
        <w:tc>
          <w:tcPr>
            <w:tcW w:w="1984" w:type="dxa"/>
            <w:tcBorders>
              <w:top w:val="single" w:color="auto" w:sz="4" w:space="0"/>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单位</w:t>
            </w:r>
          </w:p>
        </w:tc>
        <w:tc>
          <w:tcPr>
            <w:tcW w:w="1708" w:type="dxa"/>
            <w:tcBorders>
              <w:top w:val="single" w:color="auto" w:sz="4" w:space="0"/>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备注</w:t>
            </w:r>
          </w:p>
        </w:tc>
      </w:tr>
      <w:tr>
        <w:tblPrEx>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1</w:t>
            </w:r>
          </w:p>
        </w:tc>
        <w:tc>
          <w:tcPr>
            <w:tcW w:w="2320"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互联网视频接入平台</w:t>
            </w:r>
          </w:p>
        </w:tc>
        <w:tc>
          <w:tcPr>
            <w:tcW w:w="848"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1</w:t>
            </w:r>
          </w:p>
        </w:tc>
        <w:tc>
          <w:tcPr>
            <w:tcW w:w="1984"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项</w:t>
            </w:r>
          </w:p>
        </w:tc>
        <w:tc>
          <w:tcPr>
            <w:tcW w:w="1708" w:type="dxa"/>
            <w:tcBorders>
              <w:top w:val="nil"/>
              <w:left w:val="nil"/>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　</w:t>
            </w:r>
          </w:p>
        </w:tc>
      </w:tr>
      <w:tr>
        <w:tblPrEx>
          <w:tblCellMar>
            <w:top w:w="0" w:type="dxa"/>
            <w:left w:w="108" w:type="dxa"/>
            <w:bottom w:w="0" w:type="dxa"/>
            <w:right w:w="108" w:type="dxa"/>
          </w:tblCellMar>
        </w:tblPrEx>
        <w:trPr>
          <w:trHeight w:val="559"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2</w:t>
            </w:r>
          </w:p>
        </w:tc>
        <w:tc>
          <w:tcPr>
            <w:tcW w:w="2320"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视频治理平台</w:t>
            </w:r>
          </w:p>
        </w:tc>
        <w:tc>
          <w:tcPr>
            <w:tcW w:w="848"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1</w:t>
            </w:r>
          </w:p>
        </w:tc>
        <w:tc>
          <w:tcPr>
            <w:tcW w:w="1984"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项</w:t>
            </w:r>
          </w:p>
        </w:tc>
        <w:tc>
          <w:tcPr>
            <w:tcW w:w="1708" w:type="dxa"/>
            <w:tcBorders>
              <w:top w:val="nil"/>
              <w:left w:val="nil"/>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　</w:t>
            </w:r>
          </w:p>
        </w:tc>
      </w:tr>
      <w:tr>
        <w:tblPrEx>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3</w:t>
            </w:r>
          </w:p>
        </w:tc>
        <w:tc>
          <w:tcPr>
            <w:tcW w:w="2320"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融合通信升级</w:t>
            </w:r>
          </w:p>
        </w:tc>
        <w:tc>
          <w:tcPr>
            <w:tcW w:w="848"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1</w:t>
            </w:r>
          </w:p>
        </w:tc>
        <w:tc>
          <w:tcPr>
            <w:tcW w:w="1984"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套</w:t>
            </w:r>
          </w:p>
        </w:tc>
        <w:tc>
          <w:tcPr>
            <w:tcW w:w="1708" w:type="dxa"/>
            <w:tcBorders>
              <w:top w:val="nil"/>
              <w:left w:val="nil"/>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　</w:t>
            </w:r>
          </w:p>
        </w:tc>
      </w:tr>
      <w:tr>
        <w:tblPrEx>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4</w:t>
            </w:r>
          </w:p>
        </w:tc>
        <w:tc>
          <w:tcPr>
            <w:tcW w:w="2320"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终端设备</w:t>
            </w:r>
          </w:p>
        </w:tc>
        <w:tc>
          <w:tcPr>
            <w:tcW w:w="848"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25</w:t>
            </w:r>
          </w:p>
        </w:tc>
        <w:tc>
          <w:tcPr>
            <w:tcW w:w="1984"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台</w:t>
            </w:r>
          </w:p>
        </w:tc>
        <w:tc>
          <w:tcPr>
            <w:tcW w:w="1708" w:type="dxa"/>
            <w:tcBorders>
              <w:top w:val="nil"/>
              <w:left w:val="nil"/>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　</w:t>
            </w:r>
          </w:p>
        </w:tc>
      </w:tr>
      <w:tr>
        <w:tblPrEx>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5</w:t>
            </w:r>
          </w:p>
        </w:tc>
        <w:tc>
          <w:tcPr>
            <w:tcW w:w="2320"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安全边界</w:t>
            </w:r>
          </w:p>
        </w:tc>
        <w:tc>
          <w:tcPr>
            <w:tcW w:w="848"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2</w:t>
            </w:r>
          </w:p>
        </w:tc>
        <w:tc>
          <w:tcPr>
            <w:tcW w:w="1984"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套</w:t>
            </w:r>
          </w:p>
        </w:tc>
        <w:tc>
          <w:tcPr>
            <w:tcW w:w="1708" w:type="dxa"/>
            <w:tcBorders>
              <w:top w:val="nil"/>
              <w:left w:val="nil"/>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　</w:t>
            </w:r>
          </w:p>
        </w:tc>
      </w:tr>
      <w:tr>
        <w:tblPrEx>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6</w:t>
            </w:r>
          </w:p>
        </w:tc>
        <w:tc>
          <w:tcPr>
            <w:tcW w:w="2320"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防火墙</w:t>
            </w:r>
          </w:p>
        </w:tc>
        <w:tc>
          <w:tcPr>
            <w:tcW w:w="848"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2</w:t>
            </w:r>
          </w:p>
        </w:tc>
        <w:tc>
          <w:tcPr>
            <w:tcW w:w="1984"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台</w:t>
            </w:r>
          </w:p>
        </w:tc>
        <w:tc>
          <w:tcPr>
            <w:tcW w:w="1708" w:type="dxa"/>
            <w:tcBorders>
              <w:top w:val="nil"/>
              <w:left w:val="nil"/>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　</w:t>
            </w:r>
          </w:p>
        </w:tc>
      </w:tr>
      <w:tr>
        <w:tblPrEx>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7</w:t>
            </w:r>
          </w:p>
        </w:tc>
        <w:tc>
          <w:tcPr>
            <w:tcW w:w="2320"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漏洞扫描</w:t>
            </w:r>
          </w:p>
        </w:tc>
        <w:tc>
          <w:tcPr>
            <w:tcW w:w="848"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1</w:t>
            </w:r>
          </w:p>
        </w:tc>
        <w:tc>
          <w:tcPr>
            <w:tcW w:w="1984"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台</w:t>
            </w:r>
          </w:p>
        </w:tc>
        <w:tc>
          <w:tcPr>
            <w:tcW w:w="1708" w:type="dxa"/>
            <w:tcBorders>
              <w:top w:val="nil"/>
              <w:left w:val="nil"/>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　</w:t>
            </w:r>
          </w:p>
        </w:tc>
      </w:tr>
      <w:tr>
        <w:tblPrEx>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8</w:t>
            </w:r>
          </w:p>
        </w:tc>
        <w:tc>
          <w:tcPr>
            <w:tcW w:w="2320"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座机卫星电话</w:t>
            </w:r>
          </w:p>
        </w:tc>
        <w:tc>
          <w:tcPr>
            <w:tcW w:w="848"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2</w:t>
            </w:r>
          </w:p>
        </w:tc>
        <w:tc>
          <w:tcPr>
            <w:tcW w:w="1984"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台</w:t>
            </w:r>
          </w:p>
        </w:tc>
        <w:tc>
          <w:tcPr>
            <w:tcW w:w="1708"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含天线施工</w:t>
            </w:r>
          </w:p>
        </w:tc>
      </w:tr>
      <w:tr>
        <w:tblPrEx>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9</w:t>
            </w:r>
          </w:p>
        </w:tc>
        <w:tc>
          <w:tcPr>
            <w:tcW w:w="2320"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互联网出口</w:t>
            </w:r>
          </w:p>
        </w:tc>
        <w:tc>
          <w:tcPr>
            <w:tcW w:w="848"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2</w:t>
            </w:r>
          </w:p>
        </w:tc>
        <w:tc>
          <w:tcPr>
            <w:tcW w:w="1984"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条</w:t>
            </w:r>
          </w:p>
        </w:tc>
        <w:tc>
          <w:tcPr>
            <w:tcW w:w="1708" w:type="dxa"/>
            <w:tcBorders>
              <w:top w:val="nil"/>
              <w:left w:val="nil"/>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含1年使用费</w:t>
            </w:r>
          </w:p>
        </w:tc>
      </w:tr>
      <w:tr>
        <w:tblPrEx>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10</w:t>
            </w:r>
          </w:p>
        </w:tc>
        <w:tc>
          <w:tcPr>
            <w:tcW w:w="2320"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MCU</w:t>
            </w:r>
          </w:p>
        </w:tc>
        <w:tc>
          <w:tcPr>
            <w:tcW w:w="848"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1</w:t>
            </w:r>
          </w:p>
        </w:tc>
        <w:tc>
          <w:tcPr>
            <w:tcW w:w="1984"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套</w:t>
            </w:r>
          </w:p>
        </w:tc>
        <w:tc>
          <w:tcPr>
            <w:tcW w:w="1708" w:type="dxa"/>
            <w:tcBorders>
              <w:top w:val="nil"/>
              <w:left w:val="nil"/>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　</w:t>
            </w:r>
          </w:p>
        </w:tc>
      </w:tr>
      <w:tr>
        <w:tblPrEx>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11</w:t>
            </w:r>
          </w:p>
        </w:tc>
        <w:tc>
          <w:tcPr>
            <w:tcW w:w="2320"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录播服务器</w:t>
            </w:r>
          </w:p>
        </w:tc>
        <w:tc>
          <w:tcPr>
            <w:tcW w:w="848"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1</w:t>
            </w:r>
          </w:p>
        </w:tc>
        <w:tc>
          <w:tcPr>
            <w:tcW w:w="1984"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套</w:t>
            </w:r>
          </w:p>
        </w:tc>
        <w:tc>
          <w:tcPr>
            <w:tcW w:w="1708" w:type="dxa"/>
            <w:tcBorders>
              <w:top w:val="nil"/>
              <w:left w:val="nil"/>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　</w:t>
            </w:r>
          </w:p>
        </w:tc>
      </w:tr>
      <w:tr>
        <w:tblPrEx>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12</w:t>
            </w:r>
          </w:p>
        </w:tc>
        <w:tc>
          <w:tcPr>
            <w:tcW w:w="2320"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视频会议终端</w:t>
            </w:r>
          </w:p>
        </w:tc>
        <w:tc>
          <w:tcPr>
            <w:tcW w:w="848"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2</w:t>
            </w:r>
          </w:p>
        </w:tc>
        <w:tc>
          <w:tcPr>
            <w:tcW w:w="1984"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台</w:t>
            </w:r>
          </w:p>
        </w:tc>
        <w:tc>
          <w:tcPr>
            <w:tcW w:w="1708" w:type="dxa"/>
            <w:tcBorders>
              <w:top w:val="nil"/>
              <w:left w:val="nil"/>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　</w:t>
            </w:r>
          </w:p>
        </w:tc>
      </w:tr>
      <w:tr>
        <w:tblPrEx>
          <w:tblCellMar>
            <w:top w:w="0" w:type="dxa"/>
            <w:left w:w="108" w:type="dxa"/>
            <w:bottom w:w="0" w:type="dxa"/>
            <w:right w:w="108" w:type="dxa"/>
          </w:tblCellMar>
        </w:tblPrEx>
        <w:trPr>
          <w:trHeight w:val="559"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13</w:t>
            </w:r>
          </w:p>
        </w:tc>
        <w:tc>
          <w:tcPr>
            <w:tcW w:w="2320"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调音台接口箱</w:t>
            </w:r>
          </w:p>
        </w:tc>
        <w:tc>
          <w:tcPr>
            <w:tcW w:w="848"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2</w:t>
            </w:r>
          </w:p>
        </w:tc>
        <w:tc>
          <w:tcPr>
            <w:tcW w:w="1984"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套</w:t>
            </w:r>
          </w:p>
        </w:tc>
        <w:tc>
          <w:tcPr>
            <w:tcW w:w="1708" w:type="dxa"/>
            <w:tcBorders>
              <w:top w:val="nil"/>
              <w:left w:val="nil"/>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　</w:t>
            </w:r>
          </w:p>
        </w:tc>
      </w:tr>
      <w:tr>
        <w:tblPrEx>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14</w:t>
            </w:r>
          </w:p>
        </w:tc>
        <w:tc>
          <w:tcPr>
            <w:tcW w:w="2320"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音视频中控主机</w:t>
            </w:r>
          </w:p>
        </w:tc>
        <w:tc>
          <w:tcPr>
            <w:tcW w:w="848"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1</w:t>
            </w:r>
          </w:p>
        </w:tc>
        <w:tc>
          <w:tcPr>
            <w:tcW w:w="1984"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套</w:t>
            </w:r>
          </w:p>
        </w:tc>
        <w:tc>
          <w:tcPr>
            <w:tcW w:w="1708" w:type="dxa"/>
            <w:tcBorders>
              <w:top w:val="nil"/>
              <w:left w:val="nil"/>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　</w:t>
            </w:r>
          </w:p>
        </w:tc>
      </w:tr>
      <w:tr>
        <w:tblPrEx>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15</w:t>
            </w:r>
          </w:p>
        </w:tc>
        <w:tc>
          <w:tcPr>
            <w:tcW w:w="2320"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会议录播系统</w:t>
            </w:r>
          </w:p>
        </w:tc>
        <w:tc>
          <w:tcPr>
            <w:tcW w:w="848"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1</w:t>
            </w:r>
          </w:p>
        </w:tc>
        <w:tc>
          <w:tcPr>
            <w:tcW w:w="1984"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套</w:t>
            </w:r>
          </w:p>
        </w:tc>
        <w:tc>
          <w:tcPr>
            <w:tcW w:w="1708" w:type="dxa"/>
            <w:tcBorders>
              <w:top w:val="nil"/>
              <w:left w:val="nil"/>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　</w:t>
            </w:r>
          </w:p>
        </w:tc>
      </w:tr>
      <w:tr>
        <w:tblPrEx>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16</w:t>
            </w:r>
          </w:p>
        </w:tc>
        <w:tc>
          <w:tcPr>
            <w:tcW w:w="2320"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5G路由器</w:t>
            </w:r>
          </w:p>
        </w:tc>
        <w:tc>
          <w:tcPr>
            <w:tcW w:w="848"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2</w:t>
            </w:r>
          </w:p>
        </w:tc>
        <w:tc>
          <w:tcPr>
            <w:tcW w:w="1984"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台</w:t>
            </w:r>
          </w:p>
        </w:tc>
        <w:tc>
          <w:tcPr>
            <w:tcW w:w="1708" w:type="dxa"/>
            <w:tcBorders>
              <w:top w:val="nil"/>
              <w:left w:val="nil"/>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　</w:t>
            </w:r>
          </w:p>
        </w:tc>
      </w:tr>
      <w:tr>
        <w:tblPrEx>
          <w:tblCellMar>
            <w:top w:w="0" w:type="dxa"/>
            <w:left w:w="108" w:type="dxa"/>
            <w:bottom w:w="0" w:type="dxa"/>
            <w:right w:w="108" w:type="dxa"/>
          </w:tblCellMar>
        </w:tblPrEx>
        <w:trPr>
          <w:trHeight w:val="540"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17</w:t>
            </w:r>
          </w:p>
        </w:tc>
        <w:tc>
          <w:tcPr>
            <w:tcW w:w="2320"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物联网专线</w:t>
            </w:r>
          </w:p>
        </w:tc>
        <w:tc>
          <w:tcPr>
            <w:tcW w:w="848"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1</w:t>
            </w:r>
          </w:p>
        </w:tc>
        <w:tc>
          <w:tcPr>
            <w:tcW w:w="1984"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项</w:t>
            </w:r>
          </w:p>
        </w:tc>
        <w:tc>
          <w:tcPr>
            <w:tcW w:w="1708" w:type="dxa"/>
            <w:tcBorders>
              <w:top w:val="nil"/>
              <w:left w:val="nil"/>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含5张专用卡和链路的1年使用费</w:t>
            </w:r>
          </w:p>
        </w:tc>
      </w:tr>
      <w:tr>
        <w:tblPrEx>
          <w:tblCellMar>
            <w:top w:w="0" w:type="dxa"/>
            <w:left w:w="108" w:type="dxa"/>
            <w:bottom w:w="0" w:type="dxa"/>
            <w:right w:w="108" w:type="dxa"/>
          </w:tblCellMar>
        </w:tblPrEx>
        <w:trPr>
          <w:trHeight w:val="1182" w:hRule="atLeast"/>
        </w:trPr>
        <w:tc>
          <w:tcPr>
            <w:tcW w:w="108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宋体"/>
                <w:color w:val="000000"/>
                <w:kern w:val="0"/>
                <w:sz w:val="22"/>
              </w:rPr>
            </w:pPr>
            <w:r>
              <w:rPr>
                <w:rFonts w:hint="eastAsia" w:ascii="仿宋" w:hAnsi="仿宋" w:eastAsia="仿宋" w:cs="宋体"/>
                <w:color w:val="000000"/>
                <w:kern w:val="0"/>
                <w:sz w:val="22"/>
              </w:rPr>
              <w:t>18</w:t>
            </w:r>
          </w:p>
        </w:tc>
        <w:tc>
          <w:tcPr>
            <w:tcW w:w="2320" w:type="dxa"/>
            <w:tcBorders>
              <w:top w:val="nil"/>
              <w:left w:val="nil"/>
              <w:bottom w:val="single" w:color="auto" w:sz="4" w:space="0"/>
              <w:right w:val="single" w:color="auto" w:sz="4" w:space="0"/>
            </w:tcBorders>
            <w:vAlign w:val="center"/>
          </w:tcPr>
          <w:p>
            <w:pPr>
              <w:widowControl/>
              <w:jc w:val="center"/>
              <w:rPr>
                <w:rFonts w:hint="eastAsia" w:ascii="仿宋" w:hAnsi="仿宋" w:eastAsia="仿宋" w:cs="宋体"/>
                <w:kern w:val="0"/>
                <w:sz w:val="22"/>
              </w:rPr>
            </w:pPr>
            <w:r>
              <w:rPr>
                <w:rFonts w:hint="eastAsia" w:ascii="仿宋" w:hAnsi="仿宋" w:eastAsia="仿宋" w:cs="宋体"/>
                <w:kern w:val="0"/>
                <w:sz w:val="22"/>
              </w:rPr>
              <w:t>生产经营单位生产安全事故应急预案网上备案系统</w:t>
            </w:r>
          </w:p>
        </w:tc>
        <w:tc>
          <w:tcPr>
            <w:tcW w:w="848"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kern w:val="0"/>
                <w:sz w:val="22"/>
              </w:rPr>
            </w:pPr>
            <w:r>
              <w:rPr>
                <w:rFonts w:hint="eastAsia" w:ascii="仿宋" w:hAnsi="仿宋" w:eastAsia="仿宋" w:cs="宋体"/>
                <w:kern w:val="0"/>
                <w:sz w:val="22"/>
              </w:rPr>
              <w:t>1</w:t>
            </w:r>
          </w:p>
        </w:tc>
        <w:tc>
          <w:tcPr>
            <w:tcW w:w="1984" w:type="dxa"/>
            <w:tcBorders>
              <w:top w:val="nil"/>
              <w:left w:val="nil"/>
              <w:bottom w:val="single" w:color="auto" w:sz="4" w:space="0"/>
              <w:right w:val="single" w:color="auto" w:sz="4" w:space="0"/>
            </w:tcBorders>
            <w:noWrap/>
            <w:vAlign w:val="center"/>
          </w:tcPr>
          <w:p>
            <w:pPr>
              <w:widowControl/>
              <w:jc w:val="center"/>
              <w:rPr>
                <w:rFonts w:hint="eastAsia" w:ascii="仿宋" w:hAnsi="仿宋" w:eastAsia="仿宋" w:cs="宋体"/>
                <w:kern w:val="0"/>
                <w:sz w:val="22"/>
              </w:rPr>
            </w:pPr>
            <w:r>
              <w:rPr>
                <w:rFonts w:hint="eastAsia" w:ascii="仿宋" w:hAnsi="仿宋" w:eastAsia="仿宋" w:cs="宋体"/>
                <w:kern w:val="0"/>
                <w:sz w:val="22"/>
              </w:rPr>
              <w:t>项</w:t>
            </w:r>
          </w:p>
        </w:tc>
        <w:tc>
          <w:tcPr>
            <w:tcW w:w="1708" w:type="dxa"/>
            <w:tcBorders>
              <w:top w:val="nil"/>
              <w:left w:val="nil"/>
              <w:bottom w:val="single" w:color="auto" w:sz="4" w:space="0"/>
              <w:right w:val="single" w:color="auto" w:sz="4" w:space="0"/>
            </w:tcBorders>
            <w:vAlign w:val="center"/>
          </w:tcPr>
          <w:p>
            <w:pPr>
              <w:widowControl/>
              <w:jc w:val="center"/>
              <w:rPr>
                <w:rFonts w:hint="eastAsia" w:ascii="仿宋" w:hAnsi="仿宋" w:eastAsia="仿宋" w:cs="宋体"/>
                <w:kern w:val="0"/>
                <w:sz w:val="22"/>
              </w:rPr>
            </w:pPr>
            <w:r>
              <w:rPr>
                <w:rFonts w:hint="eastAsia" w:ascii="仿宋" w:hAnsi="仿宋" w:eastAsia="仿宋" w:cs="宋体"/>
                <w:kern w:val="0"/>
                <w:sz w:val="22"/>
              </w:rPr>
              <w:t>　</w:t>
            </w:r>
          </w:p>
        </w:tc>
      </w:tr>
    </w:tbl>
    <w:p>
      <w:pPr>
        <w:jc w:val="left"/>
        <w:rPr>
          <w:rFonts w:hint="eastAsia" w:ascii="仿宋" w:hAnsi="仿宋" w:eastAsia="仿宋"/>
          <w:sz w:val="28"/>
          <w:szCs w:val="28"/>
        </w:rPr>
      </w:pPr>
      <w:r>
        <w:rPr>
          <w:rFonts w:hint="eastAsia" w:ascii="仿宋" w:hAnsi="仿宋" w:eastAsia="仿宋"/>
          <w:sz w:val="28"/>
          <w:szCs w:val="28"/>
        </w:rPr>
        <w:t>四、技术参数</w:t>
      </w:r>
    </w:p>
    <w:tbl>
      <w:tblPr>
        <w:tblStyle w:val="16"/>
        <w:tblW w:w="5000" w:type="pct"/>
        <w:tblInd w:w="0" w:type="dxa"/>
        <w:tblLayout w:type="autofit"/>
        <w:tblCellMar>
          <w:top w:w="0" w:type="dxa"/>
          <w:left w:w="108" w:type="dxa"/>
          <w:bottom w:w="0" w:type="dxa"/>
          <w:right w:w="108" w:type="dxa"/>
        </w:tblCellMar>
      </w:tblPr>
      <w:tblGrid>
        <w:gridCol w:w="616"/>
        <w:gridCol w:w="1016"/>
        <w:gridCol w:w="5039"/>
        <w:gridCol w:w="617"/>
        <w:gridCol w:w="617"/>
        <w:gridCol w:w="617"/>
      </w:tblGrid>
      <w:tr>
        <w:tblPrEx>
          <w:tblCellMar>
            <w:top w:w="0" w:type="dxa"/>
            <w:left w:w="108" w:type="dxa"/>
            <w:bottom w:w="0" w:type="dxa"/>
            <w:right w:w="108" w:type="dxa"/>
          </w:tblCellMar>
        </w:tblPrEx>
        <w:trPr>
          <w:trHeight w:val="240" w:hRule="atLeast"/>
        </w:trPr>
        <w:tc>
          <w:tcPr>
            <w:tcW w:w="371" w:type="pct"/>
            <w:tcBorders>
              <w:top w:val="single" w:color="auto" w:sz="4" w:space="0"/>
              <w:left w:val="single" w:color="auto" w:sz="4" w:space="0"/>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序号</w:t>
            </w:r>
          </w:p>
        </w:tc>
        <w:tc>
          <w:tcPr>
            <w:tcW w:w="480" w:type="pct"/>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产品名称</w:t>
            </w:r>
          </w:p>
        </w:tc>
        <w:tc>
          <w:tcPr>
            <w:tcW w:w="3035" w:type="pct"/>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参数要求</w:t>
            </w:r>
          </w:p>
        </w:tc>
        <w:tc>
          <w:tcPr>
            <w:tcW w:w="371" w:type="pct"/>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数量</w:t>
            </w:r>
          </w:p>
        </w:tc>
        <w:tc>
          <w:tcPr>
            <w:tcW w:w="371" w:type="pct"/>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单位</w:t>
            </w:r>
          </w:p>
        </w:tc>
        <w:tc>
          <w:tcPr>
            <w:tcW w:w="371" w:type="pct"/>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备注</w:t>
            </w:r>
          </w:p>
        </w:tc>
      </w:tr>
      <w:tr>
        <w:tblPrEx>
          <w:tblCellMar>
            <w:top w:w="0" w:type="dxa"/>
            <w:left w:w="108" w:type="dxa"/>
            <w:bottom w:w="0" w:type="dxa"/>
            <w:right w:w="108" w:type="dxa"/>
          </w:tblCellMar>
        </w:tblPrEx>
        <w:trPr>
          <w:trHeight w:val="4320" w:hRule="atLeast"/>
        </w:trPr>
        <w:tc>
          <w:tcPr>
            <w:tcW w:w="371" w:type="pct"/>
            <w:vMerge w:val="restart"/>
            <w:tcBorders>
              <w:top w:val="nil"/>
              <w:left w:val="single" w:color="auto" w:sz="4" w:space="0"/>
              <w:bottom w:val="single" w:color="000000"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w:t>
            </w:r>
          </w:p>
        </w:tc>
        <w:tc>
          <w:tcPr>
            <w:tcW w:w="480" w:type="pct"/>
            <w:vMerge w:val="restart"/>
            <w:tcBorders>
              <w:top w:val="nil"/>
              <w:left w:val="single" w:color="auto" w:sz="4" w:space="0"/>
              <w:bottom w:val="single" w:color="000000"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互联网</w:t>
            </w:r>
          </w:p>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视频</w:t>
            </w:r>
          </w:p>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接入</w:t>
            </w:r>
          </w:p>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平台</w:t>
            </w: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一、视频安全交换系统</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1、系统由1台视频安全交换系统前置机和1台视频安全交换系统后置机组成。</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2、前置机：2U标准机箱，冗余电源；≥6个千兆电口，≥1个Console口，≥2个USB口，≥3个扩展槽位；</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3、后置机：2U标准机箱，冗余电源；≥6个千兆电口，≥1个Console口，≥2个USB口，≥3个扩展槽位；</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4、系统吞吐量≥1Gbps,系统延时≤3ms,并发连接数≥60万;视频传输能力（每路 D1 画质）：≥500路/s；</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5、系统采用符合《安全可靠测评结果（2023年1号）》的国产系列CPU；系统采用经裁剪安全加固的银河麒麟系统；</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6、应支持对GB/T 28181协议的信令基于安全策略进行格式检查，对不符合格式的信令进行拦截丢弃，并进行日志报警；</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7、支持在实时点播中，FDWSF码流的秘钥版本改变后，通过视频安全交换系统，上级平台可通知下级平台，保证实时点播不中断（提供具备CMA、CNAS标识的检测报告证明）；</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8、支持通过视频安全交换系统，上下级平台之间发送设备遥控等重要的SIP控制信令，信令采用带密钥的杂凑算法SM3做认证；</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9、系统支持负载均衡模块，内置多个负载驱动（HLB、LLB、NLB），可根据具体协议选择不同的负载驱动；</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10、对出入设备的数据包根据IP和端口进行控制，支持状态检测，IP和端口需要在对象管理的IP管理和服务管理里先预定；</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11、支持H.323视频协议应用，提供视频会议协议数据交换，支持科达、华为等视频会议系统；支持RTP/RTCP流媒体协议传输；</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12、具备视频传输模块，支持 Sip、RTSP TCP/UDP 协议通道，支持上下游注册代理、设备准入控制、视频点播功能、摄像头控制功能。</w:t>
            </w:r>
          </w:p>
        </w:tc>
        <w:tc>
          <w:tcPr>
            <w:tcW w:w="371" w:type="pct"/>
            <w:vMerge w:val="restart"/>
            <w:tcBorders>
              <w:top w:val="nil"/>
              <w:left w:val="single" w:color="auto" w:sz="4" w:space="0"/>
              <w:bottom w:val="single" w:color="000000"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w:t>
            </w:r>
          </w:p>
        </w:tc>
        <w:tc>
          <w:tcPr>
            <w:tcW w:w="371" w:type="pct"/>
            <w:vMerge w:val="restart"/>
            <w:tcBorders>
              <w:top w:val="nil"/>
              <w:left w:val="single" w:color="auto" w:sz="4" w:space="0"/>
              <w:bottom w:val="single" w:color="000000"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项</w:t>
            </w:r>
          </w:p>
        </w:tc>
        <w:tc>
          <w:tcPr>
            <w:tcW w:w="371" w:type="pct"/>
            <w:vMerge w:val="restart"/>
            <w:tcBorders>
              <w:top w:val="nil"/>
              <w:left w:val="single" w:color="auto" w:sz="4" w:space="0"/>
              <w:bottom w:val="single" w:color="000000"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w:t>
            </w:r>
          </w:p>
        </w:tc>
      </w:tr>
      <w:tr>
        <w:tblPrEx>
          <w:tblCellMar>
            <w:top w:w="0" w:type="dxa"/>
            <w:left w:w="108" w:type="dxa"/>
            <w:bottom w:w="0" w:type="dxa"/>
            <w:right w:w="108" w:type="dxa"/>
          </w:tblCellMar>
        </w:tblPrEx>
        <w:trPr>
          <w:trHeight w:val="4080" w:hRule="atLeast"/>
        </w:trPr>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480"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二、安全隔离与信息交换系统</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1、采用2+1系统架构即内网单元+外网单元+专用隔离芯片硬件。隔离区基于隔离芯片开关设计，不采用SCSI、网卡以及任何加/解密等方式，且具有不可编程特性；</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2、标准2U机架式设备，具备2个LCD液晶屏，能够显示设备序列号，显示CPU利用率、内存使用率、显示管理口IP等信息；</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3、系统采用符合《安全可靠测评结果（2023年1号）》的国产系列CPU；系统采用经裁剪安全加固的银河麒麟系统；</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4、吞吐率≥1Gbps，系统延时&lt;1ms，并发连接数≥60万；视频传输能力（每路 D1 画质）：≥500路/s；双液晶屏，冗余电源，2U标准机箱；内外网单元各配置≥6个千兆电口,≥1个管理口，≥1个console口，≥2个USB口；</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5、支持文件内容关键字替换，根据替换规则自动替换文件内容中相关关键字。支持同步设定同名文件策略，选择覆盖或更名处理（提供具备CMA、CNAS标识的检测报告证明）；</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6、支持批量数据表智能匹配配置，可自动匹配表名、字段相同的数据表建立同步关系，满足大批量数据表同步场景下的快速配置需求；</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7、支持视频应用集群部署，支持链路的集群管理和视频流量负载；支持视频信令解析，识别视频协议，对不符合格式的信令及指令进行阻断和日志记录；支持摄像头注册信息过滤，视频编码控制；支持视频流插帧，可设置插帧频率；</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8、支持H264、H232、3GP、ASF、AVI、FLV、MOV、MP4、MPEG、OQG、R4、RMVB、WMV等视频编码格式识别；</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9、支持支持SIP、RTSP、GB 28181、H.323、DB33等视频协议；</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10、内存≥8G*2，硬盘容量≥256G固态硬盘 *2。</w:t>
            </w: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r>
      <w:tr>
        <w:tblPrEx>
          <w:tblCellMar>
            <w:top w:w="0" w:type="dxa"/>
            <w:left w:w="108" w:type="dxa"/>
            <w:bottom w:w="0" w:type="dxa"/>
            <w:right w:w="108" w:type="dxa"/>
          </w:tblCellMar>
        </w:tblPrEx>
        <w:trPr>
          <w:trHeight w:val="5280" w:hRule="atLeast"/>
        </w:trPr>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480"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三、视频管理平台</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1、提供门户首页内容自定义能力，支持自定义快捷入口、自定义菜单内容、自定义页面元素设置；</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2、提供统一的认证、鉴权管理、应用管理、菜单管理、用户管理、角色管理、组织管理、资源管理等能力；</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3、提供用户权限管理能力，包括菜单权限、组织权限、区域权限、资源权限、功能控制权限；</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4、提供组织、区域、设备、人员等资源统一管理；</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5、提供用户安全管理，支持账户绑定用户mac地址及IP地址能力，提供账户安全设置，支持账户密码有效期设置，支持登录类型（Web端、PC客户端、移动端）和认证方式（密码、PKI）的配置；</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6、提供数据、服务等统一开放能力；</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7、提供系统运行状态监测能力，包括运行服务监控、运行服务统计、运行数据报告和运行服务解析概览；</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8、视频监控应用提供视频管理服务，支持编码设备接入平台；</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9、支持视频实时预览能力，实现预览窗口布局切换、预览画面自适应及全屏切换；</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10、支持云台控制、实时抓图、紧急录像、主子码流切换、声音开启\关闭的能力；</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11、支持录像回放能力，支持多画面同步回放和异步回放切换、超高倍速回放、分段回放、录像下载、录像剪辑、录像标签、录像锁定、录像抓图；</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12、支持对接入平台的视频设备进行在线巡检，发现掉线设备；</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13、提供视频点位联网服务能力，用于平台域间视频联网，基于视频通用标准协议（GB/T28181-2011,GB/T28181-2016）与外域平台互联互通，实现平台视频资源点位推送等操作控制；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14、支持上下级域注册管理能力，实现平台数据级联；</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15、支持资源同步能力；</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16、支持级联视频点位实时预览、录像回放、录像下载能力；</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17、支持级联视频点位设备操作控制能力；</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18、支持不少于10000路视频接入能力。</w:t>
            </w: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r>
      <w:tr>
        <w:tblPrEx>
          <w:tblCellMar>
            <w:top w:w="0" w:type="dxa"/>
            <w:left w:w="108" w:type="dxa"/>
            <w:bottom w:w="0" w:type="dxa"/>
            <w:right w:w="108" w:type="dxa"/>
          </w:tblCellMar>
        </w:tblPrEx>
        <w:trPr>
          <w:trHeight w:val="480" w:hRule="atLeast"/>
        </w:trPr>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480"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四、中间件平台</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满足平台运行的基础平台，包括服务器、安全设备、交换机和系统软件等。</w:t>
            </w: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r>
      <w:tr>
        <w:tblPrEx>
          <w:tblCellMar>
            <w:top w:w="0" w:type="dxa"/>
            <w:left w:w="108" w:type="dxa"/>
            <w:bottom w:w="0" w:type="dxa"/>
            <w:right w:w="108" w:type="dxa"/>
          </w:tblCellMar>
        </w:tblPrEx>
        <w:trPr>
          <w:trHeight w:val="3120" w:hRule="atLeast"/>
        </w:trPr>
        <w:tc>
          <w:tcPr>
            <w:tcW w:w="371" w:type="pct"/>
            <w:vMerge w:val="restart"/>
            <w:tcBorders>
              <w:top w:val="nil"/>
              <w:left w:val="single" w:color="auto" w:sz="4" w:space="0"/>
              <w:bottom w:val="single" w:color="000000"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2</w:t>
            </w:r>
          </w:p>
        </w:tc>
        <w:tc>
          <w:tcPr>
            <w:tcW w:w="480" w:type="pct"/>
            <w:vMerge w:val="restart"/>
            <w:tcBorders>
              <w:top w:val="nil"/>
              <w:left w:val="single" w:color="auto" w:sz="4" w:space="0"/>
              <w:bottom w:val="single" w:color="000000"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视频</w:t>
            </w:r>
          </w:p>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治理</w:t>
            </w:r>
          </w:p>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平台</w:t>
            </w: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一、视频融合赋能基础服务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1.提供统一的认证、鉴权管理能力；支持用户名密码认证方式及PKI认证方式，支持账户安全设置，账户密码有效期设置</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2.提供门户管理、应用配置管理、用户管理、组织管理、资源管理、首页管理等能力；提供服务配置管理，系统运行监控管理、系统备份还原等能力；</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3.支持编码设备接入平台，实现视频预览、录像回放能力；</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4.提供视频设备组织区域、视频设备预览、录像回放等API统一开放能力；</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5.支持按照GB/T 28181第7章控制要求对视频监控资源进行控制操作；</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6.支持记录视频监控资源的查询、实时预览、录像回放、录像下载、云台控制等用户操作日志；</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7.平台支持IPV6网络环境部署，支持IPV6和IPV4混合部署访问；</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8.支持查看系统当前CPU/内存消耗占比，以及当前网络传输情况；</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9.支持用户可以在客户端中记住密码，在下次登录过程中可以直接登录，不需要重新输入密码；</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10.支持下载客户端使用说明书；</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11.支持查看系统名称、系统版本信息以及系统授权有效期。</w:t>
            </w:r>
          </w:p>
        </w:tc>
        <w:tc>
          <w:tcPr>
            <w:tcW w:w="371" w:type="pct"/>
            <w:vMerge w:val="restart"/>
            <w:tcBorders>
              <w:top w:val="nil"/>
              <w:left w:val="single" w:color="auto" w:sz="4" w:space="0"/>
              <w:bottom w:val="single" w:color="000000"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w:t>
            </w:r>
          </w:p>
        </w:tc>
        <w:tc>
          <w:tcPr>
            <w:tcW w:w="371" w:type="pct"/>
            <w:vMerge w:val="restart"/>
            <w:tcBorders>
              <w:top w:val="nil"/>
              <w:left w:val="single" w:color="auto" w:sz="4" w:space="0"/>
              <w:bottom w:val="single" w:color="000000"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项</w:t>
            </w:r>
          </w:p>
        </w:tc>
        <w:tc>
          <w:tcPr>
            <w:tcW w:w="371" w:type="pct"/>
            <w:vMerge w:val="restart"/>
            <w:tcBorders>
              <w:top w:val="nil"/>
              <w:left w:val="single" w:color="auto" w:sz="4" w:space="0"/>
              <w:bottom w:val="single" w:color="000000"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w:t>
            </w:r>
          </w:p>
        </w:tc>
      </w:tr>
      <w:tr>
        <w:tblPrEx>
          <w:tblCellMar>
            <w:top w:w="0" w:type="dxa"/>
            <w:left w:w="108" w:type="dxa"/>
            <w:bottom w:w="0" w:type="dxa"/>
            <w:right w:w="108" w:type="dxa"/>
          </w:tblCellMar>
        </w:tblPrEx>
        <w:trPr>
          <w:trHeight w:val="720" w:hRule="atLeast"/>
        </w:trPr>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480"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二、视频级联网关</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提供视频级联接入能力，基于视频通用标准协议（GB/T28181-2011,GB/T28181-2016）与外域平台互联互通，实现上级平台对下级平台视频资源点位的操作控制，支持下级级联接入和上级级联推送。支持不少于80000路视频对接接入。</w:t>
            </w: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r>
      <w:tr>
        <w:tblPrEx>
          <w:tblCellMar>
            <w:top w:w="0" w:type="dxa"/>
            <w:left w:w="108" w:type="dxa"/>
            <w:bottom w:w="0" w:type="dxa"/>
            <w:right w:w="108" w:type="dxa"/>
          </w:tblCellMar>
        </w:tblPrEx>
        <w:trPr>
          <w:trHeight w:val="983" w:hRule="atLeast"/>
        </w:trPr>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480"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三、视频广场</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1、通过视频广场可以了解平台的视频资源基本情况及分布情况，从而实现快速定位所需要视频资源；</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2、提供地图模式、浏览模式、推荐模式三种模式便于不同角色查看点位概况；</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3、地图模式：可以按照用户角色展示用户有权限的目录树并且可以展示目录树上面每一个区域的点位数量；</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4、浏览模式：搜索出来的点位和区域全部以卡片的形式展示，具备以下操作，例如添加预案，抓拍缩略图；</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5、推荐模式：可以按照用户的收藏习惯和点播量的排序综合推荐用户感兴趣的区域信息；</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6、提供视频预案能力，在查询出点位信息之后，可以将点位批量添加到公有或者私有预案中，便于后期快速调阅查看；</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7、提供视频收藏夹能力，支持点位收藏和分享。</w:t>
            </w: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r>
      <w:tr>
        <w:tblPrEx>
          <w:tblCellMar>
            <w:top w:w="0" w:type="dxa"/>
            <w:left w:w="108" w:type="dxa"/>
            <w:bottom w:w="0" w:type="dxa"/>
            <w:right w:w="108" w:type="dxa"/>
          </w:tblCellMar>
        </w:tblPrEx>
        <w:trPr>
          <w:trHeight w:val="2160" w:hRule="atLeast"/>
        </w:trPr>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480"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四、标签管理</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1、提供自定义标签、场所标签的管理能力；</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2、支持场所标签管理，如企业单位、机关团体、金融机构、教育机构等，平台默认预置了19类场所标签数据；</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3、支持用户按照业务应用场景自定义多种标签，如防洪、安全保障、涵洞等自定义标签，用于标注对应的视频点位等；</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4、支持查看平台内当前用户已关注的标签，以列表的方式展示关注的关联，标签列表字段：标签名称、标签类型（应用场景标签、场景识别标签、自定义标签）、下级标签数量；</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5、支持导出平台内当前用户已关注的标签；</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6、支持取消关注，支持标签名称排序；</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7. 支持过滤条件标签名称、标签类型筛选我关注的标签。</w:t>
            </w: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r>
      <w:tr>
        <w:tblPrEx>
          <w:tblCellMar>
            <w:top w:w="0" w:type="dxa"/>
            <w:left w:w="108" w:type="dxa"/>
            <w:bottom w:w="0" w:type="dxa"/>
            <w:right w:w="108" w:type="dxa"/>
          </w:tblCellMar>
        </w:tblPrEx>
        <w:trPr>
          <w:trHeight w:val="1680" w:hRule="atLeast"/>
        </w:trPr>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480"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五、数据及运维支持服务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1、基础底图数据-天津市-天津市-滨海新区；</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2、提供运维平台基础服务能力，包括运维首页、权限管理、人员管理、故障告警及配置、巡检配置、资源管理以及在线率、录像完好率、视频完好率统计功能等；</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3、支持监控设备运行状态的采集功能，采集指标项包括但不限于在线状态、设备运行信息；支持设备运行状态的统计功能；</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4、数据治理服务，根据滨海应急业务的要求，完成现有平台全部视频的治理工作。</w:t>
            </w: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r>
      <w:tr>
        <w:tblPrEx>
          <w:tblCellMar>
            <w:top w:w="0" w:type="dxa"/>
            <w:left w:w="108" w:type="dxa"/>
            <w:bottom w:w="0" w:type="dxa"/>
            <w:right w:w="108" w:type="dxa"/>
          </w:tblCellMar>
        </w:tblPrEx>
        <w:trPr>
          <w:trHeight w:val="7680" w:hRule="atLeast"/>
        </w:trPr>
        <w:tc>
          <w:tcPr>
            <w:tcW w:w="371" w:type="pct"/>
            <w:vMerge w:val="restart"/>
            <w:tcBorders>
              <w:top w:val="nil"/>
              <w:left w:val="single" w:color="auto" w:sz="4" w:space="0"/>
              <w:bottom w:val="single" w:color="000000"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3</w:t>
            </w:r>
          </w:p>
        </w:tc>
        <w:tc>
          <w:tcPr>
            <w:tcW w:w="480" w:type="pct"/>
            <w:vMerge w:val="restart"/>
            <w:tcBorders>
              <w:top w:val="nil"/>
              <w:left w:val="single" w:color="auto" w:sz="4" w:space="0"/>
              <w:bottom w:val="single" w:color="000000"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融合</w:t>
            </w:r>
          </w:p>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通信</w:t>
            </w:r>
          </w:p>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升级</w:t>
            </w: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一、融合通信基础平台</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1、、支持融合通信部分用户、角色等基础资源进行管理调配；</w:t>
            </w:r>
          </w:p>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2、事件联动，支持自定义事件等级管理；</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3、支持报警预案功能，报警发生时按照预案应对处理；</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4、支持一定时间段内重复报警自动合并，时长规则可配；</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5、支持针对报警事件进行情况确认，并输入确认意见；已确认的报警事件支持补充确认意见；</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6、支持在事件检索界面批量确认报警事件、并输入确认意见；</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7、支持事件联动弹窗录像支持多路录像同步回放；</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8、支持ip电话、固定电话等设备的添加、删除、编辑、批量导入、导出；</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9、根据设备名称或SIP登录账号或通讯号码或设备类型模糊查询；</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10、支持通讯录中节点显示用户总数/在线数、群组节点显示总数、固定联系人节点显示固定联系人总数、SIP设备节点显示SIP设备总数/在线数、对讲设备节点显示对讲设备总数、对讲频道节点显示对讲频道总数；（提供具备CMA、CNAS标识的检测报告证明）</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11、支持在通讯录中添加或取消添加常用联系人，常用联系人单独建立群组，支持快速查找；</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12、支持在通讯录中通过选择用户、固定联系人、对讲设备、对讲频道、视频监控等多类资源，建立临时沟通群组；</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13、支持在通讯录中设置常用群组，常用群组单独建立组织，支持快速查找；</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14、支持在通讯录中创建公共群组，公共群组平台所有用户可见；</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15、支持在通讯录中结合用户、固定联系人、对讲设备、对讲频道、视频监控等多类资源情况，建立多个资源组</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16、支持群组语音通话过程中，成员加入、退出、新增邀请成员，以及加入，退出消息通知；</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17、支持参与音视频通话的成员自主设置静音；</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18、支持群组音视频通话过程中提示当前发言人；</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19、支持一对一或群组间，进行文字、图片、文件、语音消息、视频消息的收发；"</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20、支持通过集群网关背靠背接入对讲设备，接入后支持平台和对讲群组互通，实现组呼；</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21、支持通过PSIP协议接入对讲设备，接入后实现单呼、组呼、地图地位、动态重组等功能；</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22、支持对讲设备的添加、批量导入、编辑、查询、删除；</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23、支持对讲设备对讲等级设置，高等级设备可优先抢占话权；</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24、支持对讲频道的添加、批量导入、编辑、查询、删除；</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25、支持在集群对讲过程中，成员进行话权抢占与话权释放，具备话权的成员进行发言；（提供具备CMA、CNAS标识的检测报告证明）</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26、支持在集群对讲过程中，提示当前发言人；</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27、支持在集群对讲过程中，成员的邀请与退出；</w:t>
            </w:r>
          </w:p>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28、平台账户授权数量不少于500个。</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套</w:t>
            </w:r>
          </w:p>
        </w:tc>
        <w:tc>
          <w:tcPr>
            <w:tcW w:w="37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w:t>
            </w:r>
          </w:p>
        </w:tc>
      </w:tr>
      <w:tr>
        <w:tblPrEx>
          <w:tblCellMar>
            <w:top w:w="0" w:type="dxa"/>
            <w:left w:w="108" w:type="dxa"/>
            <w:bottom w:w="0" w:type="dxa"/>
            <w:right w:w="108" w:type="dxa"/>
          </w:tblCellMar>
        </w:tblPrEx>
        <w:trPr>
          <w:trHeight w:val="5040" w:hRule="atLeast"/>
        </w:trPr>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480"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二、音频调度系统</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1、支持中继网关、短信网关、集群网关、IMS接入网关、音频网关等网关设备的添加、删除、编辑以及模糊查询；</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2、支持结合各类具备音频通话能力的资源建立部门、群组、固定联系人、视频设备等多个通讯群组，支持在通讯群组中单端或多选资源进行一对一或群组音频通话；</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3、支持通讯录中节点显示用户总数/在线数、群组节点显示总数、固定联系人节点显示固定联系人总数、SIP设备节点显示SIP设备总数/在线数、对讲设备节点显示对讲设备总数、对讲频道节点显示对讲频道总数；</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4、支持固定联系人按组织目录结构展示；</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5、支持固定联系人按用户配置权限；</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6、支持音频单呼能力，选择通讯录中的各类型音频资源，一键发起音频单呼；</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7、支持对单个人员的多种联系方式，如移动APP/WEB账户、联系电话等同时呼出，直到该人员通过其中一种联系方式接听后，停止呼叫；（提供具备CMA、CNAS标识的检测报告证明）</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8、支持组呼通知能力，通过选择接入的各类具备音频通话能力的资源或群组，进行群组音频通知，对应资源可接听或自动播放通知内容；</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9、支持点名功能，可选择接入的具备音频通话能力的各类资源各进行点名，可查看每个资源的点名结果，包含点名成功、点名失败；</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10、支持禁言功能，群主对通话成员，进行全体禁言、解除禁言；</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12、支持挂断功能，接收到来电后，可对来电进行挂断；</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13、支持群答功能，支持同一个用户将多个来电，合并成一个通话，由一对一单呼变成群组通话；</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14、支持通话转接功能，可选择将当前通话转接给其他人，并释放掉当前通话；</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15、支持会话合并，管理员可将两个通话组，一键合并为一个通话；</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16、提供3套桌面调度台设备及相关应用。</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套</w:t>
            </w:r>
          </w:p>
        </w:tc>
        <w:tc>
          <w:tcPr>
            <w:tcW w:w="37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w:t>
            </w:r>
          </w:p>
        </w:tc>
      </w:tr>
      <w:tr>
        <w:tblPrEx>
          <w:tblCellMar>
            <w:top w:w="0" w:type="dxa"/>
            <w:left w:w="108" w:type="dxa"/>
            <w:bottom w:w="0" w:type="dxa"/>
            <w:right w:w="108" w:type="dxa"/>
          </w:tblCellMar>
        </w:tblPrEx>
        <w:trPr>
          <w:trHeight w:val="841" w:hRule="atLeast"/>
        </w:trPr>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480"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三、融合通信硬件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1、主机接入量：主机在插入8块 模拟子板时支持128条模拟电话线接入；主机在插入8块数字子板时支持32条E1/T1数字中继线路接入；主机在插入8块集成子板时可支持32路无线集群线路接入；主机在插入8块音频子板时可支持32路音频输入信号和32路音频输出信号接入；主机可支持2块 CPU 板同时工作；需提供带有 CNAS、CMA标识的第三方检测报告复印件证明</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2、网口类型：支持RJ45接口为10/100/1000M自适应以太网接口</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3、电源适应性：电源电压正常工作范围在AC100V~AC220V内</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4、子板热插拔：子板支持热插拔，可在主机正常工作状态下更换子板插槽</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5、主机系统：主机采用嵌入式Linux 系统，内置4核心CPU</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6、泄漏电流试验：I、II类设备工作时的泄漏电流应符合GB16796-2009中表2规定，III 类设备不做泄漏电流试验</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7、 需提供入网许可证</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8、支持主、备SIP注册服务器，多注册SIP注册服务器功能</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9、语音编码格式支持G711A、G711U、G729、G722、G723、iLBC、AMR、SILK（8K/16K）、OPUS（8K/16K）等</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10、各功能子板支持双归属注册、备用路由、备用中继、中继热备等多种容灾方式</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台</w:t>
            </w:r>
          </w:p>
        </w:tc>
        <w:tc>
          <w:tcPr>
            <w:tcW w:w="37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w:t>
            </w:r>
          </w:p>
        </w:tc>
      </w:tr>
      <w:tr>
        <w:tblPrEx>
          <w:tblCellMar>
            <w:top w:w="0" w:type="dxa"/>
            <w:left w:w="108" w:type="dxa"/>
            <w:bottom w:w="0" w:type="dxa"/>
            <w:right w:w="108" w:type="dxa"/>
          </w:tblCellMar>
        </w:tblPrEx>
        <w:trPr>
          <w:trHeight w:val="2160" w:hRule="atLeast"/>
        </w:trPr>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480"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四、数字中继接口子板</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1、数字中继接口子板，RJ45*2个E1接入（60路）；</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2、中继网关实现内部电话与PSTN公网系统或原PBX通信系统互联互通，占用网关机箱一个业务插槽；</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3、数字中继板卡网关位于PSTN网与融合通信IP网络之间，将PRI 信令与SIP 信令进行映射，并实现公用电话交换网的承载通道与IP网媒体流之间的转换,（即实现内部IP等电话与公网手机之间的互通）；</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4、数字子板在电话网侧提供数字中继E1接口，采用ISDN PRI 信令，完成用户呼叫的处理、控制与维护功能；</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 RTP编码：G711A、G711U、G729、G722、G723、iLBC、AMR、SILK（8K/16K）、OPUS（8K/16K）等；</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6、兼容的协议：SIP V1.0/2.0、RFC3261；</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7、DTMF：支持SIP INFO、RFC2833、带内。</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块</w:t>
            </w:r>
          </w:p>
        </w:tc>
        <w:tc>
          <w:tcPr>
            <w:tcW w:w="37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w:t>
            </w:r>
          </w:p>
        </w:tc>
      </w:tr>
      <w:tr>
        <w:tblPrEx>
          <w:tblCellMar>
            <w:top w:w="0" w:type="dxa"/>
            <w:left w:w="108" w:type="dxa"/>
            <w:bottom w:w="0" w:type="dxa"/>
            <w:right w:w="108" w:type="dxa"/>
          </w:tblCellMar>
        </w:tblPrEx>
        <w:trPr>
          <w:trHeight w:val="699" w:hRule="atLeast"/>
        </w:trPr>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480"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五、模拟用户接入子板</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1、数字中继接口子板，RJ45*2个E1接入（60路）；</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2、中继网关实现内部电话与PSTN公网系统或原PBX通信系统互联互通，占用网关机箱一个业务插槽；</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3、数字中继板卡网关位于PSTN网与融合通信IP网络之间，将PRI 信令与SIP 信令进行映射，并实现公用电话交换网的承载通道与IP网媒体流之间的转换,（即实现内部IP等电话与公网手机之间的互通）；</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4、数字子板在电话网侧提供数字中继E1接口，采用ISDN PRI 信令，完成用户呼叫的处理、控制与维护功能；</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 RTP编码：G711A、G711U、G729、G722、G723、iLBC、AMR、SILK（8K/16K）、OPUS（8K/16K）等；</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6、兼容的协议：SIP V1.0/2.0、RFC3261；</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7、DTMF：支持SIP INFO、RFC2833、带内。</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2</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块</w:t>
            </w:r>
          </w:p>
        </w:tc>
        <w:tc>
          <w:tcPr>
            <w:tcW w:w="37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w:t>
            </w:r>
          </w:p>
        </w:tc>
      </w:tr>
      <w:tr>
        <w:tblPrEx>
          <w:tblCellMar>
            <w:top w:w="0" w:type="dxa"/>
            <w:left w:w="108" w:type="dxa"/>
            <w:bottom w:w="0" w:type="dxa"/>
            <w:right w:w="108" w:type="dxa"/>
          </w:tblCellMar>
        </w:tblPrEx>
        <w:trPr>
          <w:trHeight w:val="1920" w:hRule="atLeast"/>
        </w:trPr>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480"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六、音频接入子板</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1、音频接入子板，4路调音台接入；</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2、支持与调音台设备对接，实现IP电话、手机、模拟话机等终端与会议室内话筒、音箱终端的互联互通；</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3、支持电话系统呼叫通过传统广播系统的音箱、功放进行扩声；</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4、麦克风声音通过调音台输入到网关传输扩声到远端电话系统中；</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 容量：单板支持4对非平衡6.35mm 音频输入输出接口；</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 RTP编码：G711A、G711U、G729、G723、AMR、iLBC等；</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7、 兼容的协议：SIP V1.0/2.0、RFC3261。</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块</w:t>
            </w:r>
          </w:p>
        </w:tc>
        <w:tc>
          <w:tcPr>
            <w:tcW w:w="37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w:t>
            </w:r>
          </w:p>
        </w:tc>
      </w:tr>
      <w:tr>
        <w:tblPrEx>
          <w:tblCellMar>
            <w:top w:w="0" w:type="dxa"/>
            <w:left w:w="108" w:type="dxa"/>
            <w:bottom w:w="0" w:type="dxa"/>
            <w:right w:w="108" w:type="dxa"/>
          </w:tblCellMar>
        </w:tblPrEx>
        <w:trPr>
          <w:trHeight w:val="1440" w:hRule="atLeast"/>
        </w:trPr>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480"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七、无线集群子板</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1、无线集群子板，4路无线集群（车载台）接入；</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2、实现与无线集群通信和网络通信的双向语音、PTT等信令交互（即对讲机与其它通讯设备间的对讲通话）；</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3、RTP编码：G711A、G711U、G729、G723、AMR、iLBC等；</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4、车载台：支持MOTO 3688，烽火FHDM8668，海能达MD780，海能达PD780，中兴PM790等；</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5、兼容的协议：SIP V1.0/2.0、RFC3261。</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2</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块</w:t>
            </w:r>
          </w:p>
        </w:tc>
        <w:tc>
          <w:tcPr>
            <w:tcW w:w="37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w:t>
            </w:r>
          </w:p>
        </w:tc>
      </w:tr>
      <w:tr>
        <w:tblPrEx>
          <w:tblCellMar>
            <w:top w:w="0" w:type="dxa"/>
            <w:left w:w="108" w:type="dxa"/>
            <w:bottom w:w="0" w:type="dxa"/>
            <w:right w:w="108" w:type="dxa"/>
          </w:tblCellMar>
        </w:tblPrEx>
        <w:trPr>
          <w:trHeight w:val="2400" w:hRule="atLeast"/>
        </w:trPr>
        <w:tc>
          <w:tcPr>
            <w:tcW w:w="371" w:type="pct"/>
            <w:tcBorders>
              <w:top w:val="nil"/>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4</w:t>
            </w:r>
          </w:p>
        </w:tc>
        <w:tc>
          <w:tcPr>
            <w:tcW w:w="480"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图形</w:t>
            </w:r>
          </w:p>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工作站</w:t>
            </w: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1、CPU：C86架构、单处理器核心数≥8核、单处理器主频≥3.0GHz、三级缓存≥16MB、≥16线程、支持超线程技术</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2、内存：≥16G</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3、硬盘：≥1TB</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4、硬盘类型：固态硬盘</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5、显卡类型：独立显卡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6、显存容量：≥4G</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7、USB接口数量：≥10个</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8、内置光驱：≥1个</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9、显示屏尺寸：≥23.8寸</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25</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台</w:t>
            </w:r>
          </w:p>
        </w:tc>
        <w:tc>
          <w:tcPr>
            <w:tcW w:w="37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w:t>
            </w:r>
          </w:p>
        </w:tc>
      </w:tr>
      <w:tr>
        <w:tblPrEx>
          <w:tblCellMar>
            <w:top w:w="0" w:type="dxa"/>
            <w:left w:w="108" w:type="dxa"/>
            <w:bottom w:w="0" w:type="dxa"/>
            <w:right w:w="108" w:type="dxa"/>
          </w:tblCellMar>
        </w:tblPrEx>
        <w:trPr>
          <w:trHeight w:val="4320" w:hRule="atLeast"/>
        </w:trPr>
        <w:tc>
          <w:tcPr>
            <w:tcW w:w="371" w:type="pct"/>
            <w:vMerge w:val="restart"/>
            <w:tcBorders>
              <w:top w:val="nil"/>
              <w:left w:val="single" w:color="auto" w:sz="4" w:space="0"/>
              <w:bottom w:val="single" w:color="000000"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5</w:t>
            </w:r>
          </w:p>
        </w:tc>
        <w:tc>
          <w:tcPr>
            <w:tcW w:w="480" w:type="pct"/>
            <w:vMerge w:val="restart"/>
            <w:tcBorders>
              <w:top w:val="nil"/>
              <w:left w:val="single" w:color="auto" w:sz="4" w:space="0"/>
              <w:bottom w:val="single" w:color="000000"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安全</w:t>
            </w:r>
          </w:p>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边界</w:t>
            </w: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一、防火墙</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1、★采用国产化操作系统，国产化CPU；标准硬件设备≥1U，双电源，千兆电口≥8个，网络接口扩展槽位≥2个；</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2、整机网络层吞吐量≥10Gbps，整机应用层吞吐量≥8Gbps，整机TCP新建≥8万/秒，整机TCP并发≥600万；</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3、支持应急响应功能，支持自动响应和手动响应两种模式，可以对异常IP以及对应的异常事件进行一键处置；</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4、支持攻击链分析功能，支持以一条攻击事件为线索，以攻击源/目的IP为条件，排查所有相关的攻击事件，进行攻击链还原，有效发现攻击者的所有攻击行为；</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支持地址探测功能，协议类型至少包括（ICMP、TCP、FTP、HTTP、HTTPS、DNS、LDAP、SMTP、POP3、UDP、ARP协议）。支持链路质量设置，包括（抖动阈值、丢包阈值、延迟阈值）。FTP协议探测时，支持输入用户名&amp;密码，验证FTP服务器真实有效性；</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支持策略路由的负载均衡算法选择，负载均衡算法至少包括（轮询、加权轮询、随机、加权随机、源地址哈希、源地址端口哈希、目的地址哈希、优先级、接口最小流量、链路过载保护、源地址目的地址哈希、源地址加权哈希、最优链路带宽负载、最优链路带宽备份、最小延时、最小跳数的16种负载均衡算法）；</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7、★支持IPv6安全规则配置，并支持扩展头选项设置，包含逐跳选项报头、目的选项报头、路由报头、分段报头、认证报头、扩展头数量超出、扩展头乱序、流标签非零；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8、支持针对文件对象进行流量管理，至少支持10类文件对象，如：Movie、Music、Image、Text、Compression、Application、Script、Help、Data、Susceptible；</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9、支持查看详细配置分析数据，支持统计逻辑关系、策略名称、源地址、目的地址、流入安全域、流出安全域、服务、动作进行统计，可对详细配置分析数据进行查询、筛选、打印。</w:t>
            </w:r>
          </w:p>
        </w:tc>
        <w:tc>
          <w:tcPr>
            <w:tcW w:w="371" w:type="pct"/>
            <w:vMerge w:val="restart"/>
            <w:tcBorders>
              <w:top w:val="nil"/>
              <w:left w:val="single" w:color="auto" w:sz="4" w:space="0"/>
              <w:bottom w:val="single" w:color="000000"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2</w:t>
            </w:r>
          </w:p>
        </w:tc>
        <w:tc>
          <w:tcPr>
            <w:tcW w:w="371" w:type="pct"/>
            <w:vMerge w:val="restart"/>
            <w:tcBorders>
              <w:top w:val="nil"/>
              <w:left w:val="single" w:color="auto" w:sz="4" w:space="0"/>
              <w:bottom w:val="single" w:color="000000"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套</w:t>
            </w:r>
          </w:p>
        </w:tc>
        <w:tc>
          <w:tcPr>
            <w:tcW w:w="371" w:type="pct"/>
            <w:vMerge w:val="restart"/>
            <w:tcBorders>
              <w:top w:val="nil"/>
              <w:left w:val="single" w:color="auto" w:sz="4" w:space="0"/>
              <w:bottom w:val="single" w:color="000000"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w:t>
            </w:r>
          </w:p>
        </w:tc>
      </w:tr>
      <w:tr>
        <w:tblPrEx>
          <w:tblCellMar>
            <w:top w:w="0" w:type="dxa"/>
            <w:left w:w="108" w:type="dxa"/>
            <w:bottom w:w="0" w:type="dxa"/>
            <w:right w:w="108" w:type="dxa"/>
          </w:tblCellMar>
        </w:tblPrEx>
        <w:trPr>
          <w:trHeight w:val="3840" w:hRule="atLeast"/>
        </w:trPr>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480"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二、数据安全交换系统</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1、★包含两台独立的硬件设备，两台设备均为2U标准机架式机箱，双电源；均采用国产化CPU,国产化操作系统。</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2、两台独立的硬件设备分别具备：千兆电口≥6个，千兆光口≥4个；</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3、应用层吞吐量≥300Mbps，并发会话≥3000，文件数据处理数≥800个/秒，数据库到数据库交换记录数≥1000条/秒，最大支持服务个数≥30个；</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4、支持下一代互联网IPv6网络环境，且支持IPV6和IPV4之间的互相转换（提供国家权威部门检测报告）</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5、支持共享、客户端、FTP、SFTP、NFS、本地模式、OSS等多种模式的文件交换服务。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6、支持平面文件装载到关系型数据库中；支持文件名、文件格式白名单过滤，深度识别PE可执行文件。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7、支持灵活多样的数据库数据获取方式，如：触发器、奉献、快照日志、同表双向、全表同步、升序增量等。</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支持通过解析数据库日志文件的技术原理，在不同类型的数据库之间进行数据同步。无需在数据库中创建触发器、存储过程、临时表等对象，实现低干扰的数据采集。</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8、支持各种数据库之间的异构交换，如：数据库种类异构、数据库版本异构、数据库字符集异构、数据结构异构等。</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9、支持请求协议转换成xml文件落地交换；支持Webservice、SOAP1.1/1.2、WSDL2.0等多种访问协议。</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10、支持账户防暴力破解功能，账户错误登录次数一旦达到设置阀值上限，则被锁定。账户登录成功后，若在设定时间阀</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11、★支持断点续传保障数据不丢失。</w:t>
            </w: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r>
      <w:tr>
        <w:tblPrEx>
          <w:tblCellMar>
            <w:top w:w="0" w:type="dxa"/>
            <w:left w:w="108" w:type="dxa"/>
            <w:bottom w:w="0" w:type="dxa"/>
            <w:right w:w="108" w:type="dxa"/>
          </w:tblCellMar>
        </w:tblPrEx>
        <w:trPr>
          <w:trHeight w:val="4080" w:hRule="atLeast"/>
        </w:trPr>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480"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三、网闸</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1、★采用国产化操作系统，国产化CPU；标准硬件设备≥1U，单电源；内外网分别具备：千兆电口≥6个，Combo口≥2个；</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UDP吞吐≥200Mbps,HTTP并发≥5万;</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2、内、外网主机分别具备三系统，即系统A、系统B和备份系统。支持在WEB界面上配置启动顺序，在A系统发生故障时，可以切换到B系统；支持将当前运行系统备份；</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3、支持将网口配置成VLAN接口，处理相同vlan ID的数据包。</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4、支持文件格式特征过滤；并能提供具备图形化界面的文件类型判断工具以帮助用户识别不常见文件类型。</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5、支持对外开启WEB服务，供用户登录进行文件上传/下载操作；支持两种文件存储方式，设备本地硬盘或远端samba共享。</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6、数据库同步客户端（非浏览器）支持Windows、Linux等主流平台，均具备图形化管理界面；支持客户端与网闸间的数字证书方式的身份认证；</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7、支持oracle数据库集群访问，同时支持VIP和SCANIP两种模式；支持数据库SQL语句过滤功能；</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8、实现安全的FTP访问，支持对访问用户、访问协议命令、上传下载文件类型等访问过滤控制；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9、支持基于SMTP协议的邮件发送和POP3协议的邮件接收；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10、★内/外网主机系统分别具有独立管理接口，而不是采用低安全的管理方式，如通过业务口管理或通过内网唯一管理接口完成全部管理等。</w:t>
            </w: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r>
      <w:tr>
        <w:tblPrEx>
          <w:tblCellMar>
            <w:top w:w="0" w:type="dxa"/>
            <w:left w:w="108" w:type="dxa"/>
            <w:bottom w:w="0" w:type="dxa"/>
            <w:right w:w="108" w:type="dxa"/>
          </w:tblCellMar>
        </w:tblPrEx>
        <w:trPr>
          <w:trHeight w:val="1440" w:hRule="atLeast"/>
        </w:trPr>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480"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四、产品要求</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1、★上述产品须为同一品牌；</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2、★产品须具备符合GB 42250-2022《信息安全技术 网络安全专用产品安全技术要求》相关标准规范要求，提供由具备资格的机构颁发的证书复印件；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3、为保障信息系统建设和服务能力，产品制造商须获得息系统建设和服务能力证书级别为CS4或以上，同时具备符合GB/T 27922-2011标准的售后服务认证（五星级及以上）；提供有效期内的证书复印件。</w:t>
            </w: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r>
      <w:tr>
        <w:tblPrEx>
          <w:tblCellMar>
            <w:top w:w="0" w:type="dxa"/>
            <w:left w:w="108" w:type="dxa"/>
            <w:bottom w:w="0" w:type="dxa"/>
            <w:right w:w="108" w:type="dxa"/>
          </w:tblCellMar>
        </w:tblPrEx>
        <w:trPr>
          <w:trHeight w:val="6720" w:hRule="atLeast"/>
        </w:trPr>
        <w:tc>
          <w:tcPr>
            <w:tcW w:w="371" w:type="pct"/>
            <w:tcBorders>
              <w:top w:val="nil"/>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6</w:t>
            </w:r>
          </w:p>
        </w:tc>
        <w:tc>
          <w:tcPr>
            <w:tcW w:w="480"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防火</w:t>
            </w:r>
          </w:p>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墙</w:t>
            </w: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1、设备高度≤1U,采用国产化操作系统以及国产化CPU，内存≥16G，板载EMMC系统盘≥32G，固态硬盘≥512G，接口配置MGMT口≥1个、HA口≥1个、千兆电口≥8个、千兆光口≥6个、万兆光口≥2个，双电源,扩展槽位≥2个。</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2、IPSEC VPN吞吐≥30OMbps，IPSEC VPN隧道数≥2000。防火墙吞吐率≥4G，并发连接数≥160万。</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3、支持路由、交换、虚拟线、监听、混合工作模式。</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4、支持RIP、OSPF、BGP4、QinQ（VLAN VPN）、PIM-SM、PIM-DM；支持黑洞路由。（提供截图）</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5、支持策略路由，支持根据入接口、源/目的IP地址、地址范围、协议、角色、应用、选路算法、运营商、探测等多种条件设置策略路由。</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6、支持多种地址转换，支持源/目的NAT（服务器映射）、双向NAT、NoNAT转换方式；支持源IP转换同一性；支持端口块地址转换和EIM地址转换。</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7、支持IPv4 IPSec VPN功能、IPv6 IPSec VPN功能，支持国际、国密1.0、国密1.1认证，支持与共享密钥与数字证书的认证方式，建立网关到网关的加密隧道。支持手工隧道与NAT穿越。</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8、支持SM2、SM3、SM4三种国密算法。</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9、支持AES、DES、3DES、MD5、SHA-1、DH1、DH2、DH5等VPN加密、认证算法，支持3DES、AES128、AES192、AES256、DES的加密算法，支持对隧道内网络流量进行监控展示；</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10、支持IPSEC虚拟路由功能，实现配置基于源地址-目的地址的网段流量进入指定隧道传输；</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支持IPSEC管理服务，可设置管理口开放与基于策略名称、区域、地址、数目的精细控制，实现对经过ipsec的流量做严格限制。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11、支持一体化安全策略配置，可以通过一条策略实现五元组、源MAC、源地区、目的地区、域名、应用、服务、时间、长连接、并发会话、邮件安全、数据过滤、文件过滤、防代理等功能配置,简化用户管理。</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12、支持进行重复对象分析，可以对已配置的部分资源项（地址、地址组、服务、服务组、时间、时间组）进行重复性检测。</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13、支持SIP DDOS防护，采用阀值检查、源/目的限流、源认证方式进行SIP FLOOD攻击防护。（提供截图）</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14、内置邮件安全防护功能，支持邮件过滤、邮箱防暴力破解、邮件收发件人\IP频率检测、邮件黑、白名单检测、匿名发件人检测、收发件人同名检测、非标客户端检测、附件名称检测。</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15、内置数据过滤功能，支持HTTP、FTP、POP3、SMTP、TELNET等协议，可对自定义关键字进行过滤，可对FTP命令和邮件标题、正文、附件、收发件人进行过滤。</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16、支持基于投毒检测、报文格式检测、设置报文最大长度与报文最大TTL的服务端DNS报文检查的；支持DNS NX防御，可设置检测阈值、NX攻击防御。</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2</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台</w:t>
            </w:r>
          </w:p>
        </w:tc>
        <w:tc>
          <w:tcPr>
            <w:tcW w:w="37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w:t>
            </w:r>
          </w:p>
        </w:tc>
      </w:tr>
      <w:tr>
        <w:tblPrEx>
          <w:tblCellMar>
            <w:top w:w="0" w:type="dxa"/>
            <w:left w:w="108" w:type="dxa"/>
            <w:bottom w:w="0" w:type="dxa"/>
            <w:right w:w="108" w:type="dxa"/>
          </w:tblCellMar>
        </w:tblPrEx>
        <w:trPr>
          <w:trHeight w:val="5520" w:hRule="atLeast"/>
        </w:trPr>
        <w:tc>
          <w:tcPr>
            <w:tcW w:w="371" w:type="pct"/>
            <w:tcBorders>
              <w:top w:val="nil"/>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7</w:t>
            </w:r>
          </w:p>
        </w:tc>
        <w:tc>
          <w:tcPr>
            <w:tcW w:w="480"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漏洞</w:t>
            </w:r>
          </w:p>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扫描</w:t>
            </w: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1、设备高度≤1U，采用国产化操作系统以及国产化CPU，接口配置Console口≥1个、千兆电口≥6个、千兆光口≥4个（满配千兆多模光模块）,内存≥16G，系统盘≥16G mSATA，数据盘≥4TB SATA硬盘，扩展槽位≥2个，冗余电源。含规则库升级许可≥1年。</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2、支持无限制IP授权，并发扫描系统扫描任务≥5个，并发扫描IP地址≥80个；支持Web域名授权≥50个，并发扫描web扫描任务≥3个，并发扫描web站点≥3个；基线核查支持资产≥100个，并发基线任务≥4个。</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3、支持磁盘管理功能，能查看和搜索历史扫描信息，选择删除无用的数据信息。</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支持首页全面展示风险分布及趋势图表，包括资产风险值趋势、优先修复漏洞数量趋势、操作系统分类Top5、应用漏洞Top10、主机漏洞风险分布、站点风险值趋势、站点漏洞分布趋势、站点服务分布Top5、站点风险分布等。</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支持扫描系统漏洞数量大于400000种，数据库大于3300种，国产化漏洞大于55000种，云计算平台漏洞大于5700种，大数据组件漏洞大于430种，Web漏洞数量大于7400种。</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系统漏洞库支持多种设备类型，包含打印机类、网络设备类、安全设备类、应用安全类等;其中打印机漏洞包括:惠普、三星、理光、佳能、利盟、东芝、兄弟等;主流安全设备及网络设备漏洞包括:华为、华三、迪普、思科、迈普、飞塔、山石、绿盟、启明星辰等。主流视频监控设备漏洞包括:大华、海康、宇视等。</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6、支持“两高一弱”专项漏洞扫描模板，包括内网高频高危漏洞模板和互联网高频高危漏洞模板。</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7、支持南大通用Gbase，GaussDB，达梦，金仓，优炫，神通，瀚高等国产数据库漏洞扫描。</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8、支持大模型漏洞扫描，包含代码注入、输入验证错误、授权问题、跨站脚本，命令注入等类型，可扫描漏洞数量大于130条。（提供截图）</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9、支持东方通，foxit，wps，永中，数科，用友，景云，北信源，泛微，蓝凌等国产应用软件漏洞扫描。</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10、支持镜像漏洞扫描和配置扫描。</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11、支持设置站点扫描范围，包括：目录扫描、单URL扫描、域名扫描。</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12、支持设置目录扫描范围，包括：扫描所有目录、扫描当前目录、扫描指定目录。</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13、支持配置反连平台扫描无回显漏洞。（提供截图）</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14、支持配置审计功能，支持审计检测对象的配置变更情况。</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台</w:t>
            </w:r>
          </w:p>
        </w:tc>
        <w:tc>
          <w:tcPr>
            <w:tcW w:w="37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w:t>
            </w:r>
          </w:p>
        </w:tc>
      </w:tr>
      <w:tr>
        <w:tblPrEx>
          <w:tblCellMar>
            <w:top w:w="0" w:type="dxa"/>
            <w:left w:w="108" w:type="dxa"/>
            <w:bottom w:w="0" w:type="dxa"/>
            <w:right w:w="108" w:type="dxa"/>
          </w:tblCellMar>
        </w:tblPrEx>
        <w:trPr>
          <w:trHeight w:val="2825" w:hRule="atLeast"/>
        </w:trPr>
        <w:tc>
          <w:tcPr>
            <w:tcW w:w="371" w:type="pct"/>
            <w:tcBorders>
              <w:top w:val="nil"/>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8</w:t>
            </w:r>
          </w:p>
        </w:tc>
        <w:tc>
          <w:tcPr>
            <w:tcW w:w="480"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座机</w:t>
            </w:r>
          </w:p>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卫星</w:t>
            </w:r>
          </w:p>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电话</w:t>
            </w: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1.网络支持：支持卫星话音、短信；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2.卫星网络共享：支持无线热点共享卫星网络，移动终端通过安装app 可进行卫星通话、发送卫星短信，共享接入无线用户不少于 8个；</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3.卫星话音速率：话音1.2kbps/2.4kbps/4kbps；</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4.一年天通应急通信套餐：国内通话时长不少于1500分钟；</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5.具有电信设备进网CTA许可证，并通过中国强制性产品CCC认证（提供有效证明材料）</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6.支持串口RS232数据传输；</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7.显示屏：≥5 英寸显示屏；电容触摸屏，多点触控；分辨率 ≥1280*720；</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8.操作系统：智能操作系统；</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9.手柄话筒：支持自动摘机、挂机检测，实现自动接听和挂断；</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10.实体按键：具备T9按键、报警按键及用于基本功能操作的实体键盘；</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11.报警按键：要求采用醒目红色并具备防止误操作保护措施；</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12.存储单元：运行内存≥2GB RAM，机身存储：≥16GB ROM；</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13.防护等级：至少IP65；</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14.天线类型：全向天线；</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15.馈线：无源天线线缆长度不低于10米，支持有源天线长度不低于50米；</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16.防护等级：至少IP67</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17.防雷、抗震、防盐雾设计；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18.完成楼顶的天线安装及相关线路施工。</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2</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台</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w:t>
            </w:r>
          </w:p>
        </w:tc>
      </w:tr>
      <w:tr>
        <w:tblPrEx>
          <w:tblCellMar>
            <w:top w:w="0" w:type="dxa"/>
            <w:left w:w="108" w:type="dxa"/>
            <w:bottom w:w="0" w:type="dxa"/>
            <w:right w:w="108" w:type="dxa"/>
          </w:tblCellMar>
        </w:tblPrEx>
        <w:trPr>
          <w:trHeight w:val="720" w:hRule="atLeast"/>
        </w:trPr>
        <w:tc>
          <w:tcPr>
            <w:tcW w:w="371" w:type="pct"/>
            <w:tcBorders>
              <w:top w:val="nil"/>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9</w:t>
            </w:r>
          </w:p>
        </w:tc>
        <w:tc>
          <w:tcPr>
            <w:tcW w:w="480"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互联网</w:t>
            </w:r>
          </w:p>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出口</w:t>
            </w: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1、互联网出口1：带宽不小于1000M；</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2、互联网出口2：带宽不小于10M，公网固定IP不少于1个；</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3、使用费：1年</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项</w:t>
            </w:r>
          </w:p>
        </w:tc>
        <w:tc>
          <w:tcPr>
            <w:tcW w:w="37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w:t>
            </w:r>
          </w:p>
        </w:tc>
      </w:tr>
      <w:tr>
        <w:tblPrEx>
          <w:tblCellMar>
            <w:top w:w="0" w:type="dxa"/>
            <w:left w:w="108" w:type="dxa"/>
            <w:bottom w:w="0" w:type="dxa"/>
            <w:right w:w="108" w:type="dxa"/>
          </w:tblCellMar>
        </w:tblPrEx>
        <w:trPr>
          <w:trHeight w:val="5377" w:hRule="atLeast"/>
        </w:trPr>
        <w:tc>
          <w:tcPr>
            <w:tcW w:w="371" w:type="pct"/>
            <w:vMerge w:val="restart"/>
            <w:tcBorders>
              <w:top w:val="nil"/>
              <w:left w:val="single" w:color="auto" w:sz="4" w:space="0"/>
              <w:bottom w:val="single" w:color="000000"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10</w:t>
            </w:r>
          </w:p>
        </w:tc>
        <w:tc>
          <w:tcPr>
            <w:tcW w:w="480" w:type="pct"/>
            <w:vMerge w:val="restart"/>
            <w:tcBorders>
              <w:top w:val="nil"/>
              <w:left w:val="single" w:color="auto" w:sz="4" w:space="0"/>
              <w:bottom w:val="single" w:color="000000"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MCU</w:t>
            </w: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1、整体要求</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 采用国产自主嵌入式操作系统，支持 X86、C86、ARM 平台架构部署；</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 采用K8s容器技术，实现多功能组件模块化设计，提供虚拟化云部署；包含会议管理、设备/用户/分组管理、MCU、注册和呼叫控制管理、防火墙穿越、会议录制/点播、直播、直播推流、互动白板交互、移动软件接入、语音电话接入等多功能服务模块，具备一机实现上述的全面视频通讯应用覆盖；</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 ●支持软件客户端在飞腾、麒麟、鲲鹏、腾锐、龙芯、兆芯等系列国产自主芯片处理器兼容适配；支持软件客户端在麒麟、麒麟信安、统信（UOS）、鸿蒙（HarmonyOS）等国产自主操作系统兼容适配；</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 支持主流的AVC全编全解编码设计机制下，本期支持40个1080P 25/30fps或80个720P 25/30fps视频端口授权许可，支持MCU资源叠加、共享、互备及负载均衡；支持媒体资源动态分配，无需手动修改，1路 1080P 25/30fps等同于2 路 720P 25/30fps；支持不同视频终端以多种视频协议、视频格式、分辨率、帧率和码率参与同一会议，每个软件和硬件视频终端均可独立自由选择不同的分屏观看模式和分屏数量；</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 ●支持与我局现有的多台Polycom、华为MCU实现N+1 MCU资源池备份，当MCU出现网络中断或断电等故障时，无需断会或手动更改配置，系统自动将会议调度在其他备份 MCU，会议在 5 秒钟内自动接管，终端音视频在 10 秒钟内自动恢复；</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 支持注册/呼叫控制和穿越代理服务的双机热备冗余机制，当主服务故障时，备用服务可平滑接管服务，接管过程中会议不受任何影响，用户注册/呼叫控制和穿越代理服务正常，与会终端的音视频信号连续、流畅，无卡顿、花屏和凝固现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(7) 支持 ITU-T H.323、IETF SIP 通信协议标准，会议速率在 64Kbps～8Mbps 之间动态可调；</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(8) 支持内置注册服务实现终端和用户注册管理，支持标准H.323 网守、SIP 服务器实现注册管理；支持终端和用户注册和呼叫控制功能，支持设备的注册鉴权、注册服务、呼叫控制，单机最大可支持 100 万用户注册；支持防火墙穿越及媒体流代理接入服务，提供不少于200个穿越并发许可；支持 20 组 1080P 25/30fps会议同步录制；支持100个并发直播许可；</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(9) 支持在视频会议录制结束后，直接生产 MP4 视频录制文件，可以生成纯音频文件和视频文件；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(10) 支持视频会议录制过程中随时调整针对视频和双流的画面布局，可选择包括二分屏，纯显示辅流，纯显示主流，双流为主、主流为主及品字形等模式切换</w:t>
            </w:r>
          </w:p>
        </w:tc>
        <w:tc>
          <w:tcPr>
            <w:tcW w:w="371" w:type="pct"/>
            <w:vMerge w:val="restart"/>
            <w:tcBorders>
              <w:top w:val="nil"/>
              <w:left w:val="single" w:color="auto" w:sz="4" w:space="0"/>
              <w:bottom w:val="single" w:color="000000"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w:t>
            </w:r>
          </w:p>
        </w:tc>
        <w:tc>
          <w:tcPr>
            <w:tcW w:w="371" w:type="pct"/>
            <w:vMerge w:val="restart"/>
            <w:tcBorders>
              <w:top w:val="nil"/>
              <w:left w:val="single" w:color="auto" w:sz="4" w:space="0"/>
              <w:bottom w:val="single" w:color="000000"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套</w:t>
            </w:r>
          </w:p>
        </w:tc>
        <w:tc>
          <w:tcPr>
            <w:tcW w:w="37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w:t>
            </w:r>
          </w:p>
        </w:tc>
      </w:tr>
      <w:tr>
        <w:tblPrEx>
          <w:tblCellMar>
            <w:top w:w="0" w:type="dxa"/>
            <w:left w:w="108" w:type="dxa"/>
            <w:bottom w:w="0" w:type="dxa"/>
            <w:right w:w="108" w:type="dxa"/>
          </w:tblCellMar>
        </w:tblPrEx>
        <w:trPr>
          <w:trHeight w:val="1680" w:hRule="atLeast"/>
        </w:trPr>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480"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2、音视频要求</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 支持 ITU-T H.261、H.263、H.263+、H.264HP、H.265 视频编解码协议；支持 ITU-T G.711A/μ、G.722、G.728、G.729A、G.722.1、G.722.1C、G.719 等音频编解码协议；支持 ITU-T H.239 和 IETF BFCP 双流协议；</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 支持 4K 25/30fps、1080P 25/30fps、720P 25/30fps，并向下兼容4CIF、CIF、480P、360P、180P 等图像格式；</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 支持 256Kbps 带宽下实现 720P 25/30fps，384Kbps 带宽下实现 1080P 25/30fps，1Mbps 带宽下实现 4K 25/30fps。</w:t>
            </w: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w:t>
            </w:r>
          </w:p>
        </w:tc>
      </w:tr>
      <w:tr>
        <w:tblPrEx>
          <w:tblCellMar>
            <w:top w:w="0" w:type="dxa"/>
            <w:left w:w="108" w:type="dxa"/>
            <w:bottom w:w="0" w:type="dxa"/>
            <w:right w:w="108" w:type="dxa"/>
          </w:tblCellMar>
        </w:tblPrEx>
        <w:trPr>
          <w:trHeight w:val="1691" w:hRule="atLeast"/>
        </w:trPr>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480"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3、会议管控要求</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 支持立即会议、预约会议、固定虚拟会议室（VMR）等多种会议类型；</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 支持会议全局控制功能，实现一键切换主会场/讨论会议模式、全部静音／解除静音、设置字幕/横幅叠加、会议延时、锁定会议、开启会议录制/直播、分屏轮询、添加/删除/呼叫/挂断/会场终端、自动重邀、入会自动静音、允许终端侧解除平台MCU静音、结束会议等；</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 支持分别在 720P 25/30fps、1080P 25/30收发对称的多画面分屏，支持不少于 100 种分屏布局模式，每组会议画面均支持25分屏；</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 支持分屏会议的多种定义类型，为相同分屏、自动分屏和手动指定分屏等分屏观看形式；</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 ●支持会议预监能力，实现对会议进行实时的监控预览(终端接收和发送视频图像和辅流画面)，视频能力不低于 1080p 25/30fps；</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 系统支持终端自动重邀功能，在无人工干预的情况下，对于未上线终端、掉线终端进行自动邀请，重邀次数无限制直至呼叫成功。</w:t>
            </w: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w:t>
            </w:r>
          </w:p>
        </w:tc>
      </w:tr>
      <w:tr>
        <w:tblPrEx>
          <w:tblCellMar>
            <w:top w:w="0" w:type="dxa"/>
            <w:left w:w="108" w:type="dxa"/>
            <w:bottom w:w="0" w:type="dxa"/>
            <w:right w:w="108" w:type="dxa"/>
          </w:tblCellMar>
        </w:tblPrEx>
        <w:trPr>
          <w:trHeight w:val="2400" w:hRule="atLeast"/>
        </w:trPr>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480"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4、网络和安全要求</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 ★支持在 60% 网络丢包的环境下，音频清晰连贯，视频图像清晰流畅、无卡顿、无花屏、无马赛克；支持在 80% 网络丢包的环境下，音频清晰连贯、无卡顿、语义可准确理解。</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 支持 IPv4、IPv6 分别组网通信，支持 IPv4、IPv6 混合组网通信。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 ● 支持 SM2、SM3、SM4 国密加密算法，可同时与支持 AES(128/256 位)加密算法的视频终端实现混合加密会议，且在全编全解模式和全转发模式下，均不额外占用 MCU 资源端口容量。</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 支持双因子认证登录、验证码登录、验证信息提醒。</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 支持密码复杂度设置，可设置密码长度、字母、数字、特殊符号等密码组合的规则，登录错误指定次数后将被锁定。</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 支持对整体系统账户安全、访问控制、安全审计和入侵检测等信息的安全运行状态实时检测。</w:t>
            </w: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w:t>
            </w:r>
          </w:p>
        </w:tc>
      </w:tr>
      <w:tr>
        <w:tblPrEx>
          <w:tblCellMar>
            <w:top w:w="0" w:type="dxa"/>
            <w:left w:w="108" w:type="dxa"/>
            <w:bottom w:w="0" w:type="dxa"/>
            <w:right w:w="108" w:type="dxa"/>
          </w:tblCellMar>
        </w:tblPrEx>
        <w:trPr>
          <w:trHeight w:val="960" w:hRule="atLeast"/>
        </w:trPr>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480"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5、其他要求</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 ●支持和不少于6家异品牌视频终端实现视频和辅流高清互联，主视频流和辅流同时可达到1080p。</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 支持通过 RTMP 协议将视频会议推送至第三方直播平台。</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 支持与第三方签到服务、语音识别服务和DeepSeek集成对接，实现人脸识别自动签到、会议纪要和智能总结。</w:t>
            </w: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vMerge w:val="continue"/>
            <w:tcBorders>
              <w:top w:val="nil"/>
              <w:left w:val="single" w:color="auto" w:sz="4" w:space="0"/>
              <w:bottom w:val="single" w:color="000000" w:sz="4" w:space="0"/>
              <w:right w:val="single" w:color="auto" w:sz="4" w:space="0"/>
            </w:tcBorders>
            <w:vAlign w:val="center"/>
          </w:tcPr>
          <w:p>
            <w:pPr>
              <w:widowControl/>
              <w:jc w:val="left"/>
              <w:rPr>
                <w:rFonts w:hint="eastAsia" w:ascii="宋体" w:hAnsi="宋体" w:eastAsia="宋体" w:cs="宋体"/>
                <w:color w:val="000000"/>
                <w:kern w:val="0"/>
                <w:sz w:val="20"/>
                <w:szCs w:val="20"/>
              </w:rPr>
            </w:pPr>
          </w:p>
        </w:tc>
        <w:tc>
          <w:tcPr>
            <w:tcW w:w="37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w:t>
            </w:r>
          </w:p>
        </w:tc>
      </w:tr>
      <w:tr>
        <w:tblPrEx>
          <w:tblCellMar>
            <w:top w:w="0" w:type="dxa"/>
            <w:left w:w="108" w:type="dxa"/>
            <w:bottom w:w="0" w:type="dxa"/>
            <w:right w:w="108" w:type="dxa"/>
          </w:tblCellMar>
        </w:tblPrEx>
        <w:trPr>
          <w:trHeight w:val="3360" w:hRule="atLeast"/>
        </w:trPr>
        <w:tc>
          <w:tcPr>
            <w:tcW w:w="371" w:type="pct"/>
            <w:tcBorders>
              <w:top w:val="nil"/>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11</w:t>
            </w:r>
          </w:p>
        </w:tc>
        <w:tc>
          <w:tcPr>
            <w:tcW w:w="480"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录播</w:t>
            </w:r>
          </w:p>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服务器</w:t>
            </w: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 录播必须采用国产操作系统、国产CPU。</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 ★主机不少于2个10/100/100Mbps自适应以太网口，1个RS232控制接口（提供具有CNAS和CMA标识的第三方检测机构出具的产品检测报告，加盖厂家公章）。</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 通信协议：ITU-T H.323、SIP BFCP、H.239；视频标准：H.264、H.265。</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 图像分辨率：720P、1080P等；音频标准：G.711、G.722、G.722.1.C、G.719、AAC-LD。</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 网络协议：IPV4、IPv6，设备必须支持IPv6协议（提供具有CNAS和CMA标识的第三方检测机构出具的产品检测报告，加盖厂家公章，要求报告清晰体现支持配置IPV6后访问）。</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 ★录制存储空间不小于2T，硬盘可抽取,方便维修时不会违反信息安全管理制度。</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7. 支持注册到网守。</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8. 支持不低于6-8组组高清视频会议录制。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9. 为保证安全性，支持H.235协议，满足SRTP、TLS、AES加密方式</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10. 支持录播文件加密存储，支持HTML5播放</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11. 支持License方式管理用户许可资源、支持录播资源池方式使用</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12. 支持IPSAN、NAS等网络存储协议</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套</w:t>
            </w:r>
          </w:p>
        </w:tc>
        <w:tc>
          <w:tcPr>
            <w:tcW w:w="37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w:t>
            </w:r>
          </w:p>
        </w:tc>
      </w:tr>
      <w:tr>
        <w:tblPrEx>
          <w:tblCellMar>
            <w:top w:w="0" w:type="dxa"/>
            <w:left w:w="108" w:type="dxa"/>
            <w:bottom w:w="0" w:type="dxa"/>
            <w:right w:w="108" w:type="dxa"/>
          </w:tblCellMar>
        </w:tblPrEx>
        <w:trPr>
          <w:trHeight w:val="5377" w:hRule="atLeast"/>
        </w:trPr>
        <w:tc>
          <w:tcPr>
            <w:tcW w:w="371" w:type="pct"/>
            <w:tcBorders>
              <w:top w:val="nil"/>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12</w:t>
            </w:r>
          </w:p>
        </w:tc>
        <w:tc>
          <w:tcPr>
            <w:tcW w:w="480"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视频</w:t>
            </w:r>
          </w:p>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会议</w:t>
            </w:r>
          </w:p>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终端</w:t>
            </w: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 ★采用国产自主嵌入式(非 Windows)操作系统，采用标准机架式分体式（非PC架构）结构设计，摄像头与主机分离部署。</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 支持ITU-T H.323、IETF SIP通信协议标准。</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 终端呼叫速率支持64Kbps-8Mbps。</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 支持H.263、H.264、H.264HP、H.265等视频编解码协议。</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 支持1080P 50/60fps、1080P 25/30fps、720P 50/60fps、720P 25/30fps、4CIF、CIF、576P、360P、180P等图像格式。</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 支持ITU-T G.711 A/µ、G.722、G.728、G.729A、G.722.1、G.722.1C、G.719等音频编解码协议；支持高清宽带音频编解码算法，频率为20KHz，最大采样率为48K。</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7. 支持H.239、BFCP辅流协议，终端发送和接收1080P辅流能力。</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8. 支持 256Kbps 带宽下实现 720P 25/30fps，384Kbps 带宽下实现 1080P 25/30fps。</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9. 支持在 H.264/H.264HP/H.265会议下，主流在发送和接收达到 1080P 25/30fps 情况下，辅流发送和接收同时可达到 1080P 25/30fps 双路对称静态和动态双流。</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10. ★支持在 60%网络丢包的环境下，音频清晰连贯，视频图像清晰流畅、无卡顿、无花屏、无马赛克；支持在80%网络丢包的环境下，音频清晰连贯、无卡顿、语义可准确理解。</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11. 全向麦克风最大拾音距离10米，支持最大4级全向麦克风级联。</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12. 视频输入接口：支持 2 个 HDMI、1 个 IP 以太网接口；视频输出接口：支持 2 路 HDMI 接口；音频输入接口支持≥ 2 个 HDMI 接口、1 个卡侬（XLR 馈电）接口、1 个 TRS（6.35mm/6.5mm）接口、2 个 RCA 接口、1个全向麦克风接口；音频输出接口支持≥ 2 个 HDMI 接口、2 个 RCA 接口。</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13. 支持 2 个 10M/100M/1000M 自适应网络传输接口。</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14. 支持摄像头通过单根网线连接终端，实现传输视频信号、控制信号和摄像头供电(POE)。无需借助额外设备，1080P 25/30fps 或1080P 50/60fps 高清信号最大传输距离不少于 100 米。</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15. 支持允许会管和 MCU 平台自行解除终端侧静音功能，支持允许终端侧自行解除会管和 MCU 平台静音功能。</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16. 支持双屏镜像显示模式，主副输出显示相同画面。</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17. 摄像机要求：12倍光学变焦，1/2.8 英寸 CMOS 图像传感器，207 万有效像素 16:9，支持1080P 60/50/30/25fps、720P 60/50fps。</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18. ★支持和不少于6家异品牌视频终端实现视频和辅流高清互联，主视频流和辅流同时可达到1080p。</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2</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台</w:t>
            </w:r>
          </w:p>
        </w:tc>
        <w:tc>
          <w:tcPr>
            <w:tcW w:w="37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w:t>
            </w:r>
          </w:p>
        </w:tc>
      </w:tr>
      <w:tr>
        <w:tblPrEx>
          <w:tblCellMar>
            <w:top w:w="0" w:type="dxa"/>
            <w:left w:w="108" w:type="dxa"/>
            <w:bottom w:w="0" w:type="dxa"/>
            <w:right w:w="108" w:type="dxa"/>
          </w:tblCellMar>
        </w:tblPrEx>
        <w:trPr>
          <w:trHeight w:val="1920" w:hRule="atLeast"/>
        </w:trPr>
        <w:tc>
          <w:tcPr>
            <w:tcW w:w="371" w:type="pct"/>
            <w:tcBorders>
              <w:top w:val="nil"/>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13</w:t>
            </w:r>
          </w:p>
        </w:tc>
        <w:tc>
          <w:tcPr>
            <w:tcW w:w="480"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调音台</w:t>
            </w:r>
          </w:p>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接口箱</w:t>
            </w: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1、★≥16路MIC/Line输入；</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2、★≥8路输出；</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3、支持≥2个网口与调音台网线连接用于扩展调音台接口；</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4、使用网线与调音台连接，线缆长度≥80m；</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5、输入阻抗：≥7KΩ；</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6、动态范围：≥112dB；</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7、失真度：≤0.0003%；</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8、信噪比：XLR≥92db,TRS≥82db；</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2</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套</w:t>
            </w:r>
          </w:p>
        </w:tc>
        <w:tc>
          <w:tcPr>
            <w:tcW w:w="37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w:t>
            </w:r>
          </w:p>
        </w:tc>
      </w:tr>
      <w:tr>
        <w:tblPrEx>
          <w:tblCellMar>
            <w:top w:w="0" w:type="dxa"/>
            <w:left w:w="108" w:type="dxa"/>
            <w:bottom w:w="0" w:type="dxa"/>
            <w:right w:w="108" w:type="dxa"/>
          </w:tblCellMar>
        </w:tblPrEx>
        <w:trPr>
          <w:trHeight w:val="2400" w:hRule="atLeast"/>
        </w:trPr>
        <w:tc>
          <w:tcPr>
            <w:tcW w:w="371" w:type="pct"/>
            <w:tcBorders>
              <w:top w:val="nil"/>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14</w:t>
            </w:r>
          </w:p>
        </w:tc>
        <w:tc>
          <w:tcPr>
            <w:tcW w:w="480"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音视频</w:t>
            </w:r>
          </w:p>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中控</w:t>
            </w:r>
          </w:p>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主机</w:t>
            </w: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1、同时支持本地及云平台在线编程，无需安装软件，直接通过Chrome浏览器访问智能网关IP地址或云平台；</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2、支持远程在线调试、远程在线诊断、远程在线编程，极大地节省人力差旅成本，可选由专业人士在线完成编程；</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3、人工智能神经网络图控制算法，支持任意复杂度控制运行图谱编织，实现自由设计、自主意志、闭环控制；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4、神经网络图式控制运行模式，掌握全局运行状态，支持受控设备封装可有效检视各受控设备实时运行状态；</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5、控制模块编组成宏继承分享，支持用户自建功能模块，可采用最流行的网络脚本语言JavaScript编写；</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6、前面板前面板带液晶显示屏和红外学习窗</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7、★按键前面板不少于4个可编程按键</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8、采用i.MX ARM处理器，主频≥792MHz，Memory：≥512M DDR3 RAM，Flash：≥8G EMMC</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9、★≥8路RELAY，≥8路I/O，≥4路DB9 COM口，≥4路7PIN COM口</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10、要求包含主机可编程逻辑软件、平板可编程控制软件，现场完成中控界面的编程。</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套</w:t>
            </w:r>
          </w:p>
        </w:tc>
        <w:tc>
          <w:tcPr>
            <w:tcW w:w="37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w:t>
            </w:r>
          </w:p>
        </w:tc>
      </w:tr>
      <w:tr>
        <w:tblPrEx>
          <w:tblCellMar>
            <w:top w:w="0" w:type="dxa"/>
            <w:left w:w="108" w:type="dxa"/>
            <w:bottom w:w="0" w:type="dxa"/>
            <w:right w:w="108" w:type="dxa"/>
          </w:tblCellMar>
        </w:tblPrEx>
        <w:trPr>
          <w:trHeight w:val="5519" w:hRule="atLeast"/>
        </w:trPr>
        <w:tc>
          <w:tcPr>
            <w:tcW w:w="371" w:type="pct"/>
            <w:tcBorders>
              <w:top w:val="nil"/>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15</w:t>
            </w:r>
          </w:p>
        </w:tc>
        <w:tc>
          <w:tcPr>
            <w:tcW w:w="480"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会议</w:t>
            </w:r>
          </w:p>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录播</w:t>
            </w:r>
          </w:p>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系统</w:t>
            </w:r>
          </w:p>
        </w:tc>
        <w:tc>
          <w:tcPr>
            <w:tcW w:w="3035" w:type="pct"/>
            <w:tcBorders>
              <w:top w:val="nil"/>
              <w:left w:val="nil"/>
              <w:bottom w:val="single" w:color="auto" w:sz="4" w:space="0"/>
              <w:right w:val="single" w:color="auto" w:sz="4" w:space="0"/>
            </w:tcBorders>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1、终端采用高度集成设计，单机可实现音视频采集、音视频编解码、音视频处理、视频录制、视频点播、视频直播、视频导播、远程互动、运维管理控制等功能</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2、终端为标准1U机架式设备，便于安装部署，录播主机为非壁挂式架构，不会产生视频、强光源变化从而影响学生课堂专注力</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3、★为保证系统稳定性，主机采用嵌入式架构设计，ARM多核处理器，采用国产自主嵌入式操作系统，非Windows系统、非Android系统，支持7*24小时工作</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4、为保证音视频效果，降低录播课室环境噪声，同时保证终端主机系统正常散热，终端采用金属机箱、无风扇散热设计，噪声&lt;26dB</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5、终端内置≥3.2寸液晶屏，显示系统硬盘空间、版本号和录制状态、IP地址等设备信息</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6、终端机身具备功能快捷按键，可通过面板按键快速查看IP、录播、直播状态，控制开启/结束录制、直播等</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7、终端视频支持 H.264、H.265视频编解码标准，视频编码码率可调，支持512kbps~20Mbps，视频分辨率可调，支持640*360~3840*2160</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8、终端音频采用高品质 AAC 音频编码技术，采样率达 48KHz，实现声音的真实还原</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9、★支持≥8路HDMI输入接口，输入接口最大可支持4K分辨率，并向下兼容1080、720等常规分辨率</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10、★支持≥5路高清视频输出，并具备音频输出能力，其中HDMI信号输出≥4路，UVC视频输出1路</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11、支持多样式声音输入，其中HDMI音频输入≥1路,线路立体声音频输入≥3路，UAC音频输入1路</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12、支持≥8路声音输出，其中HDMI音频输出≥4路,线路立体声音频输出≥3路，UAC音频输出1路</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13、支持≥2路10/100/1000M自适应RJ45接口</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14、支持≥5路RS232接口，可外接中控主机、导播键盘、控制面板等设备</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15、支持≥8个USB接口，其中USB Type-A接口≥5个，USB Type-B接口≥1个，USB Type-C接口≥2个</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16、终端可选配内置互动功能，无需增加云端/本地互动服务器，终端即可实现十方远程互动，同时可支持外扩自主互动</w:t>
            </w:r>
          </w:p>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17、平台服务器实现大规模互动场景，最大可扩建至10000方以上的应用场景</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18、终端支持1路4K电影画面单独录制或者8路1080资源画面+1路电影画面同时录制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19、终端内置HID控制，可实现在终端上直接操作所接入终端的电脑</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20、终端支持标准USB音视频信号输出，支持UVC+UAC协议，通过终端的USB Type-B接口可实现图像和声音同步输出及声音输入，免驱动，即插即用，可无缝兼容主流系统及主流视频会议软件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21、终端支持多种类型视频信号接入，支持标准网络视频信号接入、高速数字信号接入</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22、终端具备多种开关机方式，包括上电自启动、定时启动、常规启动等方式</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23、终端具备Reset复位键，支持硬件复位功能，可通过Reset复位键实现整机系统恢复</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24、终端内置高速稳定2TB硬盘，用于录制文件本地存储数据，支持存储空间扩展</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25、要求包含一台11.6寸高清液晶触控屏，三台高清摄像机，高清摄像机要求具备≥20倍光学变倍镜头，支持≥16倍数字变焦；采用1/2.8英寸、≥207万有效像素的高品质HD CMOS传感器</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套</w:t>
            </w:r>
          </w:p>
        </w:tc>
        <w:tc>
          <w:tcPr>
            <w:tcW w:w="37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w:t>
            </w:r>
          </w:p>
        </w:tc>
      </w:tr>
      <w:tr>
        <w:tblPrEx>
          <w:tblCellMar>
            <w:top w:w="0" w:type="dxa"/>
            <w:left w:w="108" w:type="dxa"/>
            <w:bottom w:w="0" w:type="dxa"/>
            <w:right w:w="108" w:type="dxa"/>
          </w:tblCellMar>
        </w:tblPrEx>
        <w:trPr>
          <w:trHeight w:val="1680" w:hRule="atLeast"/>
        </w:trPr>
        <w:tc>
          <w:tcPr>
            <w:tcW w:w="371" w:type="pct"/>
            <w:tcBorders>
              <w:top w:val="nil"/>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16</w:t>
            </w:r>
          </w:p>
        </w:tc>
        <w:tc>
          <w:tcPr>
            <w:tcW w:w="480"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5G</w:t>
            </w:r>
          </w:p>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路由器</w:t>
            </w: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1、工业级车载 5G 多模路由器，支持 5G NSA/SA 双模组网，兼容移动、联通、电信三大运营商全网通频段；</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2、处理器：双核及以上，主频≥700MHz；</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3、内存/存储 DRAM≥256MB，Flash≥512MB；</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4、支持双 5G 模组双待；</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5、不少于4个千兆以太网RJ45口；</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6、支持120km/h 及以上车速下的5G小区无缝切换，业务中断时间≤50ms；</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7、支持 IPSec、L2TP、GRE等VPN协议。</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2</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台</w:t>
            </w:r>
          </w:p>
        </w:tc>
        <w:tc>
          <w:tcPr>
            <w:tcW w:w="37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w:t>
            </w:r>
          </w:p>
        </w:tc>
      </w:tr>
      <w:tr>
        <w:tblPrEx>
          <w:tblCellMar>
            <w:top w:w="0" w:type="dxa"/>
            <w:left w:w="108" w:type="dxa"/>
            <w:bottom w:w="0" w:type="dxa"/>
            <w:right w:w="108" w:type="dxa"/>
          </w:tblCellMar>
        </w:tblPrEx>
        <w:trPr>
          <w:trHeight w:val="720" w:hRule="atLeast"/>
        </w:trPr>
        <w:tc>
          <w:tcPr>
            <w:tcW w:w="371" w:type="pct"/>
            <w:tcBorders>
              <w:top w:val="nil"/>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17</w:t>
            </w:r>
          </w:p>
        </w:tc>
        <w:tc>
          <w:tcPr>
            <w:tcW w:w="480"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物联网</w:t>
            </w:r>
          </w:p>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专线</w:t>
            </w: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1、★1条物联网专线链路，带宽不小于10M；</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2、★6张物联网卡，单卡年流量不小于360G，超流量后须满足在不断网的前提下继续使用；</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3、费用包含一年使用费。</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项</w:t>
            </w:r>
          </w:p>
        </w:tc>
        <w:tc>
          <w:tcPr>
            <w:tcW w:w="37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w:t>
            </w:r>
          </w:p>
        </w:tc>
      </w:tr>
      <w:tr>
        <w:tblPrEx>
          <w:tblCellMar>
            <w:top w:w="0" w:type="dxa"/>
            <w:left w:w="108" w:type="dxa"/>
            <w:bottom w:w="0" w:type="dxa"/>
            <w:right w:w="108" w:type="dxa"/>
          </w:tblCellMar>
        </w:tblPrEx>
        <w:trPr>
          <w:trHeight w:val="960" w:hRule="atLeast"/>
        </w:trPr>
        <w:tc>
          <w:tcPr>
            <w:tcW w:w="371" w:type="pct"/>
            <w:tcBorders>
              <w:top w:val="nil"/>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18</w:t>
            </w:r>
          </w:p>
        </w:tc>
        <w:tc>
          <w:tcPr>
            <w:tcW w:w="480"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kern w:val="0"/>
                <w:sz w:val="20"/>
                <w:szCs w:val="20"/>
              </w:rPr>
            </w:pPr>
            <w:r>
              <w:rPr>
                <w:rFonts w:hint="eastAsia" w:ascii="宋体" w:hAnsi="宋体" w:eastAsia="宋体" w:cs="宋体"/>
                <w:kern w:val="0"/>
                <w:sz w:val="20"/>
                <w:szCs w:val="20"/>
              </w:rPr>
              <w:t>生产经营单位生产安全事故应急预案网上备案系统</w:t>
            </w:r>
          </w:p>
        </w:tc>
        <w:tc>
          <w:tcPr>
            <w:tcW w:w="3035" w:type="pct"/>
            <w:tcBorders>
              <w:top w:val="nil"/>
              <w:left w:val="nil"/>
              <w:bottom w:val="single" w:color="auto" w:sz="4" w:space="0"/>
              <w:right w:val="single" w:color="auto" w:sz="4" w:space="0"/>
            </w:tcBorders>
            <w:vAlign w:val="center"/>
          </w:tcPr>
          <w:p>
            <w:pPr>
              <w:widowControl/>
              <w:jc w:val="left"/>
              <w:rPr>
                <w:rFonts w:hint="eastAsia" w:ascii="宋体" w:hAnsi="宋体" w:eastAsia="宋体" w:cs="宋体"/>
                <w:kern w:val="0"/>
                <w:sz w:val="20"/>
                <w:szCs w:val="20"/>
              </w:rPr>
            </w:pPr>
            <w:r>
              <w:rPr>
                <w:rFonts w:hint="eastAsia" w:ascii="宋体" w:hAnsi="宋体" w:eastAsia="宋体" w:cs="宋体"/>
                <w:kern w:val="0"/>
                <w:sz w:val="20"/>
                <w:szCs w:val="20"/>
              </w:rPr>
              <w:t>1、实现区应急局备案职责范围内生产经营单位生产安全事故应急预案网上备案；</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2、企业可在线上提交，区应急局线上受理；</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3、为备案企业出具加盖电子印章的应急预案电子备案登记表；</w:t>
            </w:r>
            <w:bookmarkStart w:id="0" w:name="_GoBack"/>
            <w:bookmarkEnd w:id="0"/>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371" w:type="pct"/>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kern w:val="0"/>
                <w:sz w:val="20"/>
                <w:szCs w:val="20"/>
              </w:rPr>
            </w:pPr>
            <w:r>
              <w:rPr>
                <w:rFonts w:hint="eastAsia" w:ascii="宋体" w:hAnsi="宋体" w:eastAsia="宋体" w:cs="宋体"/>
                <w:kern w:val="0"/>
                <w:sz w:val="20"/>
                <w:szCs w:val="20"/>
              </w:rPr>
              <w:t>项</w:t>
            </w:r>
          </w:p>
        </w:tc>
        <w:tc>
          <w:tcPr>
            <w:tcW w:w="37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kern w:val="0"/>
                <w:sz w:val="20"/>
                <w:szCs w:val="20"/>
              </w:rPr>
            </w:pPr>
            <w:r>
              <w:rPr>
                <w:rFonts w:hint="eastAsia" w:ascii="宋体" w:hAnsi="宋体" w:eastAsia="宋体" w:cs="宋体"/>
                <w:kern w:val="0"/>
                <w:sz w:val="20"/>
                <w:szCs w:val="20"/>
              </w:rPr>
              <w:t>　</w:t>
            </w:r>
          </w:p>
        </w:tc>
      </w:tr>
    </w:tbl>
    <w:p>
      <w:pPr>
        <w:jc w:val="left"/>
        <w:rPr>
          <w:rFonts w:hint="eastAsia" w:ascii="仿宋" w:hAnsi="仿宋" w:eastAsia="仿宋"/>
          <w:sz w:val="28"/>
          <w:szCs w:val="28"/>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等线">
    <w:altName w:val="Arial Unicode MS"/>
    <w:panose1 w:val="02010600030101010101"/>
    <w:charset w:val="86"/>
    <w:family w:val="auto"/>
    <w:pitch w:val="default"/>
    <w:sig w:usb0="00000000" w:usb1="00000000" w:usb2="00000016" w:usb3="00000000" w:csb0="0004000F"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00"/>
    <w:family w:val="auto"/>
    <w:pitch w:val="default"/>
    <w:sig w:usb0="00000000" w:usb1="00000000" w:usb2="00000000" w:usb3="00000000" w:csb0="00000000" w:csb1="00000000"/>
  </w:font>
  <w:font w:name="等线 Light">
    <w:altName w:val="宋体"/>
    <w:panose1 w:val="02010600030101010101"/>
    <w:charset w:val="86"/>
    <w:family w:val="auto"/>
    <w:pitch w:val="default"/>
    <w:sig w:usb0="00000000" w:usb1="00000000" w:usb2="00000016" w:usb3="00000000" w:csb0="0004000F"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微软简标宋">
    <w:panose1 w:val="00000000000000000000"/>
    <w:charset w:val="00"/>
    <w:family w:val="auto"/>
    <w:pitch w:val="default"/>
    <w:sig w:usb0="00000000" w:usb1="00000000" w:usb2="00000000" w:usb3="00000000" w:csb0="00000000" w:csb1="00000000"/>
  </w:font>
  <w:font w:name="等线 Light">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35384569"/>
      <w:docPartObj>
        <w:docPartGallery w:val="autotext"/>
      </w:docPartObj>
    </w:sdtPr>
    <w:sdtContent>
      <w:p>
        <w:pPr>
          <w:pStyle w:val="12"/>
          <w:jc w:val="center"/>
          <w:rPr>
            <w:rFonts w:hint="eastAsia"/>
          </w:rPr>
        </w:pPr>
        <w:r>
          <w:fldChar w:fldCharType="begin"/>
        </w:r>
        <w:r>
          <w:instrText xml:space="preserve">PAGE   \* MERGEFORMAT</w:instrText>
        </w:r>
        <w:r>
          <w:fldChar w:fldCharType="separate"/>
        </w:r>
        <w:r>
          <w:rPr>
            <w:lang w:val="zh-CN"/>
          </w:rPr>
          <w:t>2</w:t>
        </w:r>
        <w:r>
          <w:fldChar w:fldCharType="end"/>
        </w:r>
      </w:p>
    </w:sdtContent>
  </w:sdt>
  <w:p>
    <w:pPr>
      <w:pStyle w:val="12"/>
      <w:rPr>
        <w:rFonts w:hint="eastAsia"/>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true"/>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4130"/>
    <w:rsid w:val="000D441F"/>
    <w:rsid w:val="00137890"/>
    <w:rsid w:val="002B4130"/>
    <w:rsid w:val="0038240E"/>
    <w:rsid w:val="003F5F8D"/>
    <w:rsid w:val="006206D3"/>
    <w:rsid w:val="007475F2"/>
    <w:rsid w:val="008D3638"/>
    <w:rsid w:val="00997799"/>
    <w:rsid w:val="009F2CD9"/>
    <w:rsid w:val="00A8351F"/>
    <w:rsid w:val="00AA62EB"/>
    <w:rsid w:val="00C860B1"/>
    <w:rsid w:val="00CF383F"/>
    <w:rsid w:val="00DD0FD2"/>
    <w:rsid w:val="00E4609B"/>
    <w:rsid w:val="00E95A36"/>
    <w:rsid w:val="00F51C4D"/>
    <w:rsid w:val="00F97682"/>
    <w:rsid w:val="60F7E21C"/>
    <w:rsid w:val="6D3544D2"/>
    <w:rsid w:val="FFEB0B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8"/>
    <w:qFormat/>
    <w:uiPriority w:val="9"/>
    <w:pPr>
      <w:keepNext/>
      <w:keepLines/>
      <w:spacing w:before="480" w:after="80"/>
      <w:outlineLvl w:val="0"/>
    </w:pPr>
    <w:rPr>
      <w:rFonts w:asciiTheme="majorHAnsi" w:hAnsiTheme="majorHAnsi" w:eastAsiaTheme="majorEastAsia" w:cstheme="majorBidi"/>
      <w:color w:val="2F5597" w:themeColor="accent1" w:themeShade="BF"/>
      <w:sz w:val="48"/>
      <w:szCs w:val="48"/>
    </w:rPr>
  </w:style>
  <w:style w:type="paragraph" w:styleId="3">
    <w:name w:val="heading 2"/>
    <w:basedOn w:val="1"/>
    <w:next w:val="1"/>
    <w:link w:val="19"/>
    <w:semiHidden/>
    <w:unhideWhenUsed/>
    <w:qFormat/>
    <w:uiPriority w:val="9"/>
    <w:pPr>
      <w:keepNext/>
      <w:keepLines/>
      <w:spacing w:before="160" w:after="80"/>
      <w:outlineLvl w:val="1"/>
    </w:pPr>
    <w:rPr>
      <w:rFonts w:asciiTheme="majorHAnsi" w:hAnsiTheme="majorHAnsi" w:eastAsiaTheme="majorEastAsia" w:cstheme="majorBidi"/>
      <w:color w:val="2F5597" w:themeColor="accent1" w:themeShade="BF"/>
      <w:sz w:val="40"/>
      <w:szCs w:val="40"/>
    </w:rPr>
  </w:style>
  <w:style w:type="paragraph" w:styleId="4">
    <w:name w:val="heading 3"/>
    <w:basedOn w:val="1"/>
    <w:next w:val="1"/>
    <w:link w:val="20"/>
    <w:semiHidden/>
    <w:unhideWhenUsed/>
    <w:qFormat/>
    <w:uiPriority w:val="9"/>
    <w:pPr>
      <w:keepNext/>
      <w:keepLines/>
      <w:spacing w:before="160" w:after="80"/>
      <w:outlineLvl w:val="2"/>
    </w:pPr>
    <w:rPr>
      <w:rFonts w:asciiTheme="majorHAnsi" w:hAnsiTheme="majorHAnsi" w:eastAsiaTheme="majorEastAsia" w:cstheme="majorBidi"/>
      <w:color w:val="2F5597" w:themeColor="accent1" w:themeShade="BF"/>
      <w:sz w:val="32"/>
      <w:szCs w:val="32"/>
    </w:rPr>
  </w:style>
  <w:style w:type="paragraph" w:styleId="5">
    <w:name w:val="heading 4"/>
    <w:basedOn w:val="1"/>
    <w:next w:val="1"/>
    <w:link w:val="21"/>
    <w:semiHidden/>
    <w:unhideWhenUsed/>
    <w:qFormat/>
    <w:uiPriority w:val="9"/>
    <w:pPr>
      <w:keepNext/>
      <w:keepLines/>
      <w:spacing w:before="80" w:after="40"/>
      <w:outlineLvl w:val="3"/>
    </w:pPr>
    <w:rPr>
      <w:rFonts w:cstheme="majorBidi"/>
      <w:color w:val="2F5597" w:themeColor="accent1" w:themeShade="BF"/>
      <w:sz w:val="28"/>
      <w:szCs w:val="28"/>
    </w:rPr>
  </w:style>
  <w:style w:type="paragraph" w:styleId="6">
    <w:name w:val="heading 5"/>
    <w:basedOn w:val="1"/>
    <w:next w:val="1"/>
    <w:link w:val="22"/>
    <w:semiHidden/>
    <w:unhideWhenUsed/>
    <w:qFormat/>
    <w:uiPriority w:val="9"/>
    <w:pPr>
      <w:keepNext/>
      <w:keepLines/>
      <w:spacing w:before="80" w:after="40"/>
      <w:outlineLvl w:val="4"/>
    </w:pPr>
    <w:rPr>
      <w:rFonts w:cstheme="majorBidi"/>
      <w:color w:val="2F5597" w:themeColor="accent1" w:themeShade="BF"/>
      <w:sz w:val="24"/>
      <w:szCs w:val="24"/>
    </w:rPr>
  </w:style>
  <w:style w:type="paragraph" w:styleId="7">
    <w:name w:val="heading 6"/>
    <w:basedOn w:val="1"/>
    <w:next w:val="1"/>
    <w:link w:val="23"/>
    <w:semiHidden/>
    <w:unhideWhenUsed/>
    <w:qFormat/>
    <w:uiPriority w:val="9"/>
    <w:pPr>
      <w:keepNext/>
      <w:keepLines/>
      <w:spacing w:before="40"/>
      <w:outlineLvl w:val="5"/>
    </w:pPr>
    <w:rPr>
      <w:rFonts w:cstheme="majorBidi"/>
      <w:b/>
      <w:bCs/>
      <w:color w:val="2F5597" w:themeColor="accent1" w:themeShade="BF"/>
    </w:rPr>
  </w:style>
  <w:style w:type="paragraph" w:styleId="8">
    <w:name w:val="heading 7"/>
    <w:basedOn w:val="1"/>
    <w:next w:val="1"/>
    <w:link w:val="24"/>
    <w:semiHidden/>
    <w:unhideWhenUsed/>
    <w:qFormat/>
    <w:uiPriority w:val="9"/>
    <w:pPr>
      <w:keepNext/>
      <w:keepLines/>
      <w:spacing w:before="4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5"/>
    <w:semiHidden/>
    <w:unhideWhenUsed/>
    <w:qFormat/>
    <w:uiPriority w:val="9"/>
    <w:pPr>
      <w:keepNext/>
      <w:keepLines/>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26"/>
    <w:semiHidden/>
    <w:unhideWhenUsed/>
    <w:qFormat/>
    <w:uiPriority w:val="9"/>
    <w:pPr>
      <w:keepNext/>
      <w:keepLines/>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17">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11">
    <w:name w:val="Body Text"/>
    <w:basedOn w:val="1"/>
    <w:next w:val="1"/>
    <w:link w:val="36"/>
    <w:qFormat/>
    <w:uiPriority w:val="0"/>
    <w:pPr>
      <w:spacing w:after="120"/>
    </w:pPr>
    <w:rPr>
      <w:rFonts w:ascii="等线" w:hAnsi="Calibri" w:eastAsia="等线" w:cs="Times New Roman"/>
    </w:rPr>
  </w:style>
  <w:style w:type="paragraph" w:styleId="12">
    <w:name w:val="footer"/>
    <w:basedOn w:val="1"/>
    <w:link w:val="38"/>
    <w:unhideWhenUsed/>
    <w:qFormat/>
    <w:uiPriority w:val="99"/>
    <w:pPr>
      <w:tabs>
        <w:tab w:val="center" w:pos="4153"/>
        <w:tab w:val="right" w:pos="8306"/>
      </w:tabs>
      <w:snapToGrid w:val="0"/>
      <w:jc w:val="left"/>
    </w:pPr>
    <w:rPr>
      <w:sz w:val="18"/>
      <w:szCs w:val="18"/>
    </w:rPr>
  </w:style>
  <w:style w:type="paragraph" w:styleId="13">
    <w:name w:val="header"/>
    <w:basedOn w:val="1"/>
    <w:link w:val="37"/>
    <w:unhideWhenUsed/>
    <w:qFormat/>
    <w:uiPriority w:val="99"/>
    <w:pPr>
      <w:tabs>
        <w:tab w:val="center" w:pos="4153"/>
        <w:tab w:val="right" w:pos="8306"/>
      </w:tabs>
      <w:snapToGrid w:val="0"/>
      <w:jc w:val="center"/>
    </w:pPr>
    <w:rPr>
      <w:sz w:val="18"/>
      <w:szCs w:val="18"/>
    </w:rPr>
  </w:style>
  <w:style w:type="paragraph" w:styleId="14">
    <w:name w:val="Subtitle"/>
    <w:basedOn w:val="1"/>
    <w:next w:val="1"/>
    <w:link w:val="28"/>
    <w:qFormat/>
    <w:uiPriority w:val="11"/>
    <w:pPr>
      <w:spacing w:after="160"/>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5">
    <w:name w:val="Title"/>
    <w:basedOn w:val="1"/>
    <w:next w:val="1"/>
    <w:link w:val="27"/>
    <w:qFormat/>
    <w:uiPriority w:val="10"/>
    <w:pPr>
      <w:spacing w:after="80"/>
      <w:contextualSpacing/>
      <w:jc w:val="center"/>
    </w:pPr>
    <w:rPr>
      <w:rFonts w:asciiTheme="majorHAnsi" w:hAnsiTheme="majorHAnsi" w:eastAsiaTheme="majorEastAsia" w:cstheme="majorBidi"/>
      <w:spacing w:val="-10"/>
      <w:kern w:val="28"/>
      <w:sz w:val="56"/>
      <w:szCs w:val="56"/>
    </w:rPr>
  </w:style>
  <w:style w:type="character" w:customStyle="1" w:styleId="18">
    <w:name w:val="标题 1 字符"/>
    <w:basedOn w:val="17"/>
    <w:link w:val="2"/>
    <w:qFormat/>
    <w:uiPriority w:val="9"/>
    <w:rPr>
      <w:rFonts w:asciiTheme="majorHAnsi" w:hAnsiTheme="majorHAnsi" w:eastAsiaTheme="majorEastAsia" w:cstheme="majorBidi"/>
      <w:color w:val="2F5597" w:themeColor="accent1" w:themeShade="BF"/>
      <w:sz w:val="48"/>
      <w:szCs w:val="48"/>
    </w:rPr>
  </w:style>
  <w:style w:type="character" w:customStyle="1" w:styleId="19">
    <w:name w:val="标题 2 字符"/>
    <w:basedOn w:val="17"/>
    <w:link w:val="3"/>
    <w:semiHidden/>
    <w:qFormat/>
    <w:uiPriority w:val="9"/>
    <w:rPr>
      <w:rFonts w:asciiTheme="majorHAnsi" w:hAnsiTheme="majorHAnsi" w:eastAsiaTheme="majorEastAsia" w:cstheme="majorBidi"/>
      <w:color w:val="2F5597" w:themeColor="accent1" w:themeShade="BF"/>
      <w:sz w:val="40"/>
      <w:szCs w:val="40"/>
    </w:rPr>
  </w:style>
  <w:style w:type="character" w:customStyle="1" w:styleId="20">
    <w:name w:val="标题 3 字符"/>
    <w:basedOn w:val="17"/>
    <w:link w:val="4"/>
    <w:semiHidden/>
    <w:qFormat/>
    <w:uiPriority w:val="9"/>
    <w:rPr>
      <w:rFonts w:asciiTheme="majorHAnsi" w:hAnsiTheme="majorHAnsi" w:eastAsiaTheme="majorEastAsia" w:cstheme="majorBidi"/>
      <w:color w:val="2F5597" w:themeColor="accent1" w:themeShade="BF"/>
      <w:sz w:val="32"/>
      <w:szCs w:val="32"/>
    </w:rPr>
  </w:style>
  <w:style w:type="character" w:customStyle="1" w:styleId="21">
    <w:name w:val="标题 4 字符"/>
    <w:basedOn w:val="17"/>
    <w:link w:val="5"/>
    <w:semiHidden/>
    <w:qFormat/>
    <w:uiPriority w:val="9"/>
    <w:rPr>
      <w:rFonts w:cstheme="majorBidi"/>
      <w:color w:val="2F5597" w:themeColor="accent1" w:themeShade="BF"/>
      <w:sz w:val="28"/>
      <w:szCs w:val="28"/>
    </w:rPr>
  </w:style>
  <w:style w:type="character" w:customStyle="1" w:styleId="22">
    <w:name w:val="标题 5 字符"/>
    <w:basedOn w:val="17"/>
    <w:link w:val="6"/>
    <w:semiHidden/>
    <w:qFormat/>
    <w:uiPriority w:val="9"/>
    <w:rPr>
      <w:rFonts w:cstheme="majorBidi"/>
      <w:color w:val="2F5597" w:themeColor="accent1" w:themeShade="BF"/>
      <w:sz w:val="24"/>
      <w:szCs w:val="24"/>
    </w:rPr>
  </w:style>
  <w:style w:type="character" w:customStyle="1" w:styleId="23">
    <w:name w:val="标题 6 字符"/>
    <w:basedOn w:val="17"/>
    <w:link w:val="7"/>
    <w:semiHidden/>
    <w:qFormat/>
    <w:uiPriority w:val="9"/>
    <w:rPr>
      <w:rFonts w:cstheme="majorBidi"/>
      <w:b/>
      <w:bCs/>
      <w:color w:val="2F5597" w:themeColor="accent1" w:themeShade="BF"/>
    </w:rPr>
  </w:style>
  <w:style w:type="character" w:customStyle="1" w:styleId="24">
    <w:name w:val="标题 7 字符"/>
    <w:basedOn w:val="17"/>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5">
    <w:name w:val="标题 8 字符"/>
    <w:basedOn w:val="17"/>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6">
    <w:name w:val="标题 9 字符"/>
    <w:basedOn w:val="17"/>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7">
    <w:name w:val="标题 字符"/>
    <w:basedOn w:val="17"/>
    <w:link w:val="15"/>
    <w:qFormat/>
    <w:uiPriority w:val="10"/>
    <w:rPr>
      <w:rFonts w:asciiTheme="majorHAnsi" w:hAnsiTheme="majorHAnsi" w:eastAsiaTheme="majorEastAsia" w:cstheme="majorBidi"/>
      <w:spacing w:val="-10"/>
      <w:kern w:val="28"/>
      <w:sz w:val="56"/>
      <w:szCs w:val="56"/>
    </w:rPr>
  </w:style>
  <w:style w:type="character" w:customStyle="1" w:styleId="28">
    <w:name w:val="副标题 字符"/>
    <w:basedOn w:val="17"/>
    <w:link w:val="14"/>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9">
    <w:name w:val="Quote"/>
    <w:basedOn w:val="1"/>
    <w:next w:val="1"/>
    <w:link w:val="30"/>
    <w:qFormat/>
    <w:uiPriority w:val="29"/>
    <w:pPr>
      <w:spacing w:before="160" w:after="160"/>
      <w:jc w:val="center"/>
    </w:pPr>
    <w:rPr>
      <w:i/>
      <w:iCs/>
      <w:color w:val="404040" w:themeColor="text1" w:themeTint="BF"/>
      <w14:textFill>
        <w14:solidFill>
          <w14:schemeClr w14:val="tx1">
            <w14:lumMod w14:val="75000"/>
            <w14:lumOff w14:val="25000"/>
          </w14:schemeClr>
        </w14:solidFill>
      </w14:textFill>
    </w:rPr>
  </w:style>
  <w:style w:type="character" w:customStyle="1" w:styleId="30">
    <w:name w:val="引用 字符"/>
    <w:basedOn w:val="17"/>
    <w:link w:val="29"/>
    <w:qFormat/>
    <w:uiPriority w:val="29"/>
    <w:rPr>
      <w:i/>
      <w:iCs/>
      <w:color w:val="404040" w:themeColor="text1" w:themeTint="BF"/>
      <w14:textFill>
        <w14:solidFill>
          <w14:schemeClr w14:val="tx1">
            <w14:lumMod w14:val="75000"/>
            <w14:lumOff w14:val="25000"/>
          </w14:schemeClr>
        </w14:solidFill>
      </w14:textFill>
    </w:rPr>
  </w:style>
  <w:style w:type="paragraph" w:styleId="31">
    <w:name w:val="List Paragraph"/>
    <w:basedOn w:val="1"/>
    <w:qFormat/>
    <w:uiPriority w:val="34"/>
    <w:pPr>
      <w:ind w:left="720"/>
      <w:contextualSpacing/>
    </w:pPr>
  </w:style>
  <w:style w:type="character" w:customStyle="1" w:styleId="32">
    <w:name w:val="Intense Emphasis"/>
    <w:basedOn w:val="17"/>
    <w:qFormat/>
    <w:uiPriority w:val="21"/>
    <w:rPr>
      <w:i/>
      <w:iCs/>
      <w:color w:val="2F5597" w:themeColor="accent1" w:themeShade="BF"/>
    </w:rPr>
  </w:style>
  <w:style w:type="paragraph" w:styleId="33">
    <w:name w:val="Intense Quote"/>
    <w:basedOn w:val="1"/>
    <w:next w:val="1"/>
    <w:link w:val="34"/>
    <w:qFormat/>
    <w:uiPriority w:val="30"/>
    <w:pPr>
      <w:pBdr>
        <w:top w:val="single" w:color="2F5496" w:themeColor="accent1" w:themeShade="BF" w:sz="4" w:space="10"/>
        <w:bottom w:val="single" w:color="2F5496" w:themeColor="accent1" w:themeShade="BF" w:sz="4" w:space="10"/>
      </w:pBdr>
      <w:spacing w:before="360" w:after="360"/>
      <w:ind w:left="864" w:right="864"/>
      <w:jc w:val="center"/>
    </w:pPr>
    <w:rPr>
      <w:i/>
      <w:iCs/>
      <w:color w:val="2F5597" w:themeColor="accent1" w:themeShade="BF"/>
    </w:rPr>
  </w:style>
  <w:style w:type="character" w:customStyle="1" w:styleId="34">
    <w:name w:val="明显引用 字符"/>
    <w:basedOn w:val="17"/>
    <w:link w:val="33"/>
    <w:qFormat/>
    <w:uiPriority w:val="30"/>
    <w:rPr>
      <w:i/>
      <w:iCs/>
      <w:color w:val="2F5597" w:themeColor="accent1" w:themeShade="BF"/>
    </w:rPr>
  </w:style>
  <w:style w:type="character" w:customStyle="1" w:styleId="35">
    <w:name w:val="Intense Reference"/>
    <w:basedOn w:val="17"/>
    <w:qFormat/>
    <w:uiPriority w:val="32"/>
    <w:rPr>
      <w:b/>
      <w:bCs/>
      <w:smallCaps/>
      <w:color w:val="2F5597" w:themeColor="accent1" w:themeShade="BF"/>
      <w:spacing w:val="5"/>
    </w:rPr>
  </w:style>
  <w:style w:type="character" w:customStyle="1" w:styleId="36">
    <w:name w:val="正文文本 字符"/>
    <w:basedOn w:val="17"/>
    <w:link w:val="11"/>
    <w:qFormat/>
    <w:uiPriority w:val="0"/>
    <w:rPr>
      <w:rFonts w:ascii="等线" w:hAnsi="Calibri" w:eastAsia="等线" w:cs="Times New Roman"/>
    </w:rPr>
  </w:style>
  <w:style w:type="character" w:customStyle="1" w:styleId="37">
    <w:name w:val="页眉 字符"/>
    <w:basedOn w:val="17"/>
    <w:link w:val="13"/>
    <w:qFormat/>
    <w:uiPriority w:val="99"/>
    <w:rPr>
      <w:sz w:val="18"/>
      <w:szCs w:val="18"/>
    </w:rPr>
  </w:style>
  <w:style w:type="character" w:customStyle="1" w:styleId="38">
    <w:name w:val="页脚 字符"/>
    <w:basedOn w:val="17"/>
    <w:link w:val="12"/>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25</Pages>
  <Words>3018</Words>
  <Characters>17205</Characters>
  <Lines>143</Lines>
  <Paragraphs>40</Paragraphs>
  <TotalTime>87</TotalTime>
  <ScaleCrop>false</ScaleCrop>
  <LinksUpToDate>false</LinksUpToDate>
  <CharactersWithSpaces>20183</CharactersWithSpaces>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2026-03-27T03:25:00Z</dcterms:created>
  <dc:creator>家兴 陈</dc:creator>
  <cp:lastModifiedBy>kylin</cp:lastModifiedBy>
  <dcterms:modified xsi:type="dcterms:W3CDTF">2026-04-13T15:15:26Z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