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171A50">
      <w:pPr>
        <w:jc w:val="center"/>
        <w:rPr>
          <w:rFonts w:hint="eastAsia" w:ascii="宋体" w:hAnsi="宋体" w:eastAsia="宋体" w:cs="宋体"/>
          <w:b/>
          <w:bCs/>
          <w:color w:val="auto"/>
          <w:sz w:val="30"/>
          <w:szCs w:val="30"/>
          <w:highlight w:val="none"/>
          <w:lang w:val="en-US" w:eastAsia="zh-CN"/>
        </w:rPr>
      </w:pPr>
      <w:r>
        <w:rPr>
          <w:rFonts w:hint="eastAsia" w:ascii="宋体" w:hAnsi="宋体" w:eastAsia="宋体" w:cs="宋体"/>
          <w:b/>
          <w:bCs/>
          <w:color w:val="auto"/>
          <w:sz w:val="30"/>
          <w:szCs w:val="30"/>
          <w:highlight w:val="none"/>
          <w:lang w:val="en-US" w:eastAsia="zh-CN"/>
        </w:rPr>
        <w:t>天津滨海职业学院继续教育学院安全生产考试考点机房</w:t>
      </w:r>
    </w:p>
    <w:p w14:paraId="504937CF">
      <w:pPr>
        <w:jc w:val="center"/>
        <w:rPr>
          <w:rFonts w:hint="eastAsia" w:ascii="宋体" w:hAnsi="宋体" w:eastAsia="宋体" w:cs="宋体"/>
          <w:b/>
          <w:bCs/>
          <w:color w:val="auto"/>
          <w:sz w:val="30"/>
          <w:szCs w:val="30"/>
          <w:highlight w:val="none"/>
          <w:lang w:val="en-US" w:eastAsia="zh-CN"/>
        </w:rPr>
      </w:pPr>
      <w:r>
        <w:rPr>
          <w:rFonts w:hint="eastAsia" w:ascii="宋体" w:hAnsi="宋体" w:eastAsia="宋体" w:cs="宋体"/>
          <w:b/>
          <w:bCs/>
          <w:color w:val="auto"/>
          <w:sz w:val="30"/>
          <w:szCs w:val="30"/>
          <w:highlight w:val="none"/>
          <w:lang w:val="en-US" w:eastAsia="zh-CN"/>
        </w:rPr>
        <w:t>台式计算机采购项目需求书</w:t>
      </w:r>
    </w:p>
    <w:p w14:paraId="3806B738">
      <w:pPr>
        <w:rPr>
          <w:rFonts w:hint="eastAsia" w:ascii="黑体" w:hAnsi="黑体" w:eastAsia="黑体" w:cs="黑体"/>
          <w:b w:val="0"/>
          <w:bCs w:val="0"/>
          <w:color w:val="auto"/>
          <w:sz w:val="28"/>
          <w:szCs w:val="28"/>
          <w:highlight w:val="none"/>
          <w:lang w:val="en-US" w:eastAsia="zh-CN"/>
        </w:rPr>
      </w:pPr>
      <w:r>
        <w:rPr>
          <w:rFonts w:hint="eastAsia" w:ascii="黑体" w:hAnsi="黑体" w:eastAsia="黑体" w:cs="黑体"/>
          <w:b w:val="0"/>
          <w:bCs w:val="0"/>
          <w:color w:val="auto"/>
          <w:sz w:val="28"/>
          <w:szCs w:val="28"/>
          <w:highlight w:val="none"/>
          <w:lang w:val="en-US" w:eastAsia="zh-CN"/>
        </w:rPr>
        <w:t>项目基本信息：</w:t>
      </w:r>
    </w:p>
    <w:p w14:paraId="48900E3A">
      <w:pPr>
        <w:jc w:val="both"/>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1.项目名称</w:t>
      </w:r>
      <w:r>
        <w:rPr>
          <w:rFonts w:hint="eastAsia" w:ascii="宋体" w:hAnsi="宋体" w:eastAsia="宋体" w:cs="宋体"/>
          <w:b w:val="0"/>
          <w:bCs w:val="0"/>
          <w:color w:val="FF0000"/>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天津滨海职业学院继续教育学院安全生产考试考点机房台式计算机采购项目</w:t>
      </w:r>
    </w:p>
    <w:p w14:paraId="5823697B">
      <w:pP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2.项目预算：64.75万元</w:t>
      </w:r>
    </w:p>
    <w:p w14:paraId="5E25C613">
      <w:pPr>
        <w:spacing w:line="360" w:lineRule="auto"/>
        <w:jc w:val="left"/>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3.采购方式：公开招标</w:t>
      </w:r>
    </w:p>
    <w:p w14:paraId="69F804A0">
      <w:pPr>
        <w:spacing w:line="360" w:lineRule="auto"/>
        <w:jc w:val="left"/>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4.执行政府采购促进中小企业发展管理办法</w:t>
      </w:r>
      <w:r>
        <w:rPr>
          <w:rFonts w:hint="eastAsia" w:ascii="宋体" w:hAnsi="宋体" w:eastAsia="宋体" w:cs="宋体"/>
          <w:b w:val="0"/>
          <w:bCs w:val="0"/>
          <w:color w:val="auto"/>
          <w:sz w:val="24"/>
          <w:highlight w:val="none"/>
          <w:lang w:eastAsia="zh-CN"/>
        </w:rPr>
        <w:t>：</w:t>
      </w:r>
      <w:r>
        <w:rPr>
          <w:rFonts w:hint="eastAsia" w:ascii="宋体" w:hAnsi="宋体" w:eastAsia="宋体" w:cs="宋体"/>
          <w:b w:val="0"/>
          <w:bCs w:val="0"/>
          <w:color w:val="auto"/>
          <w:sz w:val="24"/>
          <w:highlight w:val="none"/>
        </w:rPr>
        <w:t>面向全部</w:t>
      </w:r>
    </w:p>
    <w:p w14:paraId="13F1E0DD">
      <w:pPr>
        <w:spacing w:line="360" w:lineRule="auto"/>
        <w:jc w:val="left"/>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lang w:val="en-US" w:eastAsia="zh-CN"/>
        </w:rPr>
        <w:t>5</w:t>
      </w:r>
      <w:r>
        <w:rPr>
          <w:rFonts w:hint="eastAsia" w:ascii="宋体" w:hAnsi="宋体" w:eastAsia="宋体" w:cs="宋体"/>
          <w:b w:val="0"/>
          <w:bCs w:val="0"/>
          <w:color w:val="auto"/>
          <w:sz w:val="24"/>
          <w:highlight w:val="none"/>
        </w:rPr>
        <w:t>.采购人名称：天津滨海职业学院</w:t>
      </w:r>
    </w:p>
    <w:p w14:paraId="03E1EDE1">
      <w:pPr>
        <w:spacing w:line="360" w:lineRule="auto"/>
        <w:jc w:val="left"/>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lang w:val="en-US" w:eastAsia="zh-CN"/>
        </w:rPr>
        <w:t>6</w:t>
      </w:r>
      <w:r>
        <w:rPr>
          <w:rFonts w:hint="eastAsia" w:ascii="宋体" w:hAnsi="宋体" w:eastAsia="宋体" w:cs="宋体"/>
          <w:b w:val="0"/>
          <w:bCs w:val="0"/>
          <w:color w:val="auto"/>
          <w:sz w:val="24"/>
          <w:highlight w:val="none"/>
        </w:rPr>
        <w:t>.采购人地址：天津市滨海新区庐山道1101号</w:t>
      </w:r>
    </w:p>
    <w:p w14:paraId="0CEB3AD2">
      <w:pPr>
        <w:spacing w:line="360" w:lineRule="auto"/>
        <w:jc w:val="left"/>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lang w:val="en-US" w:eastAsia="zh-CN"/>
        </w:rPr>
        <w:t>7</w:t>
      </w:r>
      <w:r>
        <w:rPr>
          <w:rFonts w:hint="eastAsia" w:ascii="宋体" w:hAnsi="宋体" w:eastAsia="宋体" w:cs="宋体"/>
          <w:b w:val="0"/>
          <w:bCs w:val="0"/>
          <w:color w:val="auto"/>
          <w:sz w:val="24"/>
          <w:highlight w:val="none"/>
        </w:rPr>
        <w:t>.采购人联系人和联系方式：</w:t>
      </w:r>
      <w:r>
        <w:rPr>
          <w:rFonts w:hint="eastAsia" w:ascii="宋体" w:hAnsi="宋体" w:eastAsia="宋体" w:cs="宋体"/>
          <w:b w:val="0"/>
          <w:bCs w:val="0"/>
          <w:color w:val="auto"/>
          <w:sz w:val="24"/>
          <w:highlight w:val="none"/>
          <w:lang w:val="en-US" w:eastAsia="zh-CN"/>
        </w:rPr>
        <w:t>马老师</w:t>
      </w:r>
      <w:r>
        <w:rPr>
          <w:rFonts w:hint="eastAsia" w:ascii="宋体" w:hAnsi="宋体" w:eastAsia="宋体" w:cs="宋体"/>
          <w:b w:val="0"/>
          <w:bCs w:val="0"/>
          <w:color w:val="auto"/>
          <w:sz w:val="24"/>
          <w:highlight w:val="none"/>
        </w:rPr>
        <w:t>022--60315</w:t>
      </w:r>
      <w:r>
        <w:rPr>
          <w:rFonts w:hint="eastAsia" w:ascii="宋体" w:hAnsi="宋体" w:eastAsia="宋体" w:cs="宋体"/>
          <w:b w:val="0"/>
          <w:bCs w:val="0"/>
          <w:color w:val="auto"/>
          <w:sz w:val="24"/>
          <w:highlight w:val="none"/>
          <w:lang w:val="en-US" w:eastAsia="zh-CN"/>
        </w:rPr>
        <w:t>257</w:t>
      </w:r>
    </w:p>
    <w:p w14:paraId="6351071B">
      <w:pPr>
        <w:numPr>
          <w:ilvl w:val="0"/>
          <w:numId w:val="2"/>
        </w:numPr>
        <w:ind w:left="0" w:leftChars="0" w:firstLine="422" w:firstLineChars="175"/>
        <w:rPr>
          <w:rFonts w:hint="default" w:ascii="黑体" w:hAnsi="黑体" w:eastAsia="黑体" w:cs="黑体"/>
          <w:b/>
          <w:bCs/>
          <w:color w:val="auto"/>
          <w:sz w:val="28"/>
          <w:szCs w:val="28"/>
          <w:highlight w:val="none"/>
          <w:lang w:val="en-US" w:eastAsia="zh-CN"/>
        </w:rPr>
      </w:pPr>
      <w:r>
        <w:rPr>
          <w:rFonts w:hint="eastAsia" w:ascii="宋体" w:hAnsi="宋体" w:eastAsia="宋体" w:cs="宋体"/>
          <w:b/>
          <w:bCs/>
          <w:color w:val="auto"/>
          <w:sz w:val="24"/>
          <w:szCs w:val="24"/>
          <w:highlight w:val="none"/>
          <w:lang w:val="en-US" w:eastAsia="zh-CN"/>
        </w:rPr>
        <w:t>项目背景</w:t>
      </w:r>
    </w:p>
    <w:p w14:paraId="3E9B81BD">
      <w:pPr>
        <w:ind w:firstLine="480" w:firstLineChars="200"/>
        <w:jc w:val="both"/>
        <w:rPr>
          <w:rFonts w:hint="eastAsia" w:ascii="宋体" w:hAnsi="宋体" w:eastAsia="宋体" w:cs="宋体"/>
          <w:b w:val="0"/>
          <w:bCs w:val="0"/>
          <w:color w:val="auto"/>
          <w:sz w:val="24"/>
          <w:szCs w:val="24"/>
          <w:highlight w:val="none"/>
          <w:lang w:val="en-US" w:eastAsia="zh-CN"/>
        </w:rPr>
      </w:pPr>
      <w:r>
        <w:rPr>
          <w:rFonts w:hint="eastAsia" w:ascii="宋体" w:hAnsi="宋体"/>
          <w:color w:val="auto"/>
          <w:sz w:val="24"/>
        </w:rPr>
        <w:t>为完善终身学习服务配套，保障各类线上考核、职业证书考试平稳开展，提升考点承载能力与考务管理水平，我院实施考试考证终端升级改造项目，更新考试及办公计算机，搭建稳定、安全、易管理的标准化考试机房，满足日常教学与各类社会化机考需求。</w:t>
      </w:r>
      <w:r>
        <w:rPr>
          <w:rFonts w:hint="eastAsia" w:ascii="宋体" w:hAnsi="宋体" w:eastAsia="宋体" w:cs="宋体"/>
          <w:b w:val="0"/>
          <w:bCs w:val="0"/>
          <w:color w:val="auto"/>
          <w:sz w:val="24"/>
          <w:szCs w:val="24"/>
          <w:highlight w:val="none"/>
          <w:lang w:val="en-US" w:eastAsia="zh-CN"/>
        </w:rPr>
        <w:t>本项目采购内容包括：（1）拟采购台式计算机1--80台</w:t>
      </w:r>
      <w:r>
        <w:rPr>
          <w:rFonts w:hint="eastAsia" w:ascii="宋体" w:hAnsi="宋体" w:eastAsia="宋体" w:cs="宋体"/>
          <w:color w:val="auto"/>
          <w:sz w:val="24"/>
          <w:szCs w:val="24"/>
          <w:highlight w:val="none"/>
          <w:lang w:val="en-US" w:eastAsia="zh-CN"/>
        </w:rPr>
        <w:t>；台式计算机2--15台，</w:t>
      </w:r>
      <w:r>
        <w:rPr>
          <w:rFonts w:hint="eastAsia" w:ascii="宋体" w:hAnsi="宋体" w:eastAsia="宋体" w:cs="宋体"/>
          <w:color w:val="auto"/>
          <w:sz w:val="24"/>
          <w:szCs w:val="24"/>
          <w:highlight w:val="none"/>
        </w:rPr>
        <w:t>教学广播软</w:t>
      </w:r>
      <w:r>
        <w:rPr>
          <w:rFonts w:hint="eastAsia" w:ascii="宋体" w:hAnsi="宋体" w:eastAsia="宋体" w:cs="宋体"/>
          <w:color w:val="auto"/>
          <w:sz w:val="24"/>
          <w:szCs w:val="24"/>
          <w:highlight w:val="none"/>
          <w:lang w:val="en-US" w:eastAsia="zh-CN"/>
        </w:rPr>
        <w:t>,2套。</w:t>
      </w:r>
    </w:p>
    <w:p w14:paraId="79FA2EA8">
      <w:pP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br w:type="page"/>
      </w:r>
    </w:p>
    <w:p w14:paraId="3D5B5D36">
      <w:pPr>
        <w:numPr>
          <w:ilvl w:val="0"/>
          <w:numId w:val="2"/>
        </w:numPr>
        <w:spacing w:line="360" w:lineRule="auto"/>
        <w:ind w:left="0" w:leftChars="0" w:firstLine="422" w:firstLineChars="175"/>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商务需求</w:t>
      </w:r>
    </w:p>
    <w:tbl>
      <w:tblPr>
        <w:tblStyle w:val="5"/>
        <w:tblW w:w="4756"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1170"/>
        <w:gridCol w:w="2190"/>
        <w:gridCol w:w="7611"/>
        <w:gridCol w:w="2511"/>
      </w:tblGrid>
      <w:tr w14:paraId="28A56B2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85" w:hRule="atLeast"/>
          <w:jc w:val="center"/>
        </w:trPr>
        <w:tc>
          <w:tcPr>
            <w:tcW w:w="434" w:type="pct"/>
            <w:noWrap w:val="0"/>
            <w:vAlign w:val="center"/>
          </w:tcPr>
          <w:p w14:paraId="40E7DB5B">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序号</w:t>
            </w:r>
          </w:p>
        </w:tc>
        <w:tc>
          <w:tcPr>
            <w:tcW w:w="812" w:type="pct"/>
            <w:noWrap w:val="0"/>
            <w:vAlign w:val="center"/>
          </w:tcPr>
          <w:p w14:paraId="28B6043D">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需求条款</w:t>
            </w:r>
          </w:p>
        </w:tc>
        <w:tc>
          <w:tcPr>
            <w:tcW w:w="2822" w:type="pct"/>
            <w:noWrap w:val="0"/>
            <w:vAlign w:val="center"/>
          </w:tcPr>
          <w:p w14:paraId="2865D7ED">
            <w:pPr>
              <w:widowControl/>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具体要求</w:t>
            </w:r>
          </w:p>
        </w:tc>
        <w:tc>
          <w:tcPr>
            <w:tcW w:w="931" w:type="pct"/>
            <w:noWrap w:val="0"/>
            <w:vAlign w:val="center"/>
          </w:tcPr>
          <w:p w14:paraId="2C8F30BC">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是否为实质性条款</w:t>
            </w:r>
          </w:p>
        </w:tc>
      </w:tr>
      <w:tr w14:paraId="7CC5C48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52" w:hRule="atLeast"/>
          <w:jc w:val="center"/>
        </w:trPr>
        <w:tc>
          <w:tcPr>
            <w:tcW w:w="434" w:type="pct"/>
            <w:vMerge w:val="restart"/>
            <w:noWrap w:val="0"/>
            <w:vAlign w:val="center"/>
          </w:tcPr>
          <w:p w14:paraId="24A9EE38">
            <w:pPr>
              <w:jc w:val="center"/>
              <w:rPr>
                <w:rFonts w:ascii="宋体" w:hAnsi="宋体" w:cs="宋体"/>
                <w:color w:val="auto"/>
                <w:kern w:val="0"/>
                <w:sz w:val="24"/>
                <w:highlight w:val="none"/>
              </w:rPr>
            </w:pPr>
            <w:r>
              <w:rPr>
                <w:rFonts w:hint="eastAsia" w:ascii="宋体" w:hAnsi="宋体" w:cs="宋体"/>
                <w:color w:val="auto"/>
                <w:kern w:val="0"/>
                <w:sz w:val="24"/>
                <w:highlight w:val="none"/>
              </w:rPr>
              <w:t>1</w:t>
            </w:r>
          </w:p>
        </w:tc>
        <w:tc>
          <w:tcPr>
            <w:tcW w:w="812" w:type="pct"/>
            <w:vMerge w:val="restart"/>
            <w:noWrap w:val="0"/>
            <w:vAlign w:val="center"/>
          </w:tcPr>
          <w:p w14:paraId="1CC60EF8">
            <w:pPr>
              <w:widowControl/>
              <w:jc w:val="center"/>
              <w:rPr>
                <w:rFonts w:hint="eastAsia" w:ascii="宋体" w:hAnsi="宋体" w:cs="宋体"/>
                <w:color w:val="auto"/>
                <w:kern w:val="0"/>
                <w:sz w:val="24"/>
                <w:highlight w:val="none"/>
              </w:rPr>
            </w:pPr>
            <w:r>
              <w:rPr>
                <w:rFonts w:hint="eastAsia" w:ascii="宋体" w:hAnsi="宋体"/>
                <w:color w:val="auto"/>
                <w:sz w:val="24"/>
                <w:highlight w:val="none"/>
              </w:rPr>
              <w:t>实质性资格要求</w:t>
            </w:r>
          </w:p>
        </w:tc>
        <w:tc>
          <w:tcPr>
            <w:tcW w:w="2822" w:type="pct"/>
            <w:noWrap w:val="0"/>
            <w:vAlign w:val="center"/>
          </w:tcPr>
          <w:p w14:paraId="60C06336">
            <w:pPr>
              <w:widowControl/>
              <w:jc w:val="left"/>
              <w:rPr>
                <w:rFonts w:hint="eastAsia" w:ascii="宋体" w:hAnsi="宋体" w:cs="宋体"/>
                <w:color w:val="auto"/>
                <w:kern w:val="0"/>
                <w:sz w:val="24"/>
                <w:highlight w:val="none"/>
              </w:rPr>
            </w:pPr>
            <w:r>
              <w:rPr>
                <w:rFonts w:hint="eastAsia" w:ascii="宋体" w:hAnsi="宋体" w:cs="宋体"/>
                <w:color w:val="auto"/>
                <w:kern w:val="0"/>
                <w:sz w:val="24"/>
                <w:highlight w:val="none"/>
              </w:rPr>
              <w:t>（一）营业执照副本原件或事业单位法人证书或民办非企业单位登记证书或社会团体法人登记证书或基金会法人登记证书原件。</w:t>
            </w:r>
          </w:p>
        </w:tc>
        <w:tc>
          <w:tcPr>
            <w:tcW w:w="931" w:type="pct"/>
            <w:noWrap w:val="0"/>
            <w:vAlign w:val="center"/>
          </w:tcPr>
          <w:p w14:paraId="4701F3FB">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是</w:t>
            </w:r>
          </w:p>
        </w:tc>
      </w:tr>
      <w:tr w14:paraId="3374101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52" w:hRule="atLeast"/>
          <w:jc w:val="center"/>
        </w:trPr>
        <w:tc>
          <w:tcPr>
            <w:tcW w:w="434" w:type="pct"/>
            <w:vMerge w:val="continue"/>
            <w:noWrap w:val="0"/>
            <w:vAlign w:val="center"/>
          </w:tcPr>
          <w:p w14:paraId="7D751B1F">
            <w:pPr>
              <w:jc w:val="center"/>
              <w:rPr>
                <w:rFonts w:ascii="宋体" w:hAnsi="宋体" w:cs="宋体"/>
                <w:color w:val="auto"/>
                <w:kern w:val="0"/>
                <w:sz w:val="24"/>
                <w:highlight w:val="none"/>
              </w:rPr>
            </w:pPr>
          </w:p>
        </w:tc>
        <w:tc>
          <w:tcPr>
            <w:tcW w:w="812" w:type="pct"/>
            <w:vMerge w:val="continue"/>
            <w:noWrap w:val="0"/>
            <w:vAlign w:val="center"/>
          </w:tcPr>
          <w:p w14:paraId="516EBBE0">
            <w:pPr>
              <w:widowControl/>
              <w:jc w:val="center"/>
              <w:rPr>
                <w:rFonts w:ascii="宋体" w:hAnsi="宋体" w:cs="宋体"/>
                <w:color w:val="auto"/>
                <w:kern w:val="0"/>
                <w:sz w:val="24"/>
                <w:highlight w:val="none"/>
              </w:rPr>
            </w:pPr>
          </w:p>
        </w:tc>
        <w:tc>
          <w:tcPr>
            <w:tcW w:w="2822" w:type="pct"/>
            <w:noWrap w:val="0"/>
            <w:vAlign w:val="center"/>
          </w:tcPr>
          <w:p w14:paraId="0471857E">
            <w:pPr>
              <w:widowControl/>
              <w:jc w:val="left"/>
              <w:rPr>
                <w:rFonts w:ascii="宋体" w:hAnsi="宋体" w:cs="宋体"/>
                <w:color w:val="auto"/>
                <w:kern w:val="0"/>
                <w:sz w:val="24"/>
                <w:highlight w:val="none"/>
              </w:rPr>
            </w:pPr>
            <w:r>
              <w:rPr>
                <w:rFonts w:hint="eastAsia" w:ascii="宋体" w:hAnsi="宋体" w:cs="宋体"/>
                <w:color w:val="auto"/>
                <w:kern w:val="0"/>
                <w:sz w:val="24"/>
                <w:highlight w:val="none"/>
              </w:rPr>
              <w:t>（二）经第三方会计师事务所审计的企业财务报告复印件或银行出具的资信证明复印件。</w:t>
            </w:r>
          </w:p>
        </w:tc>
        <w:tc>
          <w:tcPr>
            <w:tcW w:w="931" w:type="pct"/>
            <w:noWrap w:val="0"/>
            <w:vAlign w:val="center"/>
          </w:tcPr>
          <w:p w14:paraId="4F0E56AF">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是</w:t>
            </w:r>
          </w:p>
        </w:tc>
      </w:tr>
      <w:tr w14:paraId="48C9999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52" w:hRule="atLeast"/>
          <w:jc w:val="center"/>
        </w:trPr>
        <w:tc>
          <w:tcPr>
            <w:tcW w:w="434" w:type="pct"/>
            <w:vMerge w:val="continue"/>
            <w:noWrap w:val="0"/>
            <w:vAlign w:val="center"/>
          </w:tcPr>
          <w:p w14:paraId="5FF09837">
            <w:pPr>
              <w:jc w:val="center"/>
              <w:rPr>
                <w:rFonts w:hint="eastAsia" w:ascii="宋体" w:hAnsi="宋体" w:cs="宋体"/>
                <w:color w:val="auto"/>
                <w:kern w:val="0"/>
                <w:sz w:val="24"/>
                <w:highlight w:val="none"/>
              </w:rPr>
            </w:pPr>
          </w:p>
        </w:tc>
        <w:tc>
          <w:tcPr>
            <w:tcW w:w="812" w:type="pct"/>
            <w:vMerge w:val="continue"/>
            <w:noWrap w:val="0"/>
            <w:vAlign w:val="center"/>
          </w:tcPr>
          <w:p w14:paraId="4CE3E533">
            <w:pPr>
              <w:widowControl/>
              <w:jc w:val="center"/>
              <w:rPr>
                <w:rFonts w:ascii="宋体" w:hAnsi="宋体" w:cs="宋体"/>
                <w:color w:val="auto"/>
                <w:kern w:val="0"/>
                <w:sz w:val="24"/>
                <w:highlight w:val="none"/>
              </w:rPr>
            </w:pPr>
          </w:p>
        </w:tc>
        <w:tc>
          <w:tcPr>
            <w:tcW w:w="2822" w:type="pct"/>
            <w:noWrap w:val="0"/>
            <w:vAlign w:val="center"/>
          </w:tcPr>
          <w:p w14:paraId="62E3F0E9">
            <w:pPr>
              <w:widowControl/>
              <w:jc w:val="left"/>
              <w:rPr>
                <w:rFonts w:ascii="宋体" w:hAnsi="宋体" w:cs="宋体"/>
                <w:color w:val="auto"/>
                <w:kern w:val="0"/>
                <w:sz w:val="24"/>
                <w:highlight w:val="none"/>
              </w:rPr>
            </w:pPr>
            <w:r>
              <w:rPr>
                <w:rFonts w:hint="eastAsia" w:ascii="宋体" w:hAnsi="宋体" w:cs="宋体"/>
                <w:color w:val="auto"/>
                <w:kern w:val="0"/>
                <w:sz w:val="24"/>
                <w:highlight w:val="none"/>
              </w:rPr>
              <w:t>（三）依法缴纳税收和社会保险费的相关证明材料复印件。</w:t>
            </w:r>
          </w:p>
        </w:tc>
        <w:tc>
          <w:tcPr>
            <w:tcW w:w="931" w:type="pct"/>
            <w:noWrap w:val="0"/>
            <w:vAlign w:val="center"/>
          </w:tcPr>
          <w:p w14:paraId="3F2A3C82">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是</w:t>
            </w:r>
          </w:p>
        </w:tc>
      </w:tr>
      <w:tr w14:paraId="37C62AD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52" w:hRule="atLeast"/>
          <w:jc w:val="center"/>
        </w:trPr>
        <w:tc>
          <w:tcPr>
            <w:tcW w:w="434" w:type="pct"/>
            <w:vMerge w:val="continue"/>
            <w:noWrap w:val="0"/>
            <w:vAlign w:val="center"/>
          </w:tcPr>
          <w:p w14:paraId="587677AC">
            <w:pPr>
              <w:widowControl/>
              <w:jc w:val="center"/>
              <w:rPr>
                <w:rFonts w:hint="eastAsia" w:ascii="宋体" w:hAnsi="宋体" w:cs="宋体"/>
                <w:color w:val="auto"/>
                <w:kern w:val="0"/>
                <w:sz w:val="24"/>
                <w:highlight w:val="none"/>
              </w:rPr>
            </w:pPr>
          </w:p>
        </w:tc>
        <w:tc>
          <w:tcPr>
            <w:tcW w:w="812" w:type="pct"/>
            <w:vMerge w:val="continue"/>
            <w:noWrap w:val="0"/>
            <w:vAlign w:val="center"/>
          </w:tcPr>
          <w:p w14:paraId="11058AC2">
            <w:pPr>
              <w:widowControl/>
              <w:jc w:val="center"/>
              <w:rPr>
                <w:rFonts w:ascii="宋体" w:hAnsi="宋体" w:cs="宋体"/>
                <w:color w:val="auto"/>
                <w:kern w:val="0"/>
                <w:sz w:val="24"/>
                <w:highlight w:val="none"/>
              </w:rPr>
            </w:pPr>
          </w:p>
        </w:tc>
        <w:tc>
          <w:tcPr>
            <w:tcW w:w="2822" w:type="pct"/>
            <w:noWrap w:val="0"/>
            <w:vAlign w:val="center"/>
          </w:tcPr>
          <w:p w14:paraId="286B740B">
            <w:pPr>
              <w:widowControl/>
              <w:jc w:val="left"/>
              <w:rPr>
                <w:rFonts w:ascii="宋体" w:hAnsi="宋体" w:cs="宋体"/>
                <w:color w:val="auto"/>
                <w:kern w:val="0"/>
                <w:sz w:val="24"/>
                <w:highlight w:val="none"/>
              </w:rPr>
            </w:pPr>
            <w:r>
              <w:rPr>
                <w:rFonts w:hint="eastAsia" w:ascii="宋体" w:hAnsi="宋体" w:cs="宋体"/>
                <w:color w:val="auto"/>
                <w:kern w:val="0"/>
                <w:sz w:val="24"/>
                <w:highlight w:val="none"/>
              </w:rPr>
              <w:t>（四）经营活动中没有重大违法记录的书面声明（截至提交响应文件截止日成立不足3年的供应商可提供自成立以来无重大违法记录的书面声明）。</w:t>
            </w:r>
          </w:p>
        </w:tc>
        <w:tc>
          <w:tcPr>
            <w:tcW w:w="931" w:type="pct"/>
            <w:noWrap w:val="0"/>
            <w:vAlign w:val="center"/>
          </w:tcPr>
          <w:p w14:paraId="3D169B8F">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是</w:t>
            </w:r>
          </w:p>
        </w:tc>
      </w:tr>
      <w:tr w14:paraId="34E4339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52" w:hRule="atLeast"/>
          <w:jc w:val="center"/>
        </w:trPr>
        <w:tc>
          <w:tcPr>
            <w:tcW w:w="434" w:type="pct"/>
            <w:vMerge w:val="continue"/>
            <w:noWrap w:val="0"/>
            <w:vAlign w:val="center"/>
          </w:tcPr>
          <w:p w14:paraId="3FF6225C">
            <w:pPr>
              <w:widowControl/>
              <w:jc w:val="center"/>
              <w:rPr>
                <w:rFonts w:hint="eastAsia" w:ascii="宋体" w:hAnsi="宋体" w:cs="宋体"/>
                <w:color w:val="auto"/>
                <w:kern w:val="0"/>
                <w:sz w:val="24"/>
                <w:highlight w:val="none"/>
              </w:rPr>
            </w:pPr>
          </w:p>
        </w:tc>
        <w:tc>
          <w:tcPr>
            <w:tcW w:w="812" w:type="pct"/>
            <w:vMerge w:val="continue"/>
            <w:noWrap w:val="0"/>
            <w:vAlign w:val="center"/>
          </w:tcPr>
          <w:p w14:paraId="73E74C95">
            <w:pPr>
              <w:widowControl/>
              <w:jc w:val="center"/>
              <w:rPr>
                <w:rFonts w:ascii="宋体" w:hAnsi="宋体" w:cs="宋体"/>
                <w:color w:val="auto"/>
                <w:kern w:val="0"/>
                <w:sz w:val="24"/>
                <w:highlight w:val="none"/>
              </w:rPr>
            </w:pPr>
          </w:p>
        </w:tc>
        <w:tc>
          <w:tcPr>
            <w:tcW w:w="2822" w:type="pct"/>
            <w:noWrap w:val="0"/>
            <w:vAlign w:val="center"/>
          </w:tcPr>
          <w:p w14:paraId="38874458">
            <w:pPr>
              <w:widowControl/>
              <w:jc w:val="left"/>
              <w:rPr>
                <w:rFonts w:hint="eastAsia" w:ascii="宋体" w:hAnsi="宋体" w:cs="宋体"/>
                <w:color w:val="auto"/>
                <w:kern w:val="0"/>
                <w:sz w:val="24"/>
                <w:highlight w:val="none"/>
              </w:rPr>
            </w:pPr>
            <w:r>
              <w:rPr>
                <w:rFonts w:hint="eastAsia" w:ascii="宋体" w:hAnsi="宋体" w:cs="宋体"/>
                <w:color w:val="auto"/>
                <w:kern w:val="0"/>
                <w:sz w:val="24"/>
                <w:highlight w:val="none"/>
              </w:rPr>
              <w:t>（五）完成本项目必要的资质要求</w:t>
            </w:r>
          </w:p>
        </w:tc>
        <w:tc>
          <w:tcPr>
            <w:tcW w:w="931" w:type="pct"/>
            <w:noWrap w:val="0"/>
            <w:vAlign w:val="center"/>
          </w:tcPr>
          <w:p w14:paraId="5470F21E">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是</w:t>
            </w:r>
          </w:p>
        </w:tc>
      </w:tr>
      <w:tr w14:paraId="2123E75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52" w:hRule="atLeast"/>
          <w:jc w:val="center"/>
        </w:trPr>
        <w:tc>
          <w:tcPr>
            <w:tcW w:w="434" w:type="pct"/>
            <w:vMerge w:val="continue"/>
            <w:noWrap w:val="0"/>
            <w:vAlign w:val="center"/>
          </w:tcPr>
          <w:p w14:paraId="63F2E926">
            <w:pPr>
              <w:widowControl/>
              <w:jc w:val="center"/>
              <w:rPr>
                <w:rFonts w:hint="eastAsia" w:ascii="宋体" w:hAnsi="宋体" w:cs="宋体"/>
                <w:color w:val="auto"/>
                <w:kern w:val="0"/>
                <w:sz w:val="24"/>
                <w:highlight w:val="none"/>
              </w:rPr>
            </w:pPr>
          </w:p>
        </w:tc>
        <w:tc>
          <w:tcPr>
            <w:tcW w:w="812" w:type="pct"/>
            <w:vMerge w:val="continue"/>
            <w:noWrap w:val="0"/>
            <w:vAlign w:val="center"/>
          </w:tcPr>
          <w:p w14:paraId="216E565F">
            <w:pPr>
              <w:widowControl/>
              <w:jc w:val="center"/>
              <w:rPr>
                <w:rFonts w:ascii="宋体" w:hAnsi="宋体" w:cs="宋体"/>
                <w:color w:val="auto"/>
                <w:kern w:val="0"/>
                <w:sz w:val="24"/>
                <w:highlight w:val="none"/>
              </w:rPr>
            </w:pPr>
          </w:p>
        </w:tc>
        <w:tc>
          <w:tcPr>
            <w:tcW w:w="2822" w:type="pct"/>
            <w:noWrap w:val="0"/>
            <w:vAlign w:val="center"/>
          </w:tcPr>
          <w:p w14:paraId="1FCCF5F9">
            <w:pPr>
              <w:widowControl/>
              <w:jc w:val="left"/>
              <w:rPr>
                <w:rFonts w:hint="eastAsia" w:ascii="宋体" w:hAnsi="宋体" w:cs="宋体"/>
                <w:color w:val="auto"/>
                <w:kern w:val="0"/>
                <w:sz w:val="24"/>
                <w:highlight w:val="none"/>
              </w:rPr>
            </w:pPr>
            <w:r>
              <w:rPr>
                <w:rFonts w:hint="eastAsia" w:ascii="宋体" w:hAnsi="宋体" w:cs="宋体"/>
                <w:color w:val="auto"/>
                <w:kern w:val="0"/>
                <w:sz w:val="24"/>
                <w:highlight w:val="none"/>
              </w:rPr>
              <w:t>（六）投标人须由法定代表人或其委托代理人参加开标仪式，投标人若为法人投标，须提供法定代表人身份证明书（需由法定代表人签字或盖章）和法定代表人身份证原件；投标人若为被授权人投标，须提供法人代表授权书（需由法定代表人签字或盖章）和被授权人身份证原件.</w:t>
            </w:r>
          </w:p>
        </w:tc>
        <w:tc>
          <w:tcPr>
            <w:tcW w:w="931" w:type="pct"/>
            <w:noWrap w:val="0"/>
            <w:vAlign w:val="center"/>
          </w:tcPr>
          <w:p w14:paraId="18DB53B8">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是</w:t>
            </w:r>
          </w:p>
        </w:tc>
      </w:tr>
      <w:tr w14:paraId="0DB8874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52" w:hRule="atLeast"/>
          <w:jc w:val="center"/>
        </w:trPr>
        <w:tc>
          <w:tcPr>
            <w:tcW w:w="434" w:type="pct"/>
            <w:vMerge w:val="continue"/>
            <w:noWrap w:val="0"/>
            <w:vAlign w:val="center"/>
          </w:tcPr>
          <w:p w14:paraId="46CB9ECF">
            <w:pPr>
              <w:widowControl/>
              <w:jc w:val="center"/>
              <w:rPr>
                <w:rFonts w:hint="eastAsia" w:ascii="宋体" w:hAnsi="宋体" w:cs="宋体"/>
                <w:color w:val="auto"/>
                <w:kern w:val="0"/>
                <w:sz w:val="24"/>
                <w:highlight w:val="none"/>
              </w:rPr>
            </w:pPr>
          </w:p>
        </w:tc>
        <w:tc>
          <w:tcPr>
            <w:tcW w:w="812" w:type="pct"/>
            <w:vMerge w:val="continue"/>
            <w:noWrap w:val="0"/>
            <w:vAlign w:val="center"/>
          </w:tcPr>
          <w:p w14:paraId="004DB7CA">
            <w:pPr>
              <w:widowControl/>
              <w:jc w:val="center"/>
              <w:rPr>
                <w:rFonts w:ascii="宋体" w:hAnsi="宋体" w:cs="宋体"/>
                <w:color w:val="auto"/>
                <w:kern w:val="0"/>
                <w:sz w:val="24"/>
                <w:highlight w:val="none"/>
              </w:rPr>
            </w:pPr>
          </w:p>
        </w:tc>
        <w:tc>
          <w:tcPr>
            <w:tcW w:w="2822" w:type="pct"/>
            <w:noWrap w:val="0"/>
            <w:vAlign w:val="center"/>
          </w:tcPr>
          <w:p w14:paraId="0932EF68">
            <w:pPr>
              <w:widowControl/>
              <w:jc w:val="left"/>
              <w:rPr>
                <w:rFonts w:hint="eastAsia" w:ascii="宋体" w:hAnsi="宋体" w:cs="宋体"/>
                <w:color w:val="auto"/>
                <w:kern w:val="0"/>
                <w:sz w:val="24"/>
                <w:highlight w:val="none"/>
              </w:rPr>
            </w:pPr>
            <w:r>
              <w:rPr>
                <w:rFonts w:hint="eastAsia" w:ascii="宋体" w:hAnsi="宋体" w:cs="宋体"/>
                <w:color w:val="auto"/>
                <w:kern w:val="0"/>
                <w:sz w:val="24"/>
                <w:highlight w:val="none"/>
              </w:rPr>
              <w:t>（七）本项目是否接受联合体投标.</w:t>
            </w:r>
          </w:p>
        </w:tc>
        <w:tc>
          <w:tcPr>
            <w:tcW w:w="931" w:type="pct"/>
            <w:noWrap w:val="0"/>
            <w:vAlign w:val="center"/>
          </w:tcPr>
          <w:p w14:paraId="67B803DA">
            <w:pPr>
              <w:widowControl/>
              <w:jc w:val="center"/>
              <w:rPr>
                <w:rFonts w:hint="eastAsia" w:ascii="宋体" w:hAnsi="宋体" w:cs="宋体" w:eastAsiaTheme="minorEastAsia"/>
                <w:color w:val="auto"/>
                <w:kern w:val="0"/>
                <w:sz w:val="24"/>
                <w:highlight w:val="none"/>
                <w:lang w:val="en-US" w:eastAsia="zh-CN"/>
              </w:rPr>
            </w:pPr>
            <w:r>
              <w:rPr>
                <w:rFonts w:hint="eastAsia" w:ascii="宋体" w:hAnsi="宋体" w:cs="宋体"/>
                <w:color w:val="auto"/>
                <w:kern w:val="0"/>
                <w:sz w:val="24"/>
                <w:highlight w:val="none"/>
                <w:lang w:val="en-US" w:eastAsia="zh-CN"/>
              </w:rPr>
              <w:t>否</w:t>
            </w:r>
          </w:p>
        </w:tc>
      </w:tr>
      <w:tr w14:paraId="7CAFDEB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52" w:hRule="atLeast"/>
          <w:jc w:val="center"/>
        </w:trPr>
        <w:tc>
          <w:tcPr>
            <w:tcW w:w="434" w:type="pct"/>
            <w:vMerge w:val="restart"/>
            <w:noWrap w:val="0"/>
            <w:vAlign w:val="center"/>
          </w:tcPr>
          <w:p w14:paraId="0A211994">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2</w:t>
            </w:r>
          </w:p>
        </w:tc>
        <w:tc>
          <w:tcPr>
            <w:tcW w:w="812" w:type="pct"/>
            <w:vMerge w:val="restart"/>
            <w:noWrap w:val="0"/>
            <w:vAlign w:val="center"/>
          </w:tcPr>
          <w:p w14:paraId="387F3489">
            <w:pPr>
              <w:widowControl/>
              <w:jc w:val="center"/>
              <w:rPr>
                <w:rFonts w:ascii="宋体" w:hAnsi="宋体" w:cs="宋体"/>
                <w:color w:val="auto"/>
                <w:kern w:val="0"/>
                <w:sz w:val="24"/>
                <w:highlight w:val="none"/>
              </w:rPr>
            </w:pPr>
            <w:r>
              <w:rPr>
                <w:rFonts w:hint="eastAsia" w:ascii="宋体" w:hAnsi="宋体"/>
                <w:color w:val="auto"/>
                <w:sz w:val="24"/>
                <w:highlight w:val="none"/>
              </w:rPr>
              <w:t>服务要求</w:t>
            </w:r>
          </w:p>
        </w:tc>
        <w:tc>
          <w:tcPr>
            <w:tcW w:w="2822" w:type="pct"/>
            <w:noWrap w:val="0"/>
            <w:vAlign w:val="center"/>
          </w:tcPr>
          <w:p w14:paraId="379F6ED7">
            <w:pPr>
              <w:autoSpaceDE w:val="0"/>
              <w:autoSpaceDN w:val="0"/>
              <w:adjustRightInd w:val="0"/>
              <w:spacing w:line="360" w:lineRule="auto"/>
              <w:rPr>
                <w:rFonts w:hint="eastAsia" w:ascii="宋体" w:hAnsi="宋体" w:cs="宋体"/>
                <w:color w:val="auto"/>
                <w:kern w:val="0"/>
                <w:sz w:val="24"/>
                <w:highlight w:val="none"/>
              </w:rPr>
            </w:pPr>
            <w:r>
              <w:rPr>
                <w:rFonts w:hint="eastAsia"/>
                <w:color w:val="auto"/>
                <w:sz w:val="24"/>
                <w:highlight w:val="none"/>
              </w:rPr>
              <w:t xml:space="preserve">1. </w:t>
            </w:r>
            <w:r>
              <w:rPr>
                <w:rFonts w:hint="eastAsia" w:hAnsiTheme="minorEastAsia"/>
                <w:color w:val="auto"/>
                <w:sz w:val="24"/>
                <w:highlight w:val="none"/>
              </w:rPr>
              <w:t>提供所投产品</w:t>
            </w:r>
            <w:r>
              <w:rPr>
                <w:rFonts w:hint="eastAsia"/>
                <w:color w:val="auto"/>
                <w:sz w:val="24"/>
                <w:highlight w:val="none"/>
              </w:rPr>
              <w:t>3</w:t>
            </w:r>
            <w:r>
              <w:rPr>
                <w:rFonts w:hint="eastAsia" w:hAnsiTheme="minorEastAsia"/>
                <w:color w:val="auto"/>
                <w:sz w:val="24"/>
                <w:highlight w:val="none"/>
              </w:rPr>
              <w:t>年的免费上门保修，终身维修。保修期内免费更换零配件，</w:t>
            </w:r>
            <w:r>
              <w:rPr>
                <w:rFonts w:hint="eastAsia"/>
                <w:color w:val="auto"/>
                <w:sz w:val="24"/>
                <w:highlight w:val="none"/>
              </w:rPr>
              <w:t>7×24</w:t>
            </w:r>
            <w:r>
              <w:rPr>
                <w:rFonts w:hint="eastAsia" w:hAnsiTheme="minorEastAsia"/>
                <w:color w:val="auto"/>
                <w:sz w:val="24"/>
                <w:highlight w:val="none"/>
              </w:rPr>
              <w:t>小时技术响应，</w:t>
            </w:r>
            <w:r>
              <w:rPr>
                <w:rFonts w:hint="eastAsia"/>
                <w:color w:val="auto"/>
                <w:sz w:val="24"/>
                <w:highlight w:val="none"/>
              </w:rPr>
              <w:t>48</w:t>
            </w:r>
            <w:r>
              <w:rPr>
                <w:rFonts w:hint="eastAsia" w:hAnsiTheme="minorEastAsia"/>
                <w:color w:val="auto"/>
                <w:sz w:val="24"/>
                <w:highlight w:val="none"/>
              </w:rPr>
              <w:t>小时内维修工程师到达维修现场。保修期自验收合格之日起计算。</w:t>
            </w:r>
          </w:p>
        </w:tc>
        <w:tc>
          <w:tcPr>
            <w:tcW w:w="931" w:type="pct"/>
            <w:noWrap w:val="0"/>
            <w:vAlign w:val="center"/>
          </w:tcPr>
          <w:p w14:paraId="1B4C033F">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是</w:t>
            </w:r>
          </w:p>
        </w:tc>
      </w:tr>
      <w:tr w14:paraId="6B27620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52" w:hRule="atLeast"/>
          <w:jc w:val="center"/>
        </w:trPr>
        <w:tc>
          <w:tcPr>
            <w:tcW w:w="434" w:type="pct"/>
            <w:vMerge w:val="continue"/>
            <w:noWrap w:val="0"/>
            <w:vAlign w:val="center"/>
          </w:tcPr>
          <w:p w14:paraId="5260257D">
            <w:pPr>
              <w:widowControl/>
              <w:jc w:val="center"/>
              <w:rPr>
                <w:rFonts w:hint="eastAsia" w:ascii="宋体" w:hAnsi="宋体" w:cs="宋体"/>
                <w:color w:val="auto"/>
                <w:kern w:val="0"/>
                <w:sz w:val="24"/>
                <w:highlight w:val="none"/>
              </w:rPr>
            </w:pPr>
          </w:p>
        </w:tc>
        <w:tc>
          <w:tcPr>
            <w:tcW w:w="812" w:type="pct"/>
            <w:vMerge w:val="continue"/>
            <w:noWrap w:val="0"/>
            <w:vAlign w:val="center"/>
          </w:tcPr>
          <w:p w14:paraId="521895FC">
            <w:pPr>
              <w:widowControl/>
              <w:jc w:val="center"/>
              <w:rPr>
                <w:rFonts w:ascii="宋体" w:hAnsi="宋体" w:cs="宋体"/>
                <w:color w:val="auto"/>
                <w:kern w:val="0"/>
                <w:sz w:val="24"/>
                <w:highlight w:val="none"/>
              </w:rPr>
            </w:pPr>
          </w:p>
        </w:tc>
        <w:tc>
          <w:tcPr>
            <w:tcW w:w="2822" w:type="pct"/>
            <w:noWrap w:val="0"/>
            <w:vAlign w:val="center"/>
          </w:tcPr>
          <w:p w14:paraId="25186F4B">
            <w:pPr>
              <w:widowControl/>
              <w:jc w:val="left"/>
              <w:rPr>
                <w:rFonts w:hint="eastAsia" w:ascii="宋体" w:hAnsi="宋体" w:cs="宋体" w:eastAsiaTheme="minorEastAsia"/>
                <w:color w:val="auto"/>
                <w:kern w:val="0"/>
                <w:sz w:val="24"/>
                <w:highlight w:val="none"/>
                <w:lang w:eastAsia="zh-CN"/>
              </w:rPr>
            </w:pPr>
            <w:r>
              <w:rPr>
                <w:rFonts w:hint="eastAsia" w:ascii="宋体" w:hAnsi="宋体" w:cs="宋体"/>
                <w:color w:val="auto"/>
                <w:kern w:val="0"/>
                <w:sz w:val="24"/>
                <w:highlight w:val="none"/>
              </w:rPr>
              <w:t>2. 服务期：合同签订后一个月内。</w:t>
            </w:r>
            <w:r>
              <w:rPr>
                <w:rFonts w:hint="eastAsia" w:ascii="宋体" w:hAnsi="宋体" w:cs="宋体"/>
                <w:color w:val="auto"/>
                <w:kern w:val="0"/>
                <w:sz w:val="24"/>
                <w:highlight w:val="none"/>
                <w:lang w:eastAsia="zh-CN"/>
              </w:rPr>
              <w:t>（</w:t>
            </w:r>
            <w:r>
              <w:rPr>
                <w:rFonts w:hint="eastAsia" w:ascii="宋体" w:hAnsi="宋体" w:cs="宋体"/>
                <w:color w:val="auto"/>
                <w:kern w:val="0"/>
                <w:sz w:val="24"/>
                <w:highlight w:val="none"/>
                <w:lang w:val="en-US" w:eastAsia="zh-CN"/>
              </w:rPr>
              <w:t>特殊情以合同为准</w:t>
            </w:r>
            <w:r>
              <w:rPr>
                <w:rFonts w:hint="eastAsia" w:ascii="宋体" w:hAnsi="宋体" w:cs="宋体"/>
                <w:color w:val="auto"/>
                <w:kern w:val="0"/>
                <w:sz w:val="24"/>
                <w:highlight w:val="none"/>
                <w:lang w:eastAsia="zh-CN"/>
              </w:rPr>
              <w:t>）</w:t>
            </w:r>
          </w:p>
        </w:tc>
        <w:tc>
          <w:tcPr>
            <w:tcW w:w="931" w:type="pct"/>
            <w:noWrap w:val="0"/>
            <w:vAlign w:val="center"/>
          </w:tcPr>
          <w:p w14:paraId="2761FBE2">
            <w:pPr>
              <w:widowControl/>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是</w:t>
            </w:r>
          </w:p>
        </w:tc>
      </w:tr>
      <w:tr w14:paraId="36C701E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52" w:hRule="atLeast"/>
          <w:jc w:val="center"/>
        </w:trPr>
        <w:tc>
          <w:tcPr>
            <w:tcW w:w="434" w:type="pct"/>
            <w:vMerge w:val="continue"/>
            <w:noWrap w:val="0"/>
            <w:vAlign w:val="center"/>
          </w:tcPr>
          <w:p w14:paraId="164B3CBF">
            <w:pPr>
              <w:widowControl/>
              <w:jc w:val="center"/>
              <w:rPr>
                <w:rFonts w:hint="eastAsia" w:ascii="宋体" w:hAnsi="宋体" w:cs="宋体"/>
                <w:color w:val="auto"/>
                <w:kern w:val="0"/>
                <w:sz w:val="24"/>
                <w:highlight w:val="none"/>
              </w:rPr>
            </w:pPr>
          </w:p>
        </w:tc>
        <w:tc>
          <w:tcPr>
            <w:tcW w:w="812" w:type="pct"/>
            <w:vMerge w:val="continue"/>
            <w:noWrap w:val="0"/>
            <w:vAlign w:val="center"/>
          </w:tcPr>
          <w:p w14:paraId="0A48E7E0">
            <w:pPr>
              <w:widowControl/>
              <w:jc w:val="center"/>
              <w:rPr>
                <w:rFonts w:ascii="宋体" w:hAnsi="宋体" w:cs="宋体"/>
                <w:color w:val="auto"/>
                <w:kern w:val="0"/>
                <w:sz w:val="24"/>
                <w:highlight w:val="none"/>
              </w:rPr>
            </w:pPr>
          </w:p>
        </w:tc>
        <w:tc>
          <w:tcPr>
            <w:tcW w:w="2822" w:type="pct"/>
            <w:noWrap w:val="0"/>
            <w:vAlign w:val="center"/>
          </w:tcPr>
          <w:p w14:paraId="659FD4A9">
            <w:pPr>
              <w:rPr>
                <w:rFonts w:hint="eastAsia" w:ascii="宋体" w:hAnsi="宋体" w:cs="宋体" w:eastAsiaTheme="minorEastAsia"/>
                <w:color w:val="auto"/>
                <w:kern w:val="0"/>
                <w:sz w:val="24"/>
                <w:highlight w:val="none"/>
                <w:lang w:eastAsia="zh-CN"/>
              </w:rPr>
            </w:pPr>
            <w:r>
              <w:rPr>
                <w:rFonts w:hint="eastAsia" w:ascii="宋体" w:hAnsi="宋体" w:cs="宋体"/>
                <w:color w:val="auto"/>
                <w:kern w:val="0"/>
                <w:sz w:val="24"/>
                <w:highlight w:val="none"/>
              </w:rPr>
              <w:t>3.付款方式：</w:t>
            </w:r>
            <w:r>
              <w:rPr>
                <w:rFonts w:hint="eastAsia" w:ascii="宋体" w:hAnsi="宋体" w:eastAsia="宋体" w:cs="Times New Roman"/>
                <w:color w:val="auto"/>
                <w:kern w:val="0"/>
                <w:sz w:val="24"/>
                <w:highlight w:val="none"/>
                <w:lang w:val="en-US" w:eastAsia="zh-CN"/>
              </w:rPr>
              <w:t>合同签订后10个工作日内，乙方向甲方提交合同总金额10%的履约保证金（以电汇或银行保函形式提交）。项目全部完成并经甲方最后验收合格后，甲方向乙方一次性支付100%合同总金额。履约保证金在项目验收合格满</w:t>
            </w:r>
            <w:r>
              <w:rPr>
                <w:rFonts w:hint="eastAsia" w:ascii="宋体" w:hAnsi="宋体" w:eastAsia="宋体" w:cs="Times New Roman"/>
                <w:color w:val="auto"/>
                <w:kern w:val="0"/>
                <w:sz w:val="24"/>
                <w:highlight w:val="none"/>
              </w:rPr>
              <w:t>一</w:t>
            </w:r>
            <w:r>
              <w:rPr>
                <w:rFonts w:hint="eastAsia" w:ascii="宋体" w:hAnsi="宋体"/>
                <w:color w:val="auto"/>
                <w:kern w:val="0"/>
                <w:sz w:val="24"/>
                <w:highlight w:val="none"/>
              </w:rPr>
              <w:t>年</w:t>
            </w:r>
            <w:r>
              <w:rPr>
                <w:rFonts w:hint="eastAsia" w:ascii="宋体" w:hAnsi="宋体"/>
                <w:color w:val="auto"/>
                <w:kern w:val="0"/>
                <w:sz w:val="24"/>
                <w:highlight w:val="none"/>
                <w:lang w:val="en-US" w:eastAsia="zh-CN"/>
              </w:rPr>
              <w:t>且无质量及服务问题后，由甲方一次性无息退还</w:t>
            </w:r>
            <w:r>
              <w:rPr>
                <w:rFonts w:hint="eastAsia" w:ascii="宋体" w:hAnsi="宋体"/>
                <w:color w:val="auto"/>
                <w:kern w:val="0"/>
                <w:sz w:val="24"/>
                <w:highlight w:val="none"/>
              </w:rPr>
              <w:t>。</w:t>
            </w:r>
            <w:r>
              <w:rPr>
                <w:rFonts w:hint="eastAsia" w:ascii="宋体" w:hAnsi="宋体"/>
                <w:color w:val="auto"/>
                <w:kern w:val="0"/>
                <w:sz w:val="24"/>
                <w:highlight w:val="none"/>
                <w:lang w:eastAsia="zh-CN"/>
              </w:rPr>
              <w:t>（</w:t>
            </w:r>
            <w:r>
              <w:rPr>
                <w:rFonts w:hint="eastAsia" w:ascii="宋体" w:hAnsi="宋体"/>
                <w:color w:val="auto"/>
                <w:kern w:val="0"/>
                <w:sz w:val="24"/>
                <w:highlight w:val="none"/>
                <w:lang w:val="en-US" w:eastAsia="zh-CN"/>
              </w:rPr>
              <w:t>特殊情况以合同为准</w:t>
            </w:r>
            <w:r>
              <w:rPr>
                <w:rFonts w:hint="eastAsia" w:ascii="宋体" w:hAnsi="宋体"/>
                <w:color w:val="auto"/>
                <w:kern w:val="0"/>
                <w:sz w:val="24"/>
                <w:highlight w:val="none"/>
                <w:lang w:eastAsia="zh-CN"/>
              </w:rPr>
              <w:t>）</w:t>
            </w:r>
          </w:p>
        </w:tc>
        <w:tc>
          <w:tcPr>
            <w:tcW w:w="931" w:type="pct"/>
            <w:noWrap w:val="0"/>
            <w:vAlign w:val="center"/>
          </w:tcPr>
          <w:p w14:paraId="7A5E818F">
            <w:pPr>
              <w:widowControl/>
              <w:jc w:val="center"/>
              <w:rPr>
                <w:rFonts w:hint="eastAsia" w:ascii="宋体" w:hAnsi="宋体" w:cs="宋体" w:eastAsiaTheme="minorEastAsia"/>
                <w:color w:val="auto"/>
                <w:kern w:val="0"/>
                <w:sz w:val="24"/>
                <w:highlight w:val="none"/>
                <w:lang w:val="en-US" w:eastAsia="zh-CN"/>
              </w:rPr>
            </w:pPr>
            <w:r>
              <w:rPr>
                <w:rFonts w:hint="eastAsia" w:ascii="宋体" w:hAnsi="宋体" w:cs="宋体"/>
                <w:color w:val="auto"/>
                <w:kern w:val="0"/>
                <w:sz w:val="24"/>
                <w:highlight w:val="none"/>
                <w:lang w:val="en-US" w:eastAsia="zh-CN"/>
              </w:rPr>
              <w:t>否</w:t>
            </w:r>
          </w:p>
        </w:tc>
      </w:tr>
      <w:tr w14:paraId="3A3229F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52" w:hRule="atLeast"/>
          <w:jc w:val="center"/>
        </w:trPr>
        <w:tc>
          <w:tcPr>
            <w:tcW w:w="434" w:type="pct"/>
            <w:vMerge w:val="continue"/>
            <w:noWrap w:val="0"/>
            <w:vAlign w:val="center"/>
          </w:tcPr>
          <w:p w14:paraId="0120604D">
            <w:pPr>
              <w:widowControl/>
              <w:jc w:val="center"/>
              <w:rPr>
                <w:rFonts w:hint="eastAsia" w:ascii="宋体" w:hAnsi="宋体" w:cs="宋体"/>
                <w:color w:val="auto"/>
                <w:kern w:val="0"/>
                <w:sz w:val="24"/>
                <w:highlight w:val="none"/>
              </w:rPr>
            </w:pPr>
          </w:p>
        </w:tc>
        <w:tc>
          <w:tcPr>
            <w:tcW w:w="812" w:type="pct"/>
            <w:vMerge w:val="continue"/>
            <w:noWrap w:val="0"/>
            <w:vAlign w:val="center"/>
          </w:tcPr>
          <w:p w14:paraId="5228F385">
            <w:pPr>
              <w:widowControl/>
              <w:jc w:val="center"/>
              <w:rPr>
                <w:rFonts w:ascii="宋体" w:hAnsi="宋体" w:cs="宋体"/>
                <w:color w:val="auto"/>
                <w:kern w:val="0"/>
                <w:sz w:val="24"/>
                <w:highlight w:val="none"/>
              </w:rPr>
            </w:pPr>
          </w:p>
        </w:tc>
        <w:tc>
          <w:tcPr>
            <w:tcW w:w="2822" w:type="pct"/>
            <w:noWrap w:val="0"/>
            <w:vAlign w:val="center"/>
          </w:tcPr>
          <w:p w14:paraId="5BBCBA23">
            <w:pPr>
              <w:widowControl/>
              <w:jc w:val="left"/>
              <w:rPr>
                <w:rFonts w:hint="eastAsia" w:ascii="宋体" w:hAnsi="宋体" w:cs="宋体" w:eastAsiaTheme="minorEastAsia"/>
                <w:color w:val="auto"/>
                <w:kern w:val="0"/>
                <w:sz w:val="24"/>
                <w:highlight w:val="none"/>
                <w:lang w:val="en-US" w:eastAsia="zh-CN"/>
              </w:rPr>
            </w:pPr>
            <w:r>
              <w:rPr>
                <w:rFonts w:hint="eastAsia" w:ascii="宋体" w:hAnsi="宋体" w:cs="宋体"/>
                <w:color w:val="auto"/>
                <w:kern w:val="0"/>
                <w:sz w:val="24"/>
                <w:highlight w:val="none"/>
              </w:rPr>
              <w:t>4.其他要求：</w:t>
            </w:r>
            <w:r>
              <w:rPr>
                <w:rFonts w:hint="eastAsia" w:ascii="宋体" w:hAnsi="宋体" w:cs="宋体"/>
                <w:color w:val="auto"/>
                <w:kern w:val="0"/>
                <w:sz w:val="24"/>
                <w:highlight w:val="none"/>
                <w:lang w:val="en-US" w:eastAsia="zh-CN"/>
              </w:rPr>
              <w:t>无</w:t>
            </w:r>
          </w:p>
        </w:tc>
        <w:tc>
          <w:tcPr>
            <w:tcW w:w="931" w:type="pct"/>
            <w:noWrap w:val="0"/>
            <w:vAlign w:val="center"/>
          </w:tcPr>
          <w:p w14:paraId="344EF7C9">
            <w:pPr>
              <w:widowControl/>
              <w:jc w:val="center"/>
              <w:rPr>
                <w:rFonts w:hint="eastAsia" w:ascii="宋体" w:hAnsi="宋体" w:cs="宋体"/>
                <w:color w:val="auto"/>
                <w:kern w:val="0"/>
                <w:sz w:val="24"/>
                <w:highlight w:val="none"/>
              </w:rPr>
            </w:pPr>
          </w:p>
        </w:tc>
      </w:tr>
      <w:tr w14:paraId="74C0ED9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52" w:hRule="atLeast"/>
          <w:jc w:val="center"/>
        </w:trPr>
        <w:tc>
          <w:tcPr>
            <w:tcW w:w="434" w:type="pct"/>
            <w:noWrap w:val="0"/>
            <w:vAlign w:val="center"/>
          </w:tcPr>
          <w:p w14:paraId="7394DE4A">
            <w:pPr>
              <w:widowControl/>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3</w:t>
            </w:r>
          </w:p>
        </w:tc>
        <w:tc>
          <w:tcPr>
            <w:tcW w:w="812" w:type="pct"/>
            <w:noWrap w:val="0"/>
            <w:vAlign w:val="center"/>
          </w:tcPr>
          <w:p w14:paraId="2DACE69F">
            <w:pPr>
              <w:jc w:val="center"/>
              <w:rPr>
                <w:rFonts w:ascii="宋体" w:hAnsi="宋体" w:cs="宋体"/>
                <w:color w:val="auto"/>
                <w:kern w:val="0"/>
                <w:sz w:val="24"/>
                <w:highlight w:val="none"/>
              </w:rPr>
            </w:pPr>
            <w:r>
              <w:rPr>
                <w:rFonts w:hint="eastAsia" w:ascii="宋体" w:hAnsi="宋体"/>
                <w:color w:val="auto"/>
                <w:sz w:val="24"/>
                <w:highlight w:val="none"/>
              </w:rPr>
              <w:t>交货期</w:t>
            </w:r>
          </w:p>
        </w:tc>
        <w:tc>
          <w:tcPr>
            <w:tcW w:w="2822" w:type="pct"/>
            <w:noWrap w:val="0"/>
            <w:vAlign w:val="center"/>
          </w:tcPr>
          <w:p w14:paraId="66CE6A45">
            <w:pPr>
              <w:jc w:val="left"/>
              <w:rPr>
                <w:rFonts w:ascii="宋体" w:hAnsi="宋体" w:cs="宋体"/>
                <w:color w:val="auto"/>
                <w:kern w:val="0"/>
                <w:sz w:val="24"/>
                <w:highlight w:val="none"/>
              </w:rPr>
            </w:pPr>
            <w:r>
              <w:rPr>
                <w:rFonts w:hint="eastAsia" w:ascii="宋体" w:hAnsi="宋体"/>
                <w:color w:val="auto"/>
                <w:sz w:val="24"/>
                <w:highlight w:val="none"/>
              </w:rPr>
              <w:t>签订合同之日起</w:t>
            </w:r>
            <w:r>
              <w:rPr>
                <w:rFonts w:hint="eastAsia" w:ascii="宋体" w:hAnsi="宋体"/>
                <w:color w:val="auto"/>
                <w:sz w:val="24"/>
                <w:highlight w:val="none"/>
                <w:lang w:val="en-US" w:eastAsia="zh-CN"/>
              </w:rPr>
              <w:t>20</w:t>
            </w:r>
            <w:r>
              <w:rPr>
                <w:rFonts w:hint="eastAsia" w:ascii="宋体" w:hAnsi="宋体"/>
                <w:color w:val="auto"/>
                <w:sz w:val="24"/>
                <w:highlight w:val="none"/>
              </w:rPr>
              <w:t>日内完成（特殊情况以合同为准）。</w:t>
            </w:r>
          </w:p>
        </w:tc>
        <w:tc>
          <w:tcPr>
            <w:tcW w:w="931" w:type="pct"/>
            <w:noWrap w:val="0"/>
            <w:vAlign w:val="center"/>
          </w:tcPr>
          <w:p w14:paraId="6C93E920">
            <w:pPr>
              <w:widowControl/>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是</w:t>
            </w:r>
          </w:p>
        </w:tc>
      </w:tr>
      <w:tr w14:paraId="3FEB090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52" w:hRule="atLeast"/>
          <w:jc w:val="center"/>
        </w:trPr>
        <w:tc>
          <w:tcPr>
            <w:tcW w:w="434" w:type="pct"/>
            <w:noWrap w:val="0"/>
            <w:vAlign w:val="center"/>
          </w:tcPr>
          <w:p w14:paraId="0604F28F">
            <w:pPr>
              <w:widowControl/>
              <w:jc w:val="center"/>
              <w:rPr>
                <w:rFonts w:hint="eastAsia" w:ascii="宋体" w:hAnsi="宋体" w:cs="宋体" w:eastAsiaTheme="minorEastAsia"/>
                <w:color w:val="auto"/>
                <w:kern w:val="0"/>
                <w:sz w:val="24"/>
                <w:highlight w:val="none"/>
                <w:lang w:val="en-US" w:eastAsia="zh-CN"/>
              </w:rPr>
            </w:pPr>
            <w:r>
              <w:rPr>
                <w:rFonts w:hint="eastAsia" w:ascii="宋体" w:hAnsi="宋体" w:cs="宋体"/>
                <w:color w:val="auto"/>
                <w:kern w:val="0"/>
                <w:sz w:val="24"/>
                <w:highlight w:val="none"/>
                <w:lang w:val="en-US" w:eastAsia="zh-CN"/>
              </w:rPr>
              <w:t>4</w:t>
            </w:r>
          </w:p>
        </w:tc>
        <w:tc>
          <w:tcPr>
            <w:tcW w:w="812" w:type="pct"/>
            <w:noWrap w:val="0"/>
            <w:vAlign w:val="center"/>
          </w:tcPr>
          <w:p w14:paraId="236F4B38">
            <w:pPr>
              <w:jc w:val="center"/>
              <w:rPr>
                <w:rFonts w:hint="default" w:ascii="宋体" w:hAnsi="宋体" w:eastAsiaTheme="minorEastAsia"/>
                <w:color w:val="auto"/>
                <w:sz w:val="24"/>
                <w:highlight w:val="none"/>
                <w:lang w:val="en-US" w:eastAsia="zh-CN"/>
              </w:rPr>
            </w:pPr>
            <w:r>
              <w:rPr>
                <w:rFonts w:hint="eastAsia" w:ascii="宋体" w:hAnsi="宋体"/>
                <w:color w:val="auto"/>
                <w:sz w:val="24"/>
                <w:highlight w:val="none"/>
                <w:lang w:val="en-US" w:eastAsia="zh-CN"/>
              </w:rPr>
              <w:t>交货地点</w:t>
            </w:r>
          </w:p>
        </w:tc>
        <w:tc>
          <w:tcPr>
            <w:tcW w:w="2822" w:type="pct"/>
            <w:noWrap w:val="0"/>
            <w:vAlign w:val="center"/>
          </w:tcPr>
          <w:p w14:paraId="6A617244">
            <w:pPr>
              <w:jc w:val="left"/>
              <w:rPr>
                <w:rFonts w:hint="eastAsia" w:ascii="宋体" w:hAnsi="宋体"/>
                <w:color w:val="auto"/>
                <w:sz w:val="24"/>
                <w:highlight w:val="none"/>
              </w:rPr>
            </w:pPr>
            <w:r>
              <w:rPr>
                <w:rFonts w:hint="eastAsia" w:ascii="宋体" w:hAnsi="宋体"/>
                <w:sz w:val="24"/>
              </w:rPr>
              <w:t>天津市滨海新区塘沽东大街28号</w:t>
            </w:r>
            <w:r>
              <w:rPr>
                <w:rFonts w:hint="eastAsia" w:ascii="宋体" w:hAnsi="宋体"/>
                <w:sz w:val="24"/>
                <w:lang w:eastAsia="zh-CN"/>
              </w:rPr>
              <w:t>，</w:t>
            </w:r>
            <w:r>
              <w:rPr>
                <w:rFonts w:hint="eastAsia" w:ascii="宋体" w:hAnsi="宋体"/>
                <w:sz w:val="24"/>
                <w:lang w:val="en-US" w:eastAsia="zh-CN"/>
              </w:rPr>
              <w:t>具体地点由</w:t>
            </w:r>
            <w:r>
              <w:rPr>
                <w:rFonts w:hint="eastAsia" w:hAnsiTheme="minorEastAsia"/>
                <w:color w:val="auto"/>
                <w:sz w:val="24"/>
                <w:highlight w:val="none"/>
              </w:rPr>
              <w:t>采购人指定</w:t>
            </w:r>
            <w:r>
              <w:rPr>
                <w:rFonts w:hint="eastAsia" w:hAnsiTheme="minorEastAsia"/>
                <w:color w:val="auto"/>
                <w:sz w:val="24"/>
                <w:highlight w:val="none"/>
                <w:lang w:eastAsia="zh-CN"/>
              </w:rPr>
              <w:t>。</w:t>
            </w:r>
            <w:r>
              <w:rPr>
                <w:rFonts w:hint="eastAsia" w:hAnsiTheme="minorEastAsia"/>
                <w:color w:val="auto"/>
                <w:sz w:val="24"/>
                <w:highlight w:val="none"/>
              </w:rPr>
              <w:t>（特殊情况以合同为准）。</w:t>
            </w:r>
          </w:p>
        </w:tc>
        <w:tc>
          <w:tcPr>
            <w:tcW w:w="931" w:type="pct"/>
            <w:noWrap w:val="0"/>
            <w:vAlign w:val="center"/>
          </w:tcPr>
          <w:p w14:paraId="089C323B">
            <w:pPr>
              <w:widowControl/>
              <w:jc w:val="center"/>
              <w:rPr>
                <w:rFonts w:hint="eastAsia" w:ascii="宋体" w:hAnsi="宋体" w:cs="宋体" w:eastAsiaTheme="minorEastAsia"/>
                <w:color w:val="auto"/>
                <w:kern w:val="0"/>
                <w:sz w:val="24"/>
                <w:highlight w:val="none"/>
                <w:lang w:val="en-US" w:eastAsia="zh-CN"/>
              </w:rPr>
            </w:pPr>
            <w:r>
              <w:rPr>
                <w:rFonts w:hint="eastAsia" w:ascii="宋体" w:hAnsi="宋体" w:cs="宋体"/>
                <w:color w:val="auto"/>
                <w:kern w:val="0"/>
                <w:sz w:val="24"/>
                <w:highlight w:val="none"/>
                <w:lang w:val="en-US" w:eastAsia="zh-CN"/>
              </w:rPr>
              <w:t>是</w:t>
            </w:r>
          </w:p>
        </w:tc>
      </w:tr>
      <w:tr w14:paraId="237F352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52" w:hRule="atLeast"/>
          <w:jc w:val="center"/>
        </w:trPr>
        <w:tc>
          <w:tcPr>
            <w:tcW w:w="434" w:type="pct"/>
            <w:noWrap w:val="0"/>
            <w:vAlign w:val="center"/>
          </w:tcPr>
          <w:p w14:paraId="6CDF7A18">
            <w:pPr>
              <w:widowControl/>
              <w:jc w:val="center"/>
              <w:rPr>
                <w:rFonts w:hint="eastAsia" w:ascii="宋体" w:hAnsi="宋体" w:cs="宋体" w:eastAsiaTheme="minorEastAsia"/>
                <w:color w:val="auto"/>
                <w:kern w:val="0"/>
                <w:sz w:val="24"/>
                <w:highlight w:val="none"/>
                <w:lang w:val="en-US" w:eastAsia="zh-CN"/>
              </w:rPr>
            </w:pPr>
            <w:r>
              <w:rPr>
                <w:rFonts w:hint="eastAsia" w:ascii="宋体" w:hAnsi="宋体" w:cs="宋体"/>
                <w:color w:val="auto"/>
                <w:kern w:val="0"/>
                <w:sz w:val="24"/>
                <w:highlight w:val="none"/>
                <w:lang w:val="en-US" w:eastAsia="zh-CN"/>
              </w:rPr>
              <w:t>5</w:t>
            </w:r>
          </w:p>
        </w:tc>
        <w:tc>
          <w:tcPr>
            <w:tcW w:w="812" w:type="pct"/>
            <w:noWrap w:val="0"/>
            <w:vAlign w:val="center"/>
          </w:tcPr>
          <w:p w14:paraId="2A7D16B5">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其他要求</w:t>
            </w:r>
          </w:p>
        </w:tc>
        <w:tc>
          <w:tcPr>
            <w:tcW w:w="2822" w:type="pct"/>
            <w:noWrap w:val="0"/>
            <w:vAlign w:val="center"/>
          </w:tcPr>
          <w:p w14:paraId="6322D0BF">
            <w:pPr>
              <w:widowControl/>
              <w:jc w:val="left"/>
              <w:rPr>
                <w:rFonts w:hint="eastAsia" w:ascii="宋体" w:hAnsi="宋体" w:cs="宋体"/>
                <w:color w:val="auto"/>
                <w:kern w:val="0"/>
                <w:sz w:val="24"/>
                <w:highlight w:val="none"/>
              </w:rPr>
            </w:pPr>
            <w:r>
              <w:rPr>
                <w:rFonts w:hint="eastAsia" w:ascii="宋体" w:hAnsi="宋体" w:cs="宋体"/>
                <w:color w:val="auto"/>
                <w:kern w:val="0"/>
                <w:sz w:val="24"/>
                <w:highlight w:val="none"/>
              </w:rPr>
              <w:t>投标人实施能力</w:t>
            </w:r>
          </w:p>
          <w:p w14:paraId="3A98A579">
            <w:pPr>
              <w:widowControl/>
              <w:jc w:val="left"/>
              <w:rPr>
                <w:rFonts w:hint="eastAsia" w:ascii="宋体" w:hAnsi="宋体" w:cs="宋体"/>
                <w:color w:val="auto"/>
                <w:kern w:val="0"/>
                <w:sz w:val="24"/>
                <w:highlight w:val="none"/>
              </w:rPr>
            </w:pPr>
            <w:r>
              <w:rPr>
                <w:rFonts w:hint="eastAsia" w:ascii="宋体" w:hAnsi="宋体" w:cs="宋体"/>
                <w:color w:val="auto"/>
                <w:kern w:val="0"/>
                <w:sz w:val="24"/>
                <w:highlight w:val="none"/>
              </w:rPr>
              <w:t>完全按照以下要求提供与本项目规模及内容相当且已完成的20</w:t>
            </w:r>
            <w:r>
              <w:rPr>
                <w:rFonts w:hint="eastAsia" w:ascii="宋体" w:hAnsi="宋体" w:cs="宋体"/>
                <w:color w:val="auto"/>
                <w:kern w:val="0"/>
                <w:sz w:val="24"/>
                <w:highlight w:val="none"/>
                <w:lang w:val="en-US" w:eastAsia="zh-CN"/>
              </w:rPr>
              <w:t>23</w:t>
            </w:r>
            <w:r>
              <w:rPr>
                <w:rFonts w:hint="eastAsia" w:ascii="宋体" w:hAnsi="宋体" w:cs="宋体"/>
                <w:color w:val="auto"/>
                <w:kern w:val="0"/>
                <w:sz w:val="24"/>
                <w:highlight w:val="none"/>
              </w:rPr>
              <w:t>年至今的成功案例，按照以下要求执行提供的证明材料均不得遮挡涂黑。</w:t>
            </w:r>
          </w:p>
          <w:p w14:paraId="06504300">
            <w:pPr>
              <w:widowControl/>
              <w:jc w:val="left"/>
              <w:rPr>
                <w:rFonts w:hint="eastAsia" w:ascii="宋体" w:hAnsi="宋体" w:cs="宋体"/>
                <w:color w:val="auto"/>
                <w:kern w:val="0"/>
                <w:sz w:val="24"/>
                <w:highlight w:val="none"/>
              </w:rPr>
            </w:pPr>
            <w:r>
              <w:rPr>
                <w:rFonts w:hint="eastAsia" w:ascii="宋体" w:hAnsi="宋体" w:cs="宋体"/>
                <w:color w:val="auto"/>
                <w:kern w:val="0"/>
                <w:sz w:val="24"/>
                <w:highlight w:val="none"/>
              </w:rPr>
              <w:t>（1）合同复印件。包括合同金额、合同清单、买卖双方名称及盖章。</w:t>
            </w:r>
          </w:p>
          <w:p w14:paraId="115388F1">
            <w:pPr>
              <w:widowControl/>
              <w:jc w:val="left"/>
              <w:rPr>
                <w:rFonts w:hint="eastAsia" w:ascii="宋体" w:hAnsi="宋体" w:cs="宋体"/>
                <w:color w:val="auto"/>
                <w:kern w:val="0"/>
                <w:sz w:val="24"/>
                <w:highlight w:val="none"/>
              </w:rPr>
            </w:pPr>
            <w:r>
              <w:rPr>
                <w:rFonts w:hint="eastAsia" w:ascii="宋体" w:hAnsi="宋体" w:cs="宋体"/>
                <w:color w:val="auto"/>
                <w:kern w:val="0"/>
                <w:sz w:val="24"/>
                <w:highlight w:val="none"/>
              </w:rPr>
              <w:t>（2）验收报告复印件。</w:t>
            </w:r>
          </w:p>
          <w:p w14:paraId="53239FBA">
            <w:pPr>
              <w:widowControl/>
              <w:jc w:val="left"/>
              <w:rPr>
                <w:rFonts w:hint="eastAsia" w:ascii="宋体" w:hAnsi="宋体" w:cs="宋体"/>
                <w:color w:val="auto"/>
                <w:kern w:val="0"/>
                <w:sz w:val="24"/>
                <w:highlight w:val="none"/>
              </w:rPr>
            </w:pPr>
            <w:r>
              <w:rPr>
                <w:rFonts w:hint="eastAsia" w:ascii="宋体" w:hAnsi="宋体" w:cs="宋体"/>
                <w:color w:val="auto"/>
                <w:kern w:val="0"/>
                <w:sz w:val="24"/>
                <w:highlight w:val="none"/>
              </w:rPr>
              <w:t>（3）用户出具的成功履行合同的相关证明材料。</w:t>
            </w:r>
          </w:p>
          <w:p w14:paraId="67482FB6">
            <w:pPr>
              <w:widowControl/>
              <w:jc w:val="left"/>
              <w:rPr>
                <w:rFonts w:hint="eastAsia" w:ascii="宋体" w:hAnsi="宋体" w:cs="宋体"/>
                <w:color w:val="auto"/>
                <w:kern w:val="0"/>
                <w:sz w:val="24"/>
                <w:highlight w:val="none"/>
              </w:rPr>
            </w:pPr>
            <w:r>
              <w:rPr>
                <w:rFonts w:hint="eastAsia" w:ascii="宋体" w:hAnsi="宋体" w:cs="宋体"/>
                <w:color w:val="auto"/>
                <w:kern w:val="0"/>
                <w:sz w:val="24"/>
                <w:highlight w:val="none"/>
              </w:rPr>
              <w:t>（4）第（2）、（3）项可提供任意一项。</w:t>
            </w:r>
          </w:p>
          <w:p w14:paraId="5DC44A24">
            <w:pPr>
              <w:widowControl/>
              <w:jc w:val="left"/>
              <w:rPr>
                <w:rFonts w:ascii="宋体" w:hAnsi="宋体" w:cs="宋体"/>
                <w:color w:val="auto"/>
                <w:kern w:val="0"/>
                <w:sz w:val="24"/>
                <w:highlight w:val="none"/>
              </w:rPr>
            </w:pPr>
            <w:r>
              <w:rPr>
                <w:rFonts w:hint="eastAsia" w:ascii="宋体" w:hAnsi="宋体" w:cs="宋体"/>
                <w:color w:val="auto"/>
                <w:kern w:val="0"/>
                <w:sz w:val="24"/>
                <w:highlight w:val="none"/>
              </w:rPr>
              <w:t>验收等其他要求</w:t>
            </w:r>
          </w:p>
        </w:tc>
        <w:tc>
          <w:tcPr>
            <w:tcW w:w="931" w:type="pct"/>
            <w:noWrap w:val="0"/>
            <w:vAlign w:val="center"/>
          </w:tcPr>
          <w:p w14:paraId="7E7C76F2">
            <w:pPr>
              <w:widowControl/>
              <w:jc w:val="center"/>
              <w:rPr>
                <w:rFonts w:hint="eastAsia" w:ascii="宋体" w:hAnsi="宋体" w:cs="宋体"/>
                <w:color w:val="auto"/>
                <w:kern w:val="0"/>
                <w:sz w:val="24"/>
                <w:highlight w:val="none"/>
              </w:rPr>
            </w:pPr>
          </w:p>
        </w:tc>
      </w:tr>
    </w:tbl>
    <w:p w14:paraId="49B97499">
      <w:pP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br w:type="page"/>
      </w:r>
    </w:p>
    <w:p w14:paraId="68267206">
      <w:pPr>
        <w:numPr>
          <w:ilvl w:val="0"/>
          <w:numId w:val="0"/>
        </w:numPr>
        <w:spacing w:line="360" w:lineRule="auto"/>
        <w:ind w:leftChars="175"/>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三、技术要求</w:t>
      </w:r>
    </w:p>
    <w:tbl>
      <w:tblPr>
        <w:tblStyle w:val="6"/>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0"/>
        <w:gridCol w:w="3430"/>
        <w:gridCol w:w="8223"/>
        <w:gridCol w:w="850"/>
        <w:gridCol w:w="850"/>
      </w:tblGrid>
      <w:tr w14:paraId="328F5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86" w:type="pct"/>
            <w:vAlign w:val="center"/>
          </w:tcPr>
          <w:p w14:paraId="3DB432CB">
            <w:pPr>
              <w:keepNext w:val="0"/>
              <w:keepLines w:val="0"/>
              <w:pageBreakBefore w:val="0"/>
              <w:widowControl w:val="0"/>
              <w:kinsoku w:val="0"/>
              <w:wordWrap/>
              <w:overflowPunct/>
              <w:topLinePunct w:val="0"/>
              <w:autoSpaceDE w:val="0"/>
              <w:autoSpaceDN w:val="0"/>
              <w:bidi w:val="0"/>
              <w:adjustRightInd w:val="0"/>
              <w:snapToGrid w:val="0"/>
              <w:spacing w:line="240" w:lineRule="auto"/>
              <w:jc w:val="center"/>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序号</w:t>
            </w:r>
          </w:p>
        </w:tc>
        <w:tc>
          <w:tcPr>
            <w:tcW w:w="1211" w:type="pct"/>
            <w:vAlign w:val="center"/>
          </w:tcPr>
          <w:p w14:paraId="450D63F9">
            <w:pPr>
              <w:keepNext w:val="0"/>
              <w:keepLines w:val="0"/>
              <w:pageBreakBefore w:val="0"/>
              <w:widowControl w:val="0"/>
              <w:kinsoku w:val="0"/>
              <w:wordWrap/>
              <w:overflowPunct/>
              <w:topLinePunct w:val="0"/>
              <w:autoSpaceDE w:val="0"/>
              <w:autoSpaceDN w:val="0"/>
              <w:bidi w:val="0"/>
              <w:adjustRightInd w:val="0"/>
              <w:snapToGrid w:val="0"/>
              <w:spacing w:line="240" w:lineRule="auto"/>
              <w:jc w:val="center"/>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标的名称</w:t>
            </w:r>
          </w:p>
        </w:tc>
        <w:tc>
          <w:tcPr>
            <w:tcW w:w="2903" w:type="pct"/>
            <w:vAlign w:val="center"/>
          </w:tcPr>
          <w:p w14:paraId="2DC11336">
            <w:pPr>
              <w:keepNext w:val="0"/>
              <w:keepLines w:val="0"/>
              <w:pageBreakBefore w:val="0"/>
              <w:widowControl w:val="0"/>
              <w:kinsoku w:val="0"/>
              <w:wordWrap/>
              <w:overflowPunct/>
              <w:topLinePunct w:val="0"/>
              <w:autoSpaceDE w:val="0"/>
              <w:autoSpaceDN w:val="0"/>
              <w:bidi w:val="0"/>
              <w:adjustRightInd w:val="0"/>
              <w:snapToGrid w:val="0"/>
              <w:spacing w:line="240" w:lineRule="auto"/>
              <w:jc w:val="center"/>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参数要求</w:t>
            </w:r>
          </w:p>
        </w:tc>
        <w:tc>
          <w:tcPr>
            <w:tcW w:w="0" w:type="auto"/>
            <w:vAlign w:val="center"/>
          </w:tcPr>
          <w:p w14:paraId="630ACA98">
            <w:pPr>
              <w:keepNext w:val="0"/>
              <w:keepLines w:val="0"/>
              <w:pageBreakBefore w:val="0"/>
              <w:widowControl w:val="0"/>
              <w:kinsoku w:val="0"/>
              <w:wordWrap/>
              <w:overflowPunct/>
              <w:topLinePunct w:val="0"/>
              <w:autoSpaceDE w:val="0"/>
              <w:autoSpaceDN w:val="0"/>
              <w:bidi w:val="0"/>
              <w:adjustRightInd w:val="0"/>
              <w:snapToGrid w:val="0"/>
              <w:spacing w:line="240" w:lineRule="auto"/>
              <w:jc w:val="center"/>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单位</w:t>
            </w:r>
          </w:p>
        </w:tc>
        <w:tc>
          <w:tcPr>
            <w:tcW w:w="0" w:type="auto"/>
            <w:vAlign w:val="center"/>
          </w:tcPr>
          <w:p w14:paraId="300B0A1A">
            <w:pPr>
              <w:keepNext w:val="0"/>
              <w:keepLines w:val="0"/>
              <w:pageBreakBefore w:val="0"/>
              <w:widowControl w:val="0"/>
              <w:kinsoku w:val="0"/>
              <w:wordWrap/>
              <w:overflowPunct/>
              <w:topLinePunct w:val="0"/>
              <w:autoSpaceDE w:val="0"/>
              <w:autoSpaceDN w:val="0"/>
              <w:bidi w:val="0"/>
              <w:adjustRightInd w:val="0"/>
              <w:snapToGrid w:val="0"/>
              <w:spacing w:line="240" w:lineRule="auto"/>
              <w:jc w:val="center"/>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数量</w:t>
            </w:r>
          </w:p>
        </w:tc>
      </w:tr>
      <w:tr w14:paraId="59843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86" w:type="pct"/>
            <w:vAlign w:val="center"/>
          </w:tcPr>
          <w:p w14:paraId="5D90B11C">
            <w:pPr>
              <w:keepNext w:val="0"/>
              <w:keepLines w:val="0"/>
              <w:pageBreakBefore w:val="0"/>
              <w:widowControl w:val="0"/>
              <w:kinsoku w:val="0"/>
              <w:wordWrap/>
              <w:overflowPunct/>
              <w:topLinePunct w:val="0"/>
              <w:autoSpaceDE w:val="0"/>
              <w:autoSpaceDN w:val="0"/>
              <w:bidi w:val="0"/>
              <w:adjustRightInd w:val="0"/>
              <w:snapToGrid w:val="0"/>
              <w:spacing w:line="240" w:lineRule="auto"/>
              <w:jc w:val="center"/>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cstheme="minorEastAsia"/>
                <w:color w:val="auto"/>
                <w:sz w:val="24"/>
                <w:szCs w:val="24"/>
                <w:highlight w:val="none"/>
                <w:lang w:val="en-US" w:eastAsia="zh-CN"/>
              </w:rPr>
              <w:t>1</w:t>
            </w:r>
          </w:p>
        </w:tc>
        <w:tc>
          <w:tcPr>
            <w:tcW w:w="1211" w:type="pct"/>
            <w:vAlign w:val="center"/>
          </w:tcPr>
          <w:p w14:paraId="0A48135A">
            <w:pPr>
              <w:keepNext w:val="0"/>
              <w:keepLines w:val="0"/>
              <w:pageBreakBefore w:val="0"/>
              <w:widowControl w:val="0"/>
              <w:kinsoku w:val="0"/>
              <w:wordWrap/>
              <w:overflowPunct/>
              <w:topLinePunct w:val="0"/>
              <w:autoSpaceDE w:val="0"/>
              <w:autoSpaceDN w:val="0"/>
              <w:bidi w:val="0"/>
              <w:adjustRightInd w:val="0"/>
              <w:snapToGrid w:val="0"/>
              <w:spacing w:line="240" w:lineRule="auto"/>
              <w:jc w:val="center"/>
              <w:rPr>
                <w:rFonts w:hint="eastAsia" w:asciiTheme="minorEastAsia" w:hAnsiTheme="minorEastAsia" w:eastAsiaTheme="minorEastAsia" w:cstheme="minorEastAsia"/>
                <w:color w:val="auto"/>
                <w:sz w:val="24"/>
                <w:szCs w:val="24"/>
                <w:highlight w:val="none"/>
                <w:lang w:eastAsia="zh-CN"/>
              </w:rPr>
            </w:pPr>
            <w:r>
              <w:rPr>
                <w:rFonts w:hint="eastAsia" w:ascii="宋体" w:hAnsi="宋体"/>
                <w:color w:val="auto"/>
                <w:sz w:val="24"/>
                <w:highlight w:val="none"/>
              </w:rPr>
              <w:t>教学广播软件</w:t>
            </w:r>
          </w:p>
        </w:tc>
        <w:tc>
          <w:tcPr>
            <w:tcW w:w="2903" w:type="pct"/>
            <w:shd w:val="clear" w:color="auto" w:fill="auto"/>
            <w:vAlign w:val="center"/>
          </w:tcPr>
          <w:p w14:paraId="61A62367">
            <w:pPr>
              <w:widowControl/>
              <w:kinsoku w:val="0"/>
              <w:autoSpaceDE w:val="0"/>
              <w:autoSpaceDN w:val="0"/>
              <w:adjustRightInd w:val="0"/>
              <w:snapToGrid w:val="0"/>
              <w:textAlignment w:val="center"/>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宋体" w:hAnsi="宋体" w:cs="宋体"/>
                <w:color w:val="auto"/>
                <w:sz w:val="24"/>
                <w:highlight w:val="none"/>
              </w:rPr>
              <w:t>该教学软件跨多系统、多语言、多激活方式；含高清广播、影院、学生演示、设备锁定、分组讨论、文件管理、多机监看、课堂管控、网页黑白名单、在线自动阅卷、班级管理、随堂点名全教学管控功能。</w:t>
            </w:r>
          </w:p>
        </w:tc>
        <w:tc>
          <w:tcPr>
            <w:tcW w:w="0" w:type="auto"/>
            <w:shd w:val="clear" w:color="auto" w:fill="auto"/>
            <w:vAlign w:val="center"/>
          </w:tcPr>
          <w:p w14:paraId="6DD961F3">
            <w:pPr>
              <w:keepNext w:val="0"/>
              <w:keepLines w:val="0"/>
              <w:pageBreakBefore w:val="0"/>
              <w:widowControl w:val="0"/>
              <w:kinsoku w:val="0"/>
              <w:wordWrap/>
              <w:overflowPunct/>
              <w:topLinePunct w:val="0"/>
              <w:autoSpaceDE w:val="0"/>
              <w:autoSpaceDN w:val="0"/>
              <w:bidi w:val="0"/>
              <w:adjustRightInd w:val="0"/>
              <w:snapToGrid w:val="0"/>
              <w:spacing w:line="240" w:lineRule="auto"/>
              <w:jc w:val="center"/>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rPr>
              <w:t>套</w:t>
            </w:r>
          </w:p>
        </w:tc>
        <w:tc>
          <w:tcPr>
            <w:tcW w:w="0" w:type="auto"/>
            <w:shd w:val="clear" w:color="auto" w:fill="auto"/>
            <w:vAlign w:val="center"/>
          </w:tcPr>
          <w:p w14:paraId="044E196C">
            <w:pPr>
              <w:keepNext w:val="0"/>
              <w:keepLines w:val="0"/>
              <w:pageBreakBefore w:val="0"/>
              <w:widowControl w:val="0"/>
              <w:kinsoku w:val="0"/>
              <w:wordWrap/>
              <w:overflowPunct/>
              <w:topLinePunct w:val="0"/>
              <w:autoSpaceDE w:val="0"/>
              <w:autoSpaceDN w:val="0"/>
              <w:bidi w:val="0"/>
              <w:adjustRightInd w:val="0"/>
              <w:snapToGrid w:val="0"/>
              <w:spacing w:line="240" w:lineRule="auto"/>
              <w:jc w:val="center"/>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rPr>
              <w:t>2</w:t>
            </w:r>
          </w:p>
        </w:tc>
      </w:tr>
      <w:tr w14:paraId="268A1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86" w:type="pct"/>
            <w:shd w:val="clear" w:color="auto" w:fill="auto"/>
            <w:vAlign w:val="center"/>
          </w:tcPr>
          <w:p w14:paraId="76D5965E">
            <w:pPr>
              <w:keepNext w:val="0"/>
              <w:keepLines w:val="0"/>
              <w:pageBreakBefore w:val="0"/>
              <w:widowControl w:val="0"/>
              <w:kinsoku w:val="0"/>
              <w:wordWrap/>
              <w:overflowPunct/>
              <w:topLinePunct w:val="0"/>
              <w:autoSpaceDE w:val="0"/>
              <w:autoSpaceDN w:val="0"/>
              <w:bidi w:val="0"/>
              <w:adjustRightInd w:val="0"/>
              <w:snapToGrid w:val="0"/>
              <w:spacing w:line="240" w:lineRule="auto"/>
              <w:jc w:val="center"/>
              <w:rPr>
                <w:rFonts w:hint="default" w:asciiTheme="minorEastAsia" w:hAnsiTheme="minorEastAsia" w:eastAsiaTheme="minorEastAsia" w:cstheme="minorEastAsia"/>
                <w:color w:val="auto"/>
                <w:sz w:val="24"/>
                <w:szCs w:val="24"/>
                <w:highlight w:val="none"/>
                <w:lang w:val="en-US" w:eastAsia="zh-CN"/>
              </w:rPr>
            </w:pPr>
            <w:bookmarkStart w:id="0" w:name="_GoBack" w:colFirst="1" w:colLast="3"/>
            <w:r>
              <w:rPr>
                <w:rFonts w:hint="eastAsia" w:asciiTheme="minorEastAsia" w:hAnsiTheme="minorEastAsia" w:cstheme="minorEastAsia"/>
                <w:color w:val="auto"/>
                <w:sz w:val="24"/>
                <w:szCs w:val="24"/>
                <w:highlight w:val="none"/>
                <w:lang w:val="en-US" w:eastAsia="zh-CN"/>
              </w:rPr>
              <w:t>2</w:t>
            </w:r>
          </w:p>
        </w:tc>
        <w:tc>
          <w:tcPr>
            <w:tcW w:w="1211" w:type="pct"/>
            <w:shd w:val="clear" w:color="auto" w:fill="auto"/>
            <w:vAlign w:val="center"/>
          </w:tcPr>
          <w:p w14:paraId="5A988A2E">
            <w:pPr>
              <w:jc w:val="center"/>
              <w:rPr>
                <w:rFonts w:hint="eastAsia" w:ascii="仿宋" w:hAnsi="仿宋" w:eastAsia="仿宋" w:cs="仿宋"/>
                <w:i w:val="0"/>
                <w:iCs w:val="0"/>
                <w:caps w:val="0"/>
                <w:color w:val="auto"/>
                <w:spacing w:val="0"/>
                <w:sz w:val="24"/>
                <w:szCs w:val="24"/>
                <w:highlight w:val="none"/>
                <w:shd w:val="clear" w:fill="FFFFFF"/>
                <w:lang w:val="en-US"/>
              </w:rPr>
            </w:pPr>
            <w:r>
              <w:rPr>
                <w:rFonts w:hint="eastAsia" w:ascii="仿宋" w:hAnsi="仿宋" w:eastAsia="仿宋" w:cs="仿宋"/>
                <w:color w:val="auto"/>
                <w:sz w:val="24"/>
                <w:highlight w:val="none"/>
              </w:rPr>
              <w:t>▲■</w:t>
            </w:r>
            <w:r>
              <w:rPr>
                <w:rFonts w:hint="eastAsia" w:ascii="仿宋" w:hAnsi="仿宋" w:eastAsia="仿宋" w:cs="仿宋"/>
                <w:b w:val="0"/>
                <w:bCs w:val="0"/>
                <w:color w:val="auto"/>
                <w:sz w:val="21"/>
                <w:szCs w:val="21"/>
                <w:highlight w:val="none"/>
                <w:lang w:val="en-US" w:eastAsia="zh-CN"/>
              </w:rPr>
              <w:t>天津滨海职业学院继续教育学院安全生产考试考点机房台式计算机采购项目台式计算机1</w:t>
            </w:r>
          </w:p>
        </w:tc>
        <w:tc>
          <w:tcPr>
            <w:tcW w:w="2903" w:type="pct"/>
            <w:shd w:val="clear" w:color="auto" w:fill="auto"/>
            <w:vAlign w:val="center"/>
          </w:tcPr>
          <w:p w14:paraId="50349096">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center"/>
              <w:rPr>
                <w:rFonts w:hint="eastAsia" w:ascii="仿宋" w:hAnsi="仿宋" w:eastAsia="仿宋" w:cs="仿宋"/>
                <w:color w:val="auto"/>
                <w:sz w:val="24"/>
                <w:szCs w:val="24"/>
                <w:highlight w:val="none"/>
                <w:lang w:eastAsia="zh-CN" w:bidi="ar"/>
              </w:rPr>
            </w:pPr>
            <w:r>
              <w:rPr>
                <w:rFonts w:hint="eastAsia" w:ascii="仿宋" w:hAnsi="仿宋" w:eastAsia="仿宋" w:cs="仿宋"/>
                <w:color w:val="auto"/>
                <w:sz w:val="24"/>
                <w:szCs w:val="24"/>
                <w:highlight w:val="none"/>
                <w:lang w:eastAsia="zh-CN" w:bidi="ar"/>
              </w:rPr>
              <w:t>详见</w:t>
            </w:r>
            <w:r>
              <w:rPr>
                <w:rFonts w:hint="eastAsia" w:ascii="仿宋" w:hAnsi="仿宋" w:eastAsia="仿宋" w:cs="仿宋"/>
                <w:b w:val="0"/>
                <w:bCs w:val="0"/>
                <w:color w:val="auto"/>
                <w:sz w:val="24"/>
                <w:szCs w:val="24"/>
                <w:highlight w:val="none"/>
                <w:lang w:val="en-US" w:eastAsia="zh-CN"/>
              </w:rPr>
              <w:t>天津滨海职业学院继续教育学院安全生产考试考点机房台式计算机采购项目台式计算机1-</w:t>
            </w:r>
            <w:r>
              <w:rPr>
                <w:rFonts w:hint="eastAsia" w:ascii="仿宋" w:hAnsi="仿宋" w:eastAsia="仿宋" w:cs="仿宋"/>
                <w:i w:val="0"/>
                <w:iCs w:val="0"/>
                <w:caps w:val="0"/>
                <w:color w:val="auto"/>
                <w:spacing w:val="0"/>
                <w:sz w:val="24"/>
                <w:szCs w:val="24"/>
                <w:highlight w:val="none"/>
                <w:shd w:val="clear" w:fill="FFFFFF"/>
                <w:lang w:val="en-US" w:eastAsia="zh-CN"/>
              </w:rPr>
              <w:t>-</w:t>
            </w:r>
            <w:r>
              <w:rPr>
                <w:rFonts w:hint="eastAsia" w:ascii="仿宋" w:hAnsi="仿宋" w:eastAsia="仿宋" w:cs="仿宋"/>
                <w:color w:val="auto"/>
                <w:sz w:val="24"/>
                <w:szCs w:val="24"/>
                <w:highlight w:val="none"/>
                <w:lang w:eastAsia="zh-CN" w:bidi="ar"/>
              </w:rPr>
              <w:t>技术参数明细</w:t>
            </w:r>
          </w:p>
        </w:tc>
        <w:tc>
          <w:tcPr>
            <w:tcW w:w="0" w:type="auto"/>
            <w:shd w:val="clear" w:color="auto" w:fill="auto"/>
            <w:vAlign w:val="center"/>
          </w:tcPr>
          <w:p w14:paraId="627509C5">
            <w:pPr>
              <w:keepNext w:val="0"/>
              <w:keepLines w:val="0"/>
              <w:pageBreakBefore w:val="0"/>
              <w:widowControl w:val="0"/>
              <w:kinsoku w:val="0"/>
              <w:wordWrap/>
              <w:overflowPunct/>
              <w:topLinePunct w:val="0"/>
              <w:autoSpaceDE w:val="0"/>
              <w:autoSpaceDN w:val="0"/>
              <w:bidi w:val="0"/>
              <w:adjustRightInd w:val="0"/>
              <w:snapToGrid w:val="0"/>
              <w:spacing w:line="240" w:lineRule="auto"/>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台</w:t>
            </w:r>
          </w:p>
        </w:tc>
        <w:tc>
          <w:tcPr>
            <w:tcW w:w="0" w:type="auto"/>
            <w:shd w:val="clear" w:color="auto" w:fill="auto"/>
            <w:vAlign w:val="center"/>
          </w:tcPr>
          <w:p w14:paraId="067CA5FB">
            <w:pPr>
              <w:keepNext w:val="0"/>
              <w:keepLines w:val="0"/>
              <w:pageBreakBefore w:val="0"/>
              <w:widowControl w:val="0"/>
              <w:kinsoku w:val="0"/>
              <w:wordWrap/>
              <w:overflowPunct/>
              <w:topLinePunct w:val="0"/>
              <w:autoSpaceDE w:val="0"/>
              <w:autoSpaceDN w:val="0"/>
              <w:bidi w:val="0"/>
              <w:adjustRightInd w:val="0"/>
              <w:snapToGrid w:val="0"/>
              <w:spacing w:line="240" w:lineRule="auto"/>
              <w:jc w:val="center"/>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cstheme="minorEastAsia"/>
                <w:color w:val="auto"/>
                <w:sz w:val="24"/>
                <w:szCs w:val="24"/>
                <w:highlight w:val="none"/>
                <w:lang w:val="en-US" w:eastAsia="zh-CN"/>
              </w:rPr>
              <w:t>80</w:t>
            </w:r>
          </w:p>
        </w:tc>
      </w:tr>
      <w:tr w14:paraId="38796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86" w:type="pct"/>
            <w:shd w:val="clear" w:color="auto" w:fill="auto"/>
            <w:vAlign w:val="center"/>
          </w:tcPr>
          <w:p w14:paraId="2C3DE566">
            <w:pPr>
              <w:keepNext w:val="0"/>
              <w:keepLines w:val="0"/>
              <w:pageBreakBefore w:val="0"/>
              <w:widowControl w:val="0"/>
              <w:kinsoku w:val="0"/>
              <w:wordWrap/>
              <w:overflowPunct/>
              <w:topLinePunct w:val="0"/>
              <w:autoSpaceDE w:val="0"/>
              <w:autoSpaceDN w:val="0"/>
              <w:bidi w:val="0"/>
              <w:adjustRightInd w:val="0"/>
              <w:snapToGrid w:val="0"/>
              <w:spacing w:line="240" w:lineRule="auto"/>
              <w:jc w:val="center"/>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cstheme="minorEastAsia"/>
                <w:color w:val="auto"/>
                <w:sz w:val="24"/>
                <w:szCs w:val="24"/>
                <w:highlight w:val="none"/>
                <w:lang w:val="en-US" w:eastAsia="zh-CN"/>
              </w:rPr>
              <w:t>3</w:t>
            </w:r>
          </w:p>
        </w:tc>
        <w:tc>
          <w:tcPr>
            <w:tcW w:w="1211" w:type="pct"/>
            <w:shd w:val="clear" w:color="auto" w:fill="auto"/>
            <w:vAlign w:val="center"/>
          </w:tcPr>
          <w:p w14:paraId="5B693FA1">
            <w:pPr>
              <w:keepNext w:val="0"/>
              <w:keepLines w:val="0"/>
              <w:pageBreakBefore w:val="0"/>
              <w:widowControl w:val="0"/>
              <w:kinsoku w:val="0"/>
              <w:wordWrap/>
              <w:overflowPunct/>
              <w:topLinePunct w:val="0"/>
              <w:autoSpaceDE w:val="0"/>
              <w:autoSpaceDN w:val="0"/>
              <w:bidi w:val="0"/>
              <w:adjustRightInd w:val="0"/>
              <w:snapToGrid w:val="0"/>
              <w:spacing w:line="240" w:lineRule="auto"/>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w:t>
            </w:r>
            <w:r>
              <w:rPr>
                <w:rFonts w:hint="eastAsia" w:ascii="仿宋" w:hAnsi="仿宋" w:eastAsia="仿宋" w:cs="仿宋"/>
                <w:b w:val="0"/>
                <w:bCs w:val="0"/>
                <w:color w:val="auto"/>
                <w:sz w:val="24"/>
                <w:szCs w:val="24"/>
                <w:highlight w:val="none"/>
                <w:lang w:val="en-US" w:eastAsia="zh-CN"/>
              </w:rPr>
              <w:t>天津滨海职业学院继续教育学院安全生产考试考点机房台式计算机采购项目计算机2</w:t>
            </w:r>
          </w:p>
        </w:tc>
        <w:tc>
          <w:tcPr>
            <w:tcW w:w="2903" w:type="pct"/>
            <w:shd w:val="clear" w:color="auto" w:fill="auto"/>
            <w:vAlign w:val="center"/>
          </w:tcPr>
          <w:p w14:paraId="64464152">
            <w:pPr>
              <w:keepNext w:val="0"/>
              <w:keepLines w:val="0"/>
              <w:pageBreakBefore w:val="0"/>
              <w:widowControl w:val="0"/>
              <w:kinsoku w:val="0"/>
              <w:wordWrap/>
              <w:overflowPunct/>
              <w:topLinePunct w:val="0"/>
              <w:autoSpaceDE w:val="0"/>
              <w:autoSpaceDN w:val="0"/>
              <w:bidi w:val="0"/>
              <w:adjustRightInd w:val="0"/>
              <w:snapToGrid w:val="0"/>
              <w:spacing w:line="240" w:lineRule="auto"/>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bidi="ar"/>
              </w:rPr>
              <w:t>详见</w:t>
            </w:r>
            <w:r>
              <w:rPr>
                <w:rFonts w:hint="eastAsia" w:ascii="仿宋" w:hAnsi="仿宋" w:eastAsia="仿宋" w:cs="仿宋"/>
                <w:b w:val="0"/>
                <w:bCs w:val="0"/>
                <w:color w:val="auto"/>
                <w:sz w:val="24"/>
                <w:szCs w:val="24"/>
                <w:highlight w:val="none"/>
                <w:lang w:val="en-US" w:eastAsia="zh-CN"/>
              </w:rPr>
              <w:t>天津滨海职业学院继续教育学院安全生产考试考点机房台式计算机采购项目台式计算机2</w:t>
            </w:r>
            <w:r>
              <w:rPr>
                <w:rFonts w:hint="eastAsia" w:ascii="仿宋" w:hAnsi="仿宋" w:eastAsia="仿宋" w:cs="仿宋"/>
                <w:i w:val="0"/>
                <w:iCs w:val="0"/>
                <w:caps w:val="0"/>
                <w:color w:val="auto"/>
                <w:spacing w:val="0"/>
                <w:sz w:val="24"/>
                <w:szCs w:val="24"/>
                <w:highlight w:val="none"/>
                <w:shd w:val="clear" w:fill="FFFFFF"/>
                <w:lang w:val="en-US" w:eastAsia="zh-CN"/>
              </w:rPr>
              <w:t>-</w:t>
            </w:r>
            <w:r>
              <w:rPr>
                <w:rFonts w:hint="eastAsia" w:ascii="仿宋" w:hAnsi="仿宋" w:eastAsia="仿宋" w:cs="仿宋"/>
                <w:color w:val="auto"/>
                <w:sz w:val="24"/>
                <w:szCs w:val="24"/>
                <w:highlight w:val="none"/>
                <w:lang w:eastAsia="zh-CN" w:bidi="ar"/>
              </w:rPr>
              <w:t>技术参数明细</w:t>
            </w:r>
          </w:p>
        </w:tc>
        <w:tc>
          <w:tcPr>
            <w:tcW w:w="0" w:type="auto"/>
            <w:shd w:val="clear" w:color="auto" w:fill="auto"/>
            <w:vAlign w:val="center"/>
          </w:tcPr>
          <w:p w14:paraId="16B7FB77">
            <w:pPr>
              <w:keepNext w:val="0"/>
              <w:keepLines w:val="0"/>
              <w:pageBreakBefore w:val="0"/>
              <w:widowControl w:val="0"/>
              <w:kinsoku w:val="0"/>
              <w:wordWrap/>
              <w:overflowPunct/>
              <w:topLinePunct w:val="0"/>
              <w:autoSpaceDE w:val="0"/>
              <w:autoSpaceDN w:val="0"/>
              <w:bidi w:val="0"/>
              <w:adjustRightInd w:val="0"/>
              <w:snapToGrid w:val="0"/>
              <w:spacing w:line="240" w:lineRule="auto"/>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台</w:t>
            </w:r>
          </w:p>
        </w:tc>
        <w:tc>
          <w:tcPr>
            <w:tcW w:w="0" w:type="auto"/>
            <w:shd w:val="clear" w:color="auto" w:fill="auto"/>
            <w:vAlign w:val="center"/>
          </w:tcPr>
          <w:p w14:paraId="69318106">
            <w:pPr>
              <w:keepNext w:val="0"/>
              <w:keepLines w:val="0"/>
              <w:pageBreakBefore w:val="0"/>
              <w:widowControl w:val="0"/>
              <w:kinsoku w:val="0"/>
              <w:wordWrap/>
              <w:overflowPunct/>
              <w:topLinePunct w:val="0"/>
              <w:autoSpaceDE w:val="0"/>
              <w:autoSpaceDN w:val="0"/>
              <w:bidi w:val="0"/>
              <w:adjustRightInd w:val="0"/>
              <w:snapToGrid w:val="0"/>
              <w:spacing w:line="240" w:lineRule="auto"/>
              <w:jc w:val="center"/>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cstheme="minorEastAsia"/>
                <w:color w:val="auto"/>
                <w:sz w:val="24"/>
                <w:szCs w:val="24"/>
                <w:highlight w:val="none"/>
                <w:lang w:val="en-US" w:eastAsia="zh-CN"/>
              </w:rPr>
              <w:t>15</w:t>
            </w:r>
          </w:p>
        </w:tc>
      </w:tr>
      <w:bookmarkEnd w:id="0"/>
    </w:tbl>
    <w:p w14:paraId="282CE5C2">
      <w:pPr>
        <w:pStyle w:val="4"/>
        <w:rPr>
          <w:rFonts w:hint="default"/>
          <w:color w:val="auto"/>
          <w:highlight w:val="none"/>
          <w:lang w:val="en-US" w:eastAsia="zh-CN"/>
        </w:rPr>
      </w:pPr>
    </w:p>
    <w:p w14:paraId="751A0EA8">
      <w:pPr>
        <w:rPr>
          <w:rFonts w:hint="default"/>
          <w:color w:val="auto"/>
          <w:highlight w:val="none"/>
          <w:lang w:val="en-US" w:eastAsia="zh-CN"/>
        </w:rPr>
      </w:pPr>
      <w:r>
        <w:rPr>
          <w:rFonts w:hint="default"/>
          <w:color w:val="auto"/>
          <w:highlight w:val="none"/>
          <w:lang w:val="en-US" w:eastAsia="zh-CN"/>
        </w:rPr>
        <w:br w:type="page"/>
      </w:r>
    </w:p>
    <w:p w14:paraId="52989AC8">
      <w:pPr>
        <w:pStyle w:val="2"/>
        <w:keepNext/>
        <w:keepLines/>
        <w:pageBreakBefore w:val="0"/>
        <w:widowControl/>
        <w:numPr>
          <w:ilvl w:val="0"/>
          <w:numId w:val="3"/>
        </w:numPr>
        <w:kinsoku w:val="0"/>
        <w:wordWrap/>
        <w:overflowPunct/>
        <w:topLinePunct w:val="0"/>
        <w:autoSpaceDE w:val="0"/>
        <w:autoSpaceDN w:val="0"/>
        <w:bidi w:val="0"/>
        <w:adjustRightInd w:val="0"/>
        <w:snapToGrid w:val="0"/>
        <w:ind w:left="0" w:leftChars="0" w:firstLine="0"/>
        <w:jc w:val="both"/>
        <w:textAlignment w:val="baseline"/>
        <w:rPr>
          <w:rFonts w:hint="eastAsia" w:ascii="宋体" w:hAnsi="宋体" w:eastAsia="宋体" w:cs="宋体"/>
          <w:b/>
          <w:bCs/>
          <w:color w:val="FF0000"/>
          <w:sz w:val="24"/>
          <w:szCs w:val="24"/>
          <w:highlight w:val="none"/>
          <w:lang w:val="en-US" w:eastAsia="zh-CN"/>
        </w:rPr>
      </w:pPr>
      <w:r>
        <w:rPr>
          <w:rFonts w:hint="eastAsia" w:ascii="宋体" w:hAnsi="宋体" w:eastAsia="宋体" w:cs="宋体"/>
          <w:b/>
          <w:bCs/>
          <w:color w:val="FF0000"/>
          <w:sz w:val="24"/>
          <w:szCs w:val="24"/>
          <w:highlight w:val="none"/>
          <w:lang w:val="en-US" w:eastAsia="zh-CN"/>
        </w:rPr>
        <w:t>天津滨海职业学院继续教育学院安全生产考试考点机房台式计算机采购项目台式计算机1--技术参数明细</w:t>
      </w:r>
    </w:p>
    <w:tbl>
      <w:tblPr>
        <w:tblStyle w:val="6"/>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9"/>
        <w:gridCol w:w="1859"/>
        <w:gridCol w:w="9129"/>
        <w:gridCol w:w="1278"/>
        <w:gridCol w:w="858"/>
      </w:tblGrid>
      <w:tr w14:paraId="6D9F9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7" w:type="pct"/>
            <w:vAlign w:val="center"/>
          </w:tcPr>
          <w:p w14:paraId="6CECFFE3">
            <w:pPr>
              <w:jc w:val="center"/>
              <w:rPr>
                <w:rFonts w:hint="eastAsia" w:ascii="宋体" w:hAnsi="宋体" w:eastAsia="宋体" w:cs="宋体"/>
                <w:bCs/>
                <w:sz w:val="24"/>
                <w:szCs w:val="24"/>
              </w:rPr>
            </w:pPr>
            <w:r>
              <w:rPr>
                <w:rFonts w:hint="eastAsia" w:ascii="宋体" w:hAnsi="宋体" w:eastAsia="宋体" w:cs="宋体"/>
                <w:bCs/>
                <w:sz w:val="24"/>
                <w:szCs w:val="24"/>
              </w:rPr>
              <w:t>序号</w:t>
            </w:r>
          </w:p>
        </w:tc>
        <w:tc>
          <w:tcPr>
            <w:tcW w:w="656" w:type="pct"/>
            <w:vAlign w:val="center"/>
          </w:tcPr>
          <w:p w14:paraId="19CBBE43">
            <w:pPr>
              <w:jc w:val="center"/>
              <w:rPr>
                <w:rFonts w:hint="eastAsia" w:ascii="宋体" w:hAnsi="宋体" w:eastAsia="宋体" w:cs="宋体"/>
                <w:bCs/>
                <w:sz w:val="24"/>
                <w:szCs w:val="24"/>
              </w:rPr>
            </w:pPr>
            <w:r>
              <w:rPr>
                <w:rFonts w:hint="eastAsia" w:ascii="宋体" w:hAnsi="宋体" w:eastAsia="宋体" w:cs="宋体"/>
                <w:bCs/>
                <w:sz w:val="24"/>
                <w:szCs w:val="24"/>
              </w:rPr>
              <w:t>采购标的</w:t>
            </w:r>
          </w:p>
        </w:tc>
        <w:tc>
          <w:tcPr>
            <w:tcW w:w="3222" w:type="pct"/>
            <w:vAlign w:val="center"/>
          </w:tcPr>
          <w:p w14:paraId="25062696">
            <w:pPr>
              <w:jc w:val="center"/>
              <w:rPr>
                <w:rFonts w:hint="eastAsia" w:ascii="宋体" w:hAnsi="宋体" w:eastAsia="宋体" w:cs="宋体"/>
                <w:bCs/>
                <w:sz w:val="24"/>
                <w:szCs w:val="24"/>
              </w:rPr>
            </w:pPr>
            <w:r>
              <w:rPr>
                <w:rFonts w:hint="eastAsia" w:ascii="宋体" w:hAnsi="宋体" w:eastAsia="宋体" w:cs="宋体"/>
                <w:bCs/>
                <w:sz w:val="24"/>
                <w:szCs w:val="24"/>
              </w:rPr>
              <w:t>技术参数</w:t>
            </w:r>
          </w:p>
        </w:tc>
        <w:tc>
          <w:tcPr>
            <w:tcW w:w="451" w:type="pct"/>
            <w:vAlign w:val="center"/>
          </w:tcPr>
          <w:p w14:paraId="0E4A185B">
            <w:pPr>
              <w:jc w:val="center"/>
              <w:rPr>
                <w:rFonts w:hint="eastAsia" w:ascii="宋体" w:hAnsi="宋体" w:eastAsia="宋体" w:cs="宋体"/>
                <w:bCs/>
                <w:sz w:val="24"/>
                <w:szCs w:val="24"/>
              </w:rPr>
            </w:pPr>
            <w:r>
              <w:rPr>
                <w:rFonts w:hint="eastAsia" w:ascii="宋体" w:hAnsi="宋体" w:eastAsia="宋体" w:cs="宋体"/>
                <w:bCs/>
                <w:sz w:val="24"/>
                <w:szCs w:val="24"/>
              </w:rPr>
              <w:t>单位</w:t>
            </w:r>
          </w:p>
        </w:tc>
        <w:tc>
          <w:tcPr>
            <w:tcW w:w="303" w:type="pct"/>
            <w:vAlign w:val="center"/>
          </w:tcPr>
          <w:p w14:paraId="27F2BB7E">
            <w:pPr>
              <w:jc w:val="center"/>
              <w:rPr>
                <w:rFonts w:hint="eastAsia" w:ascii="宋体" w:hAnsi="宋体" w:eastAsia="宋体" w:cs="宋体"/>
                <w:bCs/>
                <w:sz w:val="24"/>
                <w:szCs w:val="24"/>
              </w:rPr>
            </w:pPr>
            <w:r>
              <w:rPr>
                <w:rFonts w:hint="eastAsia" w:ascii="宋体" w:hAnsi="宋体" w:eastAsia="宋体" w:cs="宋体"/>
                <w:bCs/>
                <w:sz w:val="24"/>
                <w:szCs w:val="24"/>
              </w:rPr>
              <w:t>数量</w:t>
            </w:r>
          </w:p>
        </w:tc>
      </w:tr>
      <w:tr w14:paraId="626C8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7" w:type="pct"/>
            <w:vAlign w:val="center"/>
          </w:tcPr>
          <w:p w14:paraId="38C57A4D">
            <w:pPr>
              <w:jc w:val="center"/>
              <w:rPr>
                <w:rFonts w:hint="eastAsia" w:ascii="宋体" w:hAnsi="宋体" w:eastAsia="宋体" w:cs="宋体"/>
                <w:bCs/>
                <w:sz w:val="24"/>
                <w:szCs w:val="24"/>
              </w:rPr>
            </w:pPr>
            <w:r>
              <w:rPr>
                <w:rFonts w:hint="eastAsia" w:ascii="宋体" w:hAnsi="宋体" w:eastAsia="宋体" w:cs="宋体"/>
                <w:bCs/>
                <w:sz w:val="24"/>
                <w:szCs w:val="24"/>
              </w:rPr>
              <w:t>1</w:t>
            </w:r>
          </w:p>
        </w:tc>
        <w:tc>
          <w:tcPr>
            <w:tcW w:w="656" w:type="pct"/>
            <w:vAlign w:val="center"/>
          </w:tcPr>
          <w:p w14:paraId="36C0608B">
            <w:pPr>
              <w:jc w:val="center"/>
              <w:rPr>
                <w:rFonts w:hint="eastAsia" w:ascii="宋体" w:hAnsi="宋体" w:eastAsia="宋体" w:cs="宋体"/>
                <w:bCs/>
                <w:sz w:val="24"/>
                <w:szCs w:val="24"/>
                <w:lang w:val="en-US" w:eastAsia="zh-CN"/>
              </w:rPr>
            </w:pPr>
            <w:r>
              <w:rPr>
                <w:rFonts w:hint="eastAsia" w:ascii="宋体" w:hAnsi="宋体" w:eastAsia="宋体" w:cs="宋体"/>
                <w:bCs/>
                <w:sz w:val="24"/>
                <w:szCs w:val="24"/>
              </w:rPr>
              <w:t>台式计算机</w:t>
            </w:r>
            <w:r>
              <w:rPr>
                <w:rFonts w:hint="eastAsia" w:ascii="宋体" w:hAnsi="宋体" w:eastAsia="宋体" w:cs="宋体"/>
                <w:bCs/>
                <w:sz w:val="24"/>
                <w:szCs w:val="24"/>
                <w:lang w:val="en-US" w:eastAsia="zh-CN"/>
              </w:rPr>
              <w:t>1</w:t>
            </w:r>
          </w:p>
        </w:tc>
        <w:tc>
          <w:tcPr>
            <w:tcW w:w="3222" w:type="pct"/>
            <w:shd w:val="clear" w:color="auto" w:fill="auto"/>
            <w:vAlign w:val="center"/>
          </w:tcPr>
          <w:p w14:paraId="1C8AF683">
            <w:pP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★1.接受CPU&amp;操作系统未通过安全可靠测评的产品；</w:t>
            </w:r>
          </w:p>
          <w:p w14:paraId="67ACC96E">
            <w:pP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★2.CPU物理核数及线程数≥10核16线程；</w:t>
            </w:r>
          </w:p>
          <w:p w14:paraId="24841638">
            <w:pP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★3.CPU主频≥2.4GHz；</w:t>
            </w:r>
          </w:p>
          <w:p w14:paraId="5FEDC1A1">
            <w:pP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4.是否包含显示器：是，尺寸≥27英寸，分辨率≥1920x1080，供应商应提供显示器品牌型号，并承诺满足《台式计算机政府采购需求标准（2023年版）》（财库[2023]29号）中的显示设备的要求，且显示器具备节能产品认证证书/否。</w:t>
            </w:r>
          </w:p>
          <w:p w14:paraId="556E1D25">
            <w:pP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★5.内存≥16GB DDR4；</w:t>
            </w:r>
          </w:p>
          <w:p w14:paraId="138389DE">
            <w:pP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★6.硬盘≥512GB SSD；</w:t>
            </w:r>
          </w:p>
          <w:p w14:paraId="54CB61FE">
            <w:pP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★7.显卡：集成显卡或独立显卡；</w:t>
            </w:r>
          </w:p>
          <w:p w14:paraId="32833CE4">
            <w:pP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★8.接口：≥7个USB接口，其中至少包含1个TYPE-C接口，后置≥4个USB 3.0及以上接口，千兆网口，至少包含1个HDMI+1个DP接口，所有接口均为原生非转接；</w:t>
            </w:r>
          </w:p>
          <w:p w14:paraId="4FC23109">
            <w:pP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★9.机箱体积≤2L；</w:t>
            </w:r>
          </w:p>
          <w:p w14:paraId="3A447831">
            <w:pP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★10.电源≤90W</w:t>
            </w:r>
          </w:p>
          <w:p w14:paraId="0300BBEB">
            <w:pP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★11.服务：≥3年保修服务；</w:t>
            </w:r>
          </w:p>
          <w:p w14:paraId="0EDBA9F6">
            <w:pP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★12.系统：根据用户需求安装；</w:t>
            </w:r>
          </w:p>
          <w:p w14:paraId="12E117CC">
            <w:pP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13.还原软件：支持同传、还原功能；为了提升机房的统一部署与更新时间，减少老师的操作步骤与等待时间，支持镜像下发时的策略设置，更新镜像时锁定终端屏幕和更新时隐藏下载窗口；支持系统镜像下发后自动执行关机、重启等操作。支持平台收集所有终端的运行状态信息，包含但不限于终端名称、CPU温度、开机时间、硬盘信息等。保障在大批量终端集中下发与更新镜像时能够获得更快的速度，满足学校考试环境部署或统一更换镜像的需求，当学校网络带宽有限时，可支持在管理集群内将主服务器内镜像提前下发至IO服务器，通过IO服务器分发镜像，实现数据分流，提升局域网内镜像的更新速度。教师机可以将本地的操作和讲解过程录制为ASF录像文件，可以用 Windows 自带的 Media Player 直接播放。对学生访问网站的黑名单或白名单设置，支持对学生可以访问的Internet站点进行管理。支持多浏览器限制。</w:t>
            </w:r>
          </w:p>
          <w:p w14:paraId="648D67DC">
            <w:pP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★其余参数应满足《台式计算机政府采购需求标准（2023年版）》（财库[2023]29号）中的全部标注“*”规定。</w:t>
            </w:r>
          </w:p>
        </w:tc>
        <w:tc>
          <w:tcPr>
            <w:tcW w:w="451" w:type="pct"/>
            <w:vAlign w:val="center"/>
          </w:tcPr>
          <w:p w14:paraId="4F4985B5">
            <w:pPr>
              <w:jc w:val="center"/>
              <w:rPr>
                <w:rFonts w:hint="eastAsia" w:ascii="宋体" w:hAnsi="宋体" w:eastAsia="宋体" w:cs="宋体"/>
                <w:bCs/>
                <w:sz w:val="24"/>
                <w:szCs w:val="24"/>
              </w:rPr>
            </w:pPr>
            <w:r>
              <w:rPr>
                <w:rFonts w:hint="eastAsia" w:ascii="宋体" w:hAnsi="宋体" w:eastAsia="宋体" w:cs="宋体"/>
                <w:bCs/>
                <w:sz w:val="24"/>
                <w:szCs w:val="24"/>
              </w:rPr>
              <w:t>台</w:t>
            </w:r>
          </w:p>
        </w:tc>
        <w:tc>
          <w:tcPr>
            <w:tcW w:w="303" w:type="pct"/>
            <w:vAlign w:val="center"/>
          </w:tcPr>
          <w:p w14:paraId="3E735526">
            <w:pPr>
              <w:jc w:val="center"/>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80</w:t>
            </w:r>
          </w:p>
        </w:tc>
      </w:tr>
    </w:tbl>
    <w:p w14:paraId="65F8B103">
      <w:pPr>
        <w:rPr>
          <w:rFonts w:hint="eastAsia"/>
          <w:lang w:val="en-US" w:eastAsia="zh-CN"/>
        </w:rPr>
      </w:pPr>
      <w:r>
        <w:rPr>
          <w:rFonts w:hint="eastAsia"/>
          <w:lang w:val="en-US" w:eastAsia="zh-CN"/>
        </w:rPr>
        <w:br w:type="page"/>
      </w:r>
    </w:p>
    <w:p w14:paraId="1809BEB3">
      <w:pPr>
        <w:rPr>
          <w:rFonts w:hint="eastAsia"/>
          <w:lang w:val="en-US" w:eastAsia="zh-CN"/>
        </w:rPr>
      </w:pPr>
    </w:p>
    <w:p w14:paraId="046F249C">
      <w:pPr>
        <w:pStyle w:val="2"/>
        <w:keepNext/>
        <w:keepLines/>
        <w:pageBreakBefore w:val="0"/>
        <w:widowControl/>
        <w:numPr>
          <w:ilvl w:val="0"/>
          <w:numId w:val="3"/>
        </w:numPr>
        <w:kinsoku w:val="0"/>
        <w:wordWrap/>
        <w:overflowPunct/>
        <w:topLinePunct w:val="0"/>
        <w:autoSpaceDE w:val="0"/>
        <w:autoSpaceDN w:val="0"/>
        <w:bidi w:val="0"/>
        <w:adjustRightInd w:val="0"/>
        <w:snapToGrid w:val="0"/>
        <w:ind w:left="0" w:leftChars="0" w:firstLine="0"/>
        <w:jc w:val="both"/>
        <w:textAlignment w:val="baseline"/>
        <w:rPr>
          <w:rFonts w:hint="eastAsia" w:ascii="宋体" w:hAnsi="宋体" w:eastAsia="宋体" w:cs="宋体"/>
          <w:b/>
          <w:bCs/>
          <w:color w:val="FF0000"/>
          <w:sz w:val="24"/>
          <w:szCs w:val="24"/>
          <w:highlight w:val="none"/>
          <w:lang w:val="en-US" w:eastAsia="zh-CN"/>
        </w:rPr>
      </w:pPr>
      <w:r>
        <w:rPr>
          <w:rFonts w:hint="eastAsia" w:ascii="宋体" w:hAnsi="宋体" w:eastAsia="宋体" w:cs="宋体"/>
          <w:b/>
          <w:bCs/>
          <w:color w:val="FF0000"/>
          <w:sz w:val="24"/>
          <w:szCs w:val="24"/>
          <w:highlight w:val="none"/>
          <w:lang w:val="en-US" w:eastAsia="zh-CN"/>
        </w:rPr>
        <w:t>天津滨海职业学院继续教育学院安全生产考试考点机房台式计算机采购项目台式计算机2-技术参数明细</w:t>
      </w:r>
    </w:p>
    <w:tbl>
      <w:tblPr>
        <w:tblStyle w:val="6"/>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9"/>
        <w:gridCol w:w="1442"/>
        <w:gridCol w:w="9928"/>
        <w:gridCol w:w="901"/>
        <w:gridCol w:w="853"/>
      </w:tblGrid>
      <w:tr w14:paraId="5A340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7" w:type="pct"/>
            <w:vAlign w:val="center"/>
          </w:tcPr>
          <w:p w14:paraId="50A9119E">
            <w:pPr>
              <w:jc w:val="center"/>
              <w:rPr>
                <w:rFonts w:hint="eastAsia" w:ascii="宋体" w:hAnsi="宋体" w:eastAsia="宋体" w:cs="宋体"/>
                <w:bCs/>
                <w:sz w:val="24"/>
                <w:szCs w:val="24"/>
              </w:rPr>
            </w:pPr>
            <w:r>
              <w:rPr>
                <w:rFonts w:hint="eastAsia" w:ascii="宋体" w:hAnsi="宋体" w:eastAsia="宋体" w:cs="宋体"/>
                <w:bCs/>
                <w:sz w:val="24"/>
                <w:szCs w:val="24"/>
              </w:rPr>
              <w:t>序号</w:t>
            </w:r>
          </w:p>
        </w:tc>
        <w:tc>
          <w:tcPr>
            <w:tcW w:w="509" w:type="pct"/>
            <w:vAlign w:val="center"/>
          </w:tcPr>
          <w:p w14:paraId="7794EB74">
            <w:pPr>
              <w:jc w:val="center"/>
              <w:rPr>
                <w:rFonts w:hint="eastAsia" w:ascii="宋体" w:hAnsi="宋体" w:eastAsia="宋体" w:cs="宋体"/>
                <w:bCs/>
                <w:sz w:val="24"/>
                <w:szCs w:val="24"/>
              </w:rPr>
            </w:pPr>
            <w:r>
              <w:rPr>
                <w:rFonts w:hint="eastAsia" w:ascii="宋体" w:hAnsi="宋体" w:eastAsia="宋体" w:cs="宋体"/>
                <w:bCs/>
                <w:sz w:val="24"/>
                <w:szCs w:val="24"/>
              </w:rPr>
              <w:t>采购标的</w:t>
            </w:r>
          </w:p>
        </w:tc>
        <w:tc>
          <w:tcPr>
            <w:tcW w:w="3504" w:type="pct"/>
            <w:vAlign w:val="center"/>
          </w:tcPr>
          <w:p w14:paraId="2BF5060B">
            <w:pPr>
              <w:jc w:val="center"/>
              <w:rPr>
                <w:rFonts w:hint="eastAsia" w:ascii="宋体" w:hAnsi="宋体" w:eastAsia="宋体" w:cs="宋体"/>
                <w:bCs/>
                <w:sz w:val="24"/>
                <w:szCs w:val="24"/>
              </w:rPr>
            </w:pPr>
            <w:r>
              <w:rPr>
                <w:rFonts w:hint="eastAsia" w:ascii="宋体" w:hAnsi="宋体" w:eastAsia="宋体" w:cs="宋体"/>
                <w:bCs/>
                <w:sz w:val="24"/>
                <w:szCs w:val="24"/>
              </w:rPr>
              <w:t>技术参数</w:t>
            </w:r>
          </w:p>
        </w:tc>
        <w:tc>
          <w:tcPr>
            <w:tcW w:w="318" w:type="pct"/>
            <w:vAlign w:val="center"/>
          </w:tcPr>
          <w:p w14:paraId="72C145B5">
            <w:pPr>
              <w:jc w:val="center"/>
              <w:rPr>
                <w:rFonts w:hint="eastAsia" w:ascii="宋体" w:hAnsi="宋体" w:eastAsia="宋体" w:cs="宋体"/>
                <w:bCs/>
                <w:sz w:val="24"/>
                <w:szCs w:val="24"/>
              </w:rPr>
            </w:pPr>
            <w:r>
              <w:rPr>
                <w:rFonts w:hint="eastAsia" w:ascii="宋体" w:hAnsi="宋体" w:eastAsia="宋体" w:cs="宋体"/>
                <w:bCs/>
                <w:sz w:val="24"/>
                <w:szCs w:val="24"/>
              </w:rPr>
              <w:t>单位</w:t>
            </w:r>
          </w:p>
        </w:tc>
        <w:tc>
          <w:tcPr>
            <w:tcW w:w="301" w:type="pct"/>
            <w:vAlign w:val="center"/>
          </w:tcPr>
          <w:p w14:paraId="02AA90C1">
            <w:pPr>
              <w:jc w:val="center"/>
              <w:rPr>
                <w:rFonts w:hint="eastAsia" w:ascii="宋体" w:hAnsi="宋体" w:eastAsia="宋体" w:cs="宋体"/>
                <w:bCs/>
                <w:sz w:val="24"/>
                <w:szCs w:val="24"/>
              </w:rPr>
            </w:pPr>
            <w:r>
              <w:rPr>
                <w:rFonts w:hint="eastAsia" w:ascii="宋体" w:hAnsi="宋体" w:eastAsia="宋体" w:cs="宋体"/>
                <w:bCs/>
                <w:sz w:val="24"/>
                <w:szCs w:val="24"/>
              </w:rPr>
              <w:t>数量</w:t>
            </w:r>
          </w:p>
        </w:tc>
      </w:tr>
      <w:tr w14:paraId="1F1E6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7" w:type="pct"/>
            <w:vAlign w:val="center"/>
          </w:tcPr>
          <w:p w14:paraId="3C640ECD">
            <w:pPr>
              <w:jc w:val="center"/>
              <w:rPr>
                <w:rFonts w:hint="eastAsia" w:ascii="宋体" w:hAnsi="宋体" w:eastAsia="宋体" w:cs="宋体"/>
                <w:bCs/>
                <w:sz w:val="24"/>
                <w:szCs w:val="24"/>
                <w:lang w:eastAsia="zh-CN"/>
              </w:rPr>
            </w:pPr>
            <w:r>
              <w:rPr>
                <w:rFonts w:hint="eastAsia" w:ascii="宋体" w:hAnsi="宋体" w:eastAsia="宋体" w:cs="宋体"/>
                <w:bCs/>
                <w:sz w:val="24"/>
                <w:szCs w:val="24"/>
                <w:lang w:val="en-US" w:eastAsia="zh-CN"/>
              </w:rPr>
              <w:t>1</w:t>
            </w:r>
          </w:p>
        </w:tc>
        <w:tc>
          <w:tcPr>
            <w:tcW w:w="509" w:type="pct"/>
            <w:vAlign w:val="center"/>
          </w:tcPr>
          <w:p w14:paraId="7FFA74E3">
            <w:pPr>
              <w:jc w:val="center"/>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台式计算机2</w:t>
            </w:r>
          </w:p>
        </w:tc>
        <w:tc>
          <w:tcPr>
            <w:tcW w:w="3504" w:type="pct"/>
            <w:vAlign w:val="center"/>
          </w:tcPr>
          <w:p w14:paraId="6C349A67">
            <w:pPr>
              <w:rPr>
                <w:rFonts w:hint="eastAsia" w:ascii="宋体" w:hAnsi="宋体" w:eastAsia="宋体" w:cs="宋体"/>
                <w:bCs/>
                <w:sz w:val="24"/>
                <w:szCs w:val="24"/>
              </w:rPr>
            </w:pPr>
            <w:r>
              <w:rPr>
                <w:rFonts w:hint="eastAsia" w:ascii="宋体" w:hAnsi="宋体" w:eastAsia="宋体" w:cs="宋体"/>
                <w:bCs/>
                <w:sz w:val="24"/>
                <w:szCs w:val="24"/>
              </w:rPr>
              <w:t>★1.接受CPU&amp;操作系统未通过安全可靠测评的产品；</w:t>
            </w:r>
          </w:p>
          <w:p w14:paraId="44DFD6B2">
            <w:pPr>
              <w:rPr>
                <w:rFonts w:hint="eastAsia" w:ascii="宋体" w:hAnsi="宋体" w:eastAsia="宋体" w:cs="宋体"/>
                <w:bCs/>
                <w:sz w:val="24"/>
                <w:szCs w:val="24"/>
              </w:rPr>
            </w:pPr>
            <w:r>
              <w:rPr>
                <w:rFonts w:hint="eastAsia" w:ascii="宋体" w:hAnsi="宋体" w:eastAsia="宋体" w:cs="宋体"/>
                <w:bCs/>
                <w:sz w:val="24"/>
                <w:szCs w:val="24"/>
              </w:rPr>
              <w:t>★2.CPU物理核数及线程数≥10核10线程；</w:t>
            </w:r>
          </w:p>
          <w:p w14:paraId="5E44A6C7">
            <w:pPr>
              <w:rPr>
                <w:rFonts w:hint="eastAsia" w:ascii="宋体" w:hAnsi="宋体" w:eastAsia="宋体" w:cs="宋体"/>
                <w:bCs/>
                <w:sz w:val="24"/>
                <w:szCs w:val="24"/>
              </w:rPr>
            </w:pPr>
            <w:r>
              <w:rPr>
                <w:rFonts w:hint="eastAsia" w:ascii="宋体" w:hAnsi="宋体" w:eastAsia="宋体" w:cs="宋体"/>
                <w:bCs/>
                <w:sz w:val="24"/>
                <w:szCs w:val="24"/>
              </w:rPr>
              <w:t>★3</w:t>
            </w:r>
            <w:r>
              <w:rPr>
                <w:rFonts w:hint="eastAsia" w:ascii="宋体" w:hAnsi="宋体" w:eastAsia="宋体" w:cs="宋体"/>
                <w:bCs/>
                <w:sz w:val="24"/>
                <w:szCs w:val="24"/>
                <w:lang w:val="en-US" w:eastAsia="zh-CN"/>
              </w:rPr>
              <w:t>.</w:t>
            </w:r>
            <w:r>
              <w:rPr>
                <w:rFonts w:hint="eastAsia" w:ascii="宋体" w:hAnsi="宋体" w:eastAsia="宋体" w:cs="宋体"/>
                <w:bCs/>
                <w:sz w:val="24"/>
                <w:szCs w:val="24"/>
              </w:rPr>
              <w:t>CPU主频≥3.3GHz；</w:t>
            </w:r>
          </w:p>
          <w:p w14:paraId="67C1401B">
            <w:pPr>
              <w:rPr>
                <w:rFonts w:hint="eastAsia" w:ascii="宋体" w:hAnsi="宋体" w:eastAsia="宋体" w:cs="宋体"/>
                <w:bCs/>
                <w:sz w:val="24"/>
                <w:szCs w:val="24"/>
              </w:rPr>
            </w:pPr>
            <w:r>
              <w:rPr>
                <w:rFonts w:hint="eastAsia" w:ascii="宋体" w:hAnsi="宋体" w:eastAsia="宋体" w:cs="宋体"/>
                <w:bCs/>
                <w:sz w:val="24"/>
                <w:szCs w:val="24"/>
              </w:rPr>
              <w:t>★4.是否包含显示器：是，尺寸≥27英寸，分辨率≥1920x1080，供应商应提供显示器品牌型号，并承诺满足《台式计算机政府采购需求标准（2023年版）》（财库[2023]29号）中的显示设备的要求，且显示器具备节能产品认证证书 / 否。</w:t>
            </w:r>
          </w:p>
          <w:p w14:paraId="3BC5EA17">
            <w:pPr>
              <w:rPr>
                <w:rFonts w:hint="eastAsia" w:ascii="宋体" w:hAnsi="宋体" w:eastAsia="宋体" w:cs="宋体"/>
                <w:bCs/>
                <w:sz w:val="24"/>
                <w:szCs w:val="24"/>
              </w:rPr>
            </w:pPr>
            <w:r>
              <w:rPr>
                <w:rFonts w:hint="eastAsia" w:ascii="宋体" w:hAnsi="宋体" w:eastAsia="宋体" w:cs="宋体"/>
                <w:bCs/>
                <w:sz w:val="24"/>
                <w:szCs w:val="24"/>
              </w:rPr>
              <w:t>★5.内存≥16GB DDR5；</w:t>
            </w:r>
          </w:p>
          <w:p w14:paraId="5AA9A213">
            <w:pPr>
              <w:rPr>
                <w:rFonts w:hint="eastAsia" w:ascii="宋体" w:hAnsi="宋体" w:eastAsia="宋体" w:cs="宋体"/>
                <w:bCs/>
                <w:sz w:val="24"/>
                <w:szCs w:val="24"/>
              </w:rPr>
            </w:pPr>
            <w:r>
              <w:rPr>
                <w:rFonts w:hint="eastAsia" w:ascii="宋体" w:hAnsi="宋体" w:eastAsia="宋体" w:cs="宋体"/>
                <w:bCs/>
                <w:sz w:val="24"/>
                <w:szCs w:val="24"/>
              </w:rPr>
              <w:t>★6.硬盘≥512GB SSD；</w:t>
            </w:r>
          </w:p>
          <w:p w14:paraId="6D863AEF">
            <w:pPr>
              <w:rPr>
                <w:rFonts w:hint="eastAsia" w:ascii="宋体" w:hAnsi="宋体" w:eastAsia="宋体" w:cs="宋体"/>
                <w:bCs/>
                <w:sz w:val="24"/>
                <w:szCs w:val="24"/>
              </w:rPr>
            </w:pPr>
            <w:r>
              <w:rPr>
                <w:rFonts w:hint="eastAsia" w:ascii="宋体" w:hAnsi="宋体" w:eastAsia="宋体" w:cs="宋体"/>
                <w:bCs/>
                <w:sz w:val="24"/>
                <w:szCs w:val="24"/>
              </w:rPr>
              <w:t>★7.显卡：集成显卡或独立显卡；</w:t>
            </w:r>
          </w:p>
          <w:p w14:paraId="6481E4F8">
            <w:pPr>
              <w:rPr>
                <w:rFonts w:hint="eastAsia" w:ascii="宋体" w:hAnsi="宋体" w:eastAsia="宋体" w:cs="宋体"/>
                <w:bCs/>
                <w:sz w:val="24"/>
                <w:szCs w:val="24"/>
              </w:rPr>
            </w:pPr>
            <w:r>
              <w:rPr>
                <w:rFonts w:hint="eastAsia" w:ascii="宋体" w:hAnsi="宋体" w:eastAsia="宋体" w:cs="宋体"/>
                <w:bCs/>
                <w:sz w:val="24"/>
                <w:szCs w:val="24"/>
              </w:rPr>
              <w:t>★8.接口：≥7个USB接口（其中前置≥2个USB 3.0接口且包含1个Type-C，后置≥2个USB 3.2接口），千兆网口，支持HDMI、VGA、DP 3个视频接口，以上所有接口均为原生非转接；</w:t>
            </w:r>
          </w:p>
          <w:p w14:paraId="616AD15F">
            <w:pPr>
              <w:rPr>
                <w:rFonts w:hint="eastAsia" w:ascii="宋体" w:hAnsi="宋体" w:eastAsia="宋体" w:cs="宋体"/>
                <w:bCs/>
                <w:sz w:val="24"/>
                <w:szCs w:val="24"/>
              </w:rPr>
            </w:pPr>
            <w:r>
              <w:rPr>
                <w:rFonts w:hint="eastAsia" w:ascii="宋体" w:hAnsi="宋体" w:eastAsia="宋体" w:cs="宋体"/>
                <w:bCs/>
                <w:sz w:val="24"/>
                <w:szCs w:val="24"/>
              </w:rPr>
              <w:t>★9.机箱体积≤8.6L；</w:t>
            </w:r>
          </w:p>
          <w:p w14:paraId="731617FA">
            <w:pPr>
              <w:rPr>
                <w:rFonts w:hint="eastAsia" w:ascii="宋体" w:hAnsi="宋体" w:eastAsia="宋体" w:cs="宋体"/>
                <w:bCs/>
                <w:sz w:val="24"/>
                <w:szCs w:val="24"/>
              </w:rPr>
            </w:pPr>
            <w:r>
              <w:rPr>
                <w:rFonts w:hint="eastAsia" w:ascii="宋体" w:hAnsi="宋体" w:eastAsia="宋体" w:cs="宋体"/>
                <w:bCs/>
                <w:sz w:val="24"/>
                <w:szCs w:val="24"/>
              </w:rPr>
              <w:t>★10.电源≥200W；</w:t>
            </w:r>
          </w:p>
          <w:p w14:paraId="00DB40C9">
            <w:pPr>
              <w:rPr>
                <w:rFonts w:hint="eastAsia" w:ascii="宋体" w:hAnsi="宋体" w:eastAsia="宋体" w:cs="宋体"/>
                <w:bCs/>
                <w:sz w:val="24"/>
                <w:szCs w:val="24"/>
              </w:rPr>
            </w:pPr>
            <w:r>
              <w:rPr>
                <w:rFonts w:hint="eastAsia" w:ascii="宋体" w:hAnsi="宋体" w:eastAsia="宋体" w:cs="宋体"/>
                <w:bCs/>
                <w:sz w:val="24"/>
                <w:szCs w:val="24"/>
              </w:rPr>
              <w:t>★11.服务：≥3年保修服务；</w:t>
            </w:r>
          </w:p>
          <w:p w14:paraId="61723A67">
            <w:pPr>
              <w:rPr>
                <w:rFonts w:hint="eastAsia" w:ascii="宋体" w:hAnsi="宋体" w:eastAsia="宋体" w:cs="宋体"/>
                <w:bCs/>
                <w:sz w:val="24"/>
                <w:szCs w:val="24"/>
              </w:rPr>
            </w:pPr>
            <w:r>
              <w:rPr>
                <w:rFonts w:hint="eastAsia" w:ascii="宋体" w:hAnsi="宋体" w:eastAsia="宋体" w:cs="宋体"/>
                <w:bCs/>
                <w:sz w:val="24"/>
                <w:szCs w:val="24"/>
              </w:rPr>
              <w:t>★12.系统：根据用户需求安装；</w:t>
            </w:r>
          </w:p>
          <w:p w14:paraId="23A13CF3">
            <w:pPr>
              <w:rPr>
                <w:rFonts w:hint="eastAsia" w:ascii="宋体" w:hAnsi="宋体" w:eastAsia="宋体" w:cs="宋体"/>
                <w:bCs/>
                <w:sz w:val="24"/>
                <w:szCs w:val="24"/>
              </w:rPr>
            </w:pPr>
            <w:r>
              <w:rPr>
                <w:rFonts w:hint="eastAsia" w:ascii="宋体" w:hAnsi="宋体" w:eastAsia="宋体" w:cs="宋体"/>
                <w:bCs/>
                <w:sz w:val="24"/>
                <w:szCs w:val="24"/>
              </w:rPr>
              <w:t>★13.还原软件：支持同传、还原功能；为了提升机房的统一部署与更新时间，减少老师的操作步骤与等待时间，支持镜像下发时的策略设置，更新镜像时锁定终端屏幕和更新时隐藏下载窗口；支持系统镜像下发后自动执行关机、重启等操作。支持平台收集所有终端的运行状态信息，包含但不限于终端名称、CPU温度、开机时间、硬盘信息等。保障在大批量终端集中下发与更新镜像时能够获得更快的速度，满足学校考试环境部署或统一更换镜像的需求，当学校网络带宽有限时，可支持在管理集群内将主服务器内镜像提前下发至IO服务器，通过IO服务器分发镜像，实现数据分流，提升局域网内镜像的更新速度。教师机可以将本地的操作和讲解过程录制为ASF录像文件，可以用 Windows 自带的 Media Player 直接播放。对学生访问网站的黑名单或白名单设置，支持对学生可以访问的Internet站点进行管理。支持多浏览器限制。</w:t>
            </w:r>
          </w:p>
          <w:p w14:paraId="651E1A22">
            <w:pPr>
              <w:rPr>
                <w:rFonts w:hint="eastAsia" w:ascii="宋体" w:hAnsi="宋体" w:eastAsia="宋体" w:cs="宋体"/>
                <w:bCs/>
                <w:sz w:val="24"/>
                <w:szCs w:val="24"/>
              </w:rPr>
            </w:pPr>
            <w:r>
              <w:rPr>
                <w:rFonts w:hint="eastAsia" w:ascii="宋体" w:hAnsi="宋体" w:eastAsia="宋体" w:cs="宋体"/>
                <w:bCs/>
                <w:sz w:val="24"/>
                <w:szCs w:val="24"/>
              </w:rPr>
              <w:t>★其余参数应满足《台式计算机政府采购需求标准（2023年版）》（财库[2023]29号）中的全部标注“*”规定。</w:t>
            </w:r>
          </w:p>
        </w:tc>
        <w:tc>
          <w:tcPr>
            <w:tcW w:w="318" w:type="pct"/>
            <w:vAlign w:val="center"/>
          </w:tcPr>
          <w:p w14:paraId="7A17009B">
            <w:pPr>
              <w:jc w:val="center"/>
              <w:rPr>
                <w:rFonts w:hint="eastAsia" w:ascii="宋体" w:hAnsi="宋体" w:eastAsia="宋体" w:cs="宋体"/>
                <w:bCs/>
                <w:sz w:val="24"/>
                <w:szCs w:val="24"/>
              </w:rPr>
            </w:pPr>
            <w:r>
              <w:rPr>
                <w:rFonts w:hint="eastAsia" w:ascii="宋体" w:hAnsi="宋体" w:eastAsia="宋体" w:cs="宋体"/>
                <w:bCs/>
                <w:sz w:val="24"/>
                <w:szCs w:val="24"/>
              </w:rPr>
              <w:t>台</w:t>
            </w:r>
          </w:p>
        </w:tc>
        <w:tc>
          <w:tcPr>
            <w:tcW w:w="301" w:type="pct"/>
            <w:vAlign w:val="center"/>
          </w:tcPr>
          <w:p w14:paraId="23EE901F">
            <w:pPr>
              <w:jc w:val="center"/>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15</w:t>
            </w:r>
          </w:p>
        </w:tc>
      </w:tr>
    </w:tbl>
    <w:p w14:paraId="15C95530">
      <w:pPr>
        <w:rPr>
          <w:rFonts w:hint="eastAsia" w:ascii="宋体" w:hAnsi="宋体" w:eastAsia="宋体" w:cs="宋体"/>
          <w:b/>
          <w:bCs/>
          <w:color w:val="auto"/>
          <w:sz w:val="24"/>
          <w:szCs w:val="24"/>
          <w:highlight w:val="none"/>
          <w:lang w:val="en-US" w:eastAsia="zh-CN"/>
        </w:rPr>
      </w:pPr>
    </w:p>
    <w:p w14:paraId="7FBB48ED">
      <w:pPr>
        <w:rPr>
          <w:rFonts w:hint="default" w:ascii="宋体" w:hAnsi="宋体" w:eastAsia="宋体" w:cs="宋体"/>
          <w:b/>
          <w:bCs/>
          <w:color w:val="auto"/>
          <w:sz w:val="24"/>
          <w:szCs w:val="24"/>
          <w:highlight w:val="none"/>
          <w:lang w:val="en-US" w:eastAsia="zh-CN"/>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Calibri Light">
    <w:panose1 w:val="020F03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8F44220"/>
    <w:multiLevelType w:val="singleLevel"/>
    <w:tmpl w:val="E8F44220"/>
    <w:lvl w:ilvl="0" w:tentative="0">
      <w:start w:val="1"/>
      <w:numFmt w:val="chineseCounting"/>
      <w:suff w:val="nothing"/>
      <w:lvlText w:val="（%1）"/>
      <w:lvlJc w:val="left"/>
      <w:rPr>
        <w:rFonts w:hint="eastAsia"/>
      </w:rPr>
    </w:lvl>
  </w:abstractNum>
  <w:abstractNum w:abstractNumId="1">
    <w:nsid w:val="2790A8C5"/>
    <w:multiLevelType w:val="multilevel"/>
    <w:tmpl w:val="2790A8C5"/>
    <w:lvl w:ilvl="0" w:tentative="0">
      <w:start w:val="1"/>
      <w:numFmt w:val="chineseCounting"/>
      <w:suff w:val="nothing"/>
      <w:lvlText w:val="第%1章 "/>
      <w:lvlJc w:val="left"/>
      <w:pPr>
        <w:ind w:left="3692" w:hanging="432"/>
      </w:pPr>
      <w:rPr>
        <w:rFonts w:hint="eastAsia"/>
        <w:b/>
        <w:bCs/>
      </w:rPr>
    </w:lvl>
    <w:lvl w:ilvl="1" w:tentative="0">
      <w:start w:val="1"/>
      <w:numFmt w:val="decimal"/>
      <w:pStyle w:val="2"/>
      <w:isLgl/>
      <w:lvlText w:val="%1.%2."/>
      <w:lvlJc w:val="left"/>
      <w:pPr>
        <w:ind w:left="1141" w:hanging="575"/>
      </w:pPr>
      <w:rPr>
        <w:rFonts w:hint="eastAsia" w:ascii="微软雅黑" w:hAnsi="微软雅黑" w:eastAsia="微软雅黑" w:cs="微软雅黑"/>
        <w:sz w:val="20"/>
        <w:szCs w:val="20"/>
      </w:rPr>
    </w:lvl>
    <w:lvl w:ilvl="2" w:tentative="0">
      <w:start w:val="1"/>
      <w:numFmt w:val="decimal"/>
      <w:isLgl/>
      <w:lvlText w:val="%1.%2.%3."/>
      <w:lvlJc w:val="left"/>
      <w:pPr>
        <w:ind w:left="1286" w:hanging="720"/>
      </w:pPr>
      <w:rPr>
        <w:rFonts w:hint="eastAsia" w:ascii="微软雅黑" w:hAnsi="微软雅黑" w:eastAsia="微软雅黑" w:cs="微软雅黑"/>
        <w:sz w:val="20"/>
        <w:szCs w:val="20"/>
      </w:rPr>
    </w:lvl>
    <w:lvl w:ilvl="3" w:tentative="0">
      <w:start w:val="1"/>
      <w:numFmt w:val="decimal"/>
      <w:isLgl/>
      <w:lvlText w:val="%1.%2.%3.%4."/>
      <w:lvlJc w:val="left"/>
      <w:pPr>
        <w:ind w:left="1430" w:hanging="864"/>
      </w:pPr>
      <w:rPr>
        <w:rFonts w:hint="eastAsia" w:ascii="微软雅黑" w:hAnsi="微软雅黑" w:eastAsia="微软雅黑" w:cs="微软雅黑"/>
      </w:rPr>
    </w:lvl>
    <w:lvl w:ilvl="4" w:tentative="0">
      <w:start w:val="1"/>
      <w:numFmt w:val="decimal"/>
      <w:isLgl/>
      <w:lvlText w:val="%1.%2.%3.%4.%5."/>
      <w:lvlJc w:val="left"/>
      <w:pPr>
        <w:ind w:left="1574" w:hanging="1008"/>
      </w:pPr>
      <w:rPr>
        <w:rFonts w:hint="eastAsia"/>
      </w:rPr>
    </w:lvl>
    <w:lvl w:ilvl="5" w:tentative="0">
      <w:start w:val="1"/>
      <w:numFmt w:val="decimal"/>
      <w:isLgl/>
      <w:lvlText w:val="%1.%2.%3.%4.%5.%6."/>
      <w:lvlJc w:val="left"/>
      <w:pPr>
        <w:ind w:left="1717" w:hanging="1151"/>
      </w:pPr>
      <w:rPr>
        <w:rFonts w:hint="eastAsia"/>
      </w:rPr>
    </w:lvl>
    <w:lvl w:ilvl="6" w:tentative="0">
      <w:start w:val="1"/>
      <w:numFmt w:val="decimal"/>
      <w:isLgl/>
      <w:lvlText w:val="%1.%2.%3.%4.%5.%6.%7."/>
      <w:lvlJc w:val="left"/>
      <w:pPr>
        <w:ind w:left="1862" w:hanging="1296"/>
      </w:pPr>
      <w:rPr>
        <w:rFonts w:hint="eastAsia"/>
      </w:rPr>
    </w:lvl>
    <w:lvl w:ilvl="7" w:tentative="0">
      <w:start w:val="1"/>
      <w:numFmt w:val="decimal"/>
      <w:isLgl/>
      <w:lvlText w:val="%1.%2.%3.%4.%5.%6.%7.%8."/>
      <w:lvlJc w:val="left"/>
      <w:pPr>
        <w:ind w:left="2006" w:hanging="1440"/>
      </w:pPr>
      <w:rPr>
        <w:rFonts w:hint="eastAsia"/>
      </w:rPr>
    </w:lvl>
    <w:lvl w:ilvl="8" w:tentative="0">
      <w:start w:val="1"/>
      <w:numFmt w:val="decimal"/>
      <w:isLgl/>
      <w:lvlText w:val="%1.%2.%3.%4.%5.%6.%7.%8.%9."/>
      <w:lvlJc w:val="left"/>
      <w:pPr>
        <w:ind w:left="2149" w:hanging="1583"/>
      </w:pPr>
      <w:rPr>
        <w:rFonts w:hint="eastAsia"/>
      </w:rPr>
    </w:lvl>
  </w:abstractNum>
  <w:abstractNum w:abstractNumId="2">
    <w:nsid w:val="6DBEA631"/>
    <w:multiLevelType w:val="singleLevel"/>
    <w:tmpl w:val="6DBEA631"/>
    <w:lvl w:ilvl="0" w:tentative="0">
      <w:start w:val="1"/>
      <w:numFmt w:val="chineseCounting"/>
      <w:suff w:val="nothing"/>
      <w:lvlText w:val="%1、"/>
      <w:lvlJc w:val="left"/>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VjYWRhZjQ3NWExMDhjZjYxNzk5N2ZmZDU5YzNlYzQifQ=="/>
  </w:docVars>
  <w:rsids>
    <w:rsidRoot w:val="4CA979EF"/>
    <w:rsid w:val="00E40880"/>
    <w:rsid w:val="084C4A9E"/>
    <w:rsid w:val="0EFB1BB6"/>
    <w:rsid w:val="106A0DA2"/>
    <w:rsid w:val="12302AFC"/>
    <w:rsid w:val="13A97E33"/>
    <w:rsid w:val="13D50C28"/>
    <w:rsid w:val="14797989"/>
    <w:rsid w:val="17740012"/>
    <w:rsid w:val="197D45D5"/>
    <w:rsid w:val="1B4C5D8C"/>
    <w:rsid w:val="1EF67CA4"/>
    <w:rsid w:val="1F7F6E49"/>
    <w:rsid w:val="211D34AE"/>
    <w:rsid w:val="22B53180"/>
    <w:rsid w:val="2D3622E0"/>
    <w:rsid w:val="2E4A36B0"/>
    <w:rsid w:val="2E716128"/>
    <w:rsid w:val="2EB76B66"/>
    <w:rsid w:val="2F5E5B1E"/>
    <w:rsid w:val="2FD9080B"/>
    <w:rsid w:val="35EF5721"/>
    <w:rsid w:val="368A2987"/>
    <w:rsid w:val="3952056C"/>
    <w:rsid w:val="3A1F44FA"/>
    <w:rsid w:val="3A3E08B6"/>
    <w:rsid w:val="3BB927B7"/>
    <w:rsid w:val="3C0417FB"/>
    <w:rsid w:val="3C603F42"/>
    <w:rsid w:val="422C2C46"/>
    <w:rsid w:val="46256100"/>
    <w:rsid w:val="46D97C99"/>
    <w:rsid w:val="47A50520"/>
    <w:rsid w:val="4876582E"/>
    <w:rsid w:val="4CA979EF"/>
    <w:rsid w:val="4DE9156D"/>
    <w:rsid w:val="50544A5A"/>
    <w:rsid w:val="50617234"/>
    <w:rsid w:val="509A584B"/>
    <w:rsid w:val="56116B96"/>
    <w:rsid w:val="5C4557EC"/>
    <w:rsid w:val="5FEA0C74"/>
    <w:rsid w:val="62522A10"/>
    <w:rsid w:val="642503DD"/>
    <w:rsid w:val="6A605A60"/>
    <w:rsid w:val="6ACB53C1"/>
    <w:rsid w:val="73F762A4"/>
    <w:rsid w:val="74933549"/>
    <w:rsid w:val="74A818EB"/>
    <w:rsid w:val="772D1C1A"/>
    <w:rsid w:val="784A5E45"/>
    <w:rsid w:val="798412AA"/>
    <w:rsid w:val="7D0102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keepNext/>
      <w:keepLines/>
      <w:numPr>
        <w:ilvl w:val="1"/>
        <w:numId w:val="1"/>
      </w:numPr>
      <w:spacing w:line="360" w:lineRule="auto"/>
      <w:jc w:val="center"/>
      <w:outlineLvl w:val="1"/>
    </w:pPr>
    <w:rPr>
      <w:rFonts w:eastAsia="微软雅黑" w:asciiTheme="majorHAnsi" w:hAnsiTheme="majorHAnsi" w:cstheme="majorBidi"/>
      <w:b/>
      <w:bCs/>
      <w:sz w:val="22"/>
      <w:szCs w:val="32"/>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next w:val="1"/>
    <w:semiHidden/>
    <w:qFormat/>
    <w:uiPriority w:val="0"/>
    <w:pPr>
      <w:widowControl/>
      <w:kinsoku w:val="0"/>
      <w:autoSpaceDE w:val="0"/>
      <w:autoSpaceDN w:val="0"/>
      <w:adjustRightInd w:val="0"/>
      <w:snapToGrid w:val="0"/>
      <w:jc w:val="left"/>
      <w:textAlignment w:val="baseline"/>
    </w:pPr>
    <w:rPr>
      <w:rFonts w:ascii="宋体" w:hAnsi="宋体" w:cs="宋体"/>
      <w:snapToGrid w:val="0"/>
      <w:color w:val="000000"/>
      <w:kern w:val="0"/>
      <w:sz w:val="18"/>
      <w:szCs w:val="18"/>
      <w:lang w:eastAsia="en-US"/>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1313</Words>
  <Characters>1365</Characters>
  <Lines>0</Lines>
  <Paragraphs>0</Paragraphs>
  <TotalTime>17</TotalTime>
  <ScaleCrop>false</ScaleCrop>
  <LinksUpToDate>false</LinksUpToDate>
  <CharactersWithSpaces>1367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2026-07-21T07:52:00Z</dcterms:created>
  <dc:creator>马君</dc:creator>
  <cp:lastModifiedBy>马君</cp:lastModifiedBy>
  <dcterms:modified xsi:type="dcterms:W3CDTF">2026-10-09T01:31:56Z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05998E549EF745C29FE86225B6D6511D_13</vt:lpwstr>
  </property>
  <property fmtid="{D5CDD505-2E9C-101B-9397-08002B2CF9AE}" pid="4" name="KSOTemplateDocerSaveRecord">
    <vt:lpwstr>eyJoZGlkIjoiMzVjYWRhZjQ3NWExMDhjZjYxNzk5N2ZmZDU5YzNlYzQiLCJ1c2VySWQiOiIxNjg3OTc5Nzk4In0=</vt:lpwstr>
  </property>
</Properties>
</file>