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25DC6">
      <w:pPr>
        <w:spacing w:line="560" w:lineRule="exact"/>
        <w:ind w:firstLine="640" w:firstLineChars="200"/>
        <w:jc w:val="both"/>
        <w:rPr>
          <w:rFonts w:hint="default" w:ascii="Times New Roman" w:hAnsi="Times New Roman" w:eastAsia="仿宋" w:cs="Times New Roman"/>
          <w:color w:val="000000"/>
          <w:sz w:val="32"/>
          <w:szCs w:val="32"/>
        </w:rPr>
      </w:pPr>
      <w:bookmarkStart w:id="0" w:name="_Toc20384570"/>
      <w:r>
        <w:rPr>
          <w:rFonts w:hint="default" w:ascii="Times New Roman" w:hAnsi="Times New Roman" w:eastAsia="仿宋" w:cs="Times New Roman"/>
          <w:color w:val="000000"/>
          <w:sz w:val="32"/>
          <w:szCs w:val="32"/>
        </w:rPr>
        <w:t>2.包2</w:t>
      </w:r>
    </w:p>
    <w:p w14:paraId="02244E2C">
      <w:pPr>
        <w:spacing w:line="560" w:lineRule="exact"/>
        <w:ind w:firstLine="640" w:firstLineChars="200"/>
        <w:jc w:val="both"/>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（1）技术要求</w:t>
      </w:r>
    </w:p>
    <w:tbl>
      <w:tblPr>
        <w:tblStyle w:val="8"/>
        <w:tblW w:w="8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289"/>
        <w:gridCol w:w="5523"/>
        <w:gridCol w:w="710"/>
        <w:gridCol w:w="805"/>
      </w:tblGrid>
      <w:tr w14:paraId="6D9F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5" w:type="dxa"/>
            <w:shd w:val="clear" w:color="auto" w:fill="auto"/>
            <w:vAlign w:val="center"/>
          </w:tcPr>
          <w:p w14:paraId="6CECFFE3">
            <w:pPr>
              <w:jc w:val="center"/>
              <w:rPr>
                <w:rFonts w:ascii="Times New Roman" w:hAnsi="Times New Roman"/>
                <w:b/>
              </w:rPr>
            </w:pPr>
            <w:r>
              <w:rPr>
                <w:rFonts w:ascii="Times New Roman" w:hAnsi="Times New Roman"/>
                <w:b/>
              </w:rPr>
              <w:t>序号</w:t>
            </w:r>
          </w:p>
        </w:tc>
        <w:tc>
          <w:tcPr>
            <w:tcW w:w="1289" w:type="dxa"/>
            <w:shd w:val="clear" w:color="auto" w:fill="auto"/>
            <w:vAlign w:val="center"/>
          </w:tcPr>
          <w:p w14:paraId="19CBBE43">
            <w:pPr>
              <w:jc w:val="center"/>
              <w:rPr>
                <w:rFonts w:ascii="Times New Roman" w:hAnsi="Times New Roman"/>
                <w:b/>
              </w:rPr>
            </w:pPr>
            <w:r>
              <w:rPr>
                <w:rFonts w:hint="eastAsia" w:ascii="Times New Roman" w:hAnsi="Times New Roman"/>
                <w:b/>
              </w:rPr>
              <w:t>采购</w:t>
            </w:r>
            <w:r>
              <w:rPr>
                <w:rFonts w:ascii="Times New Roman" w:hAnsi="Times New Roman"/>
                <w:b/>
              </w:rPr>
              <w:t>标的</w:t>
            </w:r>
          </w:p>
        </w:tc>
        <w:tc>
          <w:tcPr>
            <w:tcW w:w="5523" w:type="dxa"/>
            <w:shd w:val="clear" w:color="auto" w:fill="auto"/>
            <w:vAlign w:val="center"/>
          </w:tcPr>
          <w:p w14:paraId="25062696">
            <w:pPr>
              <w:jc w:val="center"/>
              <w:rPr>
                <w:rFonts w:ascii="Times New Roman" w:hAnsi="Times New Roman"/>
                <w:b/>
              </w:rPr>
            </w:pPr>
            <w:r>
              <w:rPr>
                <w:rFonts w:ascii="Times New Roman" w:hAnsi="Times New Roman"/>
                <w:b/>
              </w:rPr>
              <w:t>技术参数</w:t>
            </w:r>
          </w:p>
        </w:tc>
        <w:tc>
          <w:tcPr>
            <w:tcW w:w="710" w:type="dxa"/>
            <w:shd w:val="clear" w:color="auto" w:fill="auto"/>
            <w:vAlign w:val="center"/>
          </w:tcPr>
          <w:p w14:paraId="0E4A185B">
            <w:pPr>
              <w:jc w:val="center"/>
              <w:rPr>
                <w:rFonts w:ascii="Times New Roman" w:hAnsi="Times New Roman"/>
                <w:b/>
              </w:rPr>
            </w:pPr>
            <w:r>
              <w:rPr>
                <w:rFonts w:ascii="Times New Roman" w:hAnsi="Times New Roman"/>
                <w:b/>
              </w:rPr>
              <w:t>单位</w:t>
            </w:r>
          </w:p>
        </w:tc>
        <w:tc>
          <w:tcPr>
            <w:tcW w:w="805" w:type="dxa"/>
            <w:shd w:val="clear" w:color="auto" w:fill="auto"/>
            <w:vAlign w:val="center"/>
          </w:tcPr>
          <w:p w14:paraId="27F2BB7E">
            <w:pPr>
              <w:jc w:val="center"/>
              <w:rPr>
                <w:rFonts w:ascii="Times New Roman" w:hAnsi="Times New Roman"/>
                <w:b/>
              </w:rPr>
            </w:pPr>
            <w:r>
              <w:rPr>
                <w:rFonts w:ascii="Times New Roman" w:hAnsi="Times New Roman"/>
                <w:b/>
              </w:rPr>
              <w:t>数量</w:t>
            </w:r>
          </w:p>
        </w:tc>
      </w:tr>
      <w:tr w14:paraId="5343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78430507">
            <w:pPr>
              <w:jc w:val="center"/>
              <w:rPr>
                <w:rFonts w:hint="eastAsia" w:ascii="Times New Roman" w:hAnsi="Times New Roman" w:eastAsia="宋体"/>
                <w:lang w:eastAsia="zh-CN"/>
              </w:rPr>
            </w:pPr>
            <w:r>
              <w:rPr>
                <w:rFonts w:hint="eastAsia" w:ascii="Times New Roman" w:hAnsi="Times New Roman"/>
                <w:lang w:val="en-US" w:eastAsia="zh-CN"/>
              </w:rPr>
              <w:t>1</w:t>
            </w:r>
          </w:p>
        </w:tc>
        <w:tc>
          <w:tcPr>
            <w:tcW w:w="1289" w:type="dxa"/>
            <w:shd w:val="clear" w:color="auto" w:fill="auto"/>
            <w:vAlign w:val="center"/>
          </w:tcPr>
          <w:p w14:paraId="774950D4">
            <w:pPr>
              <w:jc w:val="center"/>
              <w:rPr>
                <w:rFonts w:ascii="Times New Roman" w:hAnsi="Times New Roman"/>
              </w:rPr>
            </w:pPr>
            <w:r>
              <w:rPr>
                <w:rFonts w:hint="eastAsia" w:ascii="宋体" w:hAnsi="宋体" w:eastAsia="宋体" w:cs="宋体"/>
              </w:rPr>
              <w:t>▲</w:t>
            </w:r>
            <w:r>
              <w:rPr>
                <w:rFonts w:hint="eastAsia" w:ascii="Times New Roman" w:hAnsi="Times New Roman"/>
              </w:rPr>
              <w:t>通用服务器</w:t>
            </w:r>
          </w:p>
        </w:tc>
        <w:tc>
          <w:tcPr>
            <w:tcW w:w="5523" w:type="dxa"/>
            <w:shd w:val="clear" w:color="auto" w:fill="auto"/>
            <w:vAlign w:val="center"/>
          </w:tcPr>
          <w:p w14:paraId="421682BB">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★1. CPU通过安全可靠测评 ；</w:t>
            </w:r>
          </w:p>
          <w:p w14:paraId="7590697B">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★2. 配置≥2 颗处理器，单颗物理核心数≥32 核，基础主频≥2.6GHz；支持硬件级可信安全能力</w:t>
            </w:r>
            <w:r>
              <w:rPr>
                <w:rFonts w:hint="eastAsia" w:cs="Times New Roman"/>
                <w:color w:val="000000"/>
                <w:sz w:val="22"/>
                <w:szCs w:val="22"/>
                <w:highlight w:val="none"/>
                <w:lang w:val="en-US" w:eastAsia="zh-CN"/>
              </w:rPr>
              <w:t>；</w:t>
            </w:r>
          </w:p>
          <w:p w14:paraId="4BE53EB8">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 xml:space="preserve"> ★3.配置总容量≥128GB DDR4 ECC RDIMM 企业级纠错内存；</w:t>
            </w:r>
          </w:p>
          <w:p w14:paraId="43A230E4">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★4.整机内存插槽数量≥16 个，支持 ECC、SDDC 等内存可靠性技术，内存速率≥2933MHz，最大可扩展容量≥1TB"</w:t>
            </w:r>
          </w:p>
          <w:p w14:paraId="153F3A80">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★5.系统盘：配置≥2 块 480GB 2.5 英寸企业级 SATA SSD 固态硬盘，支持 RAID1 镜像冗余；</w:t>
            </w:r>
          </w:p>
          <w:p w14:paraId="6E5D0836">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★6. 数据盘：配置≥3 块 8TB 3.5 英寸企业级 SATA 机械硬盘；</w:t>
            </w:r>
          </w:p>
          <w:p w14:paraId="51D641F2">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eastAsia" w:ascii="Times New Roman" w:hAnsi="Times New Roman" w:eastAsia="宋体" w:cs="Times New Roman"/>
                <w:bCs/>
                <w:sz w:val="24"/>
                <w:szCs w:val="20"/>
              </w:rPr>
              <w:t>●</w:t>
            </w:r>
            <w:r>
              <w:rPr>
                <w:rFonts w:hint="default" w:ascii="Times New Roman" w:hAnsi="Times New Roman" w:eastAsia="宋体" w:cs="Times New Roman"/>
                <w:color w:val="000000"/>
                <w:sz w:val="22"/>
                <w:szCs w:val="22"/>
                <w:highlight w:val="none"/>
                <w:lang w:val="en-US" w:eastAsia="zh-CN"/>
              </w:rPr>
              <w:t>7.整机硬盘扩展能力：支持≥12 个 3.5 英寸硬盘位（或等效 24 个 2.5 英寸盘位），支持 SATA/SAS/NVMe 介质混插，预留后续扩容能力；</w:t>
            </w:r>
          </w:p>
          <w:p w14:paraId="52A318D1">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★8.配置独立硬件 RAID 卡，缓存容量≥1GB，支持 RAID 0/1/5/6/10/50/60，配套超级电容掉电保护模块"</w:t>
            </w:r>
          </w:p>
          <w:p w14:paraId="131834B7">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9.板载≥4 个 1GbE 千兆 RJ45 电口；</w:t>
            </w:r>
          </w:p>
          <w:p w14:paraId="2F45B406">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★10. 配置≥2 个 10GbE 万兆 SFP + 光口，配套对应万兆多模光模块；</w:t>
            </w:r>
          </w:p>
          <w:p w14:paraId="4E25A901">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11.支持网络端口绑定、SR-IOV 虚拟化等功能，满足业务高可用组网需求"</w:t>
            </w:r>
          </w:p>
          <w:p w14:paraId="47C47F4B">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★12.配置≥2 个 80Plus 白金级冗余电源，支持热插拔，支持 N+N 冗余模式；</w:t>
            </w:r>
          </w:p>
          <w:p w14:paraId="43C3AD3C">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13.配置热插拔智能调速风扇，支持 N+1 冗余备份，采用分区散热设计，支持 5℃~40℃宽温运行环境</w:t>
            </w:r>
          </w:p>
          <w:p w14:paraId="4B1B24D7">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14.集成独立硬件管理芯片，配备专属独立管理网口；</w:t>
            </w:r>
          </w:p>
          <w:p w14:paraId="75B5B7E7">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15.支持远程 KVM、虚拟媒体挂载、硬件状态实时监控、故障主动告警、固件远程升级等全生命周期管理功能</w:t>
            </w:r>
          </w:p>
          <w:p w14:paraId="0ABE79E7">
            <w:pPr>
              <w:keepNext w:val="0"/>
              <w:keepLines w:val="0"/>
              <w:widowControl/>
              <w:suppressLineNumbers w:val="0"/>
              <w:shd w:val="clear" w:color="auto" w:fill="auto"/>
              <w:jc w:val="left"/>
              <w:textAlignment w:val="center"/>
              <w:rPr>
                <w:rFonts w:hint="default" w:ascii="Times New Roman" w:hAnsi="Times New Roman" w:eastAsia="宋体" w:cs="Times New Roman"/>
                <w:color w:val="000000"/>
                <w:sz w:val="22"/>
                <w:szCs w:val="22"/>
                <w:highlight w:val="none"/>
                <w:lang w:val="en-US" w:eastAsia="zh-CN"/>
              </w:rPr>
            </w:pPr>
            <w:r>
              <w:rPr>
                <w:rFonts w:hint="default" w:ascii="Times New Roman" w:hAnsi="Times New Roman" w:eastAsia="宋体" w:cs="Times New Roman"/>
                <w:color w:val="000000"/>
                <w:sz w:val="22"/>
                <w:szCs w:val="22"/>
                <w:highlight w:val="none"/>
                <w:lang w:val="en-US" w:eastAsia="zh-CN"/>
              </w:rPr>
              <w:t>16.电源、风扇、硬盘等关键部件支持热插拔在线更换；支持硬件故障预警、系统宕机日志完整记录；适配国产主流操作系统，满足 7×24 小时连续业务运行要求</w:t>
            </w:r>
          </w:p>
          <w:p w14:paraId="56EF8951">
            <w:pPr>
              <w:jc w:val="left"/>
              <w:rPr>
                <w:rFonts w:ascii="Times New Roman" w:hAnsi="Times New Roman"/>
              </w:rPr>
            </w:pPr>
            <w:r>
              <w:rPr>
                <w:rFonts w:hint="default" w:ascii="Times New Roman" w:hAnsi="Times New Roman" w:eastAsia="宋体" w:cs="Times New Roman"/>
                <w:color w:val="000000"/>
                <w:sz w:val="22"/>
                <w:szCs w:val="22"/>
                <w:highlight w:val="none"/>
                <w:lang w:val="en-US" w:eastAsia="zh-CN"/>
              </w:rPr>
              <w:t>★其余参数应满足《通用服务器政府采购需求标准（2023年版）》（财库[2023]33号）中的全部标注“*”规定。</w:t>
            </w:r>
          </w:p>
        </w:tc>
        <w:tc>
          <w:tcPr>
            <w:tcW w:w="710" w:type="dxa"/>
            <w:shd w:val="clear" w:color="auto" w:fill="auto"/>
            <w:vAlign w:val="center"/>
          </w:tcPr>
          <w:p w14:paraId="6254CFF6">
            <w:pPr>
              <w:jc w:val="center"/>
              <w:rPr>
                <w:rFonts w:ascii="Times New Roman" w:hAnsi="Times New Roman"/>
              </w:rPr>
            </w:pPr>
            <w:r>
              <w:rPr>
                <w:rFonts w:hint="eastAsia" w:ascii="Times New Roman" w:hAnsi="Times New Roman"/>
              </w:rPr>
              <w:t>台</w:t>
            </w:r>
          </w:p>
        </w:tc>
        <w:tc>
          <w:tcPr>
            <w:tcW w:w="805" w:type="dxa"/>
            <w:shd w:val="clear" w:color="auto" w:fill="auto"/>
            <w:vAlign w:val="center"/>
          </w:tcPr>
          <w:p w14:paraId="1926243E">
            <w:pPr>
              <w:jc w:val="center"/>
              <w:rPr>
                <w:rFonts w:hint="eastAsia" w:ascii="Times New Roman" w:hAnsi="Times New Roman" w:eastAsia="宋体"/>
                <w:lang w:eastAsia="zh-CN"/>
              </w:rPr>
            </w:pPr>
            <w:r>
              <w:rPr>
                <w:rFonts w:hint="eastAsia" w:ascii="Times New Roman" w:hAnsi="Times New Roman"/>
                <w:lang w:val="en-US" w:eastAsia="zh-CN"/>
              </w:rPr>
              <w:t>3</w:t>
            </w:r>
          </w:p>
        </w:tc>
      </w:tr>
      <w:tr w14:paraId="463E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5DAE9F87">
            <w:pPr>
              <w:jc w:val="center"/>
              <w:rPr>
                <w:rFonts w:hint="eastAsia" w:ascii="Times New Roman" w:hAnsi="Times New Roman" w:eastAsia="宋体"/>
                <w:lang w:eastAsia="zh-CN"/>
              </w:rPr>
            </w:pPr>
            <w:r>
              <w:rPr>
                <w:rFonts w:hint="eastAsia" w:ascii="Times New Roman" w:hAnsi="Times New Roman"/>
                <w:lang w:val="en-US" w:eastAsia="zh-CN"/>
              </w:rPr>
              <w:t>2</w:t>
            </w:r>
          </w:p>
        </w:tc>
        <w:tc>
          <w:tcPr>
            <w:tcW w:w="1289" w:type="dxa"/>
            <w:shd w:val="clear" w:color="auto" w:fill="auto"/>
            <w:vAlign w:val="center"/>
          </w:tcPr>
          <w:p w14:paraId="5B46ACA4">
            <w:pPr>
              <w:jc w:val="center"/>
              <w:rPr>
                <w:rFonts w:ascii="Times New Roman" w:hAnsi="Times New Roman"/>
              </w:rPr>
            </w:pPr>
            <w:r>
              <w:rPr>
                <w:rFonts w:hint="eastAsia" w:ascii="Times New Roman" w:hAnsi="Times New Roman"/>
                <w:lang w:val="en-US" w:eastAsia="zh-CN"/>
              </w:rPr>
              <w:t>服务器</w:t>
            </w:r>
            <w:r>
              <w:rPr>
                <w:rFonts w:hint="eastAsia" w:ascii="Times New Roman" w:hAnsi="Times New Roman"/>
              </w:rPr>
              <w:t>操作系统</w:t>
            </w:r>
          </w:p>
        </w:tc>
        <w:tc>
          <w:tcPr>
            <w:tcW w:w="5523" w:type="dxa"/>
            <w:shd w:val="clear" w:color="auto" w:fill="auto"/>
            <w:vAlign w:val="center"/>
          </w:tcPr>
          <w:p w14:paraId="17BFE36C">
            <w:pPr>
              <w:keepNext w:val="0"/>
              <w:keepLines w:val="0"/>
              <w:widowControl/>
              <w:suppressLineNumbers w:val="0"/>
              <w:shd w:val="clear" w:color="auto" w:fill="auto"/>
              <w:jc w:val="left"/>
              <w:textAlignment w:val="center"/>
              <w:rPr>
                <w:rFonts w:hint="eastAsia"/>
              </w:rPr>
            </w:pPr>
            <w:r>
              <w:rPr>
                <w:rFonts w:hint="default" w:ascii="Times New Roman" w:hAnsi="Times New Roman" w:eastAsia="宋体" w:cs="Times New Roman"/>
                <w:color w:val="000000"/>
                <w:sz w:val="22"/>
                <w:szCs w:val="22"/>
                <w:highlight w:val="none"/>
                <w:lang w:val="en-US" w:eastAsia="zh-CN"/>
              </w:rPr>
              <w:t>★</w:t>
            </w:r>
            <w:r>
              <w:rPr>
                <w:rFonts w:hint="eastAsia"/>
              </w:rPr>
              <w:t>1．所投服务器操作系统通过安全可靠测评。</w:t>
            </w:r>
          </w:p>
          <w:p w14:paraId="6A8EC8B3">
            <w:pPr>
              <w:keepNext w:val="0"/>
              <w:keepLines w:val="0"/>
              <w:widowControl/>
              <w:suppressLineNumbers w:val="0"/>
              <w:shd w:val="clear" w:color="auto" w:fill="auto"/>
              <w:jc w:val="left"/>
              <w:textAlignment w:val="center"/>
              <w:rPr>
                <w:rFonts w:hint="eastAsia"/>
              </w:rPr>
            </w:pPr>
            <w:r>
              <w:rPr>
                <w:rFonts w:hint="eastAsia"/>
                <w:lang w:val="en-US" w:eastAsia="zh-CN"/>
              </w:rPr>
              <w:t>2</w:t>
            </w:r>
            <w:r>
              <w:rPr>
                <w:rFonts w:hint="eastAsia"/>
              </w:rPr>
              <w:t>．支持AMD64、ARM64、Mips64、SW64、LoongArch CPU架构；至少支持飞腾、鲲鹏、海光、兆芯、龙芯、申威品牌CPU芯片。</w:t>
            </w:r>
          </w:p>
          <w:p w14:paraId="55290397">
            <w:pPr>
              <w:keepNext w:val="0"/>
              <w:keepLines w:val="0"/>
              <w:widowControl/>
              <w:suppressLineNumbers w:val="0"/>
              <w:shd w:val="clear" w:color="auto" w:fill="auto"/>
              <w:jc w:val="left"/>
              <w:textAlignment w:val="center"/>
              <w:rPr>
                <w:rFonts w:hint="eastAsia"/>
              </w:rPr>
            </w:pPr>
            <w:r>
              <w:rPr>
                <w:rFonts w:hint="eastAsia"/>
                <w:lang w:val="en-US" w:eastAsia="zh-CN"/>
              </w:rPr>
              <w:t>3</w:t>
            </w:r>
            <w:r>
              <w:rPr>
                <w:rFonts w:hint="eastAsia"/>
              </w:rPr>
              <w:t>．支持人大金仓、达梦、神舟通用、南大通用、瀚高、GodenDB、openGauss等国产数据库；支持MySQL、Redis、MonogDB、PostgreSQL等开源数据库。</w:t>
            </w:r>
          </w:p>
          <w:p w14:paraId="1F3ECD61">
            <w:pPr>
              <w:keepNext w:val="0"/>
              <w:keepLines w:val="0"/>
              <w:widowControl/>
              <w:suppressLineNumbers w:val="0"/>
              <w:shd w:val="clear" w:color="auto" w:fill="auto"/>
              <w:jc w:val="left"/>
              <w:textAlignment w:val="center"/>
              <w:rPr>
                <w:rFonts w:hint="eastAsia"/>
              </w:rPr>
            </w:pPr>
            <w:r>
              <w:rPr>
                <w:rFonts w:hint="eastAsia"/>
                <w:lang w:val="en-US" w:eastAsia="zh-CN"/>
              </w:rPr>
              <w:t>4</w:t>
            </w:r>
            <w:r>
              <w:rPr>
                <w:rFonts w:hint="eastAsia"/>
              </w:rPr>
              <w:t>．支持东方通、宝兰德、普元、金蝶、中创等国产中间件；支持Apache、Nginx、Tomcat、JBoss、Jetty、WebSphere、WebLogic、Kafka等开源中间件。</w:t>
            </w:r>
          </w:p>
          <w:p w14:paraId="28817A62">
            <w:pPr>
              <w:keepNext w:val="0"/>
              <w:keepLines w:val="0"/>
              <w:widowControl/>
              <w:suppressLineNumbers w:val="0"/>
              <w:shd w:val="clear" w:color="auto" w:fill="auto"/>
              <w:jc w:val="left"/>
              <w:textAlignment w:val="center"/>
              <w:rPr>
                <w:rFonts w:hint="eastAsia"/>
              </w:rPr>
            </w:pPr>
            <w:r>
              <w:rPr>
                <w:rFonts w:hint="eastAsia" w:ascii="Times New Roman" w:hAnsi="Times New Roman" w:eastAsia="宋体" w:cs="Times New Roman"/>
                <w:bCs/>
                <w:sz w:val="24"/>
                <w:szCs w:val="20"/>
              </w:rPr>
              <w:t>●</w:t>
            </w:r>
            <w:r>
              <w:rPr>
                <w:rFonts w:hint="eastAsia"/>
                <w:lang w:val="en-US" w:eastAsia="zh-CN"/>
              </w:rPr>
              <w:t>5</w:t>
            </w:r>
            <w:r>
              <w:rPr>
                <w:rFonts w:hint="eastAsia"/>
              </w:rPr>
              <w:t>．服务器操作系统支持内核漏洞主动安全防护KVSP，能够保证内核关键数据、指令代码和控制流的完整性，实时监控和阻断内核漏洞利用链路，防护针对内核的已知和未知漏洞利用攻击，且具备自防护能力。</w:t>
            </w:r>
          </w:p>
          <w:p w14:paraId="59F8BE9D">
            <w:pPr>
              <w:keepNext w:val="0"/>
              <w:keepLines w:val="0"/>
              <w:widowControl/>
              <w:suppressLineNumbers w:val="0"/>
              <w:shd w:val="clear" w:color="auto" w:fill="auto"/>
              <w:jc w:val="left"/>
              <w:textAlignment w:val="center"/>
              <w:rPr>
                <w:rFonts w:hint="eastAsia"/>
              </w:rPr>
            </w:pPr>
            <w:r>
              <w:rPr>
                <w:rFonts w:hint="eastAsia"/>
                <w:lang w:val="en-US" w:eastAsia="zh-CN"/>
              </w:rPr>
              <w:t>6</w:t>
            </w:r>
            <w:r>
              <w:rPr>
                <w:rFonts w:hint="eastAsia"/>
              </w:rPr>
              <w:t>．为保障操作系统供应链安全，投标人所投国产操作系统核心基础组件代码开源率为0%，其中至少包括桌面配置文件、动态链接库。</w:t>
            </w:r>
          </w:p>
          <w:p w14:paraId="7C5556A8">
            <w:pPr>
              <w:jc w:val="left"/>
              <w:rPr>
                <w:rFonts w:ascii="Times New Roman" w:hAnsi="Times New Roman"/>
              </w:rPr>
            </w:pPr>
            <w:r>
              <w:rPr>
                <w:rFonts w:hint="eastAsia"/>
              </w:rPr>
              <w:t>★其余参数应满足《操作系统政府采购需求标准（2023年版）》（财库[2023]34号）中的全部标注“*”规定。</w:t>
            </w:r>
          </w:p>
        </w:tc>
        <w:tc>
          <w:tcPr>
            <w:tcW w:w="710" w:type="dxa"/>
            <w:shd w:val="clear" w:color="auto" w:fill="auto"/>
            <w:vAlign w:val="center"/>
          </w:tcPr>
          <w:p w14:paraId="3D2D3AAF">
            <w:pPr>
              <w:jc w:val="center"/>
              <w:rPr>
                <w:rFonts w:ascii="Times New Roman" w:hAnsi="Times New Roman"/>
              </w:rPr>
            </w:pPr>
            <w:r>
              <w:rPr>
                <w:rFonts w:ascii="Times New Roman" w:hAnsi="Times New Roman"/>
              </w:rPr>
              <w:t>套</w:t>
            </w:r>
          </w:p>
        </w:tc>
        <w:tc>
          <w:tcPr>
            <w:tcW w:w="805" w:type="dxa"/>
            <w:shd w:val="clear" w:color="auto" w:fill="auto"/>
            <w:vAlign w:val="center"/>
          </w:tcPr>
          <w:p w14:paraId="3090BB53">
            <w:pPr>
              <w:jc w:val="center"/>
              <w:rPr>
                <w:rFonts w:hint="eastAsia" w:ascii="Times New Roman" w:hAnsi="Times New Roman" w:eastAsia="宋体"/>
                <w:lang w:eastAsia="zh-CN"/>
              </w:rPr>
            </w:pPr>
            <w:r>
              <w:rPr>
                <w:rFonts w:hint="eastAsia" w:ascii="Times New Roman" w:hAnsi="Times New Roman"/>
                <w:lang w:val="en-US" w:eastAsia="zh-CN"/>
              </w:rPr>
              <w:t>3</w:t>
            </w:r>
          </w:p>
        </w:tc>
      </w:tr>
      <w:tr w14:paraId="6099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350A6AF9">
            <w:pPr>
              <w:jc w:val="center"/>
              <w:rPr>
                <w:rFonts w:hint="eastAsia" w:ascii="Times New Roman" w:hAnsi="Times New Roman" w:eastAsia="宋体"/>
                <w:lang w:eastAsia="zh-CN"/>
              </w:rPr>
            </w:pPr>
            <w:r>
              <w:rPr>
                <w:rFonts w:hint="eastAsia" w:ascii="Times New Roman" w:hAnsi="Times New Roman"/>
                <w:lang w:val="en-US" w:eastAsia="zh-CN"/>
              </w:rPr>
              <w:t>3</w:t>
            </w:r>
          </w:p>
        </w:tc>
        <w:tc>
          <w:tcPr>
            <w:tcW w:w="1289" w:type="dxa"/>
            <w:shd w:val="clear" w:color="auto" w:fill="auto"/>
            <w:vAlign w:val="center"/>
          </w:tcPr>
          <w:p w14:paraId="519E420F">
            <w:pPr>
              <w:jc w:val="center"/>
              <w:rPr>
                <w:rFonts w:hint="default" w:ascii="Times New Roman" w:hAnsi="Times New Roman" w:eastAsia="宋体"/>
                <w:lang w:val="en-US" w:eastAsia="zh-CN"/>
              </w:rPr>
            </w:pPr>
            <w:r>
              <w:rPr>
                <w:rFonts w:hint="eastAsia" w:ascii="Times New Roman" w:hAnsi="Times New Roman"/>
                <w:lang w:val="en-US" w:eastAsia="zh-CN"/>
              </w:rPr>
              <w:t>中间件</w:t>
            </w:r>
          </w:p>
        </w:tc>
        <w:tc>
          <w:tcPr>
            <w:tcW w:w="5523" w:type="dxa"/>
            <w:shd w:val="clear" w:color="auto" w:fill="auto"/>
            <w:vAlign w:val="center"/>
          </w:tcPr>
          <w:p w14:paraId="0E1C2C50">
            <w:pPr>
              <w:jc w:val="left"/>
              <w:rPr>
                <w:rFonts w:hint="eastAsia" w:ascii="Times New Roman" w:hAnsi="Times New Roman"/>
              </w:rPr>
            </w:pPr>
            <w:r>
              <w:rPr>
                <w:rFonts w:hint="eastAsia" w:ascii="Times New Roman" w:hAnsi="Times New Roman"/>
              </w:rPr>
              <w:t>1.具备 web 应用、EJB 应用、身份验证、 日志审计等基本工作，提供类库管理、集成环境管理、 图形化监控、JVM 配置、垃圾回收配置等工具，支持实例部署、数据库连接服务，为业务系统  提供运行环境；</w:t>
            </w:r>
          </w:p>
          <w:p w14:paraId="0CBFEDFD">
            <w:pPr>
              <w:jc w:val="left"/>
              <w:rPr>
                <w:rFonts w:ascii="Times New Roman" w:hAnsi="Times New Roman"/>
              </w:rPr>
            </w:pPr>
            <w:r>
              <w:rPr>
                <w:rFonts w:hint="eastAsia" w:ascii="Times New Roman" w:hAnsi="Times New Roman"/>
              </w:rPr>
              <w:t>2.支持鲲鹏、飞腾等主流硬件平台，支持达梦、金仓、海量、优炫等主流数据库，支持麒麟、统信等主流操作系统。</w:t>
            </w:r>
          </w:p>
        </w:tc>
        <w:tc>
          <w:tcPr>
            <w:tcW w:w="710" w:type="dxa"/>
            <w:shd w:val="clear" w:color="auto" w:fill="auto"/>
            <w:vAlign w:val="center"/>
          </w:tcPr>
          <w:p w14:paraId="468C3D04">
            <w:pPr>
              <w:jc w:val="center"/>
              <w:rPr>
                <w:rFonts w:ascii="Times New Roman" w:hAnsi="Times New Roman"/>
              </w:rPr>
            </w:pPr>
            <w:r>
              <w:rPr>
                <w:rFonts w:ascii="Times New Roman" w:hAnsi="Times New Roman"/>
              </w:rPr>
              <w:t>套</w:t>
            </w:r>
          </w:p>
        </w:tc>
        <w:tc>
          <w:tcPr>
            <w:tcW w:w="805" w:type="dxa"/>
            <w:shd w:val="clear" w:color="auto" w:fill="auto"/>
            <w:vAlign w:val="center"/>
          </w:tcPr>
          <w:p w14:paraId="2A6ECB8F">
            <w:pPr>
              <w:jc w:val="center"/>
              <w:rPr>
                <w:rFonts w:hint="eastAsia" w:ascii="Times New Roman" w:hAnsi="Times New Roman" w:eastAsia="宋体"/>
                <w:lang w:eastAsia="zh-CN"/>
              </w:rPr>
            </w:pPr>
            <w:r>
              <w:rPr>
                <w:rFonts w:hint="eastAsia" w:ascii="Times New Roman" w:hAnsi="Times New Roman"/>
                <w:lang w:val="en-US" w:eastAsia="zh-CN"/>
              </w:rPr>
              <w:t>1</w:t>
            </w:r>
          </w:p>
        </w:tc>
      </w:tr>
      <w:tr w14:paraId="46FB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6ED8187D">
            <w:pPr>
              <w:jc w:val="center"/>
              <w:rPr>
                <w:rFonts w:hint="eastAsia" w:ascii="Times New Roman" w:hAnsi="Times New Roman" w:eastAsia="宋体"/>
                <w:lang w:eastAsia="zh-CN"/>
              </w:rPr>
            </w:pPr>
            <w:r>
              <w:rPr>
                <w:rFonts w:hint="eastAsia" w:ascii="Times New Roman" w:hAnsi="Times New Roman"/>
                <w:lang w:val="en-US" w:eastAsia="zh-CN"/>
              </w:rPr>
              <w:t>4</w:t>
            </w:r>
          </w:p>
        </w:tc>
        <w:tc>
          <w:tcPr>
            <w:tcW w:w="1289" w:type="dxa"/>
            <w:shd w:val="clear" w:color="auto" w:fill="auto"/>
            <w:vAlign w:val="center"/>
          </w:tcPr>
          <w:p w14:paraId="4B8C353A">
            <w:pPr>
              <w:jc w:val="center"/>
              <w:rPr>
                <w:rFonts w:ascii="Times New Roman" w:hAnsi="Times New Roman"/>
              </w:rPr>
            </w:pPr>
            <w:r>
              <w:rPr>
                <w:rFonts w:hint="eastAsia" w:ascii="Times New Roman" w:hAnsi="Times New Roman"/>
              </w:rPr>
              <w:t>集中式数据库</w:t>
            </w:r>
          </w:p>
        </w:tc>
        <w:tc>
          <w:tcPr>
            <w:tcW w:w="5523" w:type="dxa"/>
            <w:shd w:val="clear" w:color="auto" w:fill="auto"/>
            <w:vAlign w:val="center"/>
          </w:tcPr>
          <w:p w14:paraId="39C75A8A">
            <w:pPr>
              <w:keepNext w:val="0"/>
              <w:keepLines w:val="0"/>
              <w:widowControl/>
              <w:suppressLineNumbers w:val="0"/>
              <w:shd w:val="clear" w:color="auto" w:fill="auto"/>
              <w:jc w:val="left"/>
              <w:textAlignment w:val="center"/>
              <w:rPr>
                <w:rFonts w:hint="eastAsia"/>
              </w:rPr>
            </w:pPr>
            <w:r>
              <w:rPr>
                <w:rFonts w:hint="default" w:ascii="Times New Roman" w:hAnsi="Times New Roman" w:eastAsia="宋体" w:cs="Times New Roman"/>
                <w:color w:val="000000"/>
                <w:sz w:val="22"/>
                <w:szCs w:val="22"/>
                <w:highlight w:val="none"/>
                <w:lang w:val="en-US" w:eastAsia="zh-CN"/>
              </w:rPr>
              <w:t>★</w:t>
            </w:r>
            <w:r>
              <w:rPr>
                <w:rFonts w:hint="eastAsia"/>
              </w:rPr>
              <w:t>1.所投集中式数据库通过安全可靠测评；</w:t>
            </w:r>
          </w:p>
          <w:p w14:paraId="4D9E3AAD">
            <w:pPr>
              <w:keepNext w:val="0"/>
              <w:keepLines w:val="0"/>
              <w:widowControl/>
              <w:suppressLineNumbers w:val="0"/>
              <w:shd w:val="clear" w:color="auto" w:fill="auto"/>
              <w:jc w:val="left"/>
              <w:textAlignment w:val="center"/>
              <w:rPr>
                <w:rFonts w:hint="eastAsia"/>
              </w:rPr>
            </w:pPr>
            <w:r>
              <w:rPr>
                <w:rFonts w:hint="eastAsia"/>
              </w:rPr>
              <w:t>2.兼容Oracle标识符使用方式 NQ、nq、Nq、nQ界定字符串常量，且常量内分隔符可识别多种除除空格、制表符和回车符之外的任意单字节或多字节字符，包括单引号、双引号、quote_delimit（后边不能紧跟单引号）、特殊字符等，且执行返回结果和类型与Oracle 一致。</w:t>
            </w:r>
          </w:p>
          <w:p w14:paraId="70776E78">
            <w:pPr>
              <w:keepNext w:val="0"/>
              <w:keepLines w:val="0"/>
              <w:widowControl/>
              <w:suppressLineNumbers w:val="0"/>
              <w:shd w:val="clear" w:color="auto" w:fill="auto"/>
              <w:jc w:val="left"/>
              <w:textAlignment w:val="center"/>
              <w:rPr>
                <w:rFonts w:hint="eastAsia"/>
              </w:rPr>
            </w:pPr>
            <w:r>
              <w:rPr>
                <w:rFonts w:hint="eastAsia"/>
              </w:rPr>
              <w:t>3.兼容SQLServer系统存储过程sp_executesql,支持sp_executesql通过使用 参数占位符并在执行时传入真实值的方式，安全地构建和执行动态SQL。</w:t>
            </w:r>
          </w:p>
          <w:p w14:paraId="19ECDB4D">
            <w:pPr>
              <w:keepNext w:val="0"/>
              <w:keepLines w:val="0"/>
              <w:widowControl/>
              <w:suppressLineNumbers w:val="0"/>
              <w:shd w:val="clear" w:color="auto" w:fill="auto"/>
              <w:jc w:val="left"/>
              <w:textAlignment w:val="center"/>
              <w:rPr>
                <w:rFonts w:hint="eastAsia"/>
              </w:rPr>
            </w:pPr>
            <w:r>
              <w:rPr>
                <w:rFonts w:hint="eastAsia"/>
              </w:rPr>
              <w:t>4.数据库支持文本查询并返回相关度评分，提供contains和scores函数。contains函数不依赖创建索引可以进行文本查询，被查询文本或字符串支持 and（&amp;）、or（|）、&lt;-&gt;、not条件连接；scores 函数返回contains查询生成的分数值，支持在查询语句的目标列、排序或分组子句中使用，支持在函数参数、视图、删除和更新语句中使用。</w:t>
            </w:r>
          </w:p>
          <w:p w14:paraId="2BFCFA25">
            <w:pPr>
              <w:keepNext w:val="0"/>
              <w:keepLines w:val="0"/>
              <w:widowControl/>
              <w:suppressLineNumbers w:val="0"/>
              <w:shd w:val="clear" w:color="auto" w:fill="auto"/>
              <w:jc w:val="left"/>
              <w:textAlignment w:val="center"/>
              <w:rPr>
                <w:rFonts w:hint="eastAsia"/>
              </w:rPr>
            </w:pPr>
            <w:r>
              <w:rPr>
                <w:rFonts w:hint="eastAsia"/>
              </w:rPr>
              <w:t>5.OCI接口支持读写分离，可在不改动业务SQL的前提下，将数据库读操作和写操作分流到不同节点处理。包括：支持智能区分读写操作类型，将查询等读语句自动路由至备机；支持精准感知事务上下文，确保写操作及事务内相关语句可正确发往主机；支持集群状态监测机制，可通过设置monitorinterval参数配置监测间隔时间，定时更新在线的主备机状态信息，检测并响应主备角色切换。</w:t>
            </w:r>
          </w:p>
          <w:p w14:paraId="4DE7B282">
            <w:pPr>
              <w:keepNext w:val="0"/>
              <w:keepLines w:val="0"/>
              <w:widowControl/>
              <w:suppressLineNumbers w:val="0"/>
              <w:shd w:val="clear" w:color="auto" w:fill="auto"/>
              <w:jc w:val="left"/>
              <w:textAlignment w:val="center"/>
              <w:rPr>
                <w:rFonts w:hint="eastAsia"/>
              </w:rPr>
            </w:pPr>
            <w:r>
              <w:rPr>
                <w:rFonts w:hint="eastAsia"/>
              </w:rPr>
              <w:t>6.数据库实例初始化时支持oracle、mysql、sqlserver兼容模式选择以体现广泛的应用兼容能力。</w:t>
            </w:r>
          </w:p>
          <w:p w14:paraId="1CC72FA8">
            <w:pPr>
              <w:keepNext w:val="0"/>
              <w:keepLines w:val="0"/>
              <w:widowControl/>
              <w:suppressLineNumbers w:val="0"/>
              <w:shd w:val="clear" w:color="auto" w:fill="auto"/>
              <w:jc w:val="left"/>
              <w:textAlignment w:val="center"/>
              <w:rPr>
                <w:rFonts w:hint="eastAsia"/>
              </w:rPr>
            </w:pPr>
            <w:r>
              <w:rPr>
                <w:rFonts w:hint="eastAsia"/>
              </w:rPr>
              <w:t>7.Oracle 模式下，兼容多种对象的DDL、DML、DQL语句，包括模式、可更新视图、操作符等；支持内置函数，包括大对象函数、日期时间函数、XML 函数和JSON函数。MySQL模式下，兼容特有的创建表对象语法中定义自增列、注释等功能，兼容DML操作的语法。</w:t>
            </w:r>
          </w:p>
          <w:p w14:paraId="02D1B948">
            <w:pPr>
              <w:keepNext w:val="0"/>
              <w:keepLines w:val="0"/>
              <w:widowControl/>
              <w:suppressLineNumbers w:val="0"/>
              <w:shd w:val="clear" w:color="auto" w:fill="auto"/>
              <w:jc w:val="left"/>
              <w:textAlignment w:val="center"/>
              <w:rPr>
                <w:rFonts w:hint="eastAsia"/>
              </w:rPr>
            </w:pPr>
            <w:r>
              <w:rPr>
                <w:rFonts w:hint="eastAsia"/>
              </w:rPr>
              <w:t>8.SQLServer模式下，兼容系统存储过程、系统变量、系统视图、本地临时表、全局临时表、事务和特有的存储过程创建语法。</w:t>
            </w:r>
          </w:p>
          <w:p w14:paraId="5A081063">
            <w:pPr>
              <w:keepNext w:val="0"/>
              <w:keepLines w:val="0"/>
              <w:widowControl/>
              <w:suppressLineNumbers w:val="0"/>
              <w:shd w:val="clear" w:color="auto" w:fill="auto"/>
              <w:jc w:val="left"/>
              <w:textAlignment w:val="center"/>
              <w:rPr>
                <w:rFonts w:hint="eastAsia"/>
              </w:rPr>
            </w:pPr>
            <w:r>
              <w:rPr>
                <w:rFonts w:hint="eastAsia" w:ascii="Times New Roman" w:hAnsi="Times New Roman" w:eastAsia="宋体" w:cs="Times New Roman"/>
                <w:bCs/>
                <w:sz w:val="24"/>
                <w:szCs w:val="20"/>
              </w:rPr>
              <w:t>●</w:t>
            </w:r>
            <w:r>
              <w:rPr>
                <w:rFonts w:hint="eastAsia"/>
              </w:rPr>
              <w:t>9.数据库物理备份支持对存储空间容量进行检查预警，可预先设置告警和熔断两个阈值。在执行备份操作时进行检查，当存储空间容量小于告警值大于等于熔断值时，备份或归档开始时产生告警提示，但可继续执行备份或归档操作；当存储空间容量小于熔断值时，直接提醒并退出备份或归档操作。</w:t>
            </w:r>
          </w:p>
          <w:p w14:paraId="6F29CC93">
            <w:pPr>
              <w:keepNext w:val="0"/>
              <w:keepLines w:val="0"/>
              <w:widowControl/>
              <w:suppressLineNumbers w:val="0"/>
              <w:shd w:val="clear" w:color="auto" w:fill="auto"/>
              <w:jc w:val="left"/>
              <w:textAlignment w:val="center"/>
              <w:rPr>
                <w:rFonts w:hint="eastAsia"/>
              </w:rPr>
            </w:pPr>
            <w:r>
              <w:rPr>
                <w:rFonts w:hint="eastAsia"/>
              </w:rPr>
              <w:t>10.支持通过命令行工具并行备份大表数据功能，能够通过参数指定是否启用该并行备份功能，进行并行备份时能够通过输出的日志查看多个备份进程在同时备份同一个大表。命令行备份工具支持在备份时每条执行日志信息前显示执行起始时间，并行备份大表时能够计算每一个并行进程的执行时间。5千万条数据的表在并行备份中，当进程数分别为10、15、20、25、30 时，备份性能逐步提升， 30个进程的效率比10个进程效率提升约300%。</w:t>
            </w:r>
          </w:p>
          <w:p w14:paraId="6852E10F">
            <w:pPr>
              <w:keepNext w:val="0"/>
              <w:keepLines w:val="0"/>
              <w:widowControl/>
              <w:suppressLineNumbers w:val="0"/>
              <w:shd w:val="clear" w:color="auto" w:fill="auto"/>
              <w:jc w:val="left"/>
              <w:textAlignment w:val="center"/>
              <w:rPr>
                <w:rFonts w:hint="eastAsia"/>
              </w:rPr>
            </w:pPr>
            <w:r>
              <w:rPr>
                <w:rFonts w:hint="eastAsia"/>
              </w:rPr>
              <w:t>11.支持以动态性能视图的方式对数据库运行过程中的锁指标进行统计，包括：锁名称、加锁模式、加锁次数、等待获得次数、等待未获得次数、非等待获得次数、费等待未获得次数、锁等待时间等。提供具有CMA或CNAS标识的权威检测机构出具的检测报告。</w:t>
            </w:r>
          </w:p>
          <w:p w14:paraId="76C7EC88">
            <w:pPr>
              <w:keepNext w:val="0"/>
              <w:keepLines w:val="0"/>
              <w:widowControl/>
              <w:suppressLineNumbers w:val="0"/>
              <w:shd w:val="clear" w:color="auto" w:fill="auto"/>
              <w:jc w:val="left"/>
              <w:textAlignment w:val="center"/>
              <w:rPr>
                <w:rFonts w:hint="eastAsia"/>
              </w:rPr>
            </w:pPr>
            <w:r>
              <w:rPr>
                <w:rFonts w:hint="eastAsia"/>
              </w:rPr>
              <w:t>12.支持在国产化平台上进行安装部署，采用一套代码同时兼容多款异构数据库，安装过程中可选择Oracle、Mysql、SQL Server、Postgresql任意一种模式进行初始化，降低运维管控成本。数据库管理系统支持采用一套代码同时兼容多款异构数据库，数据库实例初始化时支持Oracle、Mysql、SQL Server、Postgresql兼容模式选择以体现广泛的应用兼容能力。Oracle 模式下，兼容多种对象的DDL、DML、DQL语句，包括模式、可更新视图、操作符等；支持内置函数，包括大对象函数、日期时间函数、XML 函数和JSON函数。</w:t>
            </w:r>
          </w:p>
          <w:p w14:paraId="03120E3E">
            <w:pPr>
              <w:keepNext w:val="0"/>
              <w:keepLines w:val="0"/>
              <w:widowControl/>
              <w:suppressLineNumbers w:val="0"/>
              <w:shd w:val="clear" w:color="auto" w:fill="auto"/>
              <w:jc w:val="left"/>
              <w:textAlignment w:val="center"/>
              <w:rPr>
                <w:rFonts w:hint="eastAsia"/>
              </w:rPr>
            </w:pPr>
            <w:r>
              <w:rPr>
                <w:rFonts w:hint="eastAsia"/>
              </w:rPr>
              <w:t>13.MySQL模式下，兼容特有的创建表对象语法中定义自增列、注释等功能，兼容DML操作的语法。SQLServer模式下，兼容系统存储过程、系统变量、系统视图、本地临时表、全局临时表、事务和特有的存储过程创建语法。Postgresql模式下，兼容数据类型包括伪类型、枚举类型、JSONB类型，内置函数及PLpgSQL创建等。</w:t>
            </w:r>
          </w:p>
          <w:p w14:paraId="1F35964C">
            <w:pPr>
              <w:jc w:val="left"/>
              <w:rPr>
                <w:rFonts w:ascii="Times New Roman" w:hAnsi="Times New Roman"/>
              </w:rPr>
            </w:pPr>
            <w:r>
              <w:rPr>
                <w:rFonts w:hint="eastAsia"/>
              </w:rPr>
              <w:t>★其余参数应满足《数据库政府采购需求标准（2023年版）》（财库[2023]35号）中的全部标注“*”规定。</w:t>
            </w:r>
          </w:p>
        </w:tc>
        <w:tc>
          <w:tcPr>
            <w:tcW w:w="710" w:type="dxa"/>
            <w:shd w:val="clear" w:color="auto" w:fill="auto"/>
            <w:vAlign w:val="center"/>
          </w:tcPr>
          <w:p w14:paraId="236095AD">
            <w:pPr>
              <w:jc w:val="center"/>
              <w:rPr>
                <w:rFonts w:ascii="Times New Roman" w:hAnsi="Times New Roman"/>
              </w:rPr>
            </w:pPr>
            <w:r>
              <w:rPr>
                <w:rFonts w:ascii="Times New Roman" w:hAnsi="Times New Roman"/>
              </w:rPr>
              <w:t>套</w:t>
            </w:r>
          </w:p>
        </w:tc>
        <w:tc>
          <w:tcPr>
            <w:tcW w:w="805" w:type="dxa"/>
            <w:shd w:val="clear" w:color="auto" w:fill="auto"/>
            <w:vAlign w:val="center"/>
          </w:tcPr>
          <w:p w14:paraId="2DA8F9D0">
            <w:pPr>
              <w:jc w:val="center"/>
              <w:rPr>
                <w:rFonts w:hint="eastAsia" w:ascii="Times New Roman" w:hAnsi="Times New Roman" w:eastAsia="宋体"/>
                <w:lang w:eastAsia="zh-CN"/>
              </w:rPr>
            </w:pPr>
            <w:r>
              <w:rPr>
                <w:rFonts w:hint="eastAsia" w:ascii="Times New Roman" w:hAnsi="Times New Roman"/>
                <w:lang w:val="en-US" w:eastAsia="zh-CN"/>
              </w:rPr>
              <w:t>1</w:t>
            </w:r>
          </w:p>
        </w:tc>
      </w:tr>
      <w:tr w14:paraId="27A9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1F82DEE4">
            <w:pPr>
              <w:jc w:val="center"/>
              <w:rPr>
                <w:rFonts w:hint="default" w:ascii="Times New Roman" w:hAnsi="Times New Roman"/>
                <w:lang w:val="en-US" w:eastAsia="zh-CN"/>
              </w:rPr>
            </w:pPr>
            <w:r>
              <w:rPr>
                <w:rFonts w:hint="eastAsia" w:ascii="Times New Roman" w:hAnsi="Times New Roman"/>
                <w:lang w:val="en-US" w:eastAsia="zh-CN"/>
              </w:rPr>
              <w:t>5</w:t>
            </w:r>
          </w:p>
        </w:tc>
        <w:tc>
          <w:tcPr>
            <w:tcW w:w="1289" w:type="dxa"/>
            <w:shd w:val="clear" w:color="auto" w:fill="auto"/>
            <w:vAlign w:val="center"/>
          </w:tcPr>
          <w:p w14:paraId="788477B2">
            <w:pPr>
              <w:jc w:val="center"/>
              <w:rPr>
                <w:rFonts w:hint="eastAsia" w:ascii="Times New Roman" w:hAnsi="Times New Roman"/>
                <w:lang w:val="en-US" w:eastAsia="zh-CN"/>
              </w:rPr>
            </w:pPr>
            <w:r>
              <w:rPr>
                <w:rFonts w:hint="eastAsia" w:cs="Times New Roman"/>
                <w:color w:val="000000"/>
                <w:sz w:val="22"/>
                <w:szCs w:val="22"/>
                <w:highlight w:val="none"/>
                <w:lang w:val="en-US" w:eastAsia="zh-CN"/>
              </w:rPr>
              <w:t>服务器杀毒软件</w:t>
            </w:r>
          </w:p>
        </w:tc>
        <w:tc>
          <w:tcPr>
            <w:tcW w:w="5523" w:type="dxa"/>
            <w:shd w:val="clear" w:color="auto" w:fill="auto"/>
            <w:vAlign w:val="center"/>
          </w:tcPr>
          <w:p w14:paraId="4B0C8E4E">
            <w:pPr>
              <w:keepNext w:val="0"/>
              <w:keepLines w:val="0"/>
              <w:widowControl/>
              <w:suppressLineNumbers w:val="0"/>
              <w:shd w:val="clear" w:color="auto" w:fill="auto"/>
              <w:jc w:val="left"/>
              <w:textAlignment w:val="center"/>
              <w:rPr>
                <w:rFonts w:hint="eastAsia"/>
              </w:rPr>
            </w:pPr>
            <w:r>
              <w:rPr>
                <w:rFonts w:hint="eastAsia"/>
              </w:rPr>
              <w:t>1.支持：中标麒麟（龙芯、兆芯、申威、鲲鹏920）V7.0、银河麒麟（飞腾FT1500A、FT2000a）V4.0、UOS（鲲鹏920、龙芯、兆芯）</w:t>
            </w:r>
          </w:p>
          <w:p w14:paraId="232D50F3">
            <w:pPr>
              <w:keepNext w:val="0"/>
              <w:keepLines w:val="0"/>
              <w:widowControl/>
              <w:suppressLineNumbers w:val="0"/>
              <w:shd w:val="clear" w:color="auto" w:fill="auto"/>
              <w:jc w:val="left"/>
              <w:textAlignment w:val="center"/>
              <w:rPr>
                <w:rFonts w:hint="eastAsia"/>
              </w:rPr>
            </w:pPr>
            <w:r>
              <w:rPr>
                <w:rFonts w:hint="eastAsia" w:ascii="Times New Roman" w:hAnsi="Times New Roman" w:eastAsia="宋体" w:cs="Times New Roman"/>
                <w:bCs/>
                <w:sz w:val="24"/>
                <w:szCs w:val="20"/>
              </w:rPr>
              <w:t>●</w:t>
            </w:r>
            <w:r>
              <w:rPr>
                <w:rFonts w:hint="eastAsia"/>
              </w:rPr>
              <w:t>2.具备恶意代码清除功能，修复感染型样本，原文件不删除。具备恶意代码删除功能。具备宏病毒修复功能。具备webshell、及脚本查杀功能。</w:t>
            </w:r>
          </w:p>
          <w:p w14:paraId="2302BA7B">
            <w:pPr>
              <w:keepNext w:val="0"/>
              <w:keepLines w:val="0"/>
              <w:widowControl/>
              <w:suppressLineNumbers w:val="0"/>
              <w:shd w:val="clear" w:color="auto" w:fill="auto"/>
              <w:jc w:val="left"/>
              <w:textAlignment w:val="center"/>
              <w:rPr>
                <w:rFonts w:hint="eastAsia"/>
              </w:rPr>
            </w:pPr>
            <w:r>
              <w:rPr>
                <w:rFonts w:hint="eastAsia"/>
              </w:rPr>
              <w:t>3.具备压缩包查杀功能，支持多种解压缩格式，涵盖压缩包、安装包、复合文档等</w:t>
            </w:r>
          </w:p>
          <w:p w14:paraId="3C763520">
            <w:pPr>
              <w:keepNext w:val="0"/>
              <w:keepLines w:val="0"/>
              <w:widowControl/>
              <w:suppressLineNumbers w:val="0"/>
              <w:shd w:val="clear" w:color="auto" w:fill="auto"/>
              <w:jc w:val="left"/>
              <w:textAlignment w:val="center"/>
              <w:rPr>
                <w:rFonts w:hint="eastAsia"/>
              </w:rPr>
            </w:pPr>
            <w:r>
              <w:rPr>
                <w:rFonts w:hint="eastAsia"/>
              </w:rPr>
              <w:t>4.监控文件执行操作，发现有恶意进程启动时，及时告警并拦截阻止程序运行</w:t>
            </w:r>
          </w:p>
          <w:p w14:paraId="37CCEC9F">
            <w:pPr>
              <w:keepNext w:val="0"/>
              <w:keepLines w:val="0"/>
              <w:widowControl/>
              <w:suppressLineNumbers w:val="0"/>
              <w:shd w:val="clear" w:color="auto" w:fill="auto"/>
              <w:jc w:val="left"/>
              <w:textAlignment w:val="center"/>
              <w:rPr>
                <w:rFonts w:hint="eastAsia"/>
              </w:rPr>
            </w:pPr>
            <w:r>
              <w:rPr>
                <w:rFonts w:hint="eastAsia"/>
              </w:rPr>
              <w:t>5.支持文件监控、手动扫描、定时扫描，以及全盘扫描、快速扫描和自定义扫描等，对恶意代码进行清除、删除，并支持备份。</w:t>
            </w:r>
          </w:p>
          <w:p w14:paraId="466F9BFD">
            <w:pPr>
              <w:keepNext w:val="0"/>
              <w:keepLines w:val="0"/>
              <w:widowControl/>
              <w:suppressLineNumbers w:val="0"/>
              <w:shd w:val="clear" w:color="auto" w:fill="auto"/>
              <w:jc w:val="left"/>
              <w:textAlignment w:val="center"/>
              <w:rPr>
                <w:rFonts w:hint="eastAsia"/>
              </w:rPr>
            </w:pPr>
            <w:r>
              <w:rPr>
                <w:rFonts w:hint="eastAsia"/>
              </w:rPr>
              <w:t>6.支持客户端软件程序、恶意代码特征库的互联网在线和离线升级。</w:t>
            </w:r>
          </w:p>
          <w:p w14:paraId="298E7223">
            <w:pPr>
              <w:keepNext w:val="0"/>
              <w:keepLines w:val="0"/>
              <w:widowControl/>
              <w:suppressLineNumbers w:val="0"/>
              <w:shd w:val="clear" w:color="auto" w:fill="auto"/>
              <w:jc w:val="left"/>
              <w:textAlignment w:val="center"/>
              <w:rPr>
                <w:rFonts w:hint="eastAsia"/>
              </w:rPr>
            </w:pPr>
            <w:r>
              <w:rPr>
                <w:rFonts w:hint="eastAsia"/>
              </w:rPr>
              <w:t>7.病毒发现处理：实时防护过程中发现病毒时处理方式可选择杀毒软件自动处理病毒，并将原始文件隔离备份，也可选择发现病毒后通知终端用户，由终端用户选择处理；</w:t>
            </w:r>
          </w:p>
          <w:p w14:paraId="744DED5A">
            <w:pPr>
              <w:keepNext w:val="0"/>
              <w:keepLines w:val="0"/>
              <w:widowControl/>
              <w:suppressLineNumbers w:val="0"/>
              <w:shd w:val="clear" w:color="auto" w:fill="auto"/>
              <w:jc w:val="left"/>
              <w:textAlignment w:val="center"/>
              <w:rPr>
                <w:rFonts w:hint="eastAsia"/>
              </w:rPr>
            </w:pPr>
            <w:r>
              <w:rPr>
                <w:rFonts w:hint="eastAsia"/>
              </w:rPr>
              <w:t>8.支持客户端杀毒软件防非授权退出和软件自保护，可以做到防止用户私自退出安全防护，防止用户或第三方软件对安全防护软件的强退破坏；</w:t>
            </w:r>
          </w:p>
          <w:p w14:paraId="27F665B2">
            <w:pPr>
              <w:jc w:val="left"/>
              <w:rPr>
                <w:rFonts w:hint="eastAsia" w:ascii="Times New Roman" w:hAnsi="Times New Roman"/>
              </w:rPr>
            </w:pPr>
            <w:r>
              <w:rPr>
                <w:rFonts w:hint="eastAsia"/>
              </w:rPr>
              <w:t>9.产品运行不能对系统本身和网络的正常运行产生影响，本地扫描模式下CPU占用率&lt;20%,内存平均占用量不超过300MB。</w:t>
            </w:r>
          </w:p>
        </w:tc>
        <w:tc>
          <w:tcPr>
            <w:tcW w:w="710" w:type="dxa"/>
            <w:shd w:val="clear" w:color="auto" w:fill="auto"/>
            <w:vAlign w:val="center"/>
          </w:tcPr>
          <w:p w14:paraId="6C631ED4">
            <w:pPr>
              <w:jc w:val="center"/>
              <w:rPr>
                <w:rFonts w:hint="default" w:ascii="Times New Roman" w:hAnsi="Times New Roman"/>
                <w:highlight w:val="yellow"/>
                <w:lang w:val="en-US" w:eastAsia="zh-CN"/>
              </w:rPr>
            </w:pPr>
            <w:r>
              <w:rPr>
                <w:rFonts w:hint="eastAsia"/>
                <w:highlight w:val="yellow"/>
                <w:lang w:val="en-US" w:eastAsia="zh-CN"/>
              </w:rPr>
              <w:t>套</w:t>
            </w:r>
          </w:p>
        </w:tc>
        <w:tc>
          <w:tcPr>
            <w:tcW w:w="805" w:type="dxa"/>
            <w:shd w:val="clear" w:color="auto" w:fill="auto"/>
            <w:vAlign w:val="center"/>
          </w:tcPr>
          <w:p w14:paraId="411A4C86">
            <w:pPr>
              <w:jc w:val="center"/>
              <w:rPr>
                <w:rFonts w:hint="default" w:ascii="Times New Roman" w:hAnsi="Times New Roman"/>
                <w:highlight w:val="yellow"/>
                <w:lang w:val="en-US" w:eastAsia="zh-CN"/>
              </w:rPr>
            </w:pPr>
            <w:r>
              <w:rPr>
                <w:rFonts w:hint="eastAsia"/>
                <w:highlight w:val="yellow"/>
                <w:lang w:val="en-US" w:eastAsia="zh-CN"/>
              </w:rPr>
              <w:t>3</w:t>
            </w:r>
          </w:p>
        </w:tc>
      </w:tr>
      <w:tr w14:paraId="2FA4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4F4346CB">
            <w:pPr>
              <w:jc w:val="center"/>
              <w:rPr>
                <w:rFonts w:hint="default" w:ascii="Times New Roman" w:hAnsi="Times New Roman" w:eastAsia="宋体"/>
                <w:lang w:val="en-US" w:eastAsia="zh-CN"/>
              </w:rPr>
            </w:pPr>
            <w:r>
              <w:rPr>
                <w:rFonts w:hint="eastAsia" w:ascii="Times New Roman" w:hAnsi="Times New Roman"/>
                <w:lang w:val="en-US" w:eastAsia="zh-CN"/>
              </w:rPr>
              <w:t>6</w:t>
            </w:r>
          </w:p>
        </w:tc>
        <w:tc>
          <w:tcPr>
            <w:tcW w:w="1289" w:type="dxa"/>
            <w:shd w:val="clear" w:color="auto" w:fill="auto"/>
            <w:vAlign w:val="center"/>
          </w:tcPr>
          <w:p w14:paraId="31F00D8E">
            <w:pPr>
              <w:jc w:val="center"/>
              <w:rPr>
                <w:rFonts w:hint="default" w:ascii="Times New Roman" w:hAnsi="Times New Roman" w:eastAsia="宋体"/>
                <w:lang w:val="en-US" w:eastAsia="zh-CN"/>
              </w:rPr>
            </w:pPr>
            <w:r>
              <w:rPr>
                <w:rFonts w:hint="eastAsia" w:ascii="Times New Roman" w:hAnsi="Times New Roman"/>
                <w:lang w:val="en-US" w:eastAsia="zh-CN"/>
              </w:rPr>
              <w:t>智能体平台</w:t>
            </w:r>
          </w:p>
        </w:tc>
        <w:tc>
          <w:tcPr>
            <w:tcW w:w="5523" w:type="dxa"/>
            <w:shd w:val="clear" w:color="auto" w:fill="auto"/>
            <w:vAlign w:val="center"/>
          </w:tcPr>
          <w:p w14:paraId="711CFB6B">
            <w:pPr>
              <w:keepNext w:val="0"/>
              <w:keepLines w:val="0"/>
              <w:widowControl/>
              <w:suppressLineNumbers w:val="0"/>
              <w:shd w:val="clear" w:color="auto" w:fill="auto"/>
              <w:jc w:val="left"/>
              <w:textAlignment w:val="center"/>
              <w:rPr>
                <w:rFonts w:hint="eastAsia"/>
              </w:rPr>
            </w:pPr>
            <w:r>
              <w:rPr>
                <w:rFonts w:hint="eastAsia"/>
                <w:lang w:val="en-US" w:eastAsia="zh-CN"/>
              </w:rPr>
              <w:t>1.支持文本、表格和QA问答对导入，支持Markdown、TXT、DOCX、PDF、HTML、XLSX、XLS、CSV和ZIP等格式；支持文本及离线图片ZIP上传导出、授权Web站点内容采集和在线协作文档接入。</w:t>
            </w:r>
          </w:p>
          <w:p w14:paraId="4AE9522B">
            <w:pPr>
              <w:keepNext w:val="0"/>
              <w:keepLines w:val="0"/>
              <w:widowControl/>
              <w:suppressLineNumbers w:val="0"/>
              <w:shd w:val="clear" w:color="auto" w:fill="auto"/>
              <w:jc w:val="left"/>
              <w:textAlignment w:val="center"/>
              <w:rPr>
                <w:rFonts w:hint="eastAsia"/>
              </w:rPr>
            </w:pPr>
            <w:r>
              <w:rPr>
                <w:rFonts w:hint="eastAsia"/>
                <w:lang w:val="en-US" w:eastAsia="zh-CN"/>
              </w:rPr>
              <w:t>2.支持智能分段、自定义分段和内容清洗，支持问题与分段关联；支持知识库检索、多级目录、标签、启停、分段迁移、术语库及命中处理方式配置，并支持根据问答反馈修正知识内容。</w:t>
            </w:r>
          </w:p>
          <w:p w14:paraId="1F453CC8">
            <w:pPr>
              <w:keepNext w:val="0"/>
              <w:keepLines w:val="0"/>
              <w:widowControl/>
              <w:suppressLineNumbers w:val="0"/>
              <w:shd w:val="clear" w:color="auto" w:fill="auto"/>
              <w:jc w:val="left"/>
              <w:textAlignment w:val="center"/>
              <w:rPr>
                <w:rFonts w:hint="eastAsia"/>
              </w:rPr>
            </w:pPr>
            <w:r>
              <w:rPr>
                <w:rFonts w:hint="eastAsia"/>
                <w:lang w:val="en-US" w:eastAsia="zh-CN"/>
              </w:rPr>
              <w:t>★3.知识库管理与问答溯源，支持自定义每次上传文档数量和文档大小；支持 AI 自动生成关联问题并与分段关联；支持保存原文档，并支持下载原文档；支持提问时显示知识来源，并支持下载原文件。（提供截图证明）</w:t>
            </w:r>
          </w:p>
          <w:p w14:paraId="5AB09A55">
            <w:pPr>
              <w:keepNext w:val="0"/>
              <w:keepLines w:val="0"/>
              <w:widowControl/>
              <w:suppressLineNumbers w:val="0"/>
              <w:shd w:val="clear" w:color="auto" w:fill="auto"/>
              <w:jc w:val="left"/>
              <w:textAlignment w:val="center"/>
              <w:rPr>
                <w:rFonts w:hint="eastAsia"/>
              </w:rPr>
            </w:pPr>
            <w:r>
              <w:rPr>
                <w:rFonts w:hint="eastAsia"/>
                <w:lang w:val="en-US" w:eastAsia="zh-CN"/>
              </w:rPr>
              <w:t>4.支持API、数据库查询、网络检索、Python和MCP等工具的配置、调试、引用、导入导出及启停管理，提供工具商店或工具目录。</w:t>
            </w:r>
          </w:p>
          <w:p w14:paraId="38BC513E">
            <w:pPr>
              <w:keepNext w:val="0"/>
              <w:keepLines w:val="0"/>
              <w:widowControl/>
              <w:suppressLineNumbers w:val="0"/>
              <w:shd w:val="clear" w:color="auto" w:fill="auto"/>
              <w:jc w:val="left"/>
              <w:textAlignment w:val="center"/>
              <w:rPr>
                <w:rFonts w:hint="eastAsia"/>
              </w:rPr>
            </w:pPr>
            <w:r>
              <w:rPr>
                <w:rFonts w:hint="eastAsia" w:ascii="Times New Roman" w:hAnsi="Times New Roman" w:eastAsia="宋体" w:cs="Times New Roman"/>
                <w:bCs/>
                <w:sz w:val="24"/>
                <w:szCs w:val="20"/>
              </w:rPr>
              <w:t>●</w:t>
            </w:r>
            <w:r>
              <w:rPr>
                <w:rFonts w:hint="eastAsia"/>
                <w:lang w:val="en-US" w:eastAsia="zh-CN"/>
              </w:rPr>
              <w:t>5.支持可视化工作流编排，包含AI对话、意图识别、知识库检索、问题优化、判断、指定回复、文档总结、语音处理、图片理解与生成、文生视频、图生视频、表单收集、循环、变量处理、参数提取及MCP等节点；支持提示词生成、自定义工具引用、应用嵌套、自动保存、历史版本恢复及输入字段联动。</w:t>
            </w:r>
          </w:p>
          <w:p w14:paraId="223CD63F">
            <w:pPr>
              <w:keepNext w:val="0"/>
              <w:keepLines w:val="0"/>
              <w:widowControl/>
              <w:suppressLineNumbers w:val="0"/>
              <w:shd w:val="clear" w:color="auto" w:fill="auto"/>
              <w:jc w:val="left"/>
              <w:textAlignment w:val="center"/>
              <w:rPr>
                <w:rFonts w:hint="eastAsia"/>
              </w:rPr>
            </w:pPr>
            <w:r>
              <w:rPr>
                <w:rFonts w:hint="eastAsia"/>
                <w:lang w:val="en-US" w:eastAsia="zh-CN"/>
              </w:rPr>
              <w:t>★6.应用配置与多渠道接入，支持工作流默认模型设置，一处配置全局生效，新建节点自动继承默认模型，支持一键应用到所有节点；支持接入企业微信应用、企业微信机器人、钉钉应用、飞书应用、微信公众号以及 Slack；支持自定义对话框的浮窗入口图标及位置、AI 头像、聊天背景、免责声明等个性化显示设置。（提供截图证明）</w:t>
            </w:r>
          </w:p>
          <w:p w14:paraId="29B3B59F">
            <w:pPr>
              <w:keepNext w:val="0"/>
              <w:keepLines w:val="0"/>
              <w:widowControl/>
              <w:suppressLineNumbers w:val="0"/>
              <w:shd w:val="clear" w:color="auto" w:fill="auto"/>
              <w:jc w:val="left"/>
              <w:textAlignment w:val="center"/>
              <w:rPr>
                <w:rFonts w:hint="eastAsia"/>
              </w:rPr>
            </w:pPr>
            <w:r>
              <w:rPr>
                <w:rFonts w:hint="eastAsia"/>
                <w:lang w:val="en-US" w:eastAsia="zh-CN"/>
              </w:rPr>
              <w:t>7.支持大语言模型、向量化模型、重排模型、语音识别、语音合成、图片理解和图片生成等模型类型，通过标准接口对接本地模型或公共模型服务，并支持模型参数配置。</w:t>
            </w:r>
          </w:p>
          <w:p w14:paraId="018527D9">
            <w:pPr>
              <w:keepNext w:val="0"/>
              <w:keepLines w:val="0"/>
              <w:widowControl/>
              <w:suppressLineNumbers w:val="0"/>
              <w:shd w:val="clear" w:color="auto" w:fill="auto"/>
              <w:jc w:val="left"/>
              <w:textAlignment w:val="center"/>
              <w:rPr>
                <w:rFonts w:hint="eastAsia"/>
              </w:rPr>
            </w:pPr>
            <w:r>
              <w:rPr>
                <w:rFonts w:hint="eastAsia"/>
                <w:lang w:val="en-US" w:eastAsia="zh-CN"/>
              </w:rPr>
              <w:t>8.支持第三方应用嵌入，提供全屏、移动端和浮窗等展示方式；支持客户端每日提问次数限制和第三方应用访问白名单配置。</w:t>
            </w:r>
          </w:p>
          <w:p w14:paraId="7D3EBA4E">
            <w:pPr>
              <w:keepNext w:val="0"/>
              <w:keepLines w:val="0"/>
              <w:widowControl/>
              <w:suppressLineNumbers w:val="0"/>
              <w:shd w:val="clear" w:color="auto" w:fill="auto"/>
              <w:jc w:val="left"/>
              <w:textAlignment w:val="center"/>
              <w:rPr>
                <w:rFonts w:hint="eastAsia"/>
              </w:rPr>
            </w:pPr>
            <w:r>
              <w:rPr>
                <w:rFonts w:hint="eastAsia"/>
                <w:lang w:val="en-US" w:eastAsia="zh-CN"/>
              </w:rPr>
              <w:t>★9.访问安全与身份认证，支持对话用户机制，通过身份验证的方式对应用进行访问限制，用户通过密码验证码或登录后方可问答，访问问答界面支持密码验证、本地账号、LDAP、CAS、OIDC、OAuth2 以及企业微信、钉钉、飞书扫码身份验证；支持记录提问者的身份信息和提问记录。（提供截图证明）</w:t>
            </w:r>
          </w:p>
          <w:p w14:paraId="5E5438A6">
            <w:pPr>
              <w:keepNext w:val="0"/>
              <w:keepLines w:val="0"/>
              <w:widowControl/>
              <w:suppressLineNumbers w:val="0"/>
              <w:shd w:val="clear" w:color="auto" w:fill="auto"/>
              <w:jc w:val="left"/>
              <w:textAlignment w:val="center"/>
              <w:rPr>
                <w:rFonts w:hint="eastAsia"/>
              </w:rPr>
            </w:pPr>
            <w:r>
              <w:rPr>
                <w:rFonts w:hint="eastAsia"/>
                <w:lang w:val="en-US" w:eastAsia="zh-CN"/>
              </w:rPr>
              <w:t>10.支持RBAC角色权限管理及应用、知识库、工具和模型等资源授权；支持系统主题色、网站标识、登录背景、网站名称、欢迎语和语言包配置。</w:t>
            </w:r>
          </w:p>
          <w:p w14:paraId="1FABA1EC">
            <w:pPr>
              <w:keepNext w:val="0"/>
              <w:keepLines w:val="0"/>
              <w:widowControl/>
              <w:suppressLineNumbers w:val="0"/>
              <w:shd w:val="clear" w:color="auto" w:fill="auto"/>
              <w:jc w:val="left"/>
              <w:textAlignment w:val="center"/>
              <w:rPr>
                <w:rFonts w:hint="eastAsia"/>
              </w:rPr>
            </w:pPr>
            <w:r>
              <w:rPr>
                <w:rFonts w:hint="eastAsia"/>
                <w:lang w:val="en-US" w:eastAsia="zh-CN"/>
              </w:rPr>
              <w:t>11.兼容本项目采购的服务器CPU架构、服务器操作系统、数据库及相关运行环境，支持IPv4/IPv6双栈运行和集群模式部署。</w:t>
            </w:r>
          </w:p>
          <w:p w14:paraId="7222488C">
            <w:pPr>
              <w:keepNext w:val="0"/>
              <w:keepLines w:val="0"/>
              <w:widowControl/>
              <w:suppressLineNumbers w:val="0"/>
              <w:shd w:val="clear" w:color="auto" w:fill="auto"/>
              <w:jc w:val="left"/>
              <w:textAlignment w:val="center"/>
              <w:rPr>
                <w:rFonts w:hint="eastAsia" w:ascii="Times New Roman" w:hAnsi="Times New Roman"/>
              </w:rPr>
            </w:pPr>
            <w:r>
              <w:rPr>
                <w:rFonts w:hint="eastAsia"/>
                <w:lang w:val="en-US" w:eastAsia="zh-CN"/>
              </w:rPr>
              <w:t>★12.运营统计与开放能力，支持按时间统计用户数、提问次数、Tokens 总数、用户满意度；支持工作空间首页统计，管理员可总览工作空间资源、运营监控趋势及资源使用排行榜；支持全局资源可视化管理，管理员可集中查看、管理和维护所有工作空间下的核心资源，包括应用、知识库、工具、模型等；支持查看所有用户对知识库、模型、应用等的操作动作，方便审计和回溯；提供完整、详细的 API 文档与第三方系统进行对接。（提供截图证明）</w:t>
            </w:r>
          </w:p>
        </w:tc>
        <w:tc>
          <w:tcPr>
            <w:tcW w:w="710" w:type="dxa"/>
            <w:shd w:val="clear" w:color="auto" w:fill="auto"/>
            <w:vAlign w:val="center"/>
          </w:tcPr>
          <w:p w14:paraId="5A7AB84C">
            <w:pPr>
              <w:jc w:val="center"/>
              <w:rPr>
                <w:rFonts w:hint="eastAsia" w:ascii="Times New Roman" w:hAnsi="Times New Roman" w:eastAsia="宋体"/>
                <w:lang w:val="en-US" w:eastAsia="zh-CN"/>
              </w:rPr>
            </w:pPr>
            <w:r>
              <w:rPr>
                <w:rFonts w:hint="eastAsia" w:ascii="Times New Roman" w:hAnsi="Times New Roman"/>
                <w:lang w:val="en-US" w:eastAsia="zh-CN"/>
              </w:rPr>
              <w:t>套</w:t>
            </w:r>
          </w:p>
        </w:tc>
        <w:tc>
          <w:tcPr>
            <w:tcW w:w="805" w:type="dxa"/>
            <w:shd w:val="clear" w:color="auto" w:fill="auto"/>
            <w:vAlign w:val="center"/>
          </w:tcPr>
          <w:p w14:paraId="23874F31">
            <w:pPr>
              <w:jc w:val="center"/>
              <w:rPr>
                <w:rFonts w:hint="eastAsia" w:ascii="Times New Roman" w:hAnsi="Times New Roman" w:eastAsia="宋体"/>
                <w:lang w:val="en-US" w:eastAsia="zh-CN"/>
              </w:rPr>
            </w:pPr>
            <w:r>
              <w:rPr>
                <w:rFonts w:hint="eastAsia" w:ascii="Times New Roman" w:hAnsi="Times New Roman"/>
                <w:lang w:val="en-US" w:eastAsia="zh-CN"/>
              </w:rPr>
              <w:t>1</w:t>
            </w:r>
          </w:p>
        </w:tc>
      </w:tr>
    </w:tbl>
    <w:p w14:paraId="5EA4149D">
      <w:pPr>
        <w:spacing w:line="560" w:lineRule="exact"/>
        <w:ind w:firstLine="640" w:firstLineChars="200"/>
        <w:jc w:val="both"/>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（2）商务要求</w:t>
      </w:r>
    </w:p>
    <w:bookmarkEnd w:id="0"/>
    <w:p w14:paraId="5F634525">
      <w:pPr>
        <w:spacing w:line="560" w:lineRule="exact"/>
        <w:ind w:firstLine="640" w:firstLineChars="200"/>
        <w:jc w:val="both"/>
        <w:rPr>
          <w:rFonts w:hint="default" w:ascii="Times New Roman" w:hAnsi="Times New Roman" w:eastAsia="仿宋" w:cs="Times New Roman"/>
          <w:iCs/>
          <w:color w:val="000000"/>
          <w:sz w:val="32"/>
          <w:szCs w:val="32"/>
          <w:lang w:val="en-US" w:eastAsia="zh-CN"/>
        </w:rPr>
      </w:pP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一</w:t>
      </w: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资格要求</w:t>
      </w:r>
    </w:p>
    <w:p w14:paraId="1E4A5281">
      <w:pPr>
        <w:spacing w:line="560" w:lineRule="exact"/>
        <w:ind w:firstLine="640" w:firstLineChars="200"/>
        <w:jc w:val="both"/>
        <w:rPr>
          <w:rFonts w:hint="default" w:ascii="Times New Roman" w:hAnsi="Times New Roman" w:eastAsia="仿宋" w:cs="Times New Roman"/>
          <w:iCs/>
          <w:color w:val="000000"/>
          <w:sz w:val="32"/>
          <w:szCs w:val="32"/>
        </w:rPr>
      </w:pPr>
      <w:r>
        <w:rPr>
          <w:rFonts w:hint="default" w:ascii="Times New Roman" w:hAnsi="Times New Roman" w:eastAsia="仿宋" w:cs="Times New Roman"/>
          <w:iCs/>
          <w:color w:val="000000"/>
          <w:sz w:val="32"/>
          <w:szCs w:val="32"/>
          <w:lang w:val="en-US" w:eastAsia="zh-CN"/>
        </w:rPr>
        <w:t>（1）</w:t>
      </w:r>
      <w:r>
        <w:rPr>
          <w:rFonts w:hint="default" w:ascii="Times New Roman" w:hAnsi="Times New Roman" w:eastAsia="仿宋" w:cs="Times New Roman"/>
          <w:iCs/>
          <w:color w:val="000000"/>
          <w:sz w:val="32"/>
          <w:szCs w:val="32"/>
        </w:rPr>
        <w:t>投标人须具备《中华人民共和国政府采购法》第二十二条第一款规定的条件。</w:t>
      </w:r>
    </w:p>
    <w:p w14:paraId="6B86F155">
      <w:pPr>
        <w:spacing w:line="560" w:lineRule="exact"/>
        <w:ind w:firstLine="640" w:firstLineChars="200"/>
        <w:jc w:val="both"/>
        <w:rPr>
          <w:rFonts w:hint="default" w:ascii="Times New Roman" w:hAnsi="Times New Roman" w:eastAsia="仿宋" w:cs="Times New Roman"/>
          <w:iCs/>
          <w:color w:val="000000"/>
          <w:sz w:val="32"/>
          <w:szCs w:val="32"/>
        </w:rPr>
      </w:pPr>
      <w:r>
        <w:rPr>
          <w:rFonts w:hint="default" w:ascii="Times New Roman" w:hAnsi="Times New Roman" w:eastAsia="仿宋" w:cs="Times New Roman"/>
          <w:iCs/>
          <w:color w:val="000000"/>
          <w:sz w:val="32"/>
          <w:szCs w:val="32"/>
          <w:lang w:val="en-US" w:eastAsia="zh-CN"/>
        </w:rPr>
        <w:t>（</w:t>
      </w:r>
      <w:r>
        <w:rPr>
          <w:rFonts w:hint="eastAsia" w:eastAsia="仿宋" w:cs="Times New Roman"/>
          <w:iCs/>
          <w:color w:val="000000"/>
          <w:sz w:val="32"/>
          <w:szCs w:val="32"/>
          <w:lang w:val="en-US" w:eastAsia="zh-CN"/>
        </w:rPr>
        <w:t>2</w:t>
      </w:r>
      <w:r>
        <w:rPr>
          <w:rFonts w:hint="default" w:ascii="Times New Roman" w:hAnsi="Times New Roman" w:eastAsia="仿宋" w:cs="Times New Roman"/>
          <w:iCs/>
          <w:color w:val="000000"/>
          <w:sz w:val="32"/>
          <w:szCs w:val="32"/>
          <w:lang w:val="en-US" w:eastAsia="zh-CN"/>
        </w:rPr>
        <w:t>）</w:t>
      </w:r>
      <w:r>
        <w:rPr>
          <w:rFonts w:hint="default" w:ascii="Times New Roman" w:hAnsi="Times New Roman" w:eastAsia="仿宋" w:cs="Times New Roman"/>
          <w:iCs/>
          <w:color w:val="000000"/>
          <w:sz w:val="32"/>
          <w:szCs w:val="32"/>
        </w:rPr>
        <w:t>本项目不接受联合体。</w:t>
      </w:r>
    </w:p>
    <w:p w14:paraId="4853E221">
      <w:pPr>
        <w:spacing w:line="560" w:lineRule="exact"/>
        <w:ind w:firstLine="640" w:firstLineChars="200"/>
        <w:jc w:val="both"/>
        <w:rPr>
          <w:rFonts w:hint="default" w:ascii="Times New Roman" w:hAnsi="Times New Roman" w:eastAsia="仿宋" w:cs="Times New Roman"/>
          <w:iCs/>
          <w:color w:val="000000"/>
          <w:sz w:val="32"/>
          <w:szCs w:val="32"/>
          <w:lang w:val="en-US" w:eastAsia="zh-CN"/>
        </w:rPr>
      </w:pPr>
      <w:r>
        <w:rPr>
          <w:rFonts w:hint="eastAsia" w:eastAsia="仿宋" w:cs="Times New Roman"/>
          <w:iCs/>
          <w:color w:val="000000"/>
          <w:sz w:val="32"/>
          <w:szCs w:val="32"/>
          <w:highlight w:val="yellow"/>
          <w:lang w:eastAsia="zh-CN"/>
        </w:rPr>
        <w:t>（</w:t>
      </w:r>
      <w:r>
        <w:rPr>
          <w:rFonts w:hint="eastAsia" w:eastAsia="仿宋" w:cs="Times New Roman"/>
          <w:iCs/>
          <w:color w:val="000000"/>
          <w:sz w:val="32"/>
          <w:szCs w:val="32"/>
          <w:highlight w:val="yellow"/>
          <w:lang w:val="en-US" w:eastAsia="zh-CN"/>
        </w:rPr>
        <w:t>3）本项目对小微企业报价给予20%的扣除。</w:t>
      </w:r>
    </w:p>
    <w:p w14:paraId="76F6EFC7">
      <w:pPr>
        <w:spacing w:line="560" w:lineRule="exact"/>
        <w:ind w:firstLine="640" w:firstLineChars="200"/>
        <w:jc w:val="both"/>
        <w:rPr>
          <w:rFonts w:hint="default" w:ascii="Times New Roman" w:hAnsi="Times New Roman" w:eastAsia="仿宋" w:cs="Times New Roman"/>
          <w:iCs/>
          <w:color w:val="000000"/>
          <w:sz w:val="32"/>
          <w:szCs w:val="32"/>
          <w:lang w:val="en-US" w:eastAsia="zh-CN"/>
        </w:rPr>
      </w:pP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二</w:t>
      </w: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服务期</w:t>
      </w:r>
    </w:p>
    <w:p w14:paraId="4285B8D5">
      <w:pPr>
        <w:spacing w:line="560" w:lineRule="exact"/>
        <w:ind w:firstLine="640" w:firstLineChars="200"/>
        <w:jc w:val="both"/>
        <w:rPr>
          <w:rFonts w:hint="default" w:ascii="Times New Roman" w:hAnsi="Times New Roman" w:eastAsia="仿宋" w:cs="Times New Roman"/>
          <w:iCs/>
          <w:color w:val="000000"/>
          <w:sz w:val="32"/>
          <w:szCs w:val="32"/>
          <w:highlight w:val="yellow"/>
        </w:rPr>
      </w:pPr>
      <w:r>
        <w:rPr>
          <w:rFonts w:hint="default" w:ascii="Times New Roman" w:hAnsi="Times New Roman" w:eastAsia="仿宋" w:cs="Times New Roman"/>
          <w:iCs/>
          <w:color w:val="000000"/>
          <w:sz w:val="32"/>
          <w:szCs w:val="32"/>
          <w:highlight w:val="none"/>
        </w:rPr>
        <w:t>服务期</w:t>
      </w:r>
      <w:r>
        <w:rPr>
          <w:rFonts w:hint="eastAsia" w:eastAsia="仿宋" w:cs="Times New Roman"/>
          <w:iCs/>
          <w:color w:val="000000"/>
          <w:sz w:val="32"/>
          <w:szCs w:val="32"/>
          <w:highlight w:val="none"/>
          <w:lang w:val="en-US" w:eastAsia="zh-CN"/>
        </w:rPr>
        <w:t>3</w:t>
      </w:r>
      <w:r>
        <w:rPr>
          <w:rFonts w:hint="default" w:ascii="Times New Roman" w:hAnsi="Times New Roman" w:eastAsia="仿宋" w:cs="Times New Roman"/>
          <w:iCs/>
          <w:color w:val="000000"/>
          <w:sz w:val="32"/>
          <w:szCs w:val="32"/>
          <w:highlight w:val="none"/>
        </w:rPr>
        <w:t>年（特殊情况以合同为准）。</w:t>
      </w:r>
    </w:p>
    <w:p w14:paraId="1F3C1F6F">
      <w:pPr>
        <w:spacing w:line="560" w:lineRule="exact"/>
        <w:ind w:firstLine="640" w:firstLineChars="200"/>
        <w:jc w:val="both"/>
        <w:rPr>
          <w:rFonts w:hint="default" w:ascii="Times New Roman" w:hAnsi="Times New Roman" w:eastAsia="仿宋" w:cs="Times New Roman"/>
          <w:iCs/>
          <w:color w:val="000000"/>
          <w:sz w:val="32"/>
          <w:szCs w:val="32"/>
          <w:lang w:val="en-US" w:eastAsia="zh-CN"/>
        </w:rPr>
      </w:pP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三</w:t>
      </w: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服务地点</w:t>
      </w:r>
    </w:p>
    <w:p w14:paraId="0F860F2A">
      <w:pPr>
        <w:spacing w:line="560" w:lineRule="exact"/>
        <w:ind w:firstLine="640" w:firstLineChars="200"/>
        <w:jc w:val="both"/>
        <w:rPr>
          <w:rFonts w:hint="default" w:ascii="Times New Roman" w:hAnsi="Times New Roman" w:eastAsia="仿宋" w:cs="Times New Roman"/>
          <w:iCs/>
          <w:color w:val="000000"/>
          <w:sz w:val="32"/>
          <w:szCs w:val="32"/>
        </w:rPr>
      </w:pPr>
      <w:r>
        <w:rPr>
          <w:rFonts w:hint="eastAsia" w:ascii="Times New Roman" w:hAnsi="Times New Roman" w:eastAsia="仿宋" w:cs="Times New Roman"/>
          <w:iCs/>
          <w:color w:val="000000"/>
          <w:sz w:val="32"/>
          <w:szCs w:val="32"/>
          <w:lang w:val="en-US" w:eastAsia="zh-CN"/>
        </w:rPr>
        <w:t>天津市河东区津塘路42号</w:t>
      </w:r>
      <w:r>
        <w:rPr>
          <w:rFonts w:hint="default" w:ascii="Times New Roman" w:hAnsi="Times New Roman" w:eastAsia="仿宋" w:cs="Times New Roman"/>
          <w:iCs/>
          <w:color w:val="000000"/>
          <w:sz w:val="32"/>
          <w:szCs w:val="32"/>
        </w:rPr>
        <w:t>（特殊情况以合同为准）。</w:t>
      </w:r>
    </w:p>
    <w:p w14:paraId="7BAE0B12">
      <w:pPr>
        <w:spacing w:line="560" w:lineRule="exact"/>
        <w:ind w:firstLine="640" w:firstLineChars="200"/>
        <w:jc w:val="both"/>
        <w:rPr>
          <w:rFonts w:hint="default" w:ascii="Times New Roman" w:hAnsi="Times New Roman" w:eastAsia="仿宋" w:cs="Times New Roman"/>
          <w:iCs/>
          <w:color w:val="000000"/>
          <w:sz w:val="32"/>
          <w:szCs w:val="32"/>
          <w:lang w:val="en-US" w:eastAsia="zh-CN"/>
        </w:rPr>
      </w:pP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四</w:t>
      </w: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付款方式</w:t>
      </w:r>
    </w:p>
    <w:p w14:paraId="4326F1C5">
      <w:pPr>
        <w:spacing w:line="560" w:lineRule="exact"/>
        <w:ind w:firstLine="640" w:firstLineChars="200"/>
        <w:jc w:val="both"/>
        <w:rPr>
          <w:rFonts w:hint="default" w:ascii="Times New Roman" w:hAnsi="Times New Roman" w:eastAsia="仿宋" w:cs="Times New Roman"/>
          <w:iCs/>
          <w:color w:val="000000"/>
          <w:sz w:val="32"/>
          <w:szCs w:val="32"/>
        </w:rPr>
      </w:pPr>
      <w:r>
        <w:rPr>
          <w:rFonts w:hint="default" w:ascii="Times New Roman" w:hAnsi="Times New Roman" w:eastAsia="仿宋" w:cs="Times New Roman"/>
          <w:iCs/>
          <w:color w:val="000000"/>
          <w:sz w:val="32"/>
          <w:szCs w:val="32"/>
        </w:rPr>
        <w:t>自合同签订之日起7日内支付合同总额的</w:t>
      </w:r>
      <w:r>
        <w:rPr>
          <w:rFonts w:hint="eastAsia" w:eastAsia="仿宋" w:cs="Times New Roman"/>
          <w:iCs/>
          <w:color w:val="000000"/>
          <w:sz w:val="32"/>
          <w:szCs w:val="32"/>
          <w:lang w:val="en-US" w:eastAsia="zh-CN"/>
        </w:rPr>
        <w:t>30</w:t>
      </w:r>
      <w:r>
        <w:rPr>
          <w:rFonts w:hint="default" w:ascii="Times New Roman" w:hAnsi="Times New Roman" w:eastAsia="仿宋" w:cs="Times New Roman"/>
          <w:iCs/>
          <w:color w:val="000000"/>
          <w:sz w:val="32"/>
          <w:szCs w:val="32"/>
        </w:rPr>
        <w:t>%，项目验收合格后7日内支付合同总额的</w:t>
      </w:r>
      <w:r>
        <w:rPr>
          <w:rFonts w:hint="eastAsia" w:eastAsia="仿宋" w:cs="Times New Roman"/>
          <w:iCs/>
          <w:color w:val="000000"/>
          <w:sz w:val="32"/>
          <w:szCs w:val="32"/>
          <w:lang w:val="en-US" w:eastAsia="zh-CN"/>
        </w:rPr>
        <w:t>7</w:t>
      </w:r>
      <w:r>
        <w:rPr>
          <w:rFonts w:hint="default" w:ascii="Times New Roman" w:hAnsi="Times New Roman" w:eastAsia="仿宋" w:cs="Times New Roman"/>
          <w:iCs/>
          <w:color w:val="000000"/>
          <w:sz w:val="32"/>
          <w:szCs w:val="32"/>
        </w:rPr>
        <w:t>0%。</w:t>
      </w:r>
    </w:p>
    <w:p w14:paraId="3EA392FC">
      <w:pPr>
        <w:spacing w:line="560" w:lineRule="exact"/>
        <w:ind w:firstLine="640" w:firstLineChars="200"/>
        <w:jc w:val="both"/>
        <w:rPr>
          <w:rFonts w:hint="default" w:ascii="Times New Roman" w:hAnsi="Times New Roman" w:eastAsia="仿宋" w:cs="Times New Roman"/>
          <w:iCs/>
          <w:color w:val="000000"/>
          <w:sz w:val="32"/>
          <w:szCs w:val="32"/>
          <w:lang w:val="en-US" w:eastAsia="zh-CN"/>
        </w:rPr>
      </w:pP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五</w:t>
      </w: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验收标准</w:t>
      </w:r>
    </w:p>
    <w:p w14:paraId="14D9D24E">
      <w:pPr>
        <w:spacing w:line="560" w:lineRule="exact"/>
        <w:ind w:firstLine="640" w:firstLineChars="200"/>
        <w:jc w:val="both"/>
        <w:rPr>
          <w:rFonts w:hint="default" w:ascii="Times New Roman" w:hAnsi="Times New Roman" w:cs="Times New Roman"/>
          <w:color w:val="000000"/>
        </w:rPr>
      </w:pPr>
      <w:r>
        <w:rPr>
          <w:rFonts w:hint="default" w:ascii="Times New Roman" w:hAnsi="Times New Roman" w:eastAsia="仿宋" w:cs="Times New Roman"/>
          <w:iCs/>
          <w:color w:val="000000"/>
          <w:sz w:val="32"/>
          <w:szCs w:val="32"/>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70E8E92C">
      <w:pPr>
        <w:spacing w:line="560" w:lineRule="exact"/>
        <w:ind w:firstLine="640" w:firstLineChars="200"/>
        <w:jc w:val="both"/>
        <w:rPr>
          <w:rFonts w:hint="default" w:ascii="Times New Roman" w:hAnsi="Times New Roman" w:eastAsia="仿宋" w:cs="Times New Roman"/>
          <w:iCs/>
          <w:color w:val="000000"/>
          <w:sz w:val="32"/>
          <w:szCs w:val="32"/>
          <w:lang w:val="en-US" w:eastAsia="zh-CN"/>
        </w:rPr>
      </w:pP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六</w:t>
      </w: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其他要求</w:t>
      </w:r>
    </w:p>
    <w:p w14:paraId="04B3AE8F">
      <w:pPr>
        <w:spacing w:line="560" w:lineRule="exact"/>
        <w:ind w:firstLine="640" w:firstLineChars="200"/>
        <w:jc w:val="both"/>
        <w:rPr>
          <w:rFonts w:hint="default" w:ascii="Times New Roman" w:hAnsi="Times New Roman" w:eastAsia="仿宋" w:cs="Times New Roman"/>
          <w:iCs/>
          <w:color w:val="000000"/>
          <w:sz w:val="32"/>
          <w:szCs w:val="32"/>
        </w:rPr>
      </w:pP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1</w:t>
      </w:r>
      <w:r>
        <w:rPr>
          <w:rFonts w:hint="default" w:ascii="Times New Roman" w:hAnsi="Times New Roman" w:eastAsia="仿宋" w:cs="Times New Roman"/>
          <w:iCs/>
          <w:color w:val="000000"/>
          <w:sz w:val="32"/>
          <w:szCs w:val="32"/>
        </w:rPr>
        <w:t>）投标人提供详细的服务方案。</w:t>
      </w:r>
    </w:p>
    <w:p w14:paraId="6516B691">
      <w:pPr>
        <w:spacing w:line="560" w:lineRule="exact"/>
        <w:ind w:firstLine="640" w:firstLineChars="200"/>
        <w:jc w:val="both"/>
        <w:rPr>
          <w:rFonts w:hint="default" w:ascii="Times New Roman" w:hAnsi="Times New Roman" w:eastAsia="仿宋" w:cs="Times New Roman"/>
          <w:iCs/>
          <w:color w:val="000000"/>
          <w:sz w:val="32"/>
          <w:szCs w:val="32"/>
        </w:rPr>
      </w:pPr>
      <w:r>
        <w:rPr>
          <w:rFonts w:hint="default" w:ascii="Times New Roman" w:hAnsi="Times New Roman" w:eastAsia="仿宋" w:cs="Times New Roman"/>
          <w:iCs/>
          <w:color w:val="000000"/>
          <w:sz w:val="32"/>
          <w:szCs w:val="32"/>
        </w:rPr>
        <w:t>（</w:t>
      </w:r>
      <w:r>
        <w:rPr>
          <w:rFonts w:hint="default" w:ascii="Times New Roman" w:hAnsi="Times New Roman" w:eastAsia="仿宋" w:cs="Times New Roman"/>
          <w:iCs/>
          <w:color w:val="000000"/>
          <w:sz w:val="32"/>
          <w:szCs w:val="32"/>
          <w:lang w:val="en-US" w:eastAsia="zh-CN"/>
        </w:rPr>
        <w:t>2</w:t>
      </w:r>
      <w:r>
        <w:rPr>
          <w:rFonts w:hint="default" w:ascii="Times New Roman" w:hAnsi="Times New Roman" w:eastAsia="仿宋" w:cs="Times New Roman"/>
          <w:iCs/>
          <w:color w:val="000000"/>
          <w:sz w:val="32"/>
          <w:szCs w:val="32"/>
        </w:rPr>
        <w:t>）本项目不收取投标保证金和履约保证金。</w:t>
      </w:r>
    </w:p>
    <w:p w14:paraId="42E14F83">
      <w:pPr>
        <w:spacing w:line="560" w:lineRule="exact"/>
        <w:ind w:firstLine="640" w:firstLineChars="200"/>
        <w:jc w:val="both"/>
        <w:rPr>
          <w:rFonts w:hint="eastAsia" w:ascii="Times New Roman" w:hAnsi="Times New Roman" w:eastAsia="仿宋" w:cs="Times New Roman"/>
          <w:color w:val="000000"/>
          <w:sz w:val="32"/>
          <w:szCs w:val="32"/>
          <w:lang w:val="en-US" w:eastAsia="zh-CN"/>
        </w:rPr>
      </w:pPr>
      <w:bookmarkStart w:id="1" w:name="_GoBack"/>
      <w:bookmarkEnd w:id="1"/>
    </w:p>
    <w:sectPr>
      <w:footerReference r:id="rId3" w:type="default"/>
      <w:footerReference r:id="rId4" w:type="even"/>
      <w:pgSz w:w="11906" w:h="16838"/>
      <w:pgMar w:top="1701" w:right="1587" w:bottom="1440" w:left="1587" w:header="851" w:footer="992" w:gutter="0"/>
      <w:pgNumType w:start="1"/>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serif">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1" w:fontKey="{EEFC819C-4894-4EE5-9145-FD2B7BBC8D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F5D08">
    <w:pPr>
      <w:pStyle w:val="6"/>
      <w:ind w:right="360" w:firstLine="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622935" cy="230505"/>
              <wp:effectExtent l="0" t="0" r="0" b="0"/>
              <wp:wrapNone/>
              <wp:docPr id="4098" name="文本框 3"/>
              <wp:cNvGraphicFramePr/>
              <a:graphic xmlns:a="http://schemas.openxmlformats.org/drawingml/2006/main">
                <a:graphicData uri="http://schemas.microsoft.com/office/word/2010/wordprocessingShape">
                  <wps:wsp>
                    <wps:cNvSpPr/>
                    <wps:spPr>
                      <a:xfrm>
                        <a:off x="0" y="0"/>
                        <a:ext cx="622935" cy="230505"/>
                      </a:xfrm>
                      <a:prstGeom prst="rect">
                        <a:avLst/>
                      </a:prstGeom>
                      <a:ln>
                        <a:noFill/>
                      </a:ln>
                    </wps:spPr>
                    <wps:txbx>
                      <w:txbxContent>
                        <w:p w14:paraId="443E8C78">
                          <w:pPr>
                            <w:pStyle w:val="6"/>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upright="1">
                      <a:spAutoFit/>
                    </wps:bodyPr>
                  </wps:wsp>
                </a:graphicData>
              </a:graphic>
            </wp:anchor>
          </w:drawing>
        </mc:Choice>
        <mc:Fallback>
          <w:pict>
            <v:rect id="文本框 3" o:spid="_x0000_s1026" o:spt="1" style="position:absolute;left:0pt;margin-top:0pt;height:18.15pt;width:49.05pt;mso-position-horizontal:center;mso-position-horizontal-relative:margin;mso-wrap-style:none;z-index:251659264;mso-width-relative:page;mso-height-relative:page;" filled="f" stroked="f" coordsize="21600,21600" o:gfxdata="UEsDBAoAAAAAAIdO4kAAAAAAAAAAAAAAAAAEAAAAZHJzL1BLAwQUAAAACACHTuJAP2mfntIAAAAD&#10;AQAADwAAAGRycy9kb3ducmV2LnhtbE2PzU7DMBCE70i8g7VI3KidVqpCiNMDUiVAXJryANt48yPs&#10;dWS7TXl7DBe4rDSa0cy39e7qrLhQiJNnDcVKgSDuvJl40PBx3D+UIGJCNmg9k4YvirBrbm9qrIxf&#10;+ECXNg0il3CsUMOY0lxJGbuRHMaVn4mz1/vgMGUZBmkCLrncWblWaisdTpwXRpzpeaTusz07DfLY&#10;7peytUH5t3X/bl9fDj15re/vCvUEItE1/YXhBz+jQ5OZTv7MJgqrIT+Sfm/2HssCxEnDZrsB2dTy&#10;P3vzDVBLAwQUAAAACACHTuJApRTLBtYBAACcAwAADgAAAGRycy9lMm9Eb2MueG1srVNLbtswEN0X&#10;6B0I7mvKch00guWggJGiQNEGSHsAmqIsAvxhSFtyD9DeoKtuuu+5fI4OKdkpkk0W2VBDDvnmvTej&#10;1c1gNDlICMrZms5nBSXSCtcou6vpt6+3b95REiK3DdfOypoeZaA369evVr2vZOk6pxsJBEFsqHpf&#10;0y5GXzEWRCcNDzPnpcVk68DwiFvYsQZ4j+hGs7IorljvoPHghAwBTzdjkk6I8BxA17ZKyI0TeyNt&#10;HFFBah5RUuiUD3Sd2batFPFL2wYZia4pKo15xSIYb9PK1ite7YD7TomJAn8OhUeaDFcWi16gNjxy&#10;sgf1BMooAS64Ns6EM2wUkh1BFfPikTf3Hfcya0Grg7+YHl4OVnw+3AFRTU3fFtfYecsN9vz06+fp&#10;99/Tnx9kkRzqfajw4r2/g2kXMExyhxZM+qIQMmRXjxdX5RCJwMOrsrxeLCkRmCoXxbJYJkz28NhD&#10;iB+kMyQFNQVsWvaSHz6FOF49X0m1tE2rdbdK6zGbTlgiOdJKURy2w8R165ojasSRR/DOwXdKemx4&#10;TS3ONyX6o0U/02ycAzgH23PArcCHNY2U7D2oXYdI88wx+Pf7iFQyz1R4rDbxwaZlpdOApan4f59v&#10;PfxU63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aZ+e0gAAAAMBAAAPAAAAAAAAAAEAIAAAACIA&#10;AABkcnMvZG93bnJldi54bWxQSwECFAAUAAAACACHTuJApRTLBtYBAACcAwAADgAAAAAAAAABACAA&#10;AAAhAQAAZHJzL2Uyb0RvYy54bWxQSwUGAAAAAAYABgBZAQAAaQUAAAAA&#10;">
              <v:fill on="f" focussize="0,0"/>
              <v:stroke on="f"/>
              <v:imagedata o:title=""/>
              <o:lock v:ext="edit" aspectratio="f"/>
              <v:textbox inset="0mm,0mm,0mm,0mm" style="mso-fit-shape-to-text:t;">
                <w:txbxContent>
                  <w:p w14:paraId="443E8C78">
                    <w:pPr>
                      <w:pStyle w:val="6"/>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rect>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10551">
    <w:pPr>
      <w:pStyle w:val="6"/>
      <w:ind w:right="360" w:firstLine="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622935" cy="204470"/>
              <wp:effectExtent l="0" t="0" r="0" b="0"/>
              <wp:wrapNone/>
              <wp:docPr id="4097" name="文本框 4"/>
              <wp:cNvGraphicFramePr/>
              <a:graphic xmlns:a="http://schemas.openxmlformats.org/drawingml/2006/main">
                <a:graphicData uri="http://schemas.microsoft.com/office/word/2010/wordprocessingShape">
                  <wps:wsp>
                    <wps:cNvSpPr/>
                    <wps:spPr>
                      <a:xfrm>
                        <a:off x="0" y="0"/>
                        <a:ext cx="622935" cy="204470"/>
                      </a:xfrm>
                      <a:prstGeom prst="rect">
                        <a:avLst/>
                      </a:prstGeom>
                      <a:ln>
                        <a:noFill/>
                      </a:ln>
                    </wps:spPr>
                    <wps:txbx>
                      <w:txbxContent>
                        <w:p w14:paraId="3E66EC82">
                          <w:pPr>
                            <w:pStyle w:val="6"/>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upright="1">
                      <a:spAutoFit/>
                    </wps:bodyPr>
                  </wps:wsp>
                </a:graphicData>
              </a:graphic>
            </wp:anchor>
          </w:drawing>
        </mc:Choice>
        <mc:Fallback>
          <w:pict>
            <v:rect id="文本框 4" o:spid="_x0000_s1026" o:spt="1" style="position:absolute;left:0pt;margin-top:0pt;height:16.1pt;width:49.05pt;mso-position-horizontal:center;mso-position-horizontal-relative:margin;mso-wrap-style:none;z-index:251659264;mso-width-relative:page;mso-height-relative:page;" filled="f" stroked="f" coordsize="21600,21600" o:gfxdata="UEsDBAoAAAAAAIdO4kAAAAAAAAAAAAAAAAAEAAAAZHJzL1BLAwQUAAAACACHTuJAPgKQB9EAAAAD&#10;AQAADwAAAGRycy9kb3ducmV2LnhtbE2PzU7DMBCE70i8g7VI3KidIKEQ4vSAVAkQl6Y8gBtvfoS9&#10;G9luU94ewwUuK41mNPNts714J84Y4sykodgoEEg925lGDR+H3V0FIiZD1jgm1PCFEbbt9VVjassr&#10;7fHcpVHkEoq10TCltNRSxn5Cb+KGF6TsDRy8SVmGUdpg1lzunSyVepDezJQXJrPg84T9Z3fyGuSh&#10;261V54Lit3J4d68v+wFZ69ubQj2BSHhJf2H4wc/o0GamI5/IRuE05EfS783eY1WAOGq4L0uQbSP/&#10;s7ffUEsDBBQAAAAIAIdO4kDsz4Gh2AEAAJwDAAAOAAAAZHJzL2Uyb0RvYy54bWytU0tu2zAQ3Rfo&#10;HQjua8mqmzSC5aCAkaJA0QZIewCaIi0C/GFIW3IP0N6gq26677l8jgwp2SmSTRbZUEMO+ea9N6Pl&#10;9WA02QsIytmGzmclJcJy1yq7bej3bzdv3lMSIrMt086Khh5EoNer16+Wva9F5TqnWwEEQWyoe9/Q&#10;LkZfF0XgnTAszJwXFpPSgWERt7AtWmA9ohtdVGV5UfQOWg+OixDwdD0m6YQIzwF0Uiou1o7vjLBx&#10;RAWhWURJoVM+0FVmK6Xg8auUQUSiG4pKY16xCMabtBarJau3wHyn+ESBPYfCI02GKYtFz1BrFhnZ&#10;gXoCZRQHF5yMM+5MMQrJjqCKefnIm7uOeZG1oNXBn00PLwfLv+xvgai2oYvy6pISywz2/Pj71/HP&#10;v+Pfn2SRHOp9qPHinb+FaRcwTHIHCSZ9UQgZsquHs6tiiITj4UVVXb19RwnHVFUuFpfZ9eLhsYcQ&#10;PwpnSAoaCti07CXbfw4RC+LV05VUS9u0WnejtB6z6aRIJEdaKYrDZpi4blx7QI048gjeOfhBSY8N&#10;b6jF+aZEf7LoZ5qNUwCnYHMKmOX4sKGRkp0Hte0QaZ45Bv9hF5FK5pkKj9UmPti0TH8asDQV/+/z&#10;rYefanU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PgKQB9EAAAADAQAADwAAAAAAAAABACAAAAAi&#10;AAAAZHJzL2Rvd25yZXYueG1sUEsBAhQAFAAAAAgAh07iQOzPgaHYAQAAnAMAAA4AAAAAAAAAAQAg&#10;AAAAIAEAAGRycy9lMm9Eb2MueG1sUEsFBgAAAAAGAAYAWQEAAGoFAAAAAA==&#10;">
              <v:fill on="f" focussize="0,0"/>
              <v:stroke on="f"/>
              <v:imagedata o:title=""/>
              <o:lock v:ext="edit" aspectratio="f"/>
              <v:textbox inset="0mm,0mm,0mm,0mm" style="mso-fit-shape-to-text:t;">
                <w:txbxContent>
                  <w:p w14:paraId="3E66EC82">
                    <w:pPr>
                      <w:pStyle w:val="6"/>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D163AF"/>
    <w:rsid w:val="35AE578E"/>
    <w:rsid w:val="3B5265B2"/>
    <w:rsid w:val="5A286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character" w:default="1" w:styleId="10">
    <w:name w:val="Default Paragraph Font"/>
    <w:qFormat/>
    <w:uiPriority w:val="1"/>
  </w:style>
  <w:style w:type="table" w:default="1" w:styleId="8">
    <w:name w:val="Normal Table"/>
    <w:qFormat/>
    <w:uiPriority w:val="99"/>
    <w:tblPr>
      <w:tblCellMar>
        <w:top w:w="0" w:type="dxa"/>
        <w:left w:w="108" w:type="dxa"/>
        <w:bottom w:w="0" w:type="dxa"/>
        <w:right w:w="108" w:type="dxa"/>
      </w:tblCellMar>
    </w:tblPr>
  </w:style>
  <w:style w:type="paragraph" w:styleId="3">
    <w:name w:val="annotation text"/>
    <w:basedOn w:val="1"/>
    <w:link w:val="25"/>
    <w:qFormat/>
    <w:uiPriority w:val="99"/>
    <w:pPr>
      <w:jc w:val="left"/>
    </w:pPr>
  </w:style>
  <w:style w:type="paragraph" w:styleId="4">
    <w:name w:val="Date"/>
    <w:basedOn w:val="1"/>
    <w:next w:val="1"/>
    <w:qFormat/>
    <w:uiPriority w:val="0"/>
    <w:pPr>
      <w:ind w:left="100" w:leftChars="2500"/>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qFormat/>
    <w:uiPriority w:val="0"/>
    <w:rPr>
      <w:b/>
    </w:rPr>
  </w:style>
  <w:style w:type="character" w:styleId="12">
    <w:name w:val="page number"/>
    <w:qFormat/>
    <w:uiPriority w:val="0"/>
  </w:style>
  <w:style w:type="character" w:styleId="13">
    <w:name w:val="FollowedHyperlink"/>
    <w:qFormat/>
    <w:uiPriority w:val="0"/>
    <w:rPr>
      <w:color w:val="800080"/>
      <w:u w:val="none"/>
    </w:rPr>
  </w:style>
  <w:style w:type="character" w:styleId="14">
    <w:name w:val="HTML Definition"/>
    <w:qFormat/>
    <w:uiPriority w:val="0"/>
    <w:rPr>
      <w:i/>
    </w:rPr>
  </w:style>
  <w:style w:type="character" w:styleId="15">
    <w:name w:val="Hyperlink"/>
    <w:qFormat/>
    <w:uiPriority w:val="0"/>
    <w:rPr>
      <w:color w:val="0000FF"/>
      <w:u w:val="none"/>
    </w:rPr>
  </w:style>
  <w:style w:type="character" w:styleId="16">
    <w:name w:val="HTML Code"/>
    <w:qFormat/>
    <w:uiPriority w:val="0"/>
    <w:rPr>
      <w:rFonts w:ascii="serif" w:hAnsi="serif" w:eastAsia="serif" w:cs="serif"/>
      <w:sz w:val="21"/>
      <w:szCs w:val="21"/>
    </w:rPr>
  </w:style>
  <w:style w:type="character" w:styleId="17">
    <w:name w:val="annotation reference"/>
    <w:basedOn w:val="10"/>
    <w:qFormat/>
    <w:uiPriority w:val="99"/>
    <w:rPr>
      <w:sz w:val="21"/>
      <w:szCs w:val="21"/>
    </w:rPr>
  </w:style>
  <w:style w:type="character" w:styleId="18">
    <w:name w:val="HTML Keyboard"/>
    <w:qFormat/>
    <w:uiPriority w:val="0"/>
    <w:rPr>
      <w:rFonts w:hint="default" w:ascii="serif" w:hAnsi="serif" w:eastAsia="serif" w:cs="serif"/>
      <w:sz w:val="21"/>
      <w:szCs w:val="21"/>
    </w:rPr>
  </w:style>
  <w:style w:type="character" w:styleId="19">
    <w:name w:val="HTML Sample"/>
    <w:qFormat/>
    <w:uiPriority w:val="0"/>
    <w:rPr>
      <w:rFonts w:hint="default" w:ascii="serif" w:hAnsi="serif" w:eastAsia="serif" w:cs="serif"/>
      <w:sz w:val="21"/>
      <w:szCs w:val="21"/>
    </w:rPr>
  </w:style>
  <w:style w:type="character" w:customStyle="1" w:styleId="20">
    <w:name w:val="页脚 字符"/>
    <w:link w:val="6"/>
    <w:qFormat/>
    <w:uiPriority w:val="99"/>
    <w:rPr>
      <w:kern w:val="2"/>
      <w:sz w:val="18"/>
      <w:szCs w:val="18"/>
    </w:rPr>
  </w:style>
  <w:style w:type="character" w:customStyle="1" w:styleId="21">
    <w:name w:val="first-child"/>
    <w:qFormat/>
    <w:uiPriority w:val="0"/>
  </w:style>
  <w:style w:type="character" w:customStyle="1" w:styleId="22">
    <w:name w:val="required"/>
    <w:qFormat/>
    <w:uiPriority w:val="0"/>
    <w:rPr>
      <w:color w:val="FF0000"/>
    </w:rPr>
  </w:style>
  <w:style w:type="character" w:customStyle="1" w:styleId="23">
    <w:name w:val="first-child1"/>
    <w:qFormat/>
    <w:uiPriority w:val="0"/>
  </w:style>
  <w:style w:type="paragraph" w:customStyle="1" w:styleId="24">
    <w:name w:val="Revision_a7df69c1-9695-4757-bc60-5ccfe0dc34e3"/>
    <w:qFormat/>
    <w:uiPriority w:val="99"/>
    <w:rPr>
      <w:rFonts w:ascii="Times New Roman" w:hAnsi="Times New Roman" w:eastAsia="宋体" w:cs="Times New Roman"/>
      <w:kern w:val="2"/>
      <w:sz w:val="21"/>
      <w:szCs w:val="24"/>
      <w:lang w:val="en-US" w:eastAsia="zh-CN" w:bidi="ar-SA"/>
    </w:rPr>
  </w:style>
  <w:style w:type="character" w:customStyle="1" w:styleId="25">
    <w:name w:val="批注文字 字符"/>
    <w:basedOn w:val="10"/>
    <w:link w:val="3"/>
    <w:qFormat/>
    <w:uiPriority w:val="99"/>
    <w:rPr>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64</Words>
  <Characters>70</Characters>
  <Paragraphs>580</Paragraphs>
  <TotalTime>15</TotalTime>
  <ScaleCrop>false</ScaleCrop>
  <LinksUpToDate>false</LinksUpToDate>
  <CharactersWithSpaces>102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2025-11-02T05:37:00Z</dcterms:created>
  <dc:creator>18302</dc:creator>
  <cp:lastModifiedBy>片羽时光[咖啡]</cp:lastModifiedBy>
  <cp:lastPrinted>2026-09-10T01:42:00Z</cp:lastPrinted>
  <dcterms:modified xsi:type="dcterms:W3CDTF">2026-11-04T06:09:12Z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38aa83ce77bb480c8245c85b4e1a0fbd_23</vt:lpwstr>
  </property>
  <property fmtid="{D5CDD505-2E9C-101B-9397-08002B2CF9AE}" pid="4" name="KSOTemplateDocerSaveRecord">
    <vt:lpwstr>eyJoZGlkIjoiMGRkMTBjYzYwOTM4M2JlZmIxMjRiNmI0YzNmOTJmZDAiLCJ1c2VySWQiOiI3NTk1MzM0MzEifQ==</vt:lpwstr>
  </property>
</Properties>
</file>